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8F8" w:rsidRDefault="004328F8"/>
    <w:sdt>
      <w:sdtPr>
        <w:rPr>
          <w:rFonts w:asciiTheme="majorHAnsi" w:eastAsiaTheme="majorEastAsia" w:hAnsiTheme="majorHAnsi" w:cstheme="majorBidi"/>
        </w:rPr>
        <w:id w:val="4308006"/>
        <w:docPartObj>
          <w:docPartGallery w:val="Cover Pages"/>
          <w:docPartUnique/>
        </w:docPartObj>
      </w:sdtPr>
      <w:sdtEndPr>
        <w:rPr>
          <w:rFonts w:asciiTheme="minorHAnsi" w:eastAsiaTheme="minorHAnsi" w:hAnsiTheme="minorHAnsi" w:cstheme="minorBidi"/>
          <w:b/>
          <w:bCs/>
        </w:rPr>
      </w:sdtEndPr>
      <w:sdtContent>
        <w:tbl>
          <w:tblPr>
            <w:tblpPr w:leftFromText="187" w:rightFromText="187" w:horzAnchor="margin" w:tblpXSpec="center" w:tblpY="2881"/>
            <w:tblW w:w="4239" w:type="pct"/>
            <w:tblBorders>
              <w:left w:val="single" w:sz="18" w:space="0" w:color="4F81BD" w:themeColor="accent1"/>
            </w:tblBorders>
            <w:tblLook w:val="04A0"/>
          </w:tblPr>
          <w:tblGrid>
            <w:gridCol w:w="8007"/>
          </w:tblGrid>
          <w:tr w:rsidR="007B49E0" w:rsidTr="003F5F7D">
            <w:tc>
              <w:tcPr>
                <w:tcW w:w="8007" w:type="dxa"/>
                <w:tcMar>
                  <w:top w:w="216" w:type="dxa"/>
                  <w:left w:w="115" w:type="dxa"/>
                  <w:bottom w:w="216" w:type="dxa"/>
                  <w:right w:w="115" w:type="dxa"/>
                </w:tcMar>
              </w:tcPr>
              <w:p w:rsidR="007B49E0" w:rsidRDefault="007B49E0">
                <w:pPr>
                  <w:pStyle w:val="Sansinterligne"/>
                  <w:rPr>
                    <w:rFonts w:asciiTheme="majorHAnsi" w:eastAsiaTheme="majorEastAsia" w:hAnsiTheme="majorHAnsi" w:cstheme="majorBidi"/>
                  </w:rPr>
                </w:pPr>
              </w:p>
            </w:tc>
          </w:tr>
          <w:tr w:rsidR="007B49E0" w:rsidTr="003F5F7D">
            <w:tc>
              <w:tcPr>
                <w:tcW w:w="8007" w:type="dxa"/>
              </w:tcPr>
              <w:sdt>
                <w:sdtPr>
                  <w:rPr>
                    <w:rFonts w:asciiTheme="majorHAnsi" w:eastAsiaTheme="majorEastAsia" w:hAnsiTheme="majorHAnsi" w:cstheme="majorBidi"/>
                    <w:b/>
                    <w:bCs/>
                    <w:sz w:val="32"/>
                    <w:szCs w:val="32"/>
                  </w:rPr>
                  <w:alias w:val="Titre"/>
                  <w:id w:val="13406919"/>
                  <w:dataBinding w:prefixMappings="xmlns:ns0='http://schemas.openxmlformats.org/package/2006/metadata/core-properties' xmlns:ns1='http://purl.org/dc/elements/1.1/'" w:xpath="/ns0:coreProperties[1]/ns1:title[1]" w:storeItemID="{6C3C8BC8-F283-45AE-878A-BAB7291924A1}"/>
                  <w:text/>
                </w:sdtPr>
                <w:sdtContent>
                  <w:p w:rsidR="007B49E0" w:rsidRDefault="007B2C2A" w:rsidP="003F5F7D">
                    <w:pPr>
                      <w:pStyle w:val="Sansinterligne"/>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b/>
                        <w:bCs/>
                        <w:sz w:val="32"/>
                        <w:szCs w:val="32"/>
                      </w:rPr>
                      <w:t>Indice des Prix à la Consommation (Base100:2006)           ville de Kenitra</w:t>
                    </w:r>
                  </w:p>
                </w:sdtContent>
              </w:sdt>
            </w:tc>
          </w:tr>
          <w:tr w:rsidR="007B49E0" w:rsidTr="003F5F7D">
            <w:sdt>
              <w:sdtPr>
                <w:rPr>
                  <w:rFonts w:asciiTheme="majorHAnsi" w:eastAsiaTheme="majorEastAsia" w:hAnsiTheme="majorHAnsi" w:cstheme="majorBidi"/>
                  <w:b/>
                  <w:bCs/>
                  <w:sz w:val="28"/>
                  <w:szCs w:val="28"/>
                </w:rPr>
                <w:alias w:val="Sous-titre"/>
                <w:id w:val="13406923"/>
                <w:dataBinding w:prefixMappings="xmlns:ns0='http://schemas.openxmlformats.org/package/2006/metadata/core-properties' xmlns:ns1='http://purl.org/dc/elements/1.1/'" w:xpath="/ns0:coreProperties[1]/ns1:subject[1]" w:storeItemID="{6C3C8BC8-F283-45AE-878A-BAB7291924A1}"/>
                <w:text/>
              </w:sdtPr>
              <w:sdtContent>
                <w:tc>
                  <w:tcPr>
                    <w:tcW w:w="8007" w:type="dxa"/>
                    <w:tcMar>
                      <w:top w:w="216" w:type="dxa"/>
                      <w:left w:w="115" w:type="dxa"/>
                      <w:bottom w:w="216" w:type="dxa"/>
                      <w:right w:w="115" w:type="dxa"/>
                    </w:tcMar>
                  </w:tcPr>
                  <w:p w:rsidR="007B49E0" w:rsidRPr="007B49E0" w:rsidRDefault="007B2C2A" w:rsidP="007B49E0">
                    <w:pPr>
                      <w:pStyle w:val="Sansinterligne"/>
                      <w:rPr>
                        <w:rFonts w:asciiTheme="majorHAnsi" w:eastAsiaTheme="majorEastAsia" w:hAnsiTheme="majorHAnsi" w:cstheme="majorBidi"/>
                        <w:sz w:val="28"/>
                        <w:szCs w:val="28"/>
                      </w:rPr>
                    </w:pPr>
                    <w:r>
                      <w:rPr>
                        <w:rFonts w:asciiTheme="majorHAnsi" w:eastAsiaTheme="majorEastAsia" w:hAnsiTheme="majorHAnsi" w:cstheme="majorBidi"/>
                        <w:b/>
                        <w:bCs/>
                        <w:sz w:val="28"/>
                        <w:szCs w:val="28"/>
                      </w:rPr>
                      <w:t>Rapport annuel</w:t>
                    </w:r>
                  </w:p>
                </w:tc>
              </w:sdtContent>
            </w:sdt>
          </w:tr>
        </w:tbl>
        <w:p w:rsidR="007B49E0" w:rsidRDefault="007B49E0"/>
        <w:p w:rsidR="007B49E0" w:rsidRDefault="007B49E0"/>
        <w:tbl>
          <w:tblPr>
            <w:tblpPr w:leftFromText="187" w:rightFromText="187" w:horzAnchor="margin" w:tblpXSpec="center" w:tblpYSpec="bottom"/>
            <w:tblW w:w="4000" w:type="pct"/>
            <w:tblLook w:val="04A0"/>
          </w:tblPr>
          <w:tblGrid>
            <w:gridCol w:w="7555"/>
          </w:tblGrid>
          <w:tr w:rsidR="007B49E0">
            <w:tc>
              <w:tcPr>
                <w:tcW w:w="7672" w:type="dxa"/>
                <w:tcMar>
                  <w:top w:w="216" w:type="dxa"/>
                  <w:left w:w="115" w:type="dxa"/>
                  <w:bottom w:w="216" w:type="dxa"/>
                  <w:right w:w="115" w:type="dxa"/>
                </w:tcMar>
              </w:tcPr>
              <w:sdt>
                <w:sdtPr>
                  <w:rPr>
                    <w:b/>
                    <w:bCs/>
                    <w:color w:val="4F81BD" w:themeColor="accent1"/>
                    <w:sz w:val="24"/>
                    <w:szCs w:val="24"/>
                  </w:rPr>
                  <w:alias w:val="Date"/>
                  <w:id w:val="13406932"/>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Content>
                  <w:p w:rsidR="007B49E0" w:rsidRPr="007B49E0" w:rsidRDefault="007B2C2A" w:rsidP="00A12EEA">
                    <w:pPr>
                      <w:pStyle w:val="Sansinterligne"/>
                      <w:rPr>
                        <w:b/>
                        <w:bCs/>
                        <w:color w:val="4F81BD" w:themeColor="accent1"/>
                        <w:sz w:val="24"/>
                        <w:szCs w:val="24"/>
                      </w:rPr>
                    </w:pPr>
                    <w:r>
                      <w:rPr>
                        <w:b/>
                        <w:bCs/>
                        <w:sz w:val="24"/>
                        <w:szCs w:val="24"/>
                      </w:rPr>
                      <w:t>Année 2019</w:t>
                    </w:r>
                  </w:p>
                </w:sdtContent>
              </w:sdt>
              <w:p w:rsidR="007B49E0" w:rsidRPr="007B49E0" w:rsidRDefault="007B49E0">
                <w:pPr>
                  <w:pStyle w:val="Sansinterligne"/>
                  <w:rPr>
                    <w:b/>
                    <w:bCs/>
                    <w:color w:val="4F81BD" w:themeColor="accent1"/>
                    <w:sz w:val="24"/>
                    <w:szCs w:val="24"/>
                  </w:rPr>
                </w:pPr>
              </w:p>
            </w:tc>
          </w:tr>
        </w:tbl>
        <w:p w:rsidR="007B49E0" w:rsidRDefault="007B49E0"/>
        <w:p w:rsidR="007B49E0" w:rsidRDefault="007B49E0">
          <w:r>
            <w:rPr>
              <w:b/>
              <w:bCs/>
            </w:rPr>
            <w:br w:type="page"/>
          </w:r>
        </w:p>
      </w:sdtContent>
    </w:sdt>
    <w:sdt>
      <w:sdtPr>
        <w:rPr>
          <w:rFonts w:asciiTheme="minorHAnsi" w:eastAsiaTheme="minorHAnsi" w:hAnsiTheme="minorHAnsi" w:cstheme="minorBidi"/>
          <w:b w:val="0"/>
          <w:bCs w:val="0"/>
          <w:color w:val="auto"/>
          <w:sz w:val="22"/>
          <w:szCs w:val="22"/>
        </w:rPr>
        <w:id w:val="1569297"/>
        <w:docPartObj>
          <w:docPartGallery w:val="Table of Contents"/>
          <w:docPartUnique/>
        </w:docPartObj>
      </w:sdtPr>
      <w:sdtContent>
        <w:p w:rsidR="00832702" w:rsidRDefault="00832702" w:rsidP="00132051">
          <w:pPr>
            <w:pStyle w:val="En-ttedetabledesmatires"/>
          </w:pPr>
          <w:r>
            <w:t>S</w:t>
          </w:r>
          <w:r w:rsidR="00132051">
            <w:t>OMMAIRE</w:t>
          </w:r>
        </w:p>
        <w:p w:rsidR="009C5270" w:rsidRPr="009C5270" w:rsidRDefault="00DE78CE">
          <w:pPr>
            <w:pStyle w:val="TM1"/>
            <w:tabs>
              <w:tab w:val="right" w:leader="dot" w:pos="9204"/>
            </w:tabs>
            <w:rPr>
              <w:rFonts w:asciiTheme="majorBidi" w:eastAsiaTheme="minorEastAsia" w:hAnsiTheme="majorBidi" w:cstheme="majorBidi"/>
              <w:noProof/>
              <w:lang w:eastAsia="fr-FR"/>
            </w:rPr>
          </w:pPr>
          <w:r>
            <w:fldChar w:fldCharType="begin"/>
          </w:r>
          <w:r w:rsidR="00FC4512">
            <w:instrText xml:space="preserve"> TOC \o "1-4" \h \z \u </w:instrText>
          </w:r>
          <w:r>
            <w:fldChar w:fldCharType="separate"/>
          </w:r>
          <w:hyperlink w:anchor="_Toc45551130" w:history="1">
            <w:r w:rsidR="009C5270" w:rsidRPr="009C5270">
              <w:rPr>
                <w:rStyle w:val="Lienhypertexte"/>
                <w:rFonts w:asciiTheme="majorBidi" w:hAnsiTheme="majorBidi" w:cstheme="majorBidi"/>
                <w:noProof/>
              </w:rPr>
              <w:t>Liste des tableaux</w:t>
            </w:r>
            <w:r w:rsidR="009C5270" w:rsidRPr="009C5270">
              <w:rPr>
                <w:rFonts w:asciiTheme="majorBidi" w:hAnsiTheme="majorBidi" w:cstheme="majorBidi"/>
                <w:noProof/>
                <w:webHidden/>
              </w:rPr>
              <w:tab/>
            </w:r>
            <w:r w:rsidRPr="009C5270">
              <w:rPr>
                <w:rFonts w:asciiTheme="majorBidi" w:hAnsiTheme="majorBidi" w:cstheme="majorBidi"/>
                <w:noProof/>
                <w:webHidden/>
              </w:rPr>
              <w:fldChar w:fldCharType="begin"/>
            </w:r>
            <w:r w:rsidR="009C5270" w:rsidRPr="009C5270">
              <w:rPr>
                <w:rFonts w:asciiTheme="majorBidi" w:hAnsiTheme="majorBidi" w:cstheme="majorBidi"/>
                <w:noProof/>
                <w:webHidden/>
              </w:rPr>
              <w:instrText xml:space="preserve"> PAGEREF _Toc45551130 \h </w:instrText>
            </w:r>
            <w:r w:rsidRPr="009C5270">
              <w:rPr>
                <w:rFonts w:asciiTheme="majorBidi" w:hAnsiTheme="majorBidi" w:cstheme="majorBidi"/>
                <w:noProof/>
                <w:webHidden/>
              </w:rPr>
            </w:r>
            <w:r w:rsidRPr="009C5270">
              <w:rPr>
                <w:rFonts w:asciiTheme="majorBidi" w:hAnsiTheme="majorBidi" w:cstheme="majorBidi"/>
                <w:noProof/>
                <w:webHidden/>
              </w:rPr>
              <w:fldChar w:fldCharType="separate"/>
            </w:r>
            <w:r w:rsidR="006C5E58">
              <w:rPr>
                <w:rFonts w:asciiTheme="majorBidi" w:hAnsiTheme="majorBidi" w:cstheme="majorBidi"/>
                <w:noProof/>
                <w:webHidden/>
              </w:rPr>
              <w:t>3</w:t>
            </w:r>
            <w:r w:rsidRPr="009C5270">
              <w:rPr>
                <w:rFonts w:asciiTheme="majorBidi" w:hAnsiTheme="majorBidi" w:cstheme="majorBidi"/>
                <w:noProof/>
                <w:webHidden/>
              </w:rPr>
              <w:fldChar w:fldCharType="end"/>
            </w:r>
          </w:hyperlink>
        </w:p>
        <w:p w:rsidR="009C5270" w:rsidRPr="009C5270" w:rsidRDefault="00DE78CE">
          <w:pPr>
            <w:pStyle w:val="TM1"/>
            <w:tabs>
              <w:tab w:val="right" w:leader="dot" w:pos="9204"/>
            </w:tabs>
            <w:rPr>
              <w:rFonts w:asciiTheme="majorBidi" w:eastAsiaTheme="minorEastAsia" w:hAnsiTheme="majorBidi" w:cstheme="majorBidi"/>
              <w:noProof/>
              <w:lang w:eastAsia="fr-FR"/>
            </w:rPr>
          </w:pPr>
          <w:hyperlink w:anchor="_Toc45551131" w:history="1">
            <w:r w:rsidR="009C5270" w:rsidRPr="009C5270">
              <w:rPr>
                <w:rStyle w:val="Lienhypertexte"/>
                <w:rFonts w:asciiTheme="majorBidi" w:hAnsiTheme="majorBidi" w:cstheme="majorBidi"/>
                <w:noProof/>
              </w:rPr>
              <w:t>Liste des graphiques</w:t>
            </w:r>
            <w:r w:rsidR="009C5270" w:rsidRPr="009C5270">
              <w:rPr>
                <w:rFonts w:asciiTheme="majorBidi" w:hAnsiTheme="majorBidi" w:cstheme="majorBidi"/>
                <w:noProof/>
                <w:webHidden/>
              </w:rPr>
              <w:tab/>
            </w:r>
            <w:r w:rsidRPr="009C5270">
              <w:rPr>
                <w:rFonts w:asciiTheme="majorBidi" w:hAnsiTheme="majorBidi" w:cstheme="majorBidi"/>
                <w:noProof/>
                <w:webHidden/>
              </w:rPr>
              <w:fldChar w:fldCharType="begin"/>
            </w:r>
            <w:r w:rsidR="009C5270" w:rsidRPr="009C5270">
              <w:rPr>
                <w:rFonts w:asciiTheme="majorBidi" w:hAnsiTheme="majorBidi" w:cstheme="majorBidi"/>
                <w:noProof/>
                <w:webHidden/>
              </w:rPr>
              <w:instrText xml:space="preserve"> PAGEREF _Toc45551131 \h </w:instrText>
            </w:r>
            <w:r w:rsidRPr="009C5270">
              <w:rPr>
                <w:rFonts w:asciiTheme="majorBidi" w:hAnsiTheme="majorBidi" w:cstheme="majorBidi"/>
                <w:noProof/>
                <w:webHidden/>
              </w:rPr>
            </w:r>
            <w:r w:rsidRPr="009C5270">
              <w:rPr>
                <w:rFonts w:asciiTheme="majorBidi" w:hAnsiTheme="majorBidi" w:cstheme="majorBidi"/>
                <w:noProof/>
                <w:webHidden/>
              </w:rPr>
              <w:fldChar w:fldCharType="separate"/>
            </w:r>
            <w:r w:rsidR="006C5E58">
              <w:rPr>
                <w:rFonts w:asciiTheme="majorBidi" w:hAnsiTheme="majorBidi" w:cstheme="majorBidi"/>
                <w:noProof/>
                <w:webHidden/>
              </w:rPr>
              <w:t>4</w:t>
            </w:r>
            <w:r w:rsidRPr="009C5270">
              <w:rPr>
                <w:rFonts w:asciiTheme="majorBidi" w:hAnsiTheme="majorBidi" w:cstheme="majorBidi"/>
                <w:noProof/>
                <w:webHidden/>
              </w:rPr>
              <w:fldChar w:fldCharType="end"/>
            </w:r>
          </w:hyperlink>
        </w:p>
        <w:p w:rsidR="009C5270" w:rsidRPr="009C5270" w:rsidRDefault="00DE78CE">
          <w:pPr>
            <w:pStyle w:val="TM1"/>
            <w:tabs>
              <w:tab w:val="right" w:leader="dot" w:pos="9204"/>
            </w:tabs>
            <w:rPr>
              <w:rFonts w:asciiTheme="majorBidi" w:eastAsiaTheme="minorEastAsia" w:hAnsiTheme="majorBidi" w:cstheme="majorBidi"/>
              <w:noProof/>
              <w:lang w:eastAsia="fr-FR"/>
            </w:rPr>
          </w:pPr>
          <w:hyperlink w:anchor="_Toc45551132" w:history="1">
            <w:r w:rsidR="009C5270" w:rsidRPr="009C5270">
              <w:rPr>
                <w:rStyle w:val="Lienhypertexte"/>
                <w:rFonts w:asciiTheme="majorBidi" w:hAnsiTheme="majorBidi" w:cstheme="majorBidi"/>
                <w:noProof/>
              </w:rPr>
              <w:t>Listes des tableaux annexes</w:t>
            </w:r>
            <w:r w:rsidR="009C5270" w:rsidRPr="009C5270">
              <w:rPr>
                <w:rFonts w:asciiTheme="majorBidi" w:hAnsiTheme="majorBidi" w:cstheme="majorBidi"/>
                <w:noProof/>
                <w:webHidden/>
              </w:rPr>
              <w:tab/>
            </w:r>
            <w:r w:rsidRPr="009C5270">
              <w:rPr>
                <w:rFonts w:asciiTheme="majorBidi" w:hAnsiTheme="majorBidi" w:cstheme="majorBidi"/>
                <w:noProof/>
                <w:webHidden/>
              </w:rPr>
              <w:fldChar w:fldCharType="begin"/>
            </w:r>
            <w:r w:rsidR="009C5270" w:rsidRPr="009C5270">
              <w:rPr>
                <w:rFonts w:asciiTheme="majorBidi" w:hAnsiTheme="majorBidi" w:cstheme="majorBidi"/>
                <w:noProof/>
                <w:webHidden/>
              </w:rPr>
              <w:instrText xml:space="preserve"> PAGEREF _Toc45551132 \h </w:instrText>
            </w:r>
            <w:r w:rsidRPr="009C5270">
              <w:rPr>
                <w:rFonts w:asciiTheme="majorBidi" w:hAnsiTheme="majorBidi" w:cstheme="majorBidi"/>
                <w:noProof/>
                <w:webHidden/>
              </w:rPr>
            </w:r>
            <w:r w:rsidRPr="009C5270">
              <w:rPr>
                <w:rFonts w:asciiTheme="majorBidi" w:hAnsiTheme="majorBidi" w:cstheme="majorBidi"/>
                <w:noProof/>
                <w:webHidden/>
              </w:rPr>
              <w:fldChar w:fldCharType="separate"/>
            </w:r>
            <w:r w:rsidR="006C5E58">
              <w:rPr>
                <w:rFonts w:asciiTheme="majorBidi" w:hAnsiTheme="majorBidi" w:cstheme="majorBidi"/>
                <w:noProof/>
                <w:webHidden/>
              </w:rPr>
              <w:t>5</w:t>
            </w:r>
            <w:r w:rsidRPr="009C5270">
              <w:rPr>
                <w:rFonts w:asciiTheme="majorBidi" w:hAnsiTheme="majorBidi" w:cstheme="majorBidi"/>
                <w:noProof/>
                <w:webHidden/>
              </w:rPr>
              <w:fldChar w:fldCharType="end"/>
            </w:r>
          </w:hyperlink>
        </w:p>
        <w:p w:rsidR="009C5270" w:rsidRPr="009C5270" w:rsidRDefault="00DE78CE">
          <w:pPr>
            <w:pStyle w:val="TM1"/>
            <w:tabs>
              <w:tab w:val="right" w:leader="dot" w:pos="9204"/>
            </w:tabs>
            <w:rPr>
              <w:rFonts w:asciiTheme="majorBidi" w:eastAsiaTheme="minorEastAsia" w:hAnsiTheme="majorBidi" w:cstheme="majorBidi"/>
              <w:noProof/>
              <w:lang w:eastAsia="fr-FR"/>
            </w:rPr>
          </w:pPr>
          <w:hyperlink w:anchor="_Toc45551133" w:history="1">
            <w:r w:rsidR="009C5270" w:rsidRPr="009C5270">
              <w:rPr>
                <w:rStyle w:val="Lienhypertexte"/>
                <w:rFonts w:asciiTheme="majorBidi" w:hAnsiTheme="majorBidi" w:cstheme="majorBidi"/>
                <w:noProof/>
              </w:rPr>
              <w:t>Introduction</w:t>
            </w:r>
            <w:r w:rsidR="009C5270" w:rsidRPr="009C5270">
              <w:rPr>
                <w:rFonts w:asciiTheme="majorBidi" w:hAnsiTheme="majorBidi" w:cstheme="majorBidi"/>
                <w:noProof/>
                <w:webHidden/>
              </w:rPr>
              <w:tab/>
            </w:r>
            <w:r w:rsidRPr="009C5270">
              <w:rPr>
                <w:rFonts w:asciiTheme="majorBidi" w:hAnsiTheme="majorBidi" w:cstheme="majorBidi"/>
                <w:noProof/>
                <w:webHidden/>
              </w:rPr>
              <w:fldChar w:fldCharType="begin"/>
            </w:r>
            <w:r w:rsidR="009C5270" w:rsidRPr="009C5270">
              <w:rPr>
                <w:rFonts w:asciiTheme="majorBidi" w:hAnsiTheme="majorBidi" w:cstheme="majorBidi"/>
                <w:noProof/>
                <w:webHidden/>
              </w:rPr>
              <w:instrText xml:space="preserve"> PAGEREF _Toc45551133 \h </w:instrText>
            </w:r>
            <w:r w:rsidRPr="009C5270">
              <w:rPr>
                <w:rFonts w:asciiTheme="majorBidi" w:hAnsiTheme="majorBidi" w:cstheme="majorBidi"/>
                <w:noProof/>
                <w:webHidden/>
              </w:rPr>
            </w:r>
            <w:r w:rsidRPr="009C5270">
              <w:rPr>
                <w:rFonts w:asciiTheme="majorBidi" w:hAnsiTheme="majorBidi" w:cstheme="majorBidi"/>
                <w:noProof/>
                <w:webHidden/>
              </w:rPr>
              <w:fldChar w:fldCharType="separate"/>
            </w:r>
            <w:r w:rsidR="006C5E58">
              <w:rPr>
                <w:rFonts w:asciiTheme="majorBidi" w:hAnsiTheme="majorBidi" w:cstheme="majorBidi"/>
                <w:noProof/>
                <w:webHidden/>
              </w:rPr>
              <w:t>7</w:t>
            </w:r>
            <w:r w:rsidRPr="009C5270">
              <w:rPr>
                <w:rFonts w:asciiTheme="majorBidi" w:hAnsiTheme="majorBidi" w:cstheme="majorBidi"/>
                <w:noProof/>
                <w:webHidden/>
              </w:rPr>
              <w:fldChar w:fldCharType="end"/>
            </w:r>
          </w:hyperlink>
        </w:p>
        <w:p w:rsidR="009C5270" w:rsidRPr="009C5270" w:rsidRDefault="00DE78CE">
          <w:pPr>
            <w:pStyle w:val="TM1"/>
            <w:tabs>
              <w:tab w:val="right" w:leader="dot" w:pos="9204"/>
            </w:tabs>
            <w:rPr>
              <w:rFonts w:asciiTheme="majorBidi" w:eastAsiaTheme="minorEastAsia" w:hAnsiTheme="majorBidi" w:cstheme="majorBidi"/>
              <w:noProof/>
              <w:lang w:eastAsia="fr-FR"/>
            </w:rPr>
          </w:pPr>
          <w:hyperlink w:anchor="_Toc45551134" w:history="1">
            <w:r w:rsidR="009C5270" w:rsidRPr="009C5270">
              <w:rPr>
                <w:rStyle w:val="Lienhypertexte"/>
                <w:rFonts w:asciiTheme="majorBidi" w:hAnsiTheme="majorBidi" w:cstheme="majorBidi"/>
                <w:noProof/>
              </w:rPr>
              <w:t>I- Historique du système de suivi des prix de détail</w:t>
            </w:r>
            <w:r w:rsidR="009C5270" w:rsidRPr="009C5270">
              <w:rPr>
                <w:rFonts w:asciiTheme="majorBidi" w:hAnsiTheme="majorBidi" w:cstheme="majorBidi"/>
                <w:noProof/>
                <w:webHidden/>
              </w:rPr>
              <w:tab/>
            </w:r>
            <w:r w:rsidRPr="009C5270">
              <w:rPr>
                <w:rFonts w:asciiTheme="majorBidi" w:hAnsiTheme="majorBidi" w:cstheme="majorBidi"/>
                <w:noProof/>
                <w:webHidden/>
              </w:rPr>
              <w:fldChar w:fldCharType="begin"/>
            </w:r>
            <w:r w:rsidR="009C5270" w:rsidRPr="009C5270">
              <w:rPr>
                <w:rFonts w:asciiTheme="majorBidi" w:hAnsiTheme="majorBidi" w:cstheme="majorBidi"/>
                <w:noProof/>
                <w:webHidden/>
              </w:rPr>
              <w:instrText xml:space="preserve"> PAGEREF _Toc45551134 \h </w:instrText>
            </w:r>
            <w:r w:rsidRPr="009C5270">
              <w:rPr>
                <w:rFonts w:asciiTheme="majorBidi" w:hAnsiTheme="majorBidi" w:cstheme="majorBidi"/>
                <w:noProof/>
                <w:webHidden/>
              </w:rPr>
            </w:r>
            <w:r w:rsidRPr="009C5270">
              <w:rPr>
                <w:rFonts w:asciiTheme="majorBidi" w:hAnsiTheme="majorBidi" w:cstheme="majorBidi"/>
                <w:noProof/>
                <w:webHidden/>
              </w:rPr>
              <w:fldChar w:fldCharType="separate"/>
            </w:r>
            <w:r w:rsidR="006C5E58">
              <w:rPr>
                <w:rFonts w:asciiTheme="majorBidi" w:hAnsiTheme="majorBidi" w:cstheme="majorBidi"/>
                <w:noProof/>
                <w:webHidden/>
              </w:rPr>
              <w:t>9</w:t>
            </w:r>
            <w:r w:rsidRPr="009C5270">
              <w:rPr>
                <w:rFonts w:asciiTheme="majorBidi" w:hAnsiTheme="majorBidi" w:cstheme="majorBidi"/>
                <w:noProof/>
                <w:webHidden/>
              </w:rPr>
              <w:fldChar w:fldCharType="end"/>
            </w:r>
          </w:hyperlink>
        </w:p>
        <w:p w:rsidR="009C5270" w:rsidRPr="009C5270" w:rsidRDefault="00DE78CE">
          <w:pPr>
            <w:pStyle w:val="TM1"/>
            <w:tabs>
              <w:tab w:val="right" w:leader="dot" w:pos="9204"/>
            </w:tabs>
            <w:rPr>
              <w:rFonts w:asciiTheme="majorBidi" w:eastAsiaTheme="minorEastAsia" w:hAnsiTheme="majorBidi" w:cstheme="majorBidi"/>
              <w:noProof/>
              <w:lang w:eastAsia="fr-FR"/>
            </w:rPr>
          </w:pPr>
          <w:hyperlink w:anchor="_Toc45551135" w:history="1">
            <w:r w:rsidR="009C5270" w:rsidRPr="009C5270">
              <w:rPr>
                <w:rStyle w:val="Lienhypertexte"/>
                <w:rFonts w:asciiTheme="majorBidi" w:hAnsiTheme="majorBidi" w:cstheme="majorBidi"/>
                <w:noProof/>
              </w:rPr>
              <w:t>II- Méthodologie de l’Indice des Prix à la Consommation (Base 100:2006)</w:t>
            </w:r>
            <w:r w:rsidR="009C5270" w:rsidRPr="009C5270">
              <w:rPr>
                <w:rFonts w:asciiTheme="majorBidi" w:hAnsiTheme="majorBidi" w:cstheme="majorBidi"/>
                <w:noProof/>
                <w:webHidden/>
              </w:rPr>
              <w:tab/>
            </w:r>
            <w:r w:rsidRPr="009C5270">
              <w:rPr>
                <w:rFonts w:asciiTheme="majorBidi" w:hAnsiTheme="majorBidi" w:cstheme="majorBidi"/>
                <w:noProof/>
                <w:webHidden/>
              </w:rPr>
              <w:fldChar w:fldCharType="begin"/>
            </w:r>
            <w:r w:rsidR="009C5270" w:rsidRPr="009C5270">
              <w:rPr>
                <w:rFonts w:asciiTheme="majorBidi" w:hAnsiTheme="majorBidi" w:cstheme="majorBidi"/>
                <w:noProof/>
                <w:webHidden/>
              </w:rPr>
              <w:instrText xml:space="preserve"> PAGEREF _Toc45551135 \h </w:instrText>
            </w:r>
            <w:r w:rsidRPr="009C5270">
              <w:rPr>
                <w:rFonts w:asciiTheme="majorBidi" w:hAnsiTheme="majorBidi" w:cstheme="majorBidi"/>
                <w:noProof/>
                <w:webHidden/>
              </w:rPr>
            </w:r>
            <w:r w:rsidRPr="009C5270">
              <w:rPr>
                <w:rFonts w:asciiTheme="majorBidi" w:hAnsiTheme="majorBidi" w:cstheme="majorBidi"/>
                <w:noProof/>
                <w:webHidden/>
              </w:rPr>
              <w:fldChar w:fldCharType="separate"/>
            </w:r>
            <w:r w:rsidR="006C5E58">
              <w:rPr>
                <w:rFonts w:asciiTheme="majorBidi" w:hAnsiTheme="majorBidi" w:cstheme="majorBidi"/>
                <w:noProof/>
                <w:webHidden/>
              </w:rPr>
              <w:t>12</w:t>
            </w:r>
            <w:r w:rsidRPr="009C5270">
              <w:rPr>
                <w:rFonts w:asciiTheme="majorBidi" w:hAnsiTheme="majorBidi" w:cstheme="majorBidi"/>
                <w:noProof/>
                <w:webHidden/>
              </w:rPr>
              <w:fldChar w:fldCharType="end"/>
            </w:r>
          </w:hyperlink>
        </w:p>
        <w:p w:rsidR="009C5270" w:rsidRPr="009C5270" w:rsidRDefault="00DE78CE">
          <w:pPr>
            <w:pStyle w:val="TM2"/>
            <w:tabs>
              <w:tab w:val="right" w:leader="dot" w:pos="9204"/>
            </w:tabs>
            <w:rPr>
              <w:rFonts w:asciiTheme="majorBidi" w:eastAsiaTheme="minorEastAsia" w:hAnsiTheme="majorBidi" w:cstheme="majorBidi"/>
              <w:noProof/>
              <w:lang w:eastAsia="fr-FR"/>
            </w:rPr>
          </w:pPr>
          <w:hyperlink w:anchor="_Toc45551136" w:history="1">
            <w:r w:rsidR="009C5270" w:rsidRPr="009C5270">
              <w:rPr>
                <w:rStyle w:val="Lienhypertexte"/>
                <w:rFonts w:asciiTheme="majorBidi" w:hAnsiTheme="majorBidi" w:cstheme="majorBidi"/>
                <w:noProof/>
              </w:rPr>
              <w:t>II-1 Définition et objectifs</w:t>
            </w:r>
            <w:r w:rsidR="009C5270" w:rsidRPr="009C5270">
              <w:rPr>
                <w:rFonts w:asciiTheme="majorBidi" w:hAnsiTheme="majorBidi" w:cstheme="majorBidi"/>
                <w:noProof/>
                <w:webHidden/>
              </w:rPr>
              <w:tab/>
            </w:r>
            <w:r w:rsidRPr="009C5270">
              <w:rPr>
                <w:rFonts w:asciiTheme="majorBidi" w:hAnsiTheme="majorBidi" w:cstheme="majorBidi"/>
                <w:noProof/>
                <w:webHidden/>
              </w:rPr>
              <w:fldChar w:fldCharType="begin"/>
            </w:r>
            <w:r w:rsidR="009C5270" w:rsidRPr="009C5270">
              <w:rPr>
                <w:rFonts w:asciiTheme="majorBidi" w:hAnsiTheme="majorBidi" w:cstheme="majorBidi"/>
                <w:noProof/>
                <w:webHidden/>
              </w:rPr>
              <w:instrText xml:space="preserve"> PAGEREF _Toc45551136 \h </w:instrText>
            </w:r>
            <w:r w:rsidRPr="009C5270">
              <w:rPr>
                <w:rFonts w:asciiTheme="majorBidi" w:hAnsiTheme="majorBidi" w:cstheme="majorBidi"/>
                <w:noProof/>
                <w:webHidden/>
              </w:rPr>
            </w:r>
            <w:r w:rsidRPr="009C5270">
              <w:rPr>
                <w:rFonts w:asciiTheme="majorBidi" w:hAnsiTheme="majorBidi" w:cstheme="majorBidi"/>
                <w:noProof/>
                <w:webHidden/>
              </w:rPr>
              <w:fldChar w:fldCharType="separate"/>
            </w:r>
            <w:r w:rsidR="006C5E58">
              <w:rPr>
                <w:rFonts w:asciiTheme="majorBidi" w:hAnsiTheme="majorBidi" w:cstheme="majorBidi"/>
                <w:noProof/>
                <w:webHidden/>
              </w:rPr>
              <w:t>12</w:t>
            </w:r>
            <w:r w:rsidRPr="009C5270">
              <w:rPr>
                <w:rFonts w:asciiTheme="majorBidi" w:hAnsiTheme="majorBidi" w:cstheme="majorBidi"/>
                <w:noProof/>
                <w:webHidden/>
              </w:rPr>
              <w:fldChar w:fldCharType="end"/>
            </w:r>
          </w:hyperlink>
        </w:p>
        <w:p w:rsidR="009C5270" w:rsidRPr="009C5270" w:rsidRDefault="00DE78CE">
          <w:pPr>
            <w:pStyle w:val="TM3"/>
            <w:tabs>
              <w:tab w:val="right" w:leader="dot" w:pos="9204"/>
            </w:tabs>
            <w:rPr>
              <w:rFonts w:asciiTheme="majorBidi" w:eastAsiaTheme="minorEastAsia" w:hAnsiTheme="majorBidi" w:cstheme="majorBidi"/>
              <w:noProof/>
              <w:lang w:eastAsia="fr-FR"/>
            </w:rPr>
          </w:pPr>
          <w:hyperlink w:anchor="_Toc45551137" w:history="1">
            <w:r w:rsidR="009C5270" w:rsidRPr="009C5270">
              <w:rPr>
                <w:rStyle w:val="Lienhypertexte"/>
                <w:rFonts w:asciiTheme="majorBidi" w:hAnsiTheme="majorBidi" w:cstheme="majorBidi"/>
                <w:noProof/>
              </w:rPr>
              <w:t>II-1-1 Définition</w:t>
            </w:r>
            <w:r w:rsidR="009C5270" w:rsidRPr="009C5270">
              <w:rPr>
                <w:rFonts w:asciiTheme="majorBidi" w:hAnsiTheme="majorBidi" w:cstheme="majorBidi"/>
                <w:noProof/>
                <w:webHidden/>
              </w:rPr>
              <w:tab/>
            </w:r>
            <w:r w:rsidRPr="009C5270">
              <w:rPr>
                <w:rFonts w:asciiTheme="majorBidi" w:hAnsiTheme="majorBidi" w:cstheme="majorBidi"/>
                <w:noProof/>
                <w:webHidden/>
              </w:rPr>
              <w:fldChar w:fldCharType="begin"/>
            </w:r>
            <w:r w:rsidR="009C5270" w:rsidRPr="009C5270">
              <w:rPr>
                <w:rFonts w:asciiTheme="majorBidi" w:hAnsiTheme="majorBidi" w:cstheme="majorBidi"/>
                <w:noProof/>
                <w:webHidden/>
              </w:rPr>
              <w:instrText xml:space="preserve"> PAGEREF _Toc45551137 \h </w:instrText>
            </w:r>
            <w:r w:rsidRPr="009C5270">
              <w:rPr>
                <w:rFonts w:asciiTheme="majorBidi" w:hAnsiTheme="majorBidi" w:cstheme="majorBidi"/>
                <w:noProof/>
                <w:webHidden/>
              </w:rPr>
            </w:r>
            <w:r w:rsidRPr="009C5270">
              <w:rPr>
                <w:rFonts w:asciiTheme="majorBidi" w:hAnsiTheme="majorBidi" w:cstheme="majorBidi"/>
                <w:noProof/>
                <w:webHidden/>
              </w:rPr>
              <w:fldChar w:fldCharType="separate"/>
            </w:r>
            <w:r w:rsidR="006C5E58">
              <w:rPr>
                <w:rFonts w:asciiTheme="majorBidi" w:hAnsiTheme="majorBidi" w:cstheme="majorBidi"/>
                <w:noProof/>
                <w:webHidden/>
              </w:rPr>
              <w:t>12</w:t>
            </w:r>
            <w:r w:rsidRPr="009C5270">
              <w:rPr>
                <w:rFonts w:asciiTheme="majorBidi" w:hAnsiTheme="majorBidi" w:cstheme="majorBidi"/>
                <w:noProof/>
                <w:webHidden/>
              </w:rPr>
              <w:fldChar w:fldCharType="end"/>
            </w:r>
          </w:hyperlink>
        </w:p>
        <w:p w:rsidR="009C5270" w:rsidRPr="009C5270" w:rsidRDefault="00DE78CE">
          <w:pPr>
            <w:pStyle w:val="TM3"/>
            <w:tabs>
              <w:tab w:val="right" w:leader="dot" w:pos="9204"/>
            </w:tabs>
            <w:rPr>
              <w:rFonts w:asciiTheme="majorBidi" w:eastAsiaTheme="minorEastAsia" w:hAnsiTheme="majorBidi" w:cstheme="majorBidi"/>
              <w:noProof/>
              <w:lang w:eastAsia="fr-FR"/>
            </w:rPr>
          </w:pPr>
          <w:hyperlink w:anchor="_Toc45551138" w:history="1">
            <w:r w:rsidR="009C5270" w:rsidRPr="009C5270">
              <w:rPr>
                <w:rStyle w:val="Lienhypertexte"/>
                <w:rFonts w:asciiTheme="majorBidi" w:hAnsiTheme="majorBidi" w:cstheme="majorBidi"/>
                <w:noProof/>
              </w:rPr>
              <w:t>II-1-2 Objectifs</w:t>
            </w:r>
            <w:r w:rsidR="009C5270" w:rsidRPr="009C5270">
              <w:rPr>
                <w:rFonts w:asciiTheme="majorBidi" w:hAnsiTheme="majorBidi" w:cstheme="majorBidi"/>
                <w:noProof/>
                <w:webHidden/>
              </w:rPr>
              <w:tab/>
            </w:r>
            <w:r w:rsidRPr="009C5270">
              <w:rPr>
                <w:rFonts w:asciiTheme="majorBidi" w:hAnsiTheme="majorBidi" w:cstheme="majorBidi"/>
                <w:noProof/>
                <w:webHidden/>
              </w:rPr>
              <w:fldChar w:fldCharType="begin"/>
            </w:r>
            <w:r w:rsidR="009C5270" w:rsidRPr="009C5270">
              <w:rPr>
                <w:rFonts w:asciiTheme="majorBidi" w:hAnsiTheme="majorBidi" w:cstheme="majorBidi"/>
                <w:noProof/>
                <w:webHidden/>
              </w:rPr>
              <w:instrText xml:space="preserve"> PAGEREF _Toc45551138 \h </w:instrText>
            </w:r>
            <w:r w:rsidRPr="009C5270">
              <w:rPr>
                <w:rFonts w:asciiTheme="majorBidi" w:hAnsiTheme="majorBidi" w:cstheme="majorBidi"/>
                <w:noProof/>
                <w:webHidden/>
              </w:rPr>
            </w:r>
            <w:r w:rsidRPr="009C5270">
              <w:rPr>
                <w:rFonts w:asciiTheme="majorBidi" w:hAnsiTheme="majorBidi" w:cstheme="majorBidi"/>
                <w:noProof/>
                <w:webHidden/>
              </w:rPr>
              <w:fldChar w:fldCharType="separate"/>
            </w:r>
            <w:r w:rsidR="006C5E58">
              <w:rPr>
                <w:rFonts w:asciiTheme="majorBidi" w:hAnsiTheme="majorBidi" w:cstheme="majorBidi"/>
                <w:noProof/>
                <w:webHidden/>
              </w:rPr>
              <w:t>12</w:t>
            </w:r>
            <w:r w:rsidRPr="009C5270">
              <w:rPr>
                <w:rFonts w:asciiTheme="majorBidi" w:hAnsiTheme="majorBidi" w:cstheme="majorBidi"/>
                <w:noProof/>
                <w:webHidden/>
              </w:rPr>
              <w:fldChar w:fldCharType="end"/>
            </w:r>
          </w:hyperlink>
        </w:p>
        <w:p w:rsidR="009C5270" w:rsidRPr="009C5270" w:rsidRDefault="00DE78CE">
          <w:pPr>
            <w:pStyle w:val="TM2"/>
            <w:tabs>
              <w:tab w:val="right" w:leader="dot" w:pos="9204"/>
            </w:tabs>
            <w:rPr>
              <w:rFonts w:asciiTheme="majorBidi" w:eastAsiaTheme="minorEastAsia" w:hAnsiTheme="majorBidi" w:cstheme="majorBidi"/>
              <w:noProof/>
              <w:lang w:eastAsia="fr-FR"/>
            </w:rPr>
          </w:pPr>
          <w:hyperlink w:anchor="_Toc45551139" w:history="1">
            <w:r w:rsidR="009C5270" w:rsidRPr="009C5270">
              <w:rPr>
                <w:rStyle w:val="Lienhypertexte"/>
                <w:rFonts w:asciiTheme="majorBidi" w:hAnsiTheme="majorBidi" w:cstheme="majorBidi"/>
                <w:noProof/>
              </w:rPr>
              <w:t>II-2 Couverture de l’IPC</w:t>
            </w:r>
            <w:r w:rsidR="009C5270" w:rsidRPr="009C5270">
              <w:rPr>
                <w:rFonts w:asciiTheme="majorBidi" w:hAnsiTheme="majorBidi" w:cstheme="majorBidi"/>
                <w:noProof/>
                <w:webHidden/>
              </w:rPr>
              <w:tab/>
            </w:r>
            <w:r w:rsidRPr="009C5270">
              <w:rPr>
                <w:rFonts w:asciiTheme="majorBidi" w:hAnsiTheme="majorBidi" w:cstheme="majorBidi"/>
                <w:noProof/>
                <w:webHidden/>
              </w:rPr>
              <w:fldChar w:fldCharType="begin"/>
            </w:r>
            <w:r w:rsidR="009C5270" w:rsidRPr="009C5270">
              <w:rPr>
                <w:rFonts w:asciiTheme="majorBidi" w:hAnsiTheme="majorBidi" w:cstheme="majorBidi"/>
                <w:noProof/>
                <w:webHidden/>
              </w:rPr>
              <w:instrText xml:space="preserve"> PAGEREF _Toc45551139 \h </w:instrText>
            </w:r>
            <w:r w:rsidRPr="009C5270">
              <w:rPr>
                <w:rFonts w:asciiTheme="majorBidi" w:hAnsiTheme="majorBidi" w:cstheme="majorBidi"/>
                <w:noProof/>
                <w:webHidden/>
              </w:rPr>
            </w:r>
            <w:r w:rsidRPr="009C5270">
              <w:rPr>
                <w:rFonts w:asciiTheme="majorBidi" w:hAnsiTheme="majorBidi" w:cstheme="majorBidi"/>
                <w:noProof/>
                <w:webHidden/>
              </w:rPr>
              <w:fldChar w:fldCharType="separate"/>
            </w:r>
            <w:r w:rsidR="006C5E58">
              <w:rPr>
                <w:rFonts w:asciiTheme="majorBidi" w:hAnsiTheme="majorBidi" w:cstheme="majorBidi"/>
                <w:noProof/>
                <w:webHidden/>
              </w:rPr>
              <w:t>12</w:t>
            </w:r>
            <w:r w:rsidRPr="009C5270">
              <w:rPr>
                <w:rFonts w:asciiTheme="majorBidi" w:hAnsiTheme="majorBidi" w:cstheme="majorBidi"/>
                <w:noProof/>
                <w:webHidden/>
              </w:rPr>
              <w:fldChar w:fldCharType="end"/>
            </w:r>
          </w:hyperlink>
        </w:p>
        <w:p w:rsidR="009C5270" w:rsidRPr="009C5270" w:rsidRDefault="00DE78CE">
          <w:pPr>
            <w:pStyle w:val="TM2"/>
            <w:tabs>
              <w:tab w:val="right" w:leader="dot" w:pos="9204"/>
            </w:tabs>
            <w:rPr>
              <w:rFonts w:asciiTheme="majorBidi" w:eastAsiaTheme="minorEastAsia" w:hAnsiTheme="majorBidi" w:cstheme="majorBidi"/>
              <w:noProof/>
              <w:lang w:eastAsia="fr-FR"/>
            </w:rPr>
          </w:pPr>
          <w:hyperlink w:anchor="_Toc45551140" w:history="1">
            <w:r w:rsidR="009C5270" w:rsidRPr="009C5270">
              <w:rPr>
                <w:rStyle w:val="Lienhypertexte"/>
                <w:rFonts w:asciiTheme="majorBidi" w:hAnsiTheme="majorBidi" w:cstheme="majorBidi"/>
                <w:noProof/>
              </w:rPr>
              <w:t>II-3 Panier de l’indice</w:t>
            </w:r>
            <w:r w:rsidR="009C5270" w:rsidRPr="009C5270">
              <w:rPr>
                <w:rFonts w:asciiTheme="majorBidi" w:hAnsiTheme="majorBidi" w:cstheme="majorBidi"/>
                <w:noProof/>
                <w:webHidden/>
              </w:rPr>
              <w:tab/>
            </w:r>
            <w:r w:rsidRPr="009C5270">
              <w:rPr>
                <w:rFonts w:asciiTheme="majorBidi" w:hAnsiTheme="majorBidi" w:cstheme="majorBidi"/>
                <w:noProof/>
                <w:webHidden/>
              </w:rPr>
              <w:fldChar w:fldCharType="begin"/>
            </w:r>
            <w:r w:rsidR="009C5270" w:rsidRPr="009C5270">
              <w:rPr>
                <w:rFonts w:asciiTheme="majorBidi" w:hAnsiTheme="majorBidi" w:cstheme="majorBidi"/>
                <w:noProof/>
                <w:webHidden/>
              </w:rPr>
              <w:instrText xml:space="preserve"> PAGEREF _Toc45551140 \h </w:instrText>
            </w:r>
            <w:r w:rsidRPr="009C5270">
              <w:rPr>
                <w:rFonts w:asciiTheme="majorBidi" w:hAnsiTheme="majorBidi" w:cstheme="majorBidi"/>
                <w:noProof/>
                <w:webHidden/>
              </w:rPr>
            </w:r>
            <w:r w:rsidRPr="009C5270">
              <w:rPr>
                <w:rFonts w:asciiTheme="majorBidi" w:hAnsiTheme="majorBidi" w:cstheme="majorBidi"/>
                <w:noProof/>
                <w:webHidden/>
              </w:rPr>
              <w:fldChar w:fldCharType="separate"/>
            </w:r>
            <w:r w:rsidR="006C5E58">
              <w:rPr>
                <w:rFonts w:asciiTheme="majorBidi" w:hAnsiTheme="majorBidi" w:cstheme="majorBidi"/>
                <w:noProof/>
                <w:webHidden/>
              </w:rPr>
              <w:t>12</w:t>
            </w:r>
            <w:r w:rsidRPr="009C5270">
              <w:rPr>
                <w:rFonts w:asciiTheme="majorBidi" w:hAnsiTheme="majorBidi" w:cstheme="majorBidi"/>
                <w:noProof/>
                <w:webHidden/>
              </w:rPr>
              <w:fldChar w:fldCharType="end"/>
            </w:r>
          </w:hyperlink>
        </w:p>
        <w:p w:rsidR="009C5270" w:rsidRPr="009C5270" w:rsidRDefault="00DE78CE">
          <w:pPr>
            <w:pStyle w:val="TM2"/>
            <w:tabs>
              <w:tab w:val="right" w:leader="dot" w:pos="9204"/>
            </w:tabs>
            <w:rPr>
              <w:rFonts w:asciiTheme="majorBidi" w:eastAsiaTheme="minorEastAsia" w:hAnsiTheme="majorBidi" w:cstheme="majorBidi"/>
              <w:noProof/>
              <w:lang w:eastAsia="fr-FR"/>
            </w:rPr>
          </w:pPr>
          <w:hyperlink w:anchor="_Toc45551141" w:history="1">
            <w:r w:rsidR="009C5270" w:rsidRPr="009C5270">
              <w:rPr>
                <w:rStyle w:val="Lienhypertexte"/>
                <w:rFonts w:asciiTheme="majorBidi" w:hAnsiTheme="majorBidi" w:cstheme="majorBidi"/>
                <w:noProof/>
                <w:lang w:val="en-US"/>
              </w:rPr>
              <w:t xml:space="preserve">II-4 </w:t>
            </w:r>
            <w:r w:rsidR="009C5270" w:rsidRPr="009C5270">
              <w:rPr>
                <w:rStyle w:val="Lienhypertexte"/>
                <w:rFonts w:asciiTheme="majorBidi" w:hAnsiTheme="majorBidi" w:cstheme="majorBidi"/>
                <w:noProof/>
              </w:rPr>
              <w:t>Pondérations</w:t>
            </w:r>
            <w:r w:rsidR="009C5270" w:rsidRPr="009C5270">
              <w:rPr>
                <w:rFonts w:asciiTheme="majorBidi" w:hAnsiTheme="majorBidi" w:cstheme="majorBidi"/>
                <w:noProof/>
                <w:webHidden/>
              </w:rPr>
              <w:tab/>
            </w:r>
            <w:r w:rsidRPr="009C5270">
              <w:rPr>
                <w:rFonts w:asciiTheme="majorBidi" w:hAnsiTheme="majorBidi" w:cstheme="majorBidi"/>
                <w:noProof/>
                <w:webHidden/>
              </w:rPr>
              <w:fldChar w:fldCharType="begin"/>
            </w:r>
            <w:r w:rsidR="009C5270" w:rsidRPr="009C5270">
              <w:rPr>
                <w:rFonts w:asciiTheme="majorBidi" w:hAnsiTheme="majorBidi" w:cstheme="majorBidi"/>
                <w:noProof/>
                <w:webHidden/>
              </w:rPr>
              <w:instrText xml:space="preserve"> PAGEREF _Toc45551141 \h </w:instrText>
            </w:r>
            <w:r w:rsidRPr="009C5270">
              <w:rPr>
                <w:rFonts w:asciiTheme="majorBidi" w:hAnsiTheme="majorBidi" w:cstheme="majorBidi"/>
                <w:noProof/>
                <w:webHidden/>
              </w:rPr>
            </w:r>
            <w:r w:rsidRPr="009C5270">
              <w:rPr>
                <w:rFonts w:asciiTheme="majorBidi" w:hAnsiTheme="majorBidi" w:cstheme="majorBidi"/>
                <w:noProof/>
                <w:webHidden/>
              </w:rPr>
              <w:fldChar w:fldCharType="separate"/>
            </w:r>
            <w:r w:rsidR="006C5E58">
              <w:rPr>
                <w:rFonts w:asciiTheme="majorBidi" w:hAnsiTheme="majorBidi" w:cstheme="majorBidi"/>
                <w:noProof/>
                <w:webHidden/>
              </w:rPr>
              <w:t>13</w:t>
            </w:r>
            <w:r w:rsidRPr="009C5270">
              <w:rPr>
                <w:rFonts w:asciiTheme="majorBidi" w:hAnsiTheme="majorBidi" w:cstheme="majorBidi"/>
                <w:noProof/>
                <w:webHidden/>
              </w:rPr>
              <w:fldChar w:fldCharType="end"/>
            </w:r>
          </w:hyperlink>
        </w:p>
        <w:p w:rsidR="009C5270" w:rsidRPr="009C5270" w:rsidRDefault="00DE78CE">
          <w:pPr>
            <w:pStyle w:val="TM2"/>
            <w:tabs>
              <w:tab w:val="right" w:leader="dot" w:pos="9204"/>
            </w:tabs>
            <w:rPr>
              <w:rFonts w:asciiTheme="majorBidi" w:eastAsiaTheme="minorEastAsia" w:hAnsiTheme="majorBidi" w:cstheme="majorBidi"/>
              <w:noProof/>
              <w:lang w:eastAsia="fr-FR"/>
            </w:rPr>
          </w:pPr>
          <w:hyperlink w:anchor="_Toc45551142" w:history="1">
            <w:r w:rsidR="009C5270" w:rsidRPr="009C5270">
              <w:rPr>
                <w:rStyle w:val="Lienhypertexte"/>
                <w:rFonts w:asciiTheme="majorBidi" w:hAnsiTheme="majorBidi" w:cstheme="majorBidi"/>
                <w:noProof/>
              </w:rPr>
              <w:t>II-5 Collecte des prix</w:t>
            </w:r>
            <w:r w:rsidR="009C5270" w:rsidRPr="009C5270">
              <w:rPr>
                <w:rFonts w:asciiTheme="majorBidi" w:hAnsiTheme="majorBidi" w:cstheme="majorBidi"/>
                <w:noProof/>
                <w:webHidden/>
              </w:rPr>
              <w:tab/>
            </w:r>
            <w:r w:rsidRPr="009C5270">
              <w:rPr>
                <w:rFonts w:asciiTheme="majorBidi" w:hAnsiTheme="majorBidi" w:cstheme="majorBidi"/>
                <w:noProof/>
                <w:webHidden/>
              </w:rPr>
              <w:fldChar w:fldCharType="begin"/>
            </w:r>
            <w:r w:rsidR="009C5270" w:rsidRPr="009C5270">
              <w:rPr>
                <w:rFonts w:asciiTheme="majorBidi" w:hAnsiTheme="majorBidi" w:cstheme="majorBidi"/>
                <w:noProof/>
                <w:webHidden/>
              </w:rPr>
              <w:instrText xml:space="preserve"> PAGEREF _Toc45551142 \h </w:instrText>
            </w:r>
            <w:r w:rsidRPr="009C5270">
              <w:rPr>
                <w:rFonts w:asciiTheme="majorBidi" w:hAnsiTheme="majorBidi" w:cstheme="majorBidi"/>
                <w:noProof/>
                <w:webHidden/>
              </w:rPr>
            </w:r>
            <w:r w:rsidRPr="009C5270">
              <w:rPr>
                <w:rFonts w:asciiTheme="majorBidi" w:hAnsiTheme="majorBidi" w:cstheme="majorBidi"/>
                <w:noProof/>
                <w:webHidden/>
              </w:rPr>
              <w:fldChar w:fldCharType="separate"/>
            </w:r>
            <w:r w:rsidR="006C5E58">
              <w:rPr>
                <w:rFonts w:asciiTheme="majorBidi" w:hAnsiTheme="majorBidi" w:cstheme="majorBidi"/>
                <w:noProof/>
                <w:webHidden/>
              </w:rPr>
              <w:t>14</w:t>
            </w:r>
            <w:r w:rsidRPr="009C5270">
              <w:rPr>
                <w:rFonts w:asciiTheme="majorBidi" w:hAnsiTheme="majorBidi" w:cstheme="majorBidi"/>
                <w:noProof/>
                <w:webHidden/>
              </w:rPr>
              <w:fldChar w:fldCharType="end"/>
            </w:r>
          </w:hyperlink>
        </w:p>
        <w:p w:rsidR="009C5270" w:rsidRPr="009C5270" w:rsidRDefault="00DE78CE">
          <w:pPr>
            <w:pStyle w:val="TM3"/>
            <w:tabs>
              <w:tab w:val="right" w:leader="dot" w:pos="9204"/>
            </w:tabs>
            <w:rPr>
              <w:rFonts w:asciiTheme="majorBidi" w:eastAsiaTheme="minorEastAsia" w:hAnsiTheme="majorBidi" w:cstheme="majorBidi"/>
              <w:noProof/>
              <w:lang w:eastAsia="fr-FR"/>
            </w:rPr>
          </w:pPr>
          <w:hyperlink w:anchor="_Toc45551143" w:history="1">
            <w:r w:rsidR="009C5270" w:rsidRPr="009C5270">
              <w:rPr>
                <w:rStyle w:val="Lienhypertexte"/>
                <w:rFonts w:asciiTheme="majorBidi" w:hAnsiTheme="majorBidi" w:cstheme="majorBidi"/>
                <w:noProof/>
              </w:rPr>
              <w:t>II-5-3 Périodicité de l’enquête</w:t>
            </w:r>
            <w:r w:rsidR="009C5270" w:rsidRPr="009C5270">
              <w:rPr>
                <w:rFonts w:asciiTheme="majorBidi" w:hAnsiTheme="majorBidi" w:cstheme="majorBidi"/>
                <w:noProof/>
                <w:webHidden/>
              </w:rPr>
              <w:tab/>
            </w:r>
            <w:r w:rsidRPr="009C5270">
              <w:rPr>
                <w:rFonts w:asciiTheme="majorBidi" w:hAnsiTheme="majorBidi" w:cstheme="majorBidi"/>
                <w:noProof/>
                <w:webHidden/>
              </w:rPr>
              <w:fldChar w:fldCharType="begin"/>
            </w:r>
            <w:r w:rsidR="009C5270" w:rsidRPr="009C5270">
              <w:rPr>
                <w:rFonts w:asciiTheme="majorBidi" w:hAnsiTheme="majorBidi" w:cstheme="majorBidi"/>
                <w:noProof/>
                <w:webHidden/>
              </w:rPr>
              <w:instrText xml:space="preserve"> PAGEREF _Toc45551143 \h </w:instrText>
            </w:r>
            <w:r w:rsidRPr="009C5270">
              <w:rPr>
                <w:rFonts w:asciiTheme="majorBidi" w:hAnsiTheme="majorBidi" w:cstheme="majorBidi"/>
                <w:noProof/>
                <w:webHidden/>
              </w:rPr>
            </w:r>
            <w:r w:rsidRPr="009C5270">
              <w:rPr>
                <w:rFonts w:asciiTheme="majorBidi" w:hAnsiTheme="majorBidi" w:cstheme="majorBidi"/>
                <w:noProof/>
                <w:webHidden/>
              </w:rPr>
              <w:fldChar w:fldCharType="separate"/>
            </w:r>
            <w:r w:rsidR="006C5E58">
              <w:rPr>
                <w:rFonts w:asciiTheme="majorBidi" w:hAnsiTheme="majorBidi" w:cstheme="majorBidi"/>
                <w:noProof/>
                <w:webHidden/>
              </w:rPr>
              <w:t>15</w:t>
            </w:r>
            <w:r w:rsidRPr="009C5270">
              <w:rPr>
                <w:rFonts w:asciiTheme="majorBidi" w:hAnsiTheme="majorBidi" w:cstheme="majorBidi"/>
                <w:noProof/>
                <w:webHidden/>
              </w:rPr>
              <w:fldChar w:fldCharType="end"/>
            </w:r>
          </w:hyperlink>
        </w:p>
        <w:p w:rsidR="009C5270" w:rsidRPr="009C5270" w:rsidRDefault="00DE78CE">
          <w:pPr>
            <w:pStyle w:val="TM3"/>
            <w:tabs>
              <w:tab w:val="right" w:leader="dot" w:pos="9204"/>
            </w:tabs>
            <w:rPr>
              <w:rFonts w:asciiTheme="majorBidi" w:eastAsiaTheme="minorEastAsia" w:hAnsiTheme="majorBidi" w:cstheme="majorBidi"/>
              <w:noProof/>
              <w:lang w:eastAsia="fr-FR"/>
            </w:rPr>
          </w:pPr>
          <w:hyperlink w:anchor="_Toc45551144" w:history="1">
            <w:r w:rsidR="009C5270" w:rsidRPr="009C5270">
              <w:rPr>
                <w:rStyle w:val="Lienhypertexte"/>
                <w:rFonts w:asciiTheme="majorBidi" w:hAnsiTheme="majorBidi" w:cstheme="majorBidi"/>
                <w:noProof/>
              </w:rPr>
              <w:t>II-5-4 Questionnaires de l’enquête</w:t>
            </w:r>
            <w:r w:rsidR="009C5270" w:rsidRPr="009C5270">
              <w:rPr>
                <w:rFonts w:asciiTheme="majorBidi" w:hAnsiTheme="majorBidi" w:cstheme="majorBidi"/>
                <w:noProof/>
                <w:webHidden/>
              </w:rPr>
              <w:tab/>
            </w:r>
            <w:r w:rsidRPr="009C5270">
              <w:rPr>
                <w:rFonts w:asciiTheme="majorBidi" w:hAnsiTheme="majorBidi" w:cstheme="majorBidi"/>
                <w:noProof/>
                <w:webHidden/>
              </w:rPr>
              <w:fldChar w:fldCharType="begin"/>
            </w:r>
            <w:r w:rsidR="009C5270" w:rsidRPr="009C5270">
              <w:rPr>
                <w:rFonts w:asciiTheme="majorBidi" w:hAnsiTheme="majorBidi" w:cstheme="majorBidi"/>
                <w:noProof/>
                <w:webHidden/>
              </w:rPr>
              <w:instrText xml:space="preserve"> PAGEREF _Toc45551144 \h </w:instrText>
            </w:r>
            <w:r w:rsidRPr="009C5270">
              <w:rPr>
                <w:rFonts w:asciiTheme="majorBidi" w:hAnsiTheme="majorBidi" w:cstheme="majorBidi"/>
                <w:noProof/>
                <w:webHidden/>
              </w:rPr>
            </w:r>
            <w:r w:rsidRPr="009C5270">
              <w:rPr>
                <w:rFonts w:asciiTheme="majorBidi" w:hAnsiTheme="majorBidi" w:cstheme="majorBidi"/>
                <w:noProof/>
                <w:webHidden/>
              </w:rPr>
              <w:fldChar w:fldCharType="separate"/>
            </w:r>
            <w:r w:rsidR="006C5E58">
              <w:rPr>
                <w:rFonts w:asciiTheme="majorBidi" w:hAnsiTheme="majorBidi" w:cstheme="majorBidi"/>
                <w:noProof/>
                <w:webHidden/>
              </w:rPr>
              <w:t>16</w:t>
            </w:r>
            <w:r w:rsidRPr="009C5270">
              <w:rPr>
                <w:rFonts w:asciiTheme="majorBidi" w:hAnsiTheme="majorBidi" w:cstheme="majorBidi"/>
                <w:noProof/>
                <w:webHidden/>
              </w:rPr>
              <w:fldChar w:fldCharType="end"/>
            </w:r>
          </w:hyperlink>
        </w:p>
        <w:p w:rsidR="009C5270" w:rsidRPr="009C5270" w:rsidRDefault="00DE78CE">
          <w:pPr>
            <w:pStyle w:val="TM3"/>
            <w:tabs>
              <w:tab w:val="right" w:leader="dot" w:pos="9204"/>
            </w:tabs>
            <w:rPr>
              <w:rFonts w:asciiTheme="majorBidi" w:eastAsiaTheme="minorEastAsia" w:hAnsiTheme="majorBidi" w:cstheme="majorBidi"/>
              <w:noProof/>
              <w:lang w:eastAsia="fr-FR"/>
            </w:rPr>
          </w:pPr>
          <w:hyperlink w:anchor="_Toc45551145" w:history="1">
            <w:r w:rsidR="009C5270" w:rsidRPr="009C5270">
              <w:rPr>
                <w:rStyle w:val="Lienhypertexte"/>
                <w:rFonts w:asciiTheme="majorBidi" w:hAnsiTheme="majorBidi" w:cstheme="majorBidi"/>
                <w:noProof/>
              </w:rPr>
              <w:t>II-5-5 Problèmes et difficultés d’observation des prix</w:t>
            </w:r>
            <w:r w:rsidR="009C5270" w:rsidRPr="009C5270">
              <w:rPr>
                <w:rFonts w:asciiTheme="majorBidi" w:hAnsiTheme="majorBidi" w:cstheme="majorBidi"/>
                <w:noProof/>
                <w:webHidden/>
              </w:rPr>
              <w:tab/>
            </w:r>
            <w:r w:rsidRPr="009C5270">
              <w:rPr>
                <w:rFonts w:asciiTheme="majorBidi" w:hAnsiTheme="majorBidi" w:cstheme="majorBidi"/>
                <w:noProof/>
                <w:webHidden/>
              </w:rPr>
              <w:fldChar w:fldCharType="begin"/>
            </w:r>
            <w:r w:rsidR="009C5270" w:rsidRPr="009C5270">
              <w:rPr>
                <w:rFonts w:asciiTheme="majorBidi" w:hAnsiTheme="majorBidi" w:cstheme="majorBidi"/>
                <w:noProof/>
                <w:webHidden/>
              </w:rPr>
              <w:instrText xml:space="preserve"> PAGEREF _Toc45551145 \h </w:instrText>
            </w:r>
            <w:r w:rsidRPr="009C5270">
              <w:rPr>
                <w:rFonts w:asciiTheme="majorBidi" w:hAnsiTheme="majorBidi" w:cstheme="majorBidi"/>
                <w:noProof/>
                <w:webHidden/>
              </w:rPr>
            </w:r>
            <w:r w:rsidRPr="009C5270">
              <w:rPr>
                <w:rFonts w:asciiTheme="majorBidi" w:hAnsiTheme="majorBidi" w:cstheme="majorBidi"/>
                <w:noProof/>
                <w:webHidden/>
              </w:rPr>
              <w:fldChar w:fldCharType="separate"/>
            </w:r>
            <w:r w:rsidR="006C5E58">
              <w:rPr>
                <w:rFonts w:asciiTheme="majorBidi" w:hAnsiTheme="majorBidi" w:cstheme="majorBidi"/>
                <w:noProof/>
                <w:webHidden/>
              </w:rPr>
              <w:t>16</w:t>
            </w:r>
            <w:r w:rsidRPr="009C5270">
              <w:rPr>
                <w:rFonts w:asciiTheme="majorBidi" w:hAnsiTheme="majorBidi" w:cstheme="majorBidi"/>
                <w:noProof/>
                <w:webHidden/>
              </w:rPr>
              <w:fldChar w:fldCharType="end"/>
            </w:r>
          </w:hyperlink>
        </w:p>
        <w:p w:rsidR="009C5270" w:rsidRPr="009C5270" w:rsidRDefault="00DE78CE">
          <w:pPr>
            <w:pStyle w:val="TM1"/>
            <w:tabs>
              <w:tab w:val="right" w:leader="dot" w:pos="9204"/>
            </w:tabs>
            <w:rPr>
              <w:rFonts w:asciiTheme="majorBidi" w:eastAsiaTheme="minorEastAsia" w:hAnsiTheme="majorBidi" w:cstheme="majorBidi"/>
              <w:noProof/>
              <w:lang w:eastAsia="fr-FR"/>
            </w:rPr>
          </w:pPr>
          <w:hyperlink w:anchor="_Toc45551146" w:history="1">
            <w:r w:rsidR="009C5270" w:rsidRPr="009C5270">
              <w:rPr>
                <w:rStyle w:val="Lienhypertexte"/>
                <w:rFonts w:asciiTheme="majorBidi" w:hAnsiTheme="majorBidi" w:cstheme="majorBidi"/>
                <w:noProof/>
              </w:rPr>
              <w:t>III- IPC (Base100 :2006)  de la ville de Kenitra : évolution entre 2007 et 2019</w:t>
            </w:r>
            <w:r w:rsidR="009C5270" w:rsidRPr="009C5270">
              <w:rPr>
                <w:rFonts w:asciiTheme="majorBidi" w:hAnsiTheme="majorBidi" w:cstheme="majorBidi"/>
                <w:noProof/>
                <w:webHidden/>
              </w:rPr>
              <w:tab/>
            </w:r>
            <w:r w:rsidRPr="009C5270">
              <w:rPr>
                <w:rFonts w:asciiTheme="majorBidi" w:hAnsiTheme="majorBidi" w:cstheme="majorBidi"/>
                <w:noProof/>
                <w:webHidden/>
              </w:rPr>
              <w:fldChar w:fldCharType="begin"/>
            </w:r>
            <w:r w:rsidR="009C5270" w:rsidRPr="009C5270">
              <w:rPr>
                <w:rFonts w:asciiTheme="majorBidi" w:hAnsiTheme="majorBidi" w:cstheme="majorBidi"/>
                <w:noProof/>
                <w:webHidden/>
              </w:rPr>
              <w:instrText xml:space="preserve"> PAGEREF _Toc45551146 \h </w:instrText>
            </w:r>
            <w:r w:rsidRPr="009C5270">
              <w:rPr>
                <w:rFonts w:asciiTheme="majorBidi" w:hAnsiTheme="majorBidi" w:cstheme="majorBidi"/>
                <w:noProof/>
                <w:webHidden/>
              </w:rPr>
            </w:r>
            <w:r w:rsidRPr="009C5270">
              <w:rPr>
                <w:rFonts w:asciiTheme="majorBidi" w:hAnsiTheme="majorBidi" w:cstheme="majorBidi"/>
                <w:noProof/>
                <w:webHidden/>
              </w:rPr>
              <w:fldChar w:fldCharType="separate"/>
            </w:r>
            <w:r w:rsidR="006C5E58">
              <w:rPr>
                <w:rFonts w:asciiTheme="majorBidi" w:hAnsiTheme="majorBidi" w:cstheme="majorBidi"/>
                <w:noProof/>
                <w:webHidden/>
              </w:rPr>
              <w:t>18</w:t>
            </w:r>
            <w:r w:rsidRPr="009C5270">
              <w:rPr>
                <w:rFonts w:asciiTheme="majorBidi" w:hAnsiTheme="majorBidi" w:cstheme="majorBidi"/>
                <w:noProof/>
                <w:webHidden/>
              </w:rPr>
              <w:fldChar w:fldCharType="end"/>
            </w:r>
          </w:hyperlink>
        </w:p>
        <w:p w:rsidR="009C5270" w:rsidRPr="009C5270" w:rsidRDefault="00DE78CE">
          <w:pPr>
            <w:pStyle w:val="TM2"/>
            <w:tabs>
              <w:tab w:val="right" w:leader="dot" w:pos="9204"/>
            </w:tabs>
            <w:rPr>
              <w:rFonts w:asciiTheme="majorBidi" w:eastAsiaTheme="minorEastAsia" w:hAnsiTheme="majorBidi" w:cstheme="majorBidi"/>
              <w:noProof/>
              <w:lang w:eastAsia="fr-FR"/>
            </w:rPr>
          </w:pPr>
          <w:hyperlink w:anchor="_Toc45551147" w:history="1">
            <w:r w:rsidR="009C5270" w:rsidRPr="009C5270">
              <w:rPr>
                <w:rStyle w:val="Lienhypertexte"/>
                <w:rFonts w:asciiTheme="majorBidi" w:hAnsiTheme="majorBidi" w:cstheme="majorBidi"/>
                <w:noProof/>
              </w:rPr>
              <w:t>III-1 IPC général par ville en 2018 et 2019</w:t>
            </w:r>
            <w:r w:rsidR="009C5270" w:rsidRPr="009C5270">
              <w:rPr>
                <w:rFonts w:asciiTheme="majorBidi" w:hAnsiTheme="majorBidi" w:cstheme="majorBidi"/>
                <w:noProof/>
                <w:webHidden/>
              </w:rPr>
              <w:tab/>
            </w:r>
            <w:r w:rsidRPr="009C5270">
              <w:rPr>
                <w:rFonts w:asciiTheme="majorBidi" w:hAnsiTheme="majorBidi" w:cstheme="majorBidi"/>
                <w:noProof/>
                <w:webHidden/>
              </w:rPr>
              <w:fldChar w:fldCharType="begin"/>
            </w:r>
            <w:r w:rsidR="009C5270" w:rsidRPr="009C5270">
              <w:rPr>
                <w:rFonts w:asciiTheme="majorBidi" w:hAnsiTheme="majorBidi" w:cstheme="majorBidi"/>
                <w:noProof/>
                <w:webHidden/>
              </w:rPr>
              <w:instrText xml:space="preserve"> PAGEREF _Toc45551147 \h </w:instrText>
            </w:r>
            <w:r w:rsidRPr="009C5270">
              <w:rPr>
                <w:rFonts w:asciiTheme="majorBidi" w:hAnsiTheme="majorBidi" w:cstheme="majorBidi"/>
                <w:noProof/>
                <w:webHidden/>
              </w:rPr>
            </w:r>
            <w:r w:rsidRPr="009C5270">
              <w:rPr>
                <w:rFonts w:asciiTheme="majorBidi" w:hAnsiTheme="majorBidi" w:cstheme="majorBidi"/>
                <w:noProof/>
                <w:webHidden/>
              </w:rPr>
              <w:fldChar w:fldCharType="separate"/>
            </w:r>
            <w:r w:rsidR="006C5E58">
              <w:rPr>
                <w:rFonts w:asciiTheme="majorBidi" w:hAnsiTheme="majorBidi" w:cstheme="majorBidi"/>
                <w:noProof/>
                <w:webHidden/>
              </w:rPr>
              <w:t>18</w:t>
            </w:r>
            <w:r w:rsidRPr="009C5270">
              <w:rPr>
                <w:rFonts w:asciiTheme="majorBidi" w:hAnsiTheme="majorBidi" w:cstheme="majorBidi"/>
                <w:noProof/>
                <w:webHidden/>
              </w:rPr>
              <w:fldChar w:fldCharType="end"/>
            </w:r>
          </w:hyperlink>
        </w:p>
        <w:p w:rsidR="009C5270" w:rsidRPr="009C5270" w:rsidRDefault="00DE78CE">
          <w:pPr>
            <w:pStyle w:val="TM2"/>
            <w:tabs>
              <w:tab w:val="right" w:leader="dot" w:pos="9204"/>
            </w:tabs>
            <w:rPr>
              <w:rFonts w:asciiTheme="majorBidi" w:eastAsiaTheme="minorEastAsia" w:hAnsiTheme="majorBidi" w:cstheme="majorBidi"/>
              <w:noProof/>
              <w:lang w:eastAsia="fr-FR"/>
            </w:rPr>
          </w:pPr>
          <w:hyperlink w:anchor="_Toc45551148" w:history="1">
            <w:r w:rsidR="009C5270" w:rsidRPr="009C5270">
              <w:rPr>
                <w:rStyle w:val="Lienhypertexte"/>
                <w:rFonts w:asciiTheme="majorBidi" w:hAnsiTheme="majorBidi" w:cstheme="majorBidi"/>
                <w:noProof/>
              </w:rPr>
              <w:t>III-2 Evolution mensuelle de l’IPC (base100 :2006) en 2019</w:t>
            </w:r>
            <w:r w:rsidR="009C5270" w:rsidRPr="009C5270">
              <w:rPr>
                <w:rFonts w:asciiTheme="majorBidi" w:hAnsiTheme="majorBidi" w:cstheme="majorBidi"/>
                <w:noProof/>
                <w:webHidden/>
              </w:rPr>
              <w:tab/>
            </w:r>
            <w:r w:rsidRPr="009C5270">
              <w:rPr>
                <w:rFonts w:asciiTheme="majorBidi" w:hAnsiTheme="majorBidi" w:cstheme="majorBidi"/>
                <w:noProof/>
                <w:webHidden/>
              </w:rPr>
              <w:fldChar w:fldCharType="begin"/>
            </w:r>
            <w:r w:rsidR="009C5270" w:rsidRPr="009C5270">
              <w:rPr>
                <w:rFonts w:asciiTheme="majorBidi" w:hAnsiTheme="majorBidi" w:cstheme="majorBidi"/>
                <w:noProof/>
                <w:webHidden/>
              </w:rPr>
              <w:instrText xml:space="preserve"> PAGEREF _Toc45551148 \h </w:instrText>
            </w:r>
            <w:r w:rsidRPr="009C5270">
              <w:rPr>
                <w:rFonts w:asciiTheme="majorBidi" w:hAnsiTheme="majorBidi" w:cstheme="majorBidi"/>
                <w:noProof/>
                <w:webHidden/>
              </w:rPr>
            </w:r>
            <w:r w:rsidRPr="009C5270">
              <w:rPr>
                <w:rFonts w:asciiTheme="majorBidi" w:hAnsiTheme="majorBidi" w:cstheme="majorBidi"/>
                <w:noProof/>
                <w:webHidden/>
              </w:rPr>
              <w:fldChar w:fldCharType="separate"/>
            </w:r>
            <w:r w:rsidR="006C5E58">
              <w:rPr>
                <w:rFonts w:asciiTheme="majorBidi" w:hAnsiTheme="majorBidi" w:cstheme="majorBidi"/>
                <w:noProof/>
                <w:webHidden/>
              </w:rPr>
              <w:t>20</w:t>
            </w:r>
            <w:r w:rsidRPr="009C5270">
              <w:rPr>
                <w:rFonts w:asciiTheme="majorBidi" w:hAnsiTheme="majorBidi" w:cstheme="majorBidi"/>
                <w:noProof/>
                <w:webHidden/>
              </w:rPr>
              <w:fldChar w:fldCharType="end"/>
            </w:r>
          </w:hyperlink>
        </w:p>
        <w:p w:rsidR="009C5270" w:rsidRPr="009C5270" w:rsidRDefault="00DE78CE">
          <w:pPr>
            <w:pStyle w:val="TM3"/>
            <w:tabs>
              <w:tab w:val="right" w:leader="dot" w:pos="9204"/>
            </w:tabs>
            <w:rPr>
              <w:rFonts w:asciiTheme="majorBidi" w:eastAsiaTheme="minorEastAsia" w:hAnsiTheme="majorBidi" w:cstheme="majorBidi"/>
              <w:noProof/>
              <w:lang w:eastAsia="fr-FR"/>
            </w:rPr>
          </w:pPr>
          <w:hyperlink w:anchor="_Toc45551149" w:history="1">
            <w:r w:rsidR="009C5270" w:rsidRPr="009C5270">
              <w:rPr>
                <w:rStyle w:val="Lienhypertexte"/>
                <w:rFonts w:asciiTheme="majorBidi" w:hAnsiTheme="majorBidi" w:cstheme="majorBidi"/>
                <w:noProof/>
              </w:rPr>
              <w:t>III-2-1 Comparaison entre l’IPC général de Kenitra et celui du Maroc en 2019</w:t>
            </w:r>
            <w:r w:rsidR="009C5270" w:rsidRPr="009C5270">
              <w:rPr>
                <w:rFonts w:asciiTheme="majorBidi" w:hAnsiTheme="majorBidi" w:cstheme="majorBidi"/>
                <w:noProof/>
                <w:webHidden/>
              </w:rPr>
              <w:tab/>
            </w:r>
            <w:r w:rsidRPr="009C5270">
              <w:rPr>
                <w:rFonts w:asciiTheme="majorBidi" w:hAnsiTheme="majorBidi" w:cstheme="majorBidi"/>
                <w:noProof/>
                <w:webHidden/>
              </w:rPr>
              <w:fldChar w:fldCharType="begin"/>
            </w:r>
            <w:r w:rsidR="009C5270" w:rsidRPr="009C5270">
              <w:rPr>
                <w:rFonts w:asciiTheme="majorBidi" w:hAnsiTheme="majorBidi" w:cstheme="majorBidi"/>
                <w:noProof/>
                <w:webHidden/>
              </w:rPr>
              <w:instrText xml:space="preserve"> PAGEREF _Toc45551149 \h </w:instrText>
            </w:r>
            <w:r w:rsidRPr="009C5270">
              <w:rPr>
                <w:rFonts w:asciiTheme="majorBidi" w:hAnsiTheme="majorBidi" w:cstheme="majorBidi"/>
                <w:noProof/>
                <w:webHidden/>
              </w:rPr>
            </w:r>
            <w:r w:rsidRPr="009C5270">
              <w:rPr>
                <w:rFonts w:asciiTheme="majorBidi" w:hAnsiTheme="majorBidi" w:cstheme="majorBidi"/>
                <w:noProof/>
                <w:webHidden/>
              </w:rPr>
              <w:fldChar w:fldCharType="separate"/>
            </w:r>
            <w:r w:rsidR="006C5E58">
              <w:rPr>
                <w:rFonts w:asciiTheme="majorBidi" w:hAnsiTheme="majorBidi" w:cstheme="majorBidi"/>
                <w:noProof/>
                <w:webHidden/>
              </w:rPr>
              <w:t>20</w:t>
            </w:r>
            <w:r w:rsidRPr="009C5270">
              <w:rPr>
                <w:rFonts w:asciiTheme="majorBidi" w:hAnsiTheme="majorBidi" w:cstheme="majorBidi"/>
                <w:noProof/>
                <w:webHidden/>
              </w:rPr>
              <w:fldChar w:fldCharType="end"/>
            </w:r>
          </w:hyperlink>
        </w:p>
        <w:p w:rsidR="009C5270" w:rsidRPr="009C5270" w:rsidRDefault="00DE78CE">
          <w:pPr>
            <w:pStyle w:val="TM3"/>
            <w:tabs>
              <w:tab w:val="right" w:leader="dot" w:pos="9204"/>
            </w:tabs>
            <w:rPr>
              <w:rFonts w:asciiTheme="majorBidi" w:eastAsiaTheme="minorEastAsia" w:hAnsiTheme="majorBidi" w:cstheme="majorBidi"/>
              <w:noProof/>
              <w:lang w:eastAsia="fr-FR"/>
            </w:rPr>
          </w:pPr>
          <w:hyperlink w:anchor="_Toc45551150" w:history="1">
            <w:r w:rsidR="009C5270" w:rsidRPr="009C5270">
              <w:rPr>
                <w:rStyle w:val="Lienhypertexte"/>
                <w:rFonts w:asciiTheme="majorBidi" w:hAnsiTheme="majorBidi" w:cstheme="majorBidi"/>
                <w:noProof/>
              </w:rPr>
              <w:t>III-2-2 Comparaison entre les indices : général, alimentaire et non alimentaire de la ville de Kénitra en 2019</w:t>
            </w:r>
            <w:r w:rsidR="009C5270" w:rsidRPr="009C5270">
              <w:rPr>
                <w:rFonts w:asciiTheme="majorBidi" w:hAnsiTheme="majorBidi" w:cstheme="majorBidi"/>
                <w:noProof/>
                <w:webHidden/>
              </w:rPr>
              <w:tab/>
            </w:r>
            <w:r w:rsidRPr="009C5270">
              <w:rPr>
                <w:rFonts w:asciiTheme="majorBidi" w:hAnsiTheme="majorBidi" w:cstheme="majorBidi"/>
                <w:noProof/>
                <w:webHidden/>
              </w:rPr>
              <w:fldChar w:fldCharType="begin"/>
            </w:r>
            <w:r w:rsidR="009C5270" w:rsidRPr="009C5270">
              <w:rPr>
                <w:rFonts w:asciiTheme="majorBidi" w:hAnsiTheme="majorBidi" w:cstheme="majorBidi"/>
                <w:noProof/>
                <w:webHidden/>
              </w:rPr>
              <w:instrText xml:space="preserve"> PAGEREF _Toc45551150 \h </w:instrText>
            </w:r>
            <w:r w:rsidRPr="009C5270">
              <w:rPr>
                <w:rFonts w:asciiTheme="majorBidi" w:hAnsiTheme="majorBidi" w:cstheme="majorBidi"/>
                <w:noProof/>
                <w:webHidden/>
              </w:rPr>
            </w:r>
            <w:r w:rsidRPr="009C5270">
              <w:rPr>
                <w:rFonts w:asciiTheme="majorBidi" w:hAnsiTheme="majorBidi" w:cstheme="majorBidi"/>
                <w:noProof/>
                <w:webHidden/>
              </w:rPr>
              <w:fldChar w:fldCharType="separate"/>
            </w:r>
            <w:r w:rsidR="006C5E58">
              <w:rPr>
                <w:rFonts w:asciiTheme="majorBidi" w:hAnsiTheme="majorBidi" w:cstheme="majorBidi"/>
                <w:noProof/>
                <w:webHidden/>
              </w:rPr>
              <w:t>21</w:t>
            </w:r>
            <w:r w:rsidRPr="009C5270">
              <w:rPr>
                <w:rFonts w:asciiTheme="majorBidi" w:hAnsiTheme="majorBidi" w:cstheme="majorBidi"/>
                <w:noProof/>
                <w:webHidden/>
              </w:rPr>
              <w:fldChar w:fldCharType="end"/>
            </w:r>
          </w:hyperlink>
        </w:p>
        <w:p w:rsidR="009C5270" w:rsidRPr="009C5270" w:rsidRDefault="00DE78CE">
          <w:pPr>
            <w:pStyle w:val="TM2"/>
            <w:tabs>
              <w:tab w:val="right" w:leader="dot" w:pos="9204"/>
            </w:tabs>
            <w:rPr>
              <w:rFonts w:asciiTheme="majorBidi" w:eastAsiaTheme="minorEastAsia" w:hAnsiTheme="majorBidi" w:cstheme="majorBidi"/>
              <w:noProof/>
              <w:lang w:eastAsia="fr-FR"/>
            </w:rPr>
          </w:pPr>
          <w:hyperlink w:anchor="_Toc45551151" w:history="1">
            <w:r w:rsidR="009C5270" w:rsidRPr="009C5270">
              <w:rPr>
                <w:rStyle w:val="Lienhypertexte"/>
                <w:rFonts w:asciiTheme="majorBidi" w:hAnsiTheme="majorBidi" w:cstheme="majorBidi"/>
                <w:noProof/>
              </w:rPr>
              <w:t>III-3 Evolution de l’IPC par division, groupe et classe entre 2018 et 2019</w:t>
            </w:r>
            <w:r w:rsidR="009C5270" w:rsidRPr="009C5270">
              <w:rPr>
                <w:rFonts w:asciiTheme="majorBidi" w:hAnsiTheme="majorBidi" w:cstheme="majorBidi"/>
                <w:noProof/>
                <w:webHidden/>
              </w:rPr>
              <w:tab/>
            </w:r>
            <w:r w:rsidRPr="009C5270">
              <w:rPr>
                <w:rFonts w:asciiTheme="majorBidi" w:hAnsiTheme="majorBidi" w:cstheme="majorBidi"/>
                <w:noProof/>
                <w:webHidden/>
              </w:rPr>
              <w:fldChar w:fldCharType="begin"/>
            </w:r>
            <w:r w:rsidR="009C5270" w:rsidRPr="009C5270">
              <w:rPr>
                <w:rFonts w:asciiTheme="majorBidi" w:hAnsiTheme="majorBidi" w:cstheme="majorBidi"/>
                <w:noProof/>
                <w:webHidden/>
              </w:rPr>
              <w:instrText xml:space="preserve"> PAGEREF _Toc45551151 \h </w:instrText>
            </w:r>
            <w:r w:rsidRPr="009C5270">
              <w:rPr>
                <w:rFonts w:asciiTheme="majorBidi" w:hAnsiTheme="majorBidi" w:cstheme="majorBidi"/>
                <w:noProof/>
                <w:webHidden/>
              </w:rPr>
            </w:r>
            <w:r w:rsidRPr="009C5270">
              <w:rPr>
                <w:rFonts w:asciiTheme="majorBidi" w:hAnsiTheme="majorBidi" w:cstheme="majorBidi"/>
                <w:noProof/>
                <w:webHidden/>
              </w:rPr>
              <w:fldChar w:fldCharType="separate"/>
            </w:r>
            <w:r w:rsidR="006C5E58">
              <w:rPr>
                <w:rFonts w:asciiTheme="majorBidi" w:hAnsiTheme="majorBidi" w:cstheme="majorBidi"/>
                <w:noProof/>
                <w:webHidden/>
              </w:rPr>
              <w:t>22</w:t>
            </w:r>
            <w:r w:rsidRPr="009C5270">
              <w:rPr>
                <w:rFonts w:asciiTheme="majorBidi" w:hAnsiTheme="majorBidi" w:cstheme="majorBidi"/>
                <w:noProof/>
                <w:webHidden/>
              </w:rPr>
              <w:fldChar w:fldCharType="end"/>
            </w:r>
          </w:hyperlink>
        </w:p>
        <w:p w:rsidR="009C5270" w:rsidRPr="009C5270" w:rsidRDefault="00DE78CE">
          <w:pPr>
            <w:pStyle w:val="TM2"/>
            <w:tabs>
              <w:tab w:val="right" w:leader="dot" w:pos="9204"/>
            </w:tabs>
            <w:rPr>
              <w:rFonts w:asciiTheme="majorBidi" w:eastAsiaTheme="minorEastAsia" w:hAnsiTheme="majorBidi" w:cstheme="majorBidi"/>
              <w:noProof/>
              <w:lang w:eastAsia="fr-FR"/>
            </w:rPr>
          </w:pPr>
          <w:hyperlink w:anchor="_Toc45551152" w:history="1">
            <w:r w:rsidR="009C5270" w:rsidRPr="009C5270">
              <w:rPr>
                <w:rStyle w:val="Lienhypertexte"/>
                <w:rFonts w:asciiTheme="majorBidi" w:hAnsiTheme="majorBidi" w:cstheme="majorBidi"/>
                <w:noProof/>
              </w:rPr>
              <w:t>III-4 Evolution de l’IPC général de la ville de Kenitra entre 2007 et 2019</w:t>
            </w:r>
            <w:r w:rsidR="009C5270" w:rsidRPr="009C5270">
              <w:rPr>
                <w:rFonts w:asciiTheme="majorBidi" w:hAnsiTheme="majorBidi" w:cstheme="majorBidi"/>
                <w:noProof/>
                <w:webHidden/>
              </w:rPr>
              <w:tab/>
            </w:r>
            <w:r w:rsidRPr="009C5270">
              <w:rPr>
                <w:rFonts w:asciiTheme="majorBidi" w:hAnsiTheme="majorBidi" w:cstheme="majorBidi"/>
                <w:noProof/>
                <w:webHidden/>
              </w:rPr>
              <w:fldChar w:fldCharType="begin"/>
            </w:r>
            <w:r w:rsidR="009C5270" w:rsidRPr="009C5270">
              <w:rPr>
                <w:rFonts w:asciiTheme="majorBidi" w:hAnsiTheme="majorBidi" w:cstheme="majorBidi"/>
                <w:noProof/>
                <w:webHidden/>
              </w:rPr>
              <w:instrText xml:space="preserve"> PAGEREF _Toc45551152 \h </w:instrText>
            </w:r>
            <w:r w:rsidRPr="009C5270">
              <w:rPr>
                <w:rFonts w:asciiTheme="majorBidi" w:hAnsiTheme="majorBidi" w:cstheme="majorBidi"/>
                <w:noProof/>
                <w:webHidden/>
              </w:rPr>
            </w:r>
            <w:r w:rsidRPr="009C5270">
              <w:rPr>
                <w:rFonts w:asciiTheme="majorBidi" w:hAnsiTheme="majorBidi" w:cstheme="majorBidi"/>
                <w:noProof/>
                <w:webHidden/>
              </w:rPr>
              <w:fldChar w:fldCharType="separate"/>
            </w:r>
            <w:r w:rsidR="006C5E58">
              <w:rPr>
                <w:rFonts w:asciiTheme="majorBidi" w:hAnsiTheme="majorBidi" w:cstheme="majorBidi"/>
                <w:noProof/>
                <w:webHidden/>
              </w:rPr>
              <w:t>24</w:t>
            </w:r>
            <w:r w:rsidRPr="009C5270">
              <w:rPr>
                <w:rFonts w:asciiTheme="majorBidi" w:hAnsiTheme="majorBidi" w:cstheme="majorBidi"/>
                <w:noProof/>
                <w:webHidden/>
              </w:rPr>
              <w:fldChar w:fldCharType="end"/>
            </w:r>
          </w:hyperlink>
        </w:p>
        <w:p w:rsidR="009C5270" w:rsidRPr="009C5270" w:rsidRDefault="00DE78CE">
          <w:pPr>
            <w:pStyle w:val="TM3"/>
            <w:tabs>
              <w:tab w:val="right" w:leader="dot" w:pos="9204"/>
            </w:tabs>
            <w:rPr>
              <w:rFonts w:asciiTheme="majorBidi" w:eastAsiaTheme="minorEastAsia" w:hAnsiTheme="majorBidi" w:cstheme="majorBidi"/>
              <w:noProof/>
              <w:lang w:eastAsia="fr-FR"/>
            </w:rPr>
          </w:pPr>
          <w:hyperlink w:anchor="_Toc45551153" w:history="1">
            <w:r w:rsidR="009C5270" w:rsidRPr="009C5270">
              <w:rPr>
                <w:rStyle w:val="Lienhypertexte"/>
                <w:rFonts w:asciiTheme="majorBidi" w:hAnsiTheme="majorBidi" w:cstheme="majorBidi"/>
                <w:noProof/>
              </w:rPr>
              <w:t>III-4-1 Evolution mensuelle de l’IPC</w:t>
            </w:r>
            <w:r w:rsidR="009C5270" w:rsidRPr="009C5270">
              <w:rPr>
                <w:rFonts w:asciiTheme="majorBidi" w:hAnsiTheme="majorBidi" w:cstheme="majorBidi"/>
                <w:noProof/>
                <w:webHidden/>
              </w:rPr>
              <w:tab/>
            </w:r>
            <w:r w:rsidRPr="009C5270">
              <w:rPr>
                <w:rFonts w:asciiTheme="majorBidi" w:hAnsiTheme="majorBidi" w:cstheme="majorBidi"/>
                <w:noProof/>
                <w:webHidden/>
              </w:rPr>
              <w:fldChar w:fldCharType="begin"/>
            </w:r>
            <w:r w:rsidR="009C5270" w:rsidRPr="009C5270">
              <w:rPr>
                <w:rFonts w:asciiTheme="majorBidi" w:hAnsiTheme="majorBidi" w:cstheme="majorBidi"/>
                <w:noProof/>
                <w:webHidden/>
              </w:rPr>
              <w:instrText xml:space="preserve"> PAGEREF _Toc45551153 \h </w:instrText>
            </w:r>
            <w:r w:rsidRPr="009C5270">
              <w:rPr>
                <w:rFonts w:asciiTheme="majorBidi" w:hAnsiTheme="majorBidi" w:cstheme="majorBidi"/>
                <w:noProof/>
                <w:webHidden/>
              </w:rPr>
            </w:r>
            <w:r w:rsidRPr="009C5270">
              <w:rPr>
                <w:rFonts w:asciiTheme="majorBidi" w:hAnsiTheme="majorBidi" w:cstheme="majorBidi"/>
                <w:noProof/>
                <w:webHidden/>
              </w:rPr>
              <w:fldChar w:fldCharType="separate"/>
            </w:r>
            <w:r w:rsidR="006C5E58">
              <w:rPr>
                <w:rFonts w:asciiTheme="majorBidi" w:hAnsiTheme="majorBidi" w:cstheme="majorBidi"/>
                <w:noProof/>
                <w:webHidden/>
              </w:rPr>
              <w:t>24</w:t>
            </w:r>
            <w:r w:rsidRPr="009C5270">
              <w:rPr>
                <w:rFonts w:asciiTheme="majorBidi" w:hAnsiTheme="majorBidi" w:cstheme="majorBidi"/>
                <w:noProof/>
                <w:webHidden/>
              </w:rPr>
              <w:fldChar w:fldCharType="end"/>
            </w:r>
          </w:hyperlink>
        </w:p>
        <w:p w:rsidR="009C5270" w:rsidRPr="009C5270" w:rsidRDefault="00DE78CE">
          <w:pPr>
            <w:pStyle w:val="TM3"/>
            <w:tabs>
              <w:tab w:val="right" w:leader="dot" w:pos="9204"/>
            </w:tabs>
            <w:rPr>
              <w:rFonts w:asciiTheme="majorBidi" w:eastAsiaTheme="minorEastAsia" w:hAnsiTheme="majorBidi" w:cstheme="majorBidi"/>
              <w:noProof/>
              <w:lang w:eastAsia="fr-FR"/>
            </w:rPr>
          </w:pPr>
          <w:hyperlink w:anchor="_Toc45551154" w:history="1">
            <w:r w:rsidR="009C5270" w:rsidRPr="009C5270">
              <w:rPr>
                <w:rStyle w:val="Lienhypertexte"/>
                <w:rFonts w:asciiTheme="majorBidi" w:hAnsiTheme="majorBidi" w:cstheme="majorBidi"/>
                <w:noProof/>
              </w:rPr>
              <w:t>III-4-2 Evolution annuelle de l’IPC</w:t>
            </w:r>
            <w:r w:rsidR="009C5270" w:rsidRPr="009C5270">
              <w:rPr>
                <w:rFonts w:asciiTheme="majorBidi" w:hAnsiTheme="majorBidi" w:cstheme="majorBidi"/>
                <w:noProof/>
                <w:webHidden/>
              </w:rPr>
              <w:tab/>
            </w:r>
            <w:r w:rsidRPr="009C5270">
              <w:rPr>
                <w:rFonts w:asciiTheme="majorBidi" w:hAnsiTheme="majorBidi" w:cstheme="majorBidi"/>
                <w:noProof/>
                <w:webHidden/>
              </w:rPr>
              <w:fldChar w:fldCharType="begin"/>
            </w:r>
            <w:r w:rsidR="009C5270" w:rsidRPr="009C5270">
              <w:rPr>
                <w:rFonts w:asciiTheme="majorBidi" w:hAnsiTheme="majorBidi" w:cstheme="majorBidi"/>
                <w:noProof/>
                <w:webHidden/>
              </w:rPr>
              <w:instrText xml:space="preserve"> PAGEREF _Toc45551154 \h </w:instrText>
            </w:r>
            <w:r w:rsidRPr="009C5270">
              <w:rPr>
                <w:rFonts w:asciiTheme="majorBidi" w:hAnsiTheme="majorBidi" w:cstheme="majorBidi"/>
                <w:noProof/>
                <w:webHidden/>
              </w:rPr>
            </w:r>
            <w:r w:rsidRPr="009C5270">
              <w:rPr>
                <w:rFonts w:asciiTheme="majorBidi" w:hAnsiTheme="majorBidi" w:cstheme="majorBidi"/>
                <w:noProof/>
                <w:webHidden/>
              </w:rPr>
              <w:fldChar w:fldCharType="separate"/>
            </w:r>
            <w:r w:rsidR="006C5E58">
              <w:rPr>
                <w:rFonts w:asciiTheme="majorBidi" w:hAnsiTheme="majorBidi" w:cstheme="majorBidi"/>
                <w:noProof/>
                <w:webHidden/>
              </w:rPr>
              <w:t>25</w:t>
            </w:r>
            <w:r w:rsidRPr="009C5270">
              <w:rPr>
                <w:rFonts w:asciiTheme="majorBidi" w:hAnsiTheme="majorBidi" w:cstheme="majorBidi"/>
                <w:noProof/>
                <w:webHidden/>
              </w:rPr>
              <w:fldChar w:fldCharType="end"/>
            </w:r>
          </w:hyperlink>
        </w:p>
        <w:p w:rsidR="009C5270" w:rsidRPr="009C5270" w:rsidRDefault="00DE78CE">
          <w:pPr>
            <w:pStyle w:val="TM4"/>
            <w:tabs>
              <w:tab w:val="right" w:leader="dot" w:pos="9204"/>
            </w:tabs>
            <w:rPr>
              <w:rFonts w:asciiTheme="majorBidi" w:eastAsiaTheme="minorEastAsia" w:hAnsiTheme="majorBidi" w:cstheme="majorBidi"/>
              <w:noProof/>
              <w:lang w:eastAsia="fr-FR"/>
            </w:rPr>
          </w:pPr>
          <w:hyperlink w:anchor="_Toc45551155" w:history="1">
            <w:r w:rsidR="009C5270" w:rsidRPr="009C5270">
              <w:rPr>
                <w:rStyle w:val="Lienhypertexte"/>
                <w:rFonts w:asciiTheme="majorBidi" w:hAnsiTheme="majorBidi" w:cstheme="majorBidi"/>
                <w:noProof/>
              </w:rPr>
              <w:t>III-4-2-1  Evolution annuelle des indices généraux de Kénitra et du Maroc</w:t>
            </w:r>
            <w:r w:rsidR="009C5270" w:rsidRPr="009C5270">
              <w:rPr>
                <w:rFonts w:asciiTheme="majorBidi" w:hAnsiTheme="majorBidi" w:cstheme="majorBidi"/>
                <w:noProof/>
                <w:webHidden/>
              </w:rPr>
              <w:tab/>
            </w:r>
            <w:r w:rsidRPr="009C5270">
              <w:rPr>
                <w:rFonts w:asciiTheme="majorBidi" w:hAnsiTheme="majorBidi" w:cstheme="majorBidi"/>
                <w:noProof/>
                <w:webHidden/>
              </w:rPr>
              <w:fldChar w:fldCharType="begin"/>
            </w:r>
            <w:r w:rsidR="009C5270" w:rsidRPr="009C5270">
              <w:rPr>
                <w:rFonts w:asciiTheme="majorBidi" w:hAnsiTheme="majorBidi" w:cstheme="majorBidi"/>
                <w:noProof/>
                <w:webHidden/>
              </w:rPr>
              <w:instrText xml:space="preserve"> PAGEREF _Toc45551155 \h </w:instrText>
            </w:r>
            <w:r w:rsidRPr="009C5270">
              <w:rPr>
                <w:rFonts w:asciiTheme="majorBidi" w:hAnsiTheme="majorBidi" w:cstheme="majorBidi"/>
                <w:noProof/>
                <w:webHidden/>
              </w:rPr>
            </w:r>
            <w:r w:rsidRPr="009C5270">
              <w:rPr>
                <w:rFonts w:asciiTheme="majorBidi" w:hAnsiTheme="majorBidi" w:cstheme="majorBidi"/>
                <w:noProof/>
                <w:webHidden/>
              </w:rPr>
              <w:fldChar w:fldCharType="separate"/>
            </w:r>
            <w:r w:rsidR="006C5E58">
              <w:rPr>
                <w:rFonts w:asciiTheme="majorBidi" w:hAnsiTheme="majorBidi" w:cstheme="majorBidi"/>
                <w:noProof/>
                <w:webHidden/>
              </w:rPr>
              <w:t>25</w:t>
            </w:r>
            <w:r w:rsidRPr="009C5270">
              <w:rPr>
                <w:rFonts w:asciiTheme="majorBidi" w:hAnsiTheme="majorBidi" w:cstheme="majorBidi"/>
                <w:noProof/>
                <w:webHidden/>
              </w:rPr>
              <w:fldChar w:fldCharType="end"/>
            </w:r>
          </w:hyperlink>
        </w:p>
        <w:p w:rsidR="009C5270" w:rsidRPr="009C5270" w:rsidRDefault="00DE78CE">
          <w:pPr>
            <w:pStyle w:val="TM4"/>
            <w:tabs>
              <w:tab w:val="right" w:leader="dot" w:pos="9204"/>
            </w:tabs>
            <w:rPr>
              <w:rFonts w:asciiTheme="majorBidi" w:eastAsiaTheme="minorEastAsia" w:hAnsiTheme="majorBidi" w:cstheme="majorBidi"/>
              <w:noProof/>
              <w:lang w:eastAsia="fr-FR"/>
            </w:rPr>
          </w:pPr>
          <w:hyperlink w:anchor="_Toc45551156" w:history="1">
            <w:r w:rsidR="009C5270" w:rsidRPr="009C5270">
              <w:rPr>
                <w:rStyle w:val="Lienhypertexte"/>
                <w:rFonts w:asciiTheme="majorBidi" w:hAnsiTheme="majorBidi" w:cstheme="majorBidi"/>
                <w:noProof/>
              </w:rPr>
              <w:t>III-4-2-2 Evolution annuelle des indices : général, alimentaire et non alimentaire de la ville de Kénitra</w:t>
            </w:r>
            <w:r w:rsidR="009C5270" w:rsidRPr="009C5270">
              <w:rPr>
                <w:rFonts w:asciiTheme="majorBidi" w:hAnsiTheme="majorBidi" w:cstheme="majorBidi"/>
                <w:noProof/>
                <w:webHidden/>
              </w:rPr>
              <w:tab/>
            </w:r>
            <w:r w:rsidRPr="009C5270">
              <w:rPr>
                <w:rFonts w:asciiTheme="majorBidi" w:hAnsiTheme="majorBidi" w:cstheme="majorBidi"/>
                <w:noProof/>
                <w:webHidden/>
              </w:rPr>
              <w:fldChar w:fldCharType="begin"/>
            </w:r>
            <w:r w:rsidR="009C5270" w:rsidRPr="009C5270">
              <w:rPr>
                <w:rFonts w:asciiTheme="majorBidi" w:hAnsiTheme="majorBidi" w:cstheme="majorBidi"/>
                <w:noProof/>
                <w:webHidden/>
              </w:rPr>
              <w:instrText xml:space="preserve"> PAGEREF _Toc45551156 \h </w:instrText>
            </w:r>
            <w:r w:rsidRPr="009C5270">
              <w:rPr>
                <w:rFonts w:asciiTheme="majorBidi" w:hAnsiTheme="majorBidi" w:cstheme="majorBidi"/>
                <w:noProof/>
                <w:webHidden/>
              </w:rPr>
            </w:r>
            <w:r w:rsidRPr="009C5270">
              <w:rPr>
                <w:rFonts w:asciiTheme="majorBidi" w:hAnsiTheme="majorBidi" w:cstheme="majorBidi"/>
                <w:noProof/>
                <w:webHidden/>
              </w:rPr>
              <w:fldChar w:fldCharType="separate"/>
            </w:r>
            <w:r w:rsidR="006C5E58">
              <w:rPr>
                <w:rFonts w:asciiTheme="majorBidi" w:hAnsiTheme="majorBidi" w:cstheme="majorBidi"/>
                <w:noProof/>
                <w:webHidden/>
              </w:rPr>
              <w:t>26</w:t>
            </w:r>
            <w:r w:rsidRPr="009C5270">
              <w:rPr>
                <w:rFonts w:asciiTheme="majorBidi" w:hAnsiTheme="majorBidi" w:cstheme="majorBidi"/>
                <w:noProof/>
                <w:webHidden/>
              </w:rPr>
              <w:fldChar w:fldCharType="end"/>
            </w:r>
          </w:hyperlink>
        </w:p>
        <w:p w:rsidR="009C5270" w:rsidRPr="009C5270" w:rsidRDefault="00DE78CE">
          <w:pPr>
            <w:pStyle w:val="TM3"/>
            <w:tabs>
              <w:tab w:val="right" w:leader="dot" w:pos="9204"/>
            </w:tabs>
            <w:rPr>
              <w:rFonts w:asciiTheme="majorBidi" w:eastAsiaTheme="minorEastAsia" w:hAnsiTheme="majorBidi" w:cstheme="majorBidi"/>
              <w:noProof/>
              <w:lang w:eastAsia="fr-FR"/>
            </w:rPr>
          </w:pPr>
          <w:hyperlink w:anchor="_Toc45551157" w:history="1">
            <w:r w:rsidR="009C5270" w:rsidRPr="009C5270">
              <w:rPr>
                <w:rStyle w:val="Lienhypertexte"/>
                <w:rFonts w:asciiTheme="majorBidi" w:hAnsiTheme="majorBidi" w:cstheme="majorBidi"/>
                <w:noProof/>
              </w:rPr>
              <w:t>III-4-3 Evolution de l’inflation générale</w:t>
            </w:r>
            <w:r w:rsidR="009C5270" w:rsidRPr="009C5270">
              <w:rPr>
                <w:rFonts w:asciiTheme="majorBidi" w:hAnsiTheme="majorBidi" w:cstheme="majorBidi"/>
                <w:noProof/>
                <w:webHidden/>
              </w:rPr>
              <w:tab/>
            </w:r>
            <w:r w:rsidRPr="009C5270">
              <w:rPr>
                <w:rFonts w:asciiTheme="majorBidi" w:hAnsiTheme="majorBidi" w:cstheme="majorBidi"/>
                <w:noProof/>
                <w:webHidden/>
              </w:rPr>
              <w:fldChar w:fldCharType="begin"/>
            </w:r>
            <w:r w:rsidR="009C5270" w:rsidRPr="009C5270">
              <w:rPr>
                <w:rFonts w:asciiTheme="majorBidi" w:hAnsiTheme="majorBidi" w:cstheme="majorBidi"/>
                <w:noProof/>
                <w:webHidden/>
              </w:rPr>
              <w:instrText xml:space="preserve"> PAGEREF _Toc45551157 \h </w:instrText>
            </w:r>
            <w:r w:rsidRPr="009C5270">
              <w:rPr>
                <w:rFonts w:asciiTheme="majorBidi" w:hAnsiTheme="majorBidi" w:cstheme="majorBidi"/>
                <w:noProof/>
                <w:webHidden/>
              </w:rPr>
            </w:r>
            <w:r w:rsidRPr="009C5270">
              <w:rPr>
                <w:rFonts w:asciiTheme="majorBidi" w:hAnsiTheme="majorBidi" w:cstheme="majorBidi"/>
                <w:noProof/>
                <w:webHidden/>
              </w:rPr>
              <w:fldChar w:fldCharType="separate"/>
            </w:r>
            <w:r w:rsidR="006C5E58">
              <w:rPr>
                <w:rFonts w:asciiTheme="majorBidi" w:hAnsiTheme="majorBidi" w:cstheme="majorBidi"/>
                <w:noProof/>
                <w:webHidden/>
              </w:rPr>
              <w:t>27</w:t>
            </w:r>
            <w:r w:rsidRPr="009C5270">
              <w:rPr>
                <w:rFonts w:asciiTheme="majorBidi" w:hAnsiTheme="majorBidi" w:cstheme="majorBidi"/>
                <w:noProof/>
                <w:webHidden/>
              </w:rPr>
              <w:fldChar w:fldCharType="end"/>
            </w:r>
          </w:hyperlink>
        </w:p>
        <w:p w:rsidR="009C5270" w:rsidRPr="009C5270" w:rsidRDefault="00DE78CE">
          <w:pPr>
            <w:pStyle w:val="TM4"/>
            <w:tabs>
              <w:tab w:val="right" w:leader="dot" w:pos="9204"/>
            </w:tabs>
            <w:rPr>
              <w:rFonts w:asciiTheme="majorBidi" w:eastAsiaTheme="minorEastAsia" w:hAnsiTheme="majorBidi" w:cstheme="majorBidi"/>
              <w:noProof/>
              <w:lang w:eastAsia="fr-FR"/>
            </w:rPr>
          </w:pPr>
          <w:hyperlink w:anchor="_Toc45551158" w:history="1">
            <w:r w:rsidR="009C5270" w:rsidRPr="009C5270">
              <w:rPr>
                <w:rStyle w:val="Lienhypertexte"/>
                <w:rFonts w:asciiTheme="majorBidi" w:hAnsiTheme="majorBidi" w:cstheme="majorBidi"/>
                <w:noProof/>
              </w:rPr>
              <w:t>III-4-3-1 Evolution annuelle de l’inflation</w:t>
            </w:r>
            <w:r w:rsidR="009C5270" w:rsidRPr="009C5270">
              <w:rPr>
                <w:rFonts w:asciiTheme="majorBidi" w:hAnsiTheme="majorBidi" w:cstheme="majorBidi"/>
                <w:noProof/>
                <w:webHidden/>
              </w:rPr>
              <w:tab/>
            </w:r>
            <w:r w:rsidRPr="009C5270">
              <w:rPr>
                <w:rFonts w:asciiTheme="majorBidi" w:hAnsiTheme="majorBidi" w:cstheme="majorBidi"/>
                <w:noProof/>
                <w:webHidden/>
              </w:rPr>
              <w:fldChar w:fldCharType="begin"/>
            </w:r>
            <w:r w:rsidR="009C5270" w:rsidRPr="009C5270">
              <w:rPr>
                <w:rFonts w:asciiTheme="majorBidi" w:hAnsiTheme="majorBidi" w:cstheme="majorBidi"/>
                <w:noProof/>
                <w:webHidden/>
              </w:rPr>
              <w:instrText xml:space="preserve"> PAGEREF _Toc45551158 \h </w:instrText>
            </w:r>
            <w:r w:rsidRPr="009C5270">
              <w:rPr>
                <w:rFonts w:asciiTheme="majorBidi" w:hAnsiTheme="majorBidi" w:cstheme="majorBidi"/>
                <w:noProof/>
                <w:webHidden/>
              </w:rPr>
            </w:r>
            <w:r w:rsidRPr="009C5270">
              <w:rPr>
                <w:rFonts w:asciiTheme="majorBidi" w:hAnsiTheme="majorBidi" w:cstheme="majorBidi"/>
                <w:noProof/>
                <w:webHidden/>
              </w:rPr>
              <w:fldChar w:fldCharType="separate"/>
            </w:r>
            <w:r w:rsidR="006C5E58">
              <w:rPr>
                <w:rFonts w:asciiTheme="majorBidi" w:hAnsiTheme="majorBidi" w:cstheme="majorBidi"/>
                <w:noProof/>
                <w:webHidden/>
              </w:rPr>
              <w:t>27</w:t>
            </w:r>
            <w:r w:rsidRPr="009C5270">
              <w:rPr>
                <w:rFonts w:asciiTheme="majorBidi" w:hAnsiTheme="majorBidi" w:cstheme="majorBidi"/>
                <w:noProof/>
                <w:webHidden/>
              </w:rPr>
              <w:fldChar w:fldCharType="end"/>
            </w:r>
          </w:hyperlink>
        </w:p>
        <w:p w:rsidR="009C5270" w:rsidRDefault="00DE78CE">
          <w:pPr>
            <w:pStyle w:val="TM4"/>
            <w:tabs>
              <w:tab w:val="right" w:leader="dot" w:pos="9204"/>
            </w:tabs>
            <w:rPr>
              <w:rFonts w:eastAsiaTheme="minorEastAsia"/>
              <w:noProof/>
              <w:lang w:eastAsia="fr-FR"/>
            </w:rPr>
          </w:pPr>
          <w:hyperlink w:anchor="_Toc45551159" w:history="1">
            <w:r w:rsidR="009C5270" w:rsidRPr="009C5270">
              <w:rPr>
                <w:rStyle w:val="Lienhypertexte"/>
                <w:rFonts w:asciiTheme="majorBidi" w:hAnsiTheme="majorBidi" w:cstheme="majorBidi"/>
                <w:noProof/>
              </w:rPr>
              <w:t>III-4-3-2 Glissements annuels</w:t>
            </w:r>
            <w:r w:rsidR="009C5270" w:rsidRPr="009C5270">
              <w:rPr>
                <w:rFonts w:asciiTheme="majorBidi" w:hAnsiTheme="majorBidi" w:cstheme="majorBidi"/>
                <w:noProof/>
                <w:webHidden/>
              </w:rPr>
              <w:tab/>
            </w:r>
            <w:r w:rsidRPr="009C5270">
              <w:rPr>
                <w:rFonts w:asciiTheme="majorBidi" w:hAnsiTheme="majorBidi" w:cstheme="majorBidi"/>
                <w:noProof/>
                <w:webHidden/>
              </w:rPr>
              <w:fldChar w:fldCharType="begin"/>
            </w:r>
            <w:r w:rsidR="009C5270" w:rsidRPr="009C5270">
              <w:rPr>
                <w:rFonts w:asciiTheme="majorBidi" w:hAnsiTheme="majorBidi" w:cstheme="majorBidi"/>
                <w:noProof/>
                <w:webHidden/>
              </w:rPr>
              <w:instrText xml:space="preserve"> PAGEREF _Toc45551159 \h </w:instrText>
            </w:r>
            <w:r w:rsidRPr="009C5270">
              <w:rPr>
                <w:rFonts w:asciiTheme="majorBidi" w:hAnsiTheme="majorBidi" w:cstheme="majorBidi"/>
                <w:noProof/>
                <w:webHidden/>
              </w:rPr>
            </w:r>
            <w:r w:rsidRPr="009C5270">
              <w:rPr>
                <w:rFonts w:asciiTheme="majorBidi" w:hAnsiTheme="majorBidi" w:cstheme="majorBidi"/>
                <w:noProof/>
                <w:webHidden/>
              </w:rPr>
              <w:fldChar w:fldCharType="separate"/>
            </w:r>
            <w:r w:rsidR="006C5E58">
              <w:rPr>
                <w:rFonts w:asciiTheme="majorBidi" w:hAnsiTheme="majorBidi" w:cstheme="majorBidi"/>
                <w:noProof/>
                <w:webHidden/>
              </w:rPr>
              <w:t>28</w:t>
            </w:r>
            <w:r w:rsidRPr="009C5270">
              <w:rPr>
                <w:rFonts w:asciiTheme="majorBidi" w:hAnsiTheme="majorBidi" w:cstheme="majorBidi"/>
                <w:noProof/>
                <w:webHidden/>
              </w:rPr>
              <w:fldChar w:fldCharType="end"/>
            </w:r>
          </w:hyperlink>
        </w:p>
        <w:p w:rsidR="009C5270" w:rsidRDefault="00DE78CE">
          <w:pPr>
            <w:pStyle w:val="TM1"/>
            <w:tabs>
              <w:tab w:val="right" w:leader="dot" w:pos="9204"/>
            </w:tabs>
            <w:rPr>
              <w:rFonts w:eastAsiaTheme="minorEastAsia"/>
              <w:noProof/>
              <w:lang w:eastAsia="fr-FR"/>
            </w:rPr>
          </w:pPr>
          <w:hyperlink w:anchor="_Toc45551160" w:history="1">
            <w:r w:rsidR="009C5270" w:rsidRPr="007E56EA">
              <w:rPr>
                <w:rStyle w:val="Lienhypertexte"/>
                <w:rFonts w:asciiTheme="majorBidi" w:hAnsiTheme="majorBidi"/>
                <w:noProof/>
              </w:rPr>
              <w:t>CONCLUSION</w:t>
            </w:r>
            <w:r w:rsidR="009C5270">
              <w:rPr>
                <w:noProof/>
                <w:webHidden/>
              </w:rPr>
              <w:tab/>
            </w:r>
            <w:r>
              <w:rPr>
                <w:noProof/>
                <w:webHidden/>
              </w:rPr>
              <w:fldChar w:fldCharType="begin"/>
            </w:r>
            <w:r w:rsidR="009C5270">
              <w:rPr>
                <w:noProof/>
                <w:webHidden/>
              </w:rPr>
              <w:instrText xml:space="preserve"> PAGEREF _Toc45551160 \h </w:instrText>
            </w:r>
            <w:r>
              <w:rPr>
                <w:noProof/>
                <w:webHidden/>
              </w:rPr>
            </w:r>
            <w:r>
              <w:rPr>
                <w:noProof/>
                <w:webHidden/>
              </w:rPr>
              <w:fldChar w:fldCharType="separate"/>
            </w:r>
            <w:r w:rsidR="006C5E58">
              <w:rPr>
                <w:noProof/>
                <w:webHidden/>
              </w:rPr>
              <w:t>31</w:t>
            </w:r>
            <w:r>
              <w:rPr>
                <w:noProof/>
                <w:webHidden/>
              </w:rPr>
              <w:fldChar w:fldCharType="end"/>
            </w:r>
          </w:hyperlink>
        </w:p>
        <w:p w:rsidR="008B74DA" w:rsidRDefault="00DE78CE" w:rsidP="008B74DA">
          <w:r>
            <w:fldChar w:fldCharType="end"/>
          </w:r>
        </w:p>
      </w:sdtContent>
    </w:sdt>
    <w:p w:rsidR="0036690E" w:rsidRPr="005405A4" w:rsidRDefault="00FB3E9B" w:rsidP="005405A4">
      <w:pPr>
        <w:pStyle w:val="Titre1"/>
        <w:rPr>
          <w:color w:val="4F81BD" w:themeColor="accent1"/>
        </w:rPr>
      </w:pPr>
      <w:bookmarkStart w:id="0" w:name="_Toc45551130"/>
      <w:r w:rsidRPr="005405A4">
        <w:rPr>
          <w:color w:val="4F81BD" w:themeColor="accent1"/>
        </w:rPr>
        <w:lastRenderedPageBreak/>
        <w:t>Liste des tableaux</w:t>
      </w:r>
      <w:bookmarkEnd w:id="0"/>
    </w:p>
    <w:p w:rsidR="0036690E" w:rsidRDefault="0036690E" w:rsidP="0036690E"/>
    <w:p w:rsidR="006C5E58" w:rsidRDefault="00DE78CE">
      <w:pPr>
        <w:pStyle w:val="Tabledesillustrations"/>
        <w:tabs>
          <w:tab w:val="right" w:leader="dot" w:pos="9204"/>
        </w:tabs>
        <w:rPr>
          <w:rFonts w:eastAsiaTheme="minorEastAsia"/>
          <w:noProof/>
          <w:lang w:eastAsia="fr-FR"/>
        </w:rPr>
      </w:pPr>
      <w:r w:rsidRPr="00DE78CE">
        <w:rPr>
          <w:rFonts w:asciiTheme="majorBidi" w:hAnsiTheme="majorBidi" w:cstheme="majorBidi"/>
          <w:color w:val="0070C0"/>
        </w:rPr>
        <w:fldChar w:fldCharType="begin"/>
      </w:r>
      <w:r w:rsidR="00486BC8" w:rsidRPr="008B74DA">
        <w:rPr>
          <w:rFonts w:asciiTheme="majorBidi" w:hAnsiTheme="majorBidi" w:cstheme="majorBidi"/>
          <w:color w:val="0070C0"/>
        </w:rPr>
        <w:instrText xml:space="preserve"> TOC \h \z \c "Tableau" </w:instrText>
      </w:r>
      <w:r w:rsidRPr="00DE78CE">
        <w:rPr>
          <w:rFonts w:asciiTheme="majorBidi" w:hAnsiTheme="majorBidi" w:cstheme="majorBidi"/>
          <w:color w:val="0070C0"/>
        </w:rPr>
        <w:fldChar w:fldCharType="separate"/>
      </w:r>
      <w:hyperlink w:anchor="_Toc54261203" w:history="1">
        <w:r w:rsidR="006C5E58" w:rsidRPr="00FF517C">
          <w:rPr>
            <w:rStyle w:val="Lienhypertexte"/>
            <w:rFonts w:asciiTheme="majorBidi" w:hAnsiTheme="majorBidi" w:cstheme="majorBidi"/>
            <w:noProof/>
          </w:rPr>
          <w:t>Tableau 1 : Coefficients de pondération des grands groupes de produits en 2007 et 2014</w:t>
        </w:r>
        <w:r w:rsidR="006C5E58">
          <w:rPr>
            <w:noProof/>
            <w:webHidden/>
          </w:rPr>
          <w:tab/>
        </w:r>
        <w:r w:rsidR="006C5E58">
          <w:rPr>
            <w:noProof/>
            <w:webHidden/>
          </w:rPr>
          <w:fldChar w:fldCharType="begin"/>
        </w:r>
        <w:r w:rsidR="006C5E58">
          <w:rPr>
            <w:noProof/>
            <w:webHidden/>
          </w:rPr>
          <w:instrText xml:space="preserve"> PAGEREF _Toc54261203 \h </w:instrText>
        </w:r>
        <w:r w:rsidR="006C5E58">
          <w:rPr>
            <w:noProof/>
            <w:webHidden/>
          </w:rPr>
        </w:r>
        <w:r w:rsidR="006C5E58">
          <w:rPr>
            <w:noProof/>
            <w:webHidden/>
          </w:rPr>
          <w:fldChar w:fldCharType="separate"/>
        </w:r>
        <w:r w:rsidR="006C5E58">
          <w:rPr>
            <w:noProof/>
            <w:webHidden/>
          </w:rPr>
          <w:t>14</w:t>
        </w:r>
        <w:r w:rsidR="006C5E58">
          <w:rPr>
            <w:noProof/>
            <w:webHidden/>
          </w:rPr>
          <w:fldChar w:fldCharType="end"/>
        </w:r>
      </w:hyperlink>
    </w:p>
    <w:p w:rsidR="006C5E58" w:rsidRDefault="006C5E58">
      <w:pPr>
        <w:pStyle w:val="Tabledesillustrations"/>
        <w:tabs>
          <w:tab w:val="right" w:leader="dot" w:pos="9204"/>
        </w:tabs>
        <w:rPr>
          <w:rFonts w:eastAsiaTheme="minorEastAsia"/>
          <w:noProof/>
          <w:lang w:eastAsia="fr-FR"/>
        </w:rPr>
      </w:pPr>
      <w:hyperlink w:anchor="_Toc54261204" w:history="1">
        <w:r w:rsidRPr="00FF517C">
          <w:rPr>
            <w:rStyle w:val="Lienhypertexte"/>
            <w:rFonts w:asciiTheme="majorBidi" w:hAnsiTheme="majorBidi" w:cstheme="majorBidi"/>
            <w:noProof/>
          </w:rPr>
          <w:t>Tableau 2 : Liste des zones d’enquêtes par quartier de concentrations</w:t>
        </w:r>
        <w:r>
          <w:rPr>
            <w:noProof/>
            <w:webHidden/>
          </w:rPr>
          <w:tab/>
        </w:r>
        <w:r>
          <w:rPr>
            <w:noProof/>
            <w:webHidden/>
          </w:rPr>
          <w:fldChar w:fldCharType="begin"/>
        </w:r>
        <w:r>
          <w:rPr>
            <w:noProof/>
            <w:webHidden/>
          </w:rPr>
          <w:instrText xml:space="preserve"> PAGEREF _Toc54261204 \h </w:instrText>
        </w:r>
        <w:r>
          <w:rPr>
            <w:noProof/>
            <w:webHidden/>
          </w:rPr>
        </w:r>
        <w:r>
          <w:rPr>
            <w:noProof/>
            <w:webHidden/>
          </w:rPr>
          <w:fldChar w:fldCharType="separate"/>
        </w:r>
        <w:r>
          <w:rPr>
            <w:noProof/>
            <w:webHidden/>
          </w:rPr>
          <w:t>15</w:t>
        </w:r>
        <w:r>
          <w:rPr>
            <w:noProof/>
            <w:webHidden/>
          </w:rPr>
          <w:fldChar w:fldCharType="end"/>
        </w:r>
      </w:hyperlink>
    </w:p>
    <w:p w:rsidR="006C5E58" w:rsidRDefault="006C5E58">
      <w:pPr>
        <w:pStyle w:val="Tabledesillustrations"/>
        <w:tabs>
          <w:tab w:val="right" w:leader="dot" w:pos="9204"/>
        </w:tabs>
        <w:rPr>
          <w:rFonts w:eastAsiaTheme="minorEastAsia"/>
          <w:noProof/>
          <w:lang w:eastAsia="fr-FR"/>
        </w:rPr>
      </w:pPr>
      <w:hyperlink w:anchor="_Toc54261205" w:history="1">
        <w:r w:rsidRPr="00FF517C">
          <w:rPr>
            <w:rStyle w:val="Lienhypertexte"/>
            <w:rFonts w:asciiTheme="majorBidi" w:hAnsiTheme="majorBidi" w:cstheme="majorBidi"/>
            <w:noProof/>
          </w:rPr>
          <w:t>Tableau 3 : IPC général (Base 100 :2006) par ville en 2018 et 2019</w:t>
        </w:r>
        <w:r>
          <w:rPr>
            <w:noProof/>
            <w:webHidden/>
          </w:rPr>
          <w:tab/>
        </w:r>
        <w:r>
          <w:rPr>
            <w:noProof/>
            <w:webHidden/>
          </w:rPr>
          <w:fldChar w:fldCharType="begin"/>
        </w:r>
        <w:r>
          <w:rPr>
            <w:noProof/>
            <w:webHidden/>
          </w:rPr>
          <w:instrText xml:space="preserve"> PAGEREF _Toc54261205 \h </w:instrText>
        </w:r>
        <w:r>
          <w:rPr>
            <w:noProof/>
            <w:webHidden/>
          </w:rPr>
        </w:r>
        <w:r>
          <w:rPr>
            <w:noProof/>
            <w:webHidden/>
          </w:rPr>
          <w:fldChar w:fldCharType="separate"/>
        </w:r>
        <w:r>
          <w:rPr>
            <w:noProof/>
            <w:webHidden/>
          </w:rPr>
          <w:t>18</w:t>
        </w:r>
        <w:r>
          <w:rPr>
            <w:noProof/>
            <w:webHidden/>
          </w:rPr>
          <w:fldChar w:fldCharType="end"/>
        </w:r>
      </w:hyperlink>
    </w:p>
    <w:p w:rsidR="006C5E58" w:rsidRDefault="006C5E58">
      <w:pPr>
        <w:pStyle w:val="Tabledesillustrations"/>
        <w:tabs>
          <w:tab w:val="right" w:leader="dot" w:pos="9204"/>
        </w:tabs>
        <w:rPr>
          <w:rFonts w:eastAsiaTheme="minorEastAsia"/>
          <w:noProof/>
          <w:lang w:eastAsia="fr-FR"/>
        </w:rPr>
      </w:pPr>
      <w:hyperlink w:anchor="_Toc54261206" w:history="1">
        <w:r w:rsidRPr="00FF517C">
          <w:rPr>
            <w:rStyle w:val="Lienhypertexte"/>
            <w:rFonts w:asciiTheme="majorBidi" w:hAnsiTheme="majorBidi" w:cstheme="majorBidi"/>
            <w:noProof/>
          </w:rPr>
          <w:t>Tableau 4 : IPC général par mois - Année 2019-</w:t>
        </w:r>
        <w:r>
          <w:rPr>
            <w:noProof/>
            <w:webHidden/>
          </w:rPr>
          <w:tab/>
        </w:r>
        <w:r>
          <w:rPr>
            <w:noProof/>
            <w:webHidden/>
          </w:rPr>
          <w:fldChar w:fldCharType="begin"/>
        </w:r>
        <w:r>
          <w:rPr>
            <w:noProof/>
            <w:webHidden/>
          </w:rPr>
          <w:instrText xml:space="preserve"> PAGEREF _Toc54261206 \h </w:instrText>
        </w:r>
        <w:r>
          <w:rPr>
            <w:noProof/>
            <w:webHidden/>
          </w:rPr>
        </w:r>
        <w:r>
          <w:rPr>
            <w:noProof/>
            <w:webHidden/>
          </w:rPr>
          <w:fldChar w:fldCharType="separate"/>
        </w:r>
        <w:r>
          <w:rPr>
            <w:noProof/>
            <w:webHidden/>
          </w:rPr>
          <w:t>20</w:t>
        </w:r>
        <w:r>
          <w:rPr>
            <w:noProof/>
            <w:webHidden/>
          </w:rPr>
          <w:fldChar w:fldCharType="end"/>
        </w:r>
      </w:hyperlink>
    </w:p>
    <w:p w:rsidR="006C5E58" w:rsidRPr="006C5E58" w:rsidRDefault="006C5E58">
      <w:pPr>
        <w:pStyle w:val="Tabledesillustrations"/>
        <w:tabs>
          <w:tab w:val="right" w:leader="dot" w:pos="9204"/>
        </w:tabs>
        <w:rPr>
          <w:rFonts w:eastAsiaTheme="minorEastAsia"/>
          <w:noProof/>
          <w:lang w:eastAsia="fr-FR"/>
        </w:rPr>
      </w:pPr>
      <w:hyperlink w:anchor="_Toc54261207" w:history="1">
        <w:r w:rsidRPr="006C5E58">
          <w:rPr>
            <w:rStyle w:val="Lienhypertexte"/>
            <w:rFonts w:asciiTheme="majorBidi" w:hAnsiTheme="majorBidi" w:cstheme="majorBidi"/>
            <w:noProof/>
          </w:rPr>
          <w:t xml:space="preserve">Tableau 5 : </w:t>
        </w:r>
        <w:r w:rsidRPr="006C5E58">
          <w:rPr>
            <w:rStyle w:val="Lienhypertexte"/>
            <w:rFonts w:asciiTheme="majorBidi" w:eastAsia="Times New Roman" w:hAnsiTheme="majorBidi" w:cstheme="majorBidi"/>
            <w:noProof/>
            <w:lang w:eastAsia="fr-FR"/>
          </w:rPr>
          <w:t>Indices : général, alimentaire et non alimentaire de la ville de Kénitra</w:t>
        </w:r>
        <w:r w:rsidRPr="006C5E58">
          <w:rPr>
            <w:noProof/>
            <w:webHidden/>
          </w:rPr>
          <w:tab/>
        </w:r>
        <w:r w:rsidRPr="006C5E58">
          <w:rPr>
            <w:noProof/>
            <w:webHidden/>
          </w:rPr>
          <w:fldChar w:fldCharType="begin"/>
        </w:r>
        <w:r w:rsidRPr="006C5E58">
          <w:rPr>
            <w:noProof/>
            <w:webHidden/>
          </w:rPr>
          <w:instrText xml:space="preserve"> PAGEREF _Toc54261207 \h </w:instrText>
        </w:r>
        <w:r w:rsidRPr="006C5E58">
          <w:rPr>
            <w:noProof/>
            <w:webHidden/>
          </w:rPr>
        </w:r>
        <w:r w:rsidRPr="006C5E58">
          <w:rPr>
            <w:noProof/>
            <w:webHidden/>
          </w:rPr>
          <w:fldChar w:fldCharType="separate"/>
        </w:r>
        <w:r w:rsidRPr="006C5E58">
          <w:rPr>
            <w:noProof/>
            <w:webHidden/>
          </w:rPr>
          <w:t>21</w:t>
        </w:r>
        <w:r w:rsidRPr="006C5E58">
          <w:rPr>
            <w:noProof/>
            <w:webHidden/>
          </w:rPr>
          <w:fldChar w:fldCharType="end"/>
        </w:r>
      </w:hyperlink>
    </w:p>
    <w:p w:rsidR="006C5E58" w:rsidRDefault="006C5E58">
      <w:pPr>
        <w:pStyle w:val="Tabledesillustrations"/>
        <w:tabs>
          <w:tab w:val="right" w:leader="dot" w:pos="9204"/>
        </w:tabs>
        <w:rPr>
          <w:rFonts w:eastAsiaTheme="minorEastAsia"/>
          <w:noProof/>
          <w:lang w:eastAsia="fr-FR"/>
        </w:rPr>
      </w:pPr>
      <w:hyperlink w:anchor="_Toc54261208" w:history="1">
        <w:r w:rsidRPr="00FF517C">
          <w:rPr>
            <w:rStyle w:val="Lienhypertexte"/>
            <w:rFonts w:asciiTheme="majorBidi" w:hAnsiTheme="majorBidi" w:cstheme="majorBidi"/>
            <w:noProof/>
          </w:rPr>
          <w:t xml:space="preserve">Tableau 6 : </w:t>
        </w:r>
        <w:r w:rsidRPr="00FF517C">
          <w:rPr>
            <w:rStyle w:val="Lienhypertexte"/>
            <w:rFonts w:asciiTheme="majorBidi" w:eastAsia="Times New Roman" w:hAnsiTheme="majorBidi" w:cstheme="majorBidi"/>
            <w:noProof/>
            <w:lang w:eastAsia="fr-FR"/>
          </w:rPr>
          <w:t>Evolution de l'IPC (Base 100: 2006) par division entre 2018 et 2019</w:t>
        </w:r>
        <w:r>
          <w:rPr>
            <w:noProof/>
            <w:webHidden/>
          </w:rPr>
          <w:tab/>
        </w:r>
        <w:r>
          <w:rPr>
            <w:noProof/>
            <w:webHidden/>
          </w:rPr>
          <w:fldChar w:fldCharType="begin"/>
        </w:r>
        <w:r>
          <w:rPr>
            <w:noProof/>
            <w:webHidden/>
          </w:rPr>
          <w:instrText xml:space="preserve"> PAGEREF _Toc54261208 \h </w:instrText>
        </w:r>
        <w:r>
          <w:rPr>
            <w:noProof/>
            <w:webHidden/>
          </w:rPr>
        </w:r>
        <w:r>
          <w:rPr>
            <w:noProof/>
            <w:webHidden/>
          </w:rPr>
          <w:fldChar w:fldCharType="separate"/>
        </w:r>
        <w:r>
          <w:rPr>
            <w:noProof/>
            <w:webHidden/>
          </w:rPr>
          <w:t>23</w:t>
        </w:r>
        <w:r>
          <w:rPr>
            <w:noProof/>
            <w:webHidden/>
          </w:rPr>
          <w:fldChar w:fldCharType="end"/>
        </w:r>
      </w:hyperlink>
    </w:p>
    <w:p w:rsidR="00BC2DF5" w:rsidRPr="008B74DA" w:rsidRDefault="00DE78CE" w:rsidP="005405A4">
      <w:pPr>
        <w:pStyle w:val="Titre1"/>
        <w:spacing w:before="240" w:after="240"/>
        <w:rPr>
          <w:rFonts w:asciiTheme="majorBidi" w:hAnsiTheme="majorBidi"/>
          <w:b w:val="0"/>
          <w:bCs w:val="0"/>
          <w:color w:val="0070C0"/>
          <w:sz w:val="22"/>
          <w:szCs w:val="22"/>
        </w:rPr>
      </w:pPr>
      <w:r w:rsidRPr="008B74DA">
        <w:rPr>
          <w:rFonts w:asciiTheme="majorBidi" w:hAnsiTheme="majorBidi"/>
          <w:b w:val="0"/>
          <w:bCs w:val="0"/>
          <w:color w:val="0070C0"/>
          <w:sz w:val="22"/>
          <w:szCs w:val="22"/>
        </w:rPr>
        <w:fldChar w:fldCharType="end"/>
      </w:r>
    </w:p>
    <w:p w:rsidR="0036690E" w:rsidRDefault="0036690E" w:rsidP="0036690E"/>
    <w:p w:rsidR="0036690E" w:rsidRDefault="0036690E" w:rsidP="0036690E"/>
    <w:p w:rsidR="0036690E" w:rsidRDefault="0036690E" w:rsidP="0036690E"/>
    <w:p w:rsidR="0036690E" w:rsidRDefault="0036690E" w:rsidP="0036690E"/>
    <w:p w:rsidR="0036690E" w:rsidRDefault="0036690E" w:rsidP="0036690E"/>
    <w:p w:rsidR="0036690E" w:rsidRDefault="0036690E" w:rsidP="0036690E"/>
    <w:p w:rsidR="0036690E" w:rsidRDefault="0036690E" w:rsidP="0036690E"/>
    <w:p w:rsidR="00170E99" w:rsidRDefault="00170E99">
      <w:r>
        <w:br w:type="page"/>
      </w:r>
    </w:p>
    <w:p w:rsidR="00DF65E2" w:rsidRPr="005405A4" w:rsidRDefault="00DF65E2" w:rsidP="005405A4">
      <w:pPr>
        <w:pStyle w:val="Titre1"/>
        <w:rPr>
          <w:rFonts w:ascii="Cambria" w:hAnsi="Cambria"/>
          <w:bCs w:val="0"/>
          <w:color w:val="4F81BD" w:themeColor="accent1"/>
        </w:rPr>
      </w:pPr>
      <w:bookmarkStart w:id="1" w:name="_Toc45551131"/>
      <w:r w:rsidRPr="005405A4">
        <w:rPr>
          <w:rFonts w:ascii="Cambria" w:hAnsi="Cambria"/>
          <w:bCs w:val="0"/>
          <w:color w:val="4F81BD" w:themeColor="accent1"/>
        </w:rPr>
        <w:lastRenderedPageBreak/>
        <w:t>Liste des graphiques</w:t>
      </w:r>
      <w:bookmarkEnd w:id="1"/>
    </w:p>
    <w:p w:rsidR="00462F63" w:rsidRPr="00462F63" w:rsidRDefault="00462F63" w:rsidP="00462F63"/>
    <w:p w:rsidR="008B74DA" w:rsidRDefault="00DE78CE" w:rsidP="008B74DA">
      <w:pPr>
        <w:pStyle w:val="Tabledesillustrations"/>
        <w:tabs>
          <w:tab w:val="right" w:leader="dot" w:pos="9204"/>
        </w:tabs>
        <w:spacing w:before="120"/>
        <w:rPr>
          <w:rFonts w:eastAsiaTheme="minorEastAsia"/>
          <w:noProof/>
          <w:lang w:eastAsia="fr-FR"/>
        </w:rPr>
      </w:pPr>
      <w:r>
        <w:rPr>
          <w:rFonts w:asciiTheme="majorBidi" w:hAnsiTheme="majorBidi"/>
          <w:b/>
          <w:bCs/>
          <w:color w:val="0070C0"/>
        </w:rPr>
        <w:fldChar w:fldCharType="begin"/>
      </w:r>
      <w:r w:rsidR="0036690E">
        <w:rPr>
          <w:rFonts w:asciiTheme="majorBidi" w:hAnsiTheme="majorBidi"/>
          <w:b/>
          <w:bCs/>
          <w:color w:val="0070C0"/>
        </w:rPr>
        <w:instrText xml:space="preserve"> TOC \h \z \c "Graphique" </w:instrText>
      </w:r>
      <w:r>
        <w:rPr>
          <w:rFonts w:asciiTheme="majorBidi" w:hAnsiTheme="majorBidi"/>
          <w:b/>
          <w:bCs/>
          <w:color w:val="0070C0"/>
        </w:rPr>
        <w:fldChar w:fldCharType="separate"/>
      </w:r>
      <w:hyperlink w:anchor="_Toc515274104" w:history="1">
        <w:r w:rsidR="008B74DA" w:rsidRPr="00DF52C1">
          <w:rPr>
            <w:rStyle w:val="Lienhypertexte"/>
            <w:rFonts w:asciiTheme="majorBidi" w:hAnsiTheme="majorBidi" w:cstheme="majorBidi"/>
            <w:noProof/>
          </w:rPr>
          <w:t>Graphique 1 : IPC général  par ville en 2016 et 2017</w:t>
        </w:r>
        <w:r w:rsidR="008B74DA">
          <w:rPr>
            <w:noProof/>
            <w:webHidden/>
          </w:rPr>
          <w:tab/>
        </w:r>
        <w:r>
          <w:rPr>
            <w:noProof/>
            <w:webHidden/>
          </w:rPr>
          <w:fldChar w:fldCharType="begin"/>
        </w:r>
        <w:r w:rsidR="008B74DA">
          <w:rPr>
            <w:noProof/>
            <w:webHidden/>
          </w:rPr>
          <w:instrText xml:space="preserve"> PAGEREF _Toc515274104 \h </w:instrText>
        </w:r>
        <w:r>
          <w:rPr>
            <w:noProof/>
            <w:webHidden/>
          </w:rPr>
        </w:r>
        <w:r>
          <w:rPr>
            <w:noProof/>
            <w:webHidden/>
          </w:rPr>
          <w:fldChar w:fldCharType="separate"/>
        </w:r>
        <w:r w:rsidR="006C5E58">
          <w:rPr>
            <w:noProof/>
            <w:webHidden/>
          </w:rPr>
          <w:t>19</w:t>
        </w:r>
        <w:r>
          <w:rPr>
            <w:noProof/>
            <w:webHidden/>
          </w:rPr>
          <w:fldChar w:fldCharType="end"/>
        </w:r>
      </w:hyperlink>
    </w:p>
    <w:p w:rsidR="008B74DA" w:rsidRDefault="00DE78CE" w:rsidP="008B74DA">
      <w:pPr>
        <w:pStyle w:val="Tabledesillustrations"/>
        <w:tabs>
          <w:tab w:val="right" w:leader="dot" w:pos="9204"/>
        </w:tabs>
        <w:spacing w:before="120"/>
        <w:rPr>
          <w:rFonts w:eastAsiaTheme="minorEastAsia"/>
          <w:noProof/>
          <w:lang w:eastAsia="fr-FR"/>
        </w:rPr>
      </w:pPr>
      <w:hyperlink w:anchor="_Toc515274105" w:history="1">
        <w:r w:rsidR="008B74DA" w:rsidRPr="00DF52C1">
          <w:rPr>
            <w:rStyle w:val="Lienhypertexte"/>
            <w:noProof/>
          </w:rPr>
          <w:t>Graphique 2</w:t>
        </w:r>
        <w:r w:rsidR="008B74DA" w:rsidRPr="00DF52C1">
          <w:rPr>
            <w:rStyle w:val="Lienhypertexte"/>
            <w:rFonts w:ascii="Times New Roman" w:hAnsi="Times New Roman"/>
            <w:noProof/>
          </w:rPr>
          <w:t xml:space="preserve"> : </w:t>
        </w:r>
        <w:r w:rsidR="008B74DA" w:rsidRPr="00DF52C1">
          <w:rPr>
            <w:rStyle w:val="Lienhypertexte"/>
            <w:rFonts w:ascii="Times New Roman" w:hAnsi="Times New Roman" w:cstheme="majorBidi"/>
            <w:noProof/>
          </w:rPr>
          <w:t>Inflation générale par ville (en %) -Année 2017-</w:t>
        </w:r>
        <w:r w:rsidR="008B74DA">
          <w:rPr>
            <w:noProof/>
            <w:webHidden/>
          </w:rPr>
          <w:tab/>
        </w:r>
        <w:r>
          <w:rPr>
            <w:noProof/>
            <w:webHidden/>
          </w:rPr>
          <w:fldChar w:fldCharType="begin"/>
        </w:r>
        <w:r w:rsidR="008B74DA">
          <w:rPr>
            <w:noProof/>
            <w:webHidden/>
          </w:rPr>
          <w:instrText xml:space="preserve"> PAGEREF _Toc515274105 \h </w:instrText>
        </w:r>
        <w:r>
          <w:rPr>
            <w:noProof/>
            <w:webHidden/>
          </w:rPr>
        </w:r>
        <w:r>
          <w:rPr>
            <w:noProof/>
            <w:webHidden/>
          </w:rPr>
          <w:fldChar w:fldCharType="separate"/>
        </w:r>
        <w:r w:rsidR="006C5E58">
          <w:rPr>
            <w:noProof/>
            <w:webHidden/>
          </w:rPr>
          <w:t>19</w:t>
        </w:r>
        <w:r>
          <w:rPr>
            <w:noProof/>
            <w:webHidden/>
          </w:rPr>
          <w:fldChar w:fldCharType="end"/>
        </w:r>
      </w:hyperlink>
    </w:p>
    <w:p w:rsidR="008B74DA" w:rsidRDefault="00DE78CE" w:rsidP="008B74DA">
      <w:pPr>
        <w:pStyle w:val="Tabledesillustrations"/>
        <w:tabs>
          <w:tab w:val="right" w:leader="dot" w:pos="9204"/>
        </w:tabs>
        <w:spacing w:before="120"/>
        <w:rPr>
          <w:rFonts w:eastAsiaTheme="minorEastAsia"/>
          <w:noProof/>
          <w:lang w:eastAsia="fr-FR"/>
        </w:rPr>
      </w:pPr>
      <w:hyperlink w:anchor="_Toc515274106" w:history="1">
        <w:r w:rsidR="008B74DA" w:rsidRPr="00DF52C1">
          <w:rPr>
            <w:rStyle w:val="Lienhypertexte"/>
            <w:rFonts w:ascii="Times New Roman" w:hAnsi="Times New Roman"/>
            <w:noProof/>
          </w:rPr>
          <w:t xml:space="preserve">Graphique 3 : </w:t>
        </w:r>
        <w:r w:rsidR="008B74DA" w:rsidRPr="00DF52C1">
          <w:rPr>
            <w:rStyle w:val="Lienhypertexte"/>
            <w:rFonts w:ascii="Times New Roman" w:hAnsi="Times New Roman" w:cstheme="majorBidi"/>
            <w:noProof/>
          </w:rPr>
          <w:t>IPC général de la ville de Kénitra et du Maroc -Année 2017-</w:t>
        </w:r>
        <w:r w:rsidR="008B74DA">
          <w:rPr>
            <w:noProof/>
            <w:webHidden/>
          </w:rPr>
          <w:tab/>
        </w:r>
        <w:r>
          <w:rPr>
            <w:noProof/>
            <w:webHidden/>
          </w:rPr>
          <w:fldChar w:fldCharType="begin"/>
        </w:r>
        <w:r w:rsidR="008B74DA">
          <w:rPr>
            <w:noProof/>
            <w:webHidden/>
          </w:rPr>
          <w:instrText xml:space="preserve"> PAGEREF _Toc515274106 \h </w:instrText>
        </w:r>
        <w:r>
          <w:rPr>
            <w:noProof/>
            <w:webHidden/>
          </w:rPr>
        </w:r>
        <w:r>
          <w:rPr>
            <w:noProof/>
            <w:webHidden/>
          </w:rPr>
          <w:fldChar w:fldCharType="separate"/>
        </w:r>
        <w:r w:rsidR="006C5E58">
          <w:rPr>
            <w:noProof/>
            <w:webHidden/>
          </w:rPr>
          <w:t>20</w:t>
        </w:r>
        <w:r>
          <w:rPr>
            <w:noProof/>
            <w:webHidden/>
          </w:rPr>
          <w:fldChar w:fldCharType="end"/>
        </w:r>
      </w:hyperlink>
    </w:p>
    <w:p w:rsidR="008B74DA" w:rsidRDefault="00DE78CE" w:rsidP="008B74DA">
      <w:pPr>
        <w:pStyle w:val="Tabledesillustrations"/>
        <w:tabs>
          <w:tab w:val="right" w:leader="dot" w:pos="9204"/>
        </w:tabs>
        <w:spacing w:before="120"/>
        <w:rPr>
          <w:rFonts w:eastAsiaTheme="minorEastAsia"/>
          <w:noProof/>
          <w:lang w:eastAsia="fr-FR"/>
        </w:rPr>
      </w:pPr>
      <w:hyperlink w:anchor="_Toc515274107" w:history="1">
        <w:r w:rsidR="008B74DA" w:rsidRPr="00DF52C1">
          <w:rPr>
            <w:rStyle w:val="Lienhypertexte"/>
            <w:rFonts w:ascii="Times New Roman" w:hAnsi="Times New Roman"/>
            <w:noProof/>
          </w:rPr>
          <w:t xml:space="preserve">Graphique 4: </w:t>
        </w:r>
        <w:r w:rsidR="008B74DA" w:rsidRPr="00DF52C1">
          <w:rPr>
            <w:rStyle w:val="Lienhypertexte"/>
            <w:rFonts w:ascii="Times New Roman" w:hAnsi="Times New Roman" w:cstheme="majorBidi"/>
            <w:noProof/>
          </w:rPr>
          <w:t>Indices : général, alimentaire et non alimentaire de la ville de Kénitra - Année 2017-</w:t>
        </w:r>
        <w:r w:rsidR="008B74DA">
          <w:rPr>
            <w:noProof/>
            <w:webHidden/>
          </w:rPr>
          <w:tab/>
        </w:r>
        <w:r>
          <w:rPr>
            <w:noProof/>
            <w:webHidden/>
          </w:rPr>
          <w:fldChar w:fldCharType="begin"/>
        </w:r>
        <w:r w:rsidR="008B74DA">
          <w:rPr>
            <w:noProof/>
            <w:webHidden/>
          </w:rPr>
          <w:instrText xml:space="preserve"> PAGEREF _Toc515274107 \h </w:instrText>
        </w:r>
        <w:r>
          <w:rPr>
            <w:noProof/>
            <w:webHidden/>
          </w:rPr>
        </w:r>
        <w:r>
          <w:rPr>
            <w:noProof/>
            <w:webHidden/>
          </w:rPr>
          <w:fldChar w:fldCharType="separate"/>
        </w:r>
        <w:r w:rsidR="006C5E58">
          <w:rPr>
            <w:noProof/>
            <w:webHidden/>
          </w:rPr>
          <w:t>22</w:t>
        </w:r>
        <w:r>
          <w:rPr>
            <w:noProof/>
            <w:webHidden/>
          </w:rPr>
          <w:fldChar w:fldCharType="end"/>
        </w:r>
      </w:hyperlink>
    </w:p>
    <w:p w:rsidR="008B74DA" w:rsidRDefault="00DE78CE" w:rsidP="008B74DA">
      <w:pPr>
        <w:pStyle w:val="Tabledesillustrations"/>
        <w:tabs>
          <w:tab w:val="right" w:leader="dot" w:pos="9204"/>
        </w:tabs>
        <w:spacing w:before="120"/>
        <w:rPr>
          <w:rFonts w:eastAsiaTheme="minorEastAsia"/>
          <w:noProof/>
          <w:lang w:eastAsia="fr-FR"/>
        </w:rPr>
      </w:pPr>
      <w:hyperlink w:anchor="_Toc515274108" w:history="1">
        <w:r w:rsidR="008B74DA" w:rsidRPr="00DF52C1">
          <w:rPr>
            <w:rStyle w:val="Lienhypertexte"/>
            <w:rFonts w:ascii="Times New Roman" w:hAnsi="Times New Roman"/>
            <w:noProof/>
          </w:rPr>
          <w:t xml:space="preserve">Graphique 5 : </w:t>
        </w:r>
        <w:r w:rsidR="008B74DA" w:rsidRPr="00DF52C1">
          <w:rPr>
            <w:rStyle w:val="Lienhypertexte"/>
            <w:rFonts w:ascii="Times New Roman" w:hAnsi="Times New Roman" w:cstheme="majorBidi"/>
            <w:noProof/>
          </w:rPr>
          <w:t>Evolution de l'IPC de la ville de Kenitra entre 2007 et 2017</w:t>
        </w:r>
        <w:r w:rsidR="008B74DA">
          <w:rPr>
            <w:noProof/>
            <w:webHidden/>
          </w:rPr>
          <w:tab/>
        </w:r>
        <w:r>
          <w:rPr>
            <w:noProof/>
            <w:webHidden/>
          </w:rPr>
          <w:fldChar w:fldCharType="begin"/>
        </w:r>
        <w:r w:rsidR="008B74DA">
          <w:rPr>
            <w:noProof/>
            <w:webHidden/>
          </w:rPr>
          <w:instrText xml:space="preserve"> PAGEREF _Toc515274108 \h </w:instrText>
        </w:r>
        <w:r>
          <w:rPr>
            <w:noProof/>
            <w:webHidden/>
          </w:rPr>
        </w:r>
        <w:r>
          <w:rPr>
            <w:noProof/>
            <w:webHidden/>
          </w:rPr>
          <w:fldChar w:fldCharType="separate"/>
        </w:r>
        <w:r w:rsidR="006C5E58">
          <w:rPr>
            <w:noProof/>
            <w:webHidden/>
          </w:rPr>
          <w:t>25</w:t>
        </w:r>
        <w:r>
          <w:rPr>
            <w:noProof/>
            <w:webHidden/>
          </w:rPr>
          <w:fldChar w:fldCharType="end"/>
        </w:r>
      </w:hyperlink>
    </w:p>
    <w:p w:rsidR="008B74DA" w:rsidRDefault="00DE78CE" w:rsidP="008B74DA">
      <w:pPr>
        <w:pStyle w:val="Tabledesillustrations"/>
        <w:tabs>
          <w:tab w:val="right" w:leader="dot" w:pos="9204"/>
        </w:tabs>
        <w:spacing w:before="120"/>
        <w:rPr>
          <w:rFonts w:eastAsiaTheme="minorEastAsia"/>
          <w:noProof/>
          <w:lang w:eastAsia="fr-FR"/>
        </w:rPr>
      </w:pPr>
      <w:hyperlink w:anchor="_Toc515274109" w:history="1">
        <w:r w:rsidR="008B74DA" w:rsidRPr="00DF52C1">
          <w:rPr>
            <w:rStyle w:val="Lienhypertexte"/>
            <w:rFonts w:ascii="Times New Roman" w:hAnsi="Times New Roman"/>
            <w:noProof/>
          </w:rPr>
          <w:t xml:space="preserve">Graphique 6 : </w:t>
        </w:r>
        <w:r w:rsidR="008B74DA" w:rsidRPr="00DF52C1">
          <w:rPr>
            <w:rStyle w:val="Lienhypertexte"/>
            <w:rFonts w:ascii="Times New Roman" w:hAnsi="Times New Roman" w:cstheme="majorBidi"/>
            <w:noProof/>
          </w:rPr>
          <w:t>Evolution de l'IPC  général de la ville de  Kénitra et du Maroc entre 2007 et 2017</w:t>
        </w:r>
        <w:r w:rsidR="008B74DA">
          <w:rPr>
            <w:noProof/>
            <w:webHidden/>
          </w:rPr>
          <w:tab/>
        </w:r>
        <w:r>
          <w:rPr>
            <w:noProof/>
            <w:webHidden/>
          </w:rPr>
          <w:fldChar w:fldCharType="begin"/>
        </w:r>
        <w:r w:rsidR="008B74DA">
          <w:rPr>
            <w:noProof/>
            <w:webHidden/>
          </w:rPr>
          <w:instrText xml:space="preserve"> PAGEREF _Toc515274109 \h </w:instrText>
        </w:r>
        <w:r>
          <w:rPr>
            <w:noProof/>
            <w:webHidden/>
          </w:rPr>
        </w:r>
        <w:r>
          <w:rPr>
            <w:noProof/>
            <w:webHidden/>
          </w:rPr>
          <w:fldChar w:fldCharType="separate"/>
        </w:r>
        <w:r w:rsidR="006C5E58">
          <w:rPr>
            <w:noProof/>
            <w:webHidden/>
          </w:rPr>
          <w:t>26</w:t>
        </w:r>
        <w:r>
          <w:rPr>
            <w:noProof/>
            <w:webHidden/>
          </w:rPr>
          <w:fldChar w:fldCharType="end"/>
        </w:r>
      </w:hyperlink>
    </w:p>
    <w:p w:rsidR="008B74DA" w:rsidRDefault="00DE78CE" w:rsidP="008B74DA">
      <w:pPr>
        <w:pStyle w:val="Tabledesillustrations"/>
        <w:tabs>
          <w:tab w:val="right" w:leader="dot" w:pos="9204"/>
        </w:tabs>
        <w:spacing w:before="120"/>
        <w:rPr>
          <w:rFonts w:eastAsiaTheme="minorEastAsia"/>
          <w:noProof/>
          <w:lang w:eastAsia="fr-FR"/>
        </w:rPr>
      </w:pPr>
      <w:hyperlink w:anchor="_Toc515274110" w:history="1">
        <w:r w:rsidR="008B74DA" w:rsidRPr="00DF52C1">
          <w:rPr>
            <w:rStyle w:val="Lienhypertexte"/>
            <w:rFonts w:ascii="Times New Roman" w:hAnsi="Times New Roman"/>
            <w:noProof/>
          </w:rPr>
          <w:t xml:space="preserve">Graphique 7 : </w:t>
        </w:r>
        <w:r w:rsidR="008B74DA" w:rsidRPr="00DF52C1">
          <w:rPr>
            <w:rStyle w:val="Lienhypertexte"/>
            <w:rFonts w:ascii="Times New Roman" w:hAnsi="Times New Roman" w:cstheme="majorBidi"/>
            <w:noProof/>
          </w:rPr>
          <w:t>Evolution des indices alimentaire, non alimentaire et général entre 2007 et 2011,</w:t>
        </w:r>
        <w:r w:rsidR="008B74DA">
          <w:rPr>
            <w:noProof/>
            <w:webHidden/>
          </w:rPr>
          <w:tab/>
        </w:r>
        <w:r>
          <w:rPr>
            <w:noProof/>
            <w:webHidden/>
          </w:rPr>
          <w:fldChar w:fldCharType="begin"/>
        </w:r>
        <w:r w:rsidR="008B74DA">
          <w:rPr>
            <w:noProof/>
            <w:webHidden/>
          </w:rPr>
          <w:instrText xml:space="preserve"> PAGEREF _Toc515274110 \h </w:instrText>
        </w:r>
        <w:r>
          <w:rPr>
            <w:noProof/>
            <w:webHidden/>
          </w:rPr>
        </w:r>
        <w:r>
          <w:rPr>
            <w:noProof/>
            <w:webHidden/>
          </w:rPr>
          <w:fldChar w:fldCharType="separate"/>
        </w:r>
        <w:r w:rsidR="006C5E58">
          <w:rPr>
            <w:noProof/>
            <w:webHidden/>
          </w:rPr>
          <w:t>27</w:t>
        </w:r>
        <w:r>
          <w:rPr>
            <w:noProof/>
            <w:webHidden/>
          </w:rPr>
          <w:fldChar w:fldCharType="end"/>
        </w:r>
      </w:hyperlink>
    </w:p>
    <w:p w:rsidR="008B74DA" w:rsidRDefault="00DE78CE" w:rsidP="008B74DA">
      <w:pPr>
        <w:pStyle w:val="Tabledesillustrations"/>
        <w:tabs>
          <w:tab w:val="right" w:leader="dot" w:pos="9204"/>
        </w:tabs>
        <w:spacing w:before="120"/>
        <w:rPr>
          <w:rFonts w:eastAsiaTheme="minorEastAsia"/>
          <w:noProof/>
          <w:lang w:eastAsia="fr-FR"/>
        </w:rPr>
      </w:pPr>
      <w:hyperlink w:anchor="_Toc515274111" w:history="1">
        <w:r w:rsidR="008B74DA" w:rsidRPr="00DF52C1">
          <w:rPr>
            <w:rStyle w:val="Lienhypertexte"/>
            <w:rFonts w:ascii="Times New Roman" w:hAnsi="Times New Roman"/>
            <w:noProof/>
          </w:rPr>
          <w:t xml:space="preserve">Graphique 8 : </w:t>
        </w:r>
        <w:r w:rsidR="008B74DA" w:rsidRPr="00DF52C1">
          <w:rPr>
            <w:rStyle w:val="Lienhypertexte"/>
            <w:rFonts w:ascii="Times New Roman" w:hAnsi="Times New Roman" w:cstheme="majorBidi"/>
            <w:noProof/>
          </w:rPr>
          <w:t>Evolution de l'inflation générale entre 2007 et 2017</w:t>
        </w:r>
        <w:r w:rsidR="008B74DA">
          <w:rPr>
            <w:noProof/>
            <w:webHidden/>
          </w:rPr>
          <w:tab/>
        </w:r>
        <w:r>
          <w:rPr>
            <w:noProof/>
            <w:webHidden/>
          </w:rPr>
          <w:fldChar w:fldCharType="begin"/>
        </w:r>
        <w:r w:rsidR="008B74DA">
          <w:rPr>
            <w:noProof/>
            <w:webHidden/>
          </w:rPr>
          <w:instrText xml:space="preserve"> PAGEREF _Toc515274111 \h </w:instrText>
        </w:r>
        <w:r>
          <w:rPr>
            <w:noProof/>
            <w:webHidden/>
          </w:rPr>
        </w:r>
        <w:r>
          <w:rPr>
            <w:noProof/>
            <w:webHidden/>
          </w:rPr>
          <w:fldChar w:fldCharType="separate"/>
        </w:r>
        <w:r w:rsidR="006C5E58">
          <w:rPr>
            <w:noProof/>
            <w:webHidden/>
          </w:rPr>
          <w:t>28</w:t>
        </w:r>
        <w:r>
          <w:rPr>
            <w:noProof/>
            <w:webHidden/>
          </w:rPr>
          <w:fldChar w:fldCharType="end"/>
        </w:r>
      </w:hyperlink>
    </w:p>
    <w:p w:rsidR="008B74DA" w:rsidRDefault="00DE78CE" w:rsidP="008B74DA">
      <w:pPr>
        <w:pStyle w:val="Tabledesillustrations"/>
        <w:tabs>
          <w:tab w:val="right" w:leader="dot" w:pos="9204"/>
        </w:tabs>
        <w:spacing w:before="120"/>
        <w:rPr>
          <w:rFonts w:eastAsiaTheme="minorEastAsia"/>
          <w:noProof/>
          <w:lang w:eastAsia="fr-FR"/>
        </w:rPr>
      </w:pPr>
      <w:hyperlink w:anchor="_Toc515274112" w:history="1">
        <w:r w:rsidR="008B74DA" w:rsidRPr="00DF52C1">
          <w:rPr>
            <w:rStyle w:val="Lienhypertexte"/>
            <w:rFonts w:asciiTheme="majorBidi" w:hAnsiTheme="majorBidi" w:cstheme="majorBidi"/>
            <w:noProof/>
          </w:rPr>
          <w:t>Graphique 9 : IPC de la ville de Kénitra et du Maroc : glissements annuels entre 2007 et 2017</w:t>
        </w:r>
        <w:r w:rsidR="008B74DA">
          <w:rPr>
            <w:noProof/>
            <w:webHidden/>
          </w:rPr>
          <w:tab/>
        </w:r>
        <w:r>
          <w:rPr>
            <w:noProof/>
            <w:webHidden/>
          </w:rPr>
          <w:fldChar w:fldCharType="begin"/>
        </w:r>
        <w:r w:rsidR="008B74DA">
          <w:rPr>
            <w:noProof/>
            <w:webHidden/>
          </w:rPr>
          <w:instrText xml:space="preserve"> PAGEREF _Toc515274112 \h </w:instrText>
        </w:r>
        <w:r>
          <w:rPr>
            <w:noProof/>
            <w:webHidden/>
          </w:rPr>
        </w:r>
        <w:r>
          <w:rPr>
            <w:noProof/>
            <w:webHidden/>
          </w:rPr>
          <w:fldChar w:fldCharType="separate"/>
        </w:r>
        <w:r w:rsidR="006C5E58">
          <w:rPr>
            <w:noProof/>
            <w:webHidden/>
          </w:rPr>
          <w:t>29</w:t>
        </w:r>
        <w:r>
          <w:rPr>
            <w:noProof/>
            <w:webHidden/>
          </w:rPr>
          <w:fldChar w:fldCharType="end"/>
        </w:r>
      </w:hyperlink>
    </w:p>
    <w:p w:rsidR="00BC2DF5" w:rsidRDefault="00DE78CE" w:rsidP="005405A4">
      <w:pPr>
        <w:pStyle w:val="Tabledesillustrations"/>
        <w:tabs>
          <w:tab w:val="right" w:leader="dot" w:pos="9204"/>
        </w:tabs>
        <w:spacing w:before="240" w:after="240"/>
        <w:rPr>
          <w:rFonts w:asciiTheme="majorBidi" w:hAnsiTheme="majorBidi"/>
          <w:b/>
          <w:bCs/>
          <w:color w:val="0070C0"/>
        </w:rPr>
      </w:pPr>
      <w:r>
        <w:rPr>
          <w:rFonts w:asciiTheme="majorBidi" w:hAnsiTheme="majorBidi"/>
          <w:b/>
          <w:bCs/>
          <w:color w:val="0070C0"/>
        </w:rPr>
        <w:fldChar w:fldCharType="end"/>
      </w:r>
    </w:p>
    <w:p w:rsidR="00462F63" w:rsidRDefault="00462F63" w:rsidP="00462F63"/>
    <w:p w:rsidR="00462F63" w:rsidRDefault="00462F63" w:rsidP="005B5C23">
      <w:pPr>
        <w:pStyle w:val="Titre1"/>
        <w:rPr>
          <w:color w:val="0070C0"/>
        </w:rPr>
      </w:pPr>
    </w:p>
    <w:p w:rsidR="00462F63" w:rsidRDefault="00462F63" w:rsidP="00462F63"/>
    <w:p w:rsidR="00F67E78" w:rsidRDefault="00F67E78" w:rsidP="00462F63"/>
    <w:p w:rsidR="00F67E78" w:rsidRDefault="00F67E78" w:rsidP="00462F63"/>
    <w:p w:rsidR="00F67E78" w:rsidRDefault="00F67E78" w:rsidP="00462F63"/>
    <w:p w:rsidR="00F67E78" w:rsidRDefault="00F67E78" w:rsidP="00462F63"/>
    <w:p w:rsidR="00462F63" w:rsidRDefault="00462F63" w:rsidP="00462F63"/>
    <w:p w:rsidR="00F67E78" w:rsidRDefault="00F67E78" w:rsidP="00462F63"/>
    <w:p w:rsidR="00F67E78" w:rsidRDefault="00F67E78" w:rsidP="00462F63"/>
    <w:p w:rsidR="00F67E78" w:rsidRDefault="00F67E78" w:rsidP="00462F63"/>
    <w:p w:rsidR="00002361" w:rsidRDefault="00002361">
      <w:r>
        <w:br w:type="page"/>
      </w:r>
    </w:p>
    <w:p w:rsidR="00BC2DF5" w:rsidRPr="008B74DA" w:rsidRDefault="00951E73" w:rsidP="005405A4">
      <w:pPr>
        <w:pStyle w:val="Titre1"/>
        <w:rPr>
          <w:color w:val="0070C0"/>
        </w:rPr>
      </w:pPr>
      <w:bookmarkStart w:id="2" w:name="_Toc45551132"/>
      <w:r w:rsidRPr="008B74DA">
        <w:rPr>
          <w:color w:val="0070C0"/>
        </w:rPr>
        <w:lastRenderedPageBreak/>
        <w:t>Listes des tableaux annexe</w:t>
      </w:r>
      <w:r w:rsidR="00F67E78" w:rsidRPr="008B74DA">
        <w:rPr>
          <w:color w:val="0070C0"/>
        </w:rPr>
        <w:t>s</w:t>
      </w:r>
      <w:bookmarkEnd w:id="2"/>
    </w:p>
    <w:p w:rsidR="00F67E78" w:rsidRPr="00F67E78" w:rsidRDefault="00F67E78" w:rsidP="00F67E78"/>
    <w:p w:rsidR="008B74DA" w:rsidRPr="008B74DA" w:rsidRDefault="00DE78CE" w:rsidP="008B74DA">
      <w:pPr>
        <w:pStyle w:val="Tabledesillustrations"/>
        <w:tabs>
          <w:tab w:val="right" w:leader="dot" w:pos="9204"/>
        </w:tabs>
        <w:spacing w:before="120"/>
        <w:rPr>
          <w:rFonts w:asciiTheme="majorBidi" w:eastAsiaTheme="minorEastAsia" w:hAnsiTheme="majorBidi" w:cstheme="majorBidi"/>
          <w:noProof/>
          <w:lang w:eastAsia="fr-FR"/>
        </w:rPr>
      </w:pPr>
      <w:r w:rsidRPr="00DE78CE">
        <w:rPr>
          <w:rFonts w:asciiTheme="majorBidi" w:hAnsiTheme="majorBidi"/>
          <w:b/>
          <w:bCs/>
          <w:color w:val="0070C0"/>
        </w:rPr>
        <w:fldChar w:fldCharType="begin"/>
      </w:r>
      <w:r w:rsidR="00F67E78">
        <w:rPr>
          <w:rFonts w:asciiTheme="majorBidi" w:hAnsiTheme="majorBidi"/>
          <w:b/>
          <w:bCs/>
          <w:color w:val="0070C0"/>
        </w:rPr>
        <w:instrText xml:space="preserve"> TOC \f F \h \z \c "Tableau A" </w:instrText>
      </w:r>
      <w:r w:rsidRPr="00DE78CE">
        <w:rPr>
          <w:rFonts w:asciiTheme="majorBidi" w:hAnsiTheme="majorBidi"/>
          <w:b/>
          <w:bCs/>
          <w:color w:val="0070C0"/>
        </w:rPr>
        <w:fldChar w:fldCharType="separate"/>
      </w:r>
      <w:hyperlink w:anchor="_Toc515274113" w:history="1">
        <w:r w:rsidR="008B74DA" w:rsidRPr="008B74DA">
          <w:rPr>
            <w:rStyle w:val="Lienhypertexte"/>
            <w:rFonts w:asciiTheme="majorBidi" w:hAnsiTheme="majorBidi" w:cstheme="majorBidi"/>
            <w:noProof/>
          </w:rPr>
          <w:t xml:space="preserve">Tableau A 1 : </w:t>
        </w:r>
        <w:r w:rsidR="008B74DA" w:rsidRPr="008B74DA">
          <w:rPr>
            <w:rStyle w:val="Lienhypertexte"/>
            <w:rFonts w:asciiTheme="majorBidi" w:eastAsia="Times New Roman" w:hAnsiTheme="majorBidi" w:cstheme="majorBidi"/>
            <w:noProof/>
            <w:lang w:eastAsia="fr-FR"/>
          </w:rPr>
          <w:t>IPC de la ville de Kenitra par division, groupe et classes de produits</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_Toc515274113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477549">
          <w:rPr>
            <w:rFonts w:asciiTheme="majorBidi" w:hAnsiTheme="majorBidi" w:cstheme="majorBidi"/>
            <w:noProof/>
            <w:webHidden/>
          </w:rPr>
          <w:t>33</w:t>
        </w:r>
        <w:r w:rsidRPr="008B74DA">
          <w:rPr>
            <w:rFonts w:asciiTheme="majorBidi" w:hAnsiTheme="majorBidi" w:cstheme="majorBidi"/>
            <w:noProof/>
            <w:webHidden/>
          </w:rPr>
          <w:fldChar w:fldCharType="end"/>
        </w:r>
      </w:hyperlink>
    </w:p>
    <w:p w:rsidR="008B74DA" w:rsidRPr="008B74DA" w:rsidRDefault="00DE78CE" w:rsidP="008B74DA">
      <w:pPr>
        <w:pStyle w:val="Tabledesillustrations"/>
        <w:tabs>
          <w:tab w:val="right" w:leader="dot" w:pos="9204"/>
        </w:tabs>
        <w:spacing w:before="120"/>
        <w:rPr>
          <w:rFonts w:asciiTheme="majorBidi" w:eastAsiaTheme="minorEastAsia" w:hAnsiTheme="majorBidi" w:cstheme="majorBidi"/>
          <w:noProof/>
          <w:lang w:eastAsia="fr-FR"/>
        </w:rPr>
      </w:pPr>
      <w:hyperlink w:anchor="_Toc515274114" w:history="1">
        <w:r w:rsidR="008B74DA" w:rsidRPr="008B74DA">
          <w:rPr>
            <w:rStyle w:val="Lienhypertexte"/>
            <w:rFonts w:asciiTheme="majorBidi" w:hAnsiTheme="majorBidi" w:cstheme="majorBidi"/>
            <w:noProof/>
          </w:rPr>
          <w:t xml:space="preserve">Tableau A 2 : </w:t>
        </w:r>
        <w:r w:rsidR="008B74DA" w:rsidRPr="008B74DA">
          <w:rPr>
            <w:rStyle w:val="Lienhypertexte"/>
            <w:rFonts w:asciiTheme="majorBidi" w:eastAsia="Times New Roman" w:hAnsiTheme="majorBidi" w:cstheme="majorBidi"/>
            <w:noProof/>
            <w:lang w:eastAsia="fr-FR"/>
          </w:rPr>
          <w:t>IPC de la ville de Kénitra par division et par mois - Année 2017-</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_Toc515274114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477549">
          <w:rPr>
            <w:rFonts w:asciiTheme="majorBidi" w:hAnsiTheme="majorBidi" w:cstheme="majorBidi"/>
            <w:noProof/>
            <w:webHidden/>
          </w:rPr>
          <w:t>40</w:t>
        </w:r>
        <w:r w:rsidRPr="008B74DA">
          <w:rPr>
            <w:rFonts w:asciiTheme="majorBidi" w:hAnsiTheme="majorBidi" w:cstheme="majorBidi"/>
            <w:noProof/>
            <w:webHidden/>
          </w:rPr>
          <w:fldChar w:fldCharType="end"/>
        </w:r>
      </w:hyperlink>
    </w:p>
    <w:p w:rsidR="008B74DA" w:rsidRPr="008B74DA" w:rsidRDefault="00DE78CE" w:rsidP="008B74DA">
      <w:pPr>
        <w:pStyle w:val="Tabledesillustrations"/>
        <w:tabs>
          <w:tab w:val="right" w:leader="dot" w:pos="9204"/>
        </w:tabs>
        <w:spacing w:before="120"/>
        <w:rPr>
          <w:rFonts w:asciiTheme="majorBidi" w:eastAsiaTheme="minorEastAsia" w:hAnsiTheme="majorBidi" w:cstheme="majorBidi"/>
          <w:noProof/>
          <w:lang w:eastAsia="fr-FR"/>
        </w:rPr>
      </w:pPr>
      <w:hyperlink w:anchor="_Toc515274115" w:history="1">
        <w:r w:rsidR="008B74DA" w:rsidRPr="008B74DA">
          <w:rPr>
            <w:rStyle w:val="Lienhypertexte"/>
            <w:rFonts w:asciiTheme="majorBidi" w:hAnsiTheme="majorBidi" w:cstheme="majorBidi"/>
            <w:noProof/>
          </w:rPr>
          <w:t xml:space="preserve">Tableau A 3 : </w:t>
        </w:r>
        <w:r w:rsidR="008B74DA" w:rsidRPr="008B74DA">
          <w:rPr>
            <w:rStyle w:val="Lienhypertexte"/>
            <w:rFonts w:asciiTheme="majorBidi" w:eastAsia="Times New Roman" w:hAnsiTheme="majorBidi" w:cstheme="majorBidi"/>
            <w:noProof/>
            <w:lang w:eastAsia="fr-FR"/>
          </w:rPr>
          <w:t>IPC de la ville de Kénitra par division et par mois - Année 2016-</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_Toc515274115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477549">
          <w:rPr>
            <w:rFonts w:asciiTheme="majorBidi" w:hAnsiTheme="majorBidi" w:cstheme="majorBidi"/>
            <w:noProof/>
            <w:webHidden/>
          </w:rPr>
          <w:t>43</w:t>
        </w:r>
        <w:r w:rsidRPr="008B74DA">
          <w:rPr>
            <w:rFonts w:asciiTheme="majorBidi" w:hAnsiTheme="majorBidi" w:cstheme="majorBidi"/>
            <w:noProof/>
            <w:webHidden/>
          </w:rPr>
          <w:fldChar w:fldCharType="end"/>
        </w:r>
      </w:hyperlink>
    </w:p>
    <w:p w:rsidR="008B74DA" w:rsidRPr="008B74DA" w:rsidRDefault="00DE78CE" w:rsidP="008B74DA">
      <w:pPr>
        <w:pStyle w:val="Tabledesillustrations"/>
        <w:tabs>
          <w:tab w:val="right" w:leader="dot" w:pos="9204"/>
        </w:tabs>
        <w:spacing w:before="120"/>
        <w:rPr>
          <w:rFonts w:asciiTheme="majorBidi" w:eastAsiaTheme="minorEastAsia" w:hAnsiTheme="majorBidi" w:cstheme="majorBidi"/>
          <w:noProof/>
          <w:lang w:eastAsia="fr-FR"/>
        </w:rPr>
      </w:pPr>
      <w:hyperlink w:anchor="_Toc515274116" w:history="1">
        <w:r w:rsidR="008B74DA" w:rsidRPr="008B74DA">
          <w:rPr>
            <w:rStyle w:val="Lienhypertexte"/>
            <w:rFonts w:asciiTheme="majorBidi" w:hAnsiTheme="majorBidi" w:cstheme="majorBidi"/>
            <w:noProof/>
          </w:rPr>
          <w:t xml:space="preserve">Tableau A 4 : </w:t>
        </w:r>
        <w:r w:rsidR="008B74DA" w:rsidRPr="008B74DA">
          <w:rPr>
            <w:rStyle w:val="Lienhypertexte"/>
            <w:rFonts w:asciiTheme="majorBidi" w:eastAsia="Times New Roman" w:hAnsiTheme="majorBidi" w:cstheme="majorBidi"/>
            <w:noProof/>
            <w:lang w:eastAsia="fr-FR"/>
          </w:rPr>
          <w:t>IPC de la ville de Kénitra par division et par mois - Année 2015-</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_Toc515274116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477549">
          <w:rPr>
            <w:rFonts w:asciiTheme="majorBidi" w:hAnsiTheme="majorBidi" w:cstheme="majorBidi"/>
            <w:noProof/>
            <w:webHidden/>
          </w:rPr>
          <w:t>44</w:t>
        </w:r>
        <w:r w:rsidRPr="008B74DA">
          <w:rPr>
            <w:rFonts w:asciiTheme="majorBidi" w:hAnsiTheme="majorBidi" w:cstheme="majorBidi"/>
            <w:noProof/>
            <w:webHidden/>
          </w:rPr>
          <w:fldChar w:fldCharType="end"/>
        </w:r>
      </w:hyperlink>
    </w:p>
    <w:p w:rsidR="008B74DA" w:rsidRPr="008B74DA" w:rsidRDefault="00DE78CE" w:rsidP="008B74DA">
      <w:pPr>
        <w:pStyle w:val="Tabledesillustrations"/>
        <w:tabs>
          <w:tab w:val="right" w:leader="dot" w:pos="9204"/>
        </w:tabs>
        <w:spacing w:before="120"/>
        <w:rPr>
          <w:rFonts w:asciiTheme="majorBidi" w:eastAsiaTheme="minorEastAsia" w:hAnsiTheme="majorBidi" w:cstheme="majorBidi"/>
          <w:noProof/>
          <w:lang w:eastAsia="fr-FR"/>
        </w:rPr>
      </w:pPr>
      <w:hyperlink w:anchor="_Toc515274117" w:history="1">
        <w:r w:rsidR="008B74DA" w:rsidRPr="008B74DA">
          <w:rPr>
            <w:rStyle w:val="Lienhypertexte"/>
            <w:rFonts w:asciiTheme="majorBidi" w:hAnsiTheme="majorBidi" w:cstheme="majorBidi"/>
            <w:noProof/>
          </w:rPr>
          <w:t xml:space="preserve">Tableau A 5 : </w:t>
        </w:r>
        <w:r w:rsidR="008B74DA" w:rsidRPr="008B74DA">
          <w:rPr>
            <w:rStyle w:val="Lienhypertexte"/>
            <w:rFonts w:asciiTheme="majorBidi" w:eastAsia="Times New Roman" w:hAnsiTheme="majorBidi" w:cstheme="majorBidi"/>
            <w:noProof/>
            <w:lang w:eastAsia="fr-FR"/>
          </w:rPr>
          <w:t>IPC de la ville de Kénitra par division et par mois - Année 2014 -</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_Toc515274117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477549">
          <w:rPr>
            <w:rFonts w:asciiTheme="majorBidi" w:hAnsiTheme="majorBidi" w:cstheme="majorBidi"/>
            <w:noProof/>
            <w:webHidden/>
          </w:rPr>
          <w:t>45</w:t>
        </w:r>
        <w:r w:rsidRPr="008B74DA">
          <w:rPr>
            <w:rFonts w:asciiTheme="majorBidi" w:hAnsiTheme="majorBidi" w:cstheme="majorBidi"/>
            <w:noProof/>
            <w:webHidden/>
          </w:rPr>
          <w:fldChar w:fldCharType="end"/>
        </w:r>
      </w:hyperlink>
    </w:p>
    <w:p w:rsidR="008B74DA" w:rsidRPr="008B74DA" w:rsidRDefault="00DE78CE" w:rsidP="008B74DA">
      <w:pPr>
        <w:pStyle w:val="Tabledesillustrations"/>
        <w:tabs>
          <w:tab w:val="right" w:leader="dot" w:pos="9204"/>
        </w:tabs>
        <w:spacing w:before="120"/>
        <w:rPr>
          <w:rFonts w:asciiTheme="majorBidi" w:eastAsiaTheme="minorEastAsia" w:hAnsiTheme="majorBidi" w:cstheme="majorBidi"/>
          <w:noProof/>
          <w:lang w:eastAsia="fr-FR"/>
        </w:rPr>
      </w:pPr>
      <w:hyperlink w:anchor="_Toc515274118" w:history="1">
        <w:r w:rsidR="008B74DA" w:rsidRPr="008B74DA">
          <w:rPr>
            <w:rStyle w:val="Lienhypertexte"/>
            <w:rFonts w:asciiTheme="majorBidi" w:hAnsiTheme="majorBidi" w:cstheme="majorBidi"/>
            <w:noProof/>
          </w:rPr>
          <w:t xml:space="preserve">Tableau A 6 : </w:t>
        </w:r>
        <w:r w:rsidR="008B74DA" w:rsidRPr="008B74DA">
          <w:rPr>
            <w:rStyle w:val="Lienhypertexte"/>
            <w:rFonts w:asciiTheme="majorBidi" w:eastAsia="Times New Roman" w:hAnsiTheme="majorBidi" w:cstheme="majorBidi"/>
            <w:noProof/>
            <w:lang w:eastAsia="fr-FR"/>
          </w:rPr>
          <w:t>IPC de la ville de Kénitra par division et par mois - Année 2013-</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_Toc515274118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477549">
          <w:rPr>
            <w:rFonts w:asciiTheme="majorBidi" w:hAnsiTheme="majorBidi" w:cstheme="majorBidi"/>
            <w:noProof/>
            <w:webHidden/>
          </w:rPr>
          <w:t>46</w:t>
        </w:r>
        <w:r w:rsidRPr="008B74DA">
          <w:rPr>
            <w:rFonts w:asciiTheme="majorBidi" w:hAnsiTheme="majorBidi" w:cstheme="majorBidi"/>
            <w:noProof/>
            <w:webHidden/>
          </w:rPr>
          <w:fldChar w:fldCharType="end"/>
        </w:r>
      </w:hyperlink>
    </w:p>
    <w:p w:rsidR="008B74DA" w:rsidRPr="008B74DA" w:rsidRDefault="00DE78CE" w:rsidP="008B74DA">
      <w:pPr>
        <w:pStyle w:val="Tabledesillustrations"/>
        <w:tabs>
          <w:tab w:val="right" w:leader="dot" w:pos="9204"/>
        </w:tabs>
        <w:spacing w:before="120"/>
        <w:rPr>
          <w:rFonts w:asciiTheme="majorBidi" w:eastAsiaTheme="minorEastAsia" w:hAnsiTheme="majorBidi" w:cstheme="majorBidi"/>
          <w:noProof/>
          <w:lang w:eastAsia="fr-FR"/>
        </w:rPr>
      </w:pPr>
      <w:hyperlink w:anchor="_Toc515274119" w:history="1">
        <w:r w:rsidR="008B74DA" w:rsidRPr="008B74DA">
          <w:rPr>
            <w:rStyle w:val="Lienhypertexte"/>
            <w:rFonts w:asciiTheme="majorBidi" w:hAnsiTheme="majorBidi" w:cstheme="majorBidi"/>
            <w:noProof/>
          </w:rPr>
          <w:t xml:space="preserve">Tableau A 7 : </w:t>
        </w:r>
        <w:r w:rsidR="008B74DA" w:rsidRPr="008B74DA">
          <w:rPr>
            <w:rStyle w:val="Lienhypertexte"/>
            <w:rFonts w:asciiTheme="majorBidi" w:eastAsia="Times New Roman" w:hAnsiTheme="majorBidi" w:cstheme="majorBidi"/>
            <w:noProof/>
            <w:lang w:eastAsia="fr-FR"/>
          </w:rPr>
          <w:t>IPC de la ville de Kénitra par division et par mois - Année 2012-</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_Toc515274119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477549">
          <w:rPr>
            <w:rFonts w:asciiTheme="majorBidi" w:hAnsiTheme="majorBidi" w:cstheme="majorBidi"/>
            <w:noProof/>
            <w:webHidden/>
          </w:rPr>
          <w:t>47</w:t>
        </w:r>
        <w:r w:rsidRPr="008B74DA">
          <w:rPr>
            <w:rFonts w:asciiTheme="majorBidi" w:hAnsiTheme="majorBidi" w:cstheme="majorBidi"/>
            <w:noProof/>
            <w:webHidden/>
          </w:rPr>
          <w:fldChar w:fldCharType="end"/>
        </w:r>
      </w:hyperlink>
    </w:p>
    <w:p w:rsidR="008B74DA" w:rsidRPr="008B74DA" w:rsidRDefault="00DE78CE" w:rsidP="008B74DA">
      <w:pPr>
        <w:pStyle w:val="Tabledesillustrations"/>
        <w:tabs>
          <w:tab w:val="right" w:leader="dot" w:pos="9204"/>
        </w:tabs>
        <w:spacing w:before="120"/>
        <w:rPr>
          <w:rFonts w:asciiTheme="majorBidi" w:eastAsiaTheme="minorEastAsia" w:hAnsiTheme="majorBidi" w:cstheme="majorBidi"/>
          <w:noProof/>
          <w:lang w:eastAsia="fr-FR"/>
        </w:rPr>
      </w:pPr>
      <w:hyperlink w:anchor="_Toc515274120" w:history="1">
        <w:r w:rsidR="008B74DA" w:rsidRPr="008B74DA">
          <w:rPr>
            <w:rStyle w:val="Lienhypertexte"/>
            <w:rFonts w:asciiTheme="majorBidi" w:hAnsiTheme="majorBidi" w:cstheme="majorBidi"/>
            <w:noProof/>
          </w:rPr>
          <w:t xml:space="preserve">Tableau A 8 : </w:t>
        </w:r>
        <w:r w:rsidR="008B74DA" w:rsidRPr="008B74DA">
          <w:rPr>
            <w:rStyle w:val="Lienhypertexte"/>
            <w:rFonts w:asciiTheme="majorBidi" w:eastAsia="Times New Roman" w:hAnsiTheme="majorBidi" w:cstheme="majorBidi"/>
            <w:noProof/>
            <w:lang w:eastAsia="fr-FR"/>
          </w:rPr>
          <w:t>IPC de la ville de Kénitra par division et par mois - Année 2011-</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_Toc515274120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477549">
          <w:rPr>
            <w:rFonts w:asciiTheme="majorBidi" w:hAnsiTheme="majorBidi" w:cstheme="majorBidi"/>
            <w:noProof/>
            <w:webHidden/>
          </w:rPr>
          <w:t>48</w:t>
        </w:r>
        <w:r w:rsidRPr="008B74DA">
          <w:rPr>
            <w:rFonts w:asciiTheme="majorBidi" w:hAnsiTheme="majorBidi" w:cstheme="majorBidi"/>
            <w:noProof/>
            <w:webHidden/>
          </w:rPr>
          <w:fldChar w:fldCharType="end"/>
        </w:r>
      </w:hyperlink>
    </w:p>
    <w:p w:rsidR="008B74DA" w:rsidRPr="008B74DA" w:rsidRDefault="00DE78CE" w:rsidP="008B74DA">
      <w:pPr>
        <w:pStyle w:val="Tabledesillustrations"/>
        <w:tabs>
          <w:tab w:val="right" w:leader="dot" w:pos="9204"/>
        </w:tabs>
        <w:spacing w:before="120"/>
        <w:rPr>
          <w:rFonts w:asciiTheme="majorBidi" w:eastAsiaTheme="minorEastAsia" w:hAnsiTheme="majorBidi" w:cstheme="majorBidi"/>
          <w:noProof/>
          <w:lang w:eastAsia="fr-FR"/>
        </w:rPr>
      </w:pPr>
      <w:hyperlink w:anchor="_Toc515274121" w:history="1">
        <w:r w:rsidR="008B74DA" w:rsidRPr="008B74DA">
          <w:rPr>
            <w:rStyle w:val="Lienhypertexte"/>
            <w:rFonts w:asciiTheme="majorBidi" w:hAnsiTheme="majorBidi" w:cstheme="majorBidi"/>
            <w:noProof/>
          </w:rPr>
          <w:t xml:space="preserve">Tableau A 9 : </w:t>
        </w:r>
        <w:r w:rsidR="008B74DA" w:rsidRPr="008B74DA">
          <w:rPr>
            <w:rStyle w:val="Lienhypertexte"/>
            <w:rFonts w:asciiTheme="majorBidi" w:eastAsia="Times New Roman" w:hAnsiTheme="majorBidi" w:cstheme="majorBidi"/>
            <w:noProof/>
            <w:lang w:eastAsia="fr-FR"/>
          </w:rPr>
          <w:t>IPC de la ville de Kénitra par division et par mois - Année 2010 -</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_Toc515274121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477549">
          <w:rPr>
            <w:rFonts w:asciiTheme="majorBidi" w:hAnsiTheme="majorBidi" w:cstheme="majorBidi"/>
            <w:noProof/>
            <w:webHidden/>
          </w:rPr>
          <w:t>49</w:t>
        </w:r>
        <w:r w:rsidRPr="008B74DA">
          <w:rPr>
            <w:rFonts w:asciiTheme="majorBidi" w:hAnsiTheme="majorBidi" w:cstheme="majorBidi"/>
            <w:noProof/>
            <w:webHidden/>
          </w:rPr>
          <w:fldChar w:fldCharType="end"/>
        </w:r>
      </w:hyperlink>
    </w:p>
    <w:p w:rsidR="008B74DA" w:rsidRPr="008B74DA" w:rsidRDefault="00DE78CE" w:rsidP="008B74DA">
      <w:pPr>
        <w:pStyle w:val="Tabledesillustrations"/>
        <w:tabs>
          <w:tab w:val="right" w:leader="dot" w:pos="9204"/>
        </w:tabs>
        <w:spacing w:before="120"/>
        <w:rPr>
          <w:rFonts w:asciiTheme="majorBidi" w:eastAsiaTheme="minorEastAsia" w:hAnsiTheme="majorBidi" w:cstheme="majorBidi"/>
          <w:noProof/>
          <w:lang w:eastAsia="fr-FR"/>
        </w:rPr>
      </w:pPr>
      <w:hyperlink w:anchor="_Toc515274122" w:history="1">
        <w:r w:rsidR="008B74DA" w:rsidRPr="008B74DA">
          <w:rPr>
            <w:rStyle w:val="Lienhypertexte"/>
            <w:rFonts w:asciiTheme="majorBidi" w:hAnsiTheme="majorBidi" w:cstheme="majorBidi"/>
            <w:noProof/>
          </w:rPr>
          <w:t xml:space="preserve">Tableau A 10 : </w:t>
        </w:r>
        <w:r w:rsidR="008B74DA" w:rsidRPr="008B74DA">
          <w:rPr>
            <w:rStyle w:val="Lienhypertexte"/>
            <w:rFonts w:asciiTheme="majorBidi" w:eastAsia="Times New Roman" w:hAnsiTheme="majorBidi" w:cstheme="majorBidi"/>
            <w:noProof/>
            <w:lang w:eastAsia="fr-FR"/>
          </w:rPr>
          <w:t>IPC de la ville de Kénitra par division et par mois - Année 2009 -</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_Toc515274122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477549">
          <w:rPr>
            <w:rFonts w:asciiTheme="majorBidi" w:hAnsiTheme="majorBidi" w:cstheme="majorBidi"/>
            <w:noProof/>
            <w:webHidden/>
          </w:rPr>
          <w:t>50</w:t>
        </w:r>
        <w:r w:rsidRPr="008B74DA">
          <w:rPr>
            <w:rFonts w:asciiTheme="majorBidi" w:hAnsiTheme="majorBidi" w:cstheme="majorBidi"/>
            <w:noProof/>
            <w:webHidden/>
          </w:rPr>
          <w:fldChar w:fldCharType="end"/>
        </w:r>
      </w:hyperlink>
    </w:p>
    <w:p w:rsidR="008B74DA" w:rsidRPr="008B74DA" w:rsidRDefault="00DE78CE" w:rsidP="008B74DA">
      <w:pPr>
        <w:pStyle w:val="Tabledesillustrations"/>
        <w:tabs>
          <w:tab w:val="right" w:leader="dot" w:pos="9204"/>
        </w:tabs>
        <w:spacing w:before="120"/>
        <w:rPr>
          <w:rFonts w:asciiTheme="majorBidi" w:eastAsiaTheme="minorEastAsia" w:hAnsiTheme="majorBidi" w:cstheme="majorBidi"/>
          <w:noProof/>
          <w:lang w:eastAsia="fr-FR"/>
        </w:rPr>
      </w:pPr>
      <w:hyperlink w:anchor="_Toc515274123" w:history="1">
        <w:r w:rsidR="008B74DA" w:rsidRPr="008B74DA">
          <w:rPr>
            <w:rStyle w:val="Lienhypertexte"/>
            <w:rFonts w:asciiTheme="majorBidi" w:hAnsiTheme="majorBidi" w:cstheme="majorBidi"/>
            <w:noProof/>
          </w:rPr>
          <w:t xml:space="preserve">Tableau A 11 : </w:t>
        </w:r>
        <w:r w:rsidR="008B74DA" w:rsidRPr="008B74DA">
          <w:rPr>
            <w:rStyle w:val="Lienhypertexte"/>
            <w:rFonts w:asciiTheme="majorBidi" w:eastAsia="Times New Roman" w:hAnsiTheme="majorBidi" w:cstheme="majorBidi"/>
            <w:noProof/>
            <w:lang w:eastAsia="fr-FR"/>
          </w:rPr>
          <w:t>IPC de la ville de Kénitra par division et par mois - Année 2008 -</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_Toc515274123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477549">
          <w:rPr>
            <w:rFonts w:asciiTheme="majorBidi" w:hAnsiTheme="majorBidi" w:cstheme="majorBidi"/>
            <w:noProof/>
            <w:webHidden/>
          </w:rPr>
          <w:t>51</w:t>
        </w:r>
        <w:r w:rsidRPr="008B74DA">
          <w:rPr>
            <w:rFonts w:asciiTheme="majorBidi" w:hAnsiTheme="majorBidi" w:cstheme="majorBidi"/>
            <w:noProof/>
            <w:webHidden/>
          </w:rPr>
          <w:fldChar w:fldCharType="end"/>
        </w:r>
      </w:hyperlink>
    </w:p>
    <w:p w:rsidR="008B74DA" w:rsidRPr="008B74DA" w:rsidRDefault="00DE78CE" w:rsidP="008B74DA">
      <w:pPr>
        <w:pStyle w:val="Tabledesillustrations"/>
        <w:tabs>
          <w:tab w:val="right" w:leader="dot" w:pos="9204"/>
        </w:tabs>
        <w:spacing w:before="120"/>
        <w:rPr>
          <w:rFonts w:asciiTheme="majorBidi" w:eastAsiaTheme="minorEastAsia" w:hAnsiTheme="majorBidi" w:cstheme="majorBidi"/>
          <w:noProof/>
          <w:lang w:eastAsia="fr-FR"/>
        </w:rPr>
      </w:pPr>
      <w:hyperlink w:anchor="_Toc515274124" w:history="1">
        <w:r w:rsidR="008B74DA" w:rsidRPr="008B74DA">
          <w:rPr>
            <w:rStyle w:val="Lienhypertexte"/>
            <w:rFonts w:asciiTheme="majorBidi" w:hAnsiTheme="majorBidi" w:cstheme="majorBidi"/>
            <w:noProof/>
          </w:rPr>
          <w:t xml:space="preserve">Tableau A 12 : </w:t>
        </w:r>
        <w:r w:rsidR="008B74DA" w:rsidRPr="008B74DA">
          <w:rPr>
            <w:rStyle w:val="Lienhypertexte"/>
            <w:rFonts w:asciiTheme="majorBidi" w:eastAsia="Times New Roman" w:hAnsiTheme="majorBidi" w:cstheme="majorBidi"/>
            <w:noProof/>
            <w:lang w:eastAsia="fr-FR"/>
          </w:rPr>
          <w:t>IPC de la ville de Kénitra par division et par mois - Année 2007-</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_Toc515274124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477549">
          <w:rPr>
            <w:rFonts w:asciiTheme="majorBidi" w:hAnsiTheme="majorBidi" w:cstheme="majorBidi"/>
            <w:noProof/>
            <w:webHidden/>
          </w:rPr>
          <w:t>52</w:t>
        </w:r>
        <w:r w:rsidRPr="008B74DA">
          <w:rPr>
            <w:rFonts w:asciiTheme="majorBidi" w:hAnsiTheme="majorBidi" w:cstheme="majorBidi"/>
            <w:noProof/>
            <w:webHidden/>
          </w:rPr>
          <w:fldChar w:fldCharType="end"/>
        </w:r>
      </w:hyperlink>
    </w:p>
    <w:p w:rsidR="008B74DA" w:rsidRPr="008B74DA" w:rsidRDefault="00DE78CE" w:rsidP="008B74DA">
      <w:pPr>
        <w:pStyle w:val="Tabledesillustrations"/>
        <w:tabs>
          <w:tab w:val="right" w:leader="dot" w:pos="9204"/>
        </w:tabs>
        <w:spacing w:before="120"/>
        <w:rPr>
          <w:rFonts w:asciiTheme="majorBidi" w:eastAsiaTheme="minorEastAsia" w:hAnsiTheme="majorBidi" w:cstheme="majorBidi"/>
          <w:noProof/>
          <w:lang w:eastAsia="fr-FR"/>
        </w:rPr>
      </w:pPr>
      <w:hyperlink w:anchor="_Toc515274125" w:history="1">
        <w:r w:rsidR="008B74DA" w:rsidRPr="008B74DA">
          <w:rPr>
            <w:rStyle w:val="Lienhypertexte"/>
            <w:rFonts w:asciiTheme="majorBidi" w:hAnsiTheme="majorBidi" w:cstheme="majorBidi"/>
            <w:noProof/>
          </w:rPr>
          <w:t>Tableau A 13 : Evolution de l'IPC  général de la ville de  kénitra et du Maroc entre 2007 et 2017</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_Toc515274125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477549">
          <w:rPr>
            <w:rFonts w:asciiTheme="majorBidi" w:hAnsiTheme="majorBidi" w:cstheme="majorBidi"/>
            <w:noProof/>
            <w:webHidden/>
          </w:rPr>
          <w:t>53</w:t>
        </w:r>
        <w:r w:rsidRPr="008B74DA">
          <w:rPr>
            <w:rFonts w:asciiTheme="majorBidi" w:hAnsiTheme="majorBidi" w:cstheme="majorBidi"/>
            <w:noProof/>
            <w:webHidden/>
          </w:rPr>
          <w:fldChar w:fldCharType="end"/>
        </w:r>
      </w:hyperlink>
    </w:p>
    <w:p w:rsidR="008B74DA" w:rsidRPr="008B74DA" w:rsidRDefault="00DE78CE" w:rsidP="008B74DA">
      <w:pPr>
        <w:pStyle w:val="Tabledesillustrations"/>
        <w:tabs>
          <w:tab w:val="right" w:leader="dot" w:pos="9204"/>
        </w:tabs>
        <w:spacing w:before="120"/>
        <w:rPr>
          <w:rFonts w:asciiTheme="majorBidi" w:eastAsiaTheme="minorEastAsia" w:hAnsiTheme="majorBidi" w:cstheme="majorBidi"/>
          <w:noProof/>
          <w:lang w:eastAsia="fr-FR"/>
        </w:rPr>
      </w:pPr>
      <w:hyperlink w:anchor="_Toc515274126" w:history="1">
        <w:r w:rsidR="008B74DA" w:rsidRPr="008B74DA">
          <w:rPr>
            <w:rStyle w:val="Lienhypertexte"/>
            <w:rFonts w:asciiTheme="majorBidi" w:hAnsiTheme="majorBidi" w:cstheme="majorBidi"/>
            <w:noProof/>
          </w:rPr>
          <w:t>Tableau A 14 : Evolution de l'IPC de la ville de kénitra entre 2007 et 2017 par grande division</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_Toc515274126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477549">
          <w:rPr>
            <w:rFonts w:asciiTheme="majorBidi" w:hAnsiTheme="majorBidi" w:cstheme="majorBidi"/>
            <w:noProof/>
            <w:webHidden/>
          </w:rPr>
          <w:t>53</w:t>
        </w:r>
        <w:r w:rsidRPr="008B74DA">
          <w:rPr>
            <w:rFonts w:asciiTheme="majorBidi" w:hAnsiTheme="majorBidi" w:cstheme="majorBidi"/>
            <w:noProof/>
            <w:webHidden/>
          </w:rPr>
          <w:fldChar w:fldCharType="end"/>
        </w:r>
      </w:hyperlink>
    </w:p>
    <w:p w:rsidR="008B74DA" w:rsidRPr="008B74DA" w:rsidRDefault="00DE78CE" w:rsidP="008B74DA">
      <w:pPr>
        <w:pStyle w:val="Tabledesillustrations"/>
        <w:tabs>
          <w:tab w:val="right" w:leader="dot" w:pos="9204"/>
        </w:tabs>
        <w:spacing w:before="120"/>
        <w:rPr>
          <w:rFonts w:asciiTheme="majorBidi" w:eastAsiaTheme="minorEastAsia" w:hAnsiTheme="majorBidi" w:cstheme="majorBidi"/>
          <w:noProof/>
          <w:lang w:eastAsia="fr-FR"/>
        </w:rPr>
      </w:pPr>
      <w:hyperlink w:anchor="_Toc515274127" w:history="1">
        <w:r w:rsidR="008B74DA" w:rsidRPr="008B74DA">
          <w:rPr>
            <w:rStyle w:val="Lienhypertexte"/>
            <w:rFonts w:asciiTheme="majorBidi" w:hAnsiTheme="majorBidi" w:cstheme="majorBidi"/>
            <w:noProof/>
          </w:rPr>
          <w:t>Tableau A 15 : Evolution de l'inflation générale entre 2007 et 2017</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_Toc515274127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477549">
          <w:rPr>
            <w:rFonts w:asciiTheme="majorBidi" w:hAnsiTheme="majorBidi" w:cstheme="majorBidi"/>
            <w:noProof/>
            <w:webHidden/>
          </w:rPr>
          <w:t>53</w:t>
        </w:r>
        <w:r w:rsidRPr="008B74DA">
          <w:rPr>
            <w:rFonts w:asciiTheme="majorBidi" w:hAnsiTheme="majorBidi" w:cstheme="majorBidi"/>
            <w:noProof/>
            <w:webHidden/>
          </w:rPr>
          <w:fldChar w:fldCharType="end"/>
        </w:r>
      </w:hyperlink>
    </w:p>
    <w:p w:rsidR="008B74DA" w:rsidRDefault="00DE78CE" w:rsidP="008B74DA">
      <w:pPr>
        <w:pStyle w:val="Tabledesillustrations"/>
        <w:tabs>
          <w:tab w:val="right" w:leader="dot" w:pos="9204"/>
        </w:tabs>
        <w:spacing w:before="120"/>
        <w:rPr>
          <w:rFonts w:eastAsiaTheme="minorEastAsia"/>
          <w:noProof/>
          <w:lang w:eastAsia="fr-FR"/>
        </w:rPr>
      </w:pPr>
      <w:hyperlink w:anchor="_Toc515274128" w:history="1">
        <w:r w:rsidR="008B74DA" w:rsidRPr="008B74DA">
          <w:rPr>
            <w:rStyle w:val="Lienhypertexte"/>
            <w:rFonts w:asciiTheme="majorBidi" w:hAnsiTheme="majorBidi" w:cstheme="majorBidi"/>
            <w:noProof/>
          </w:rPr>
          <w:t xml:space="preserve">Tableau A 16 : </w:t>
        </w:r>
        <w:r w:rsidR="008B74DA" w:rsidRPr="008B74DA">
          <w:rPr>
            <w:rStyle w:val="Lienhypertexte"/>
            <w:rFonts w:asciiTheme="majorBidi" w:eastAsia="Times New Roman" w:hAnsiTheme="majorBidi" w:cstheme="majorBidi"/>
            <w:noProof/>
            <w:lang w:eastAsia="fr-FR"/>
          </w:rPr>
          <w:t>IPC général par mois et par ville -Année 2017-</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_Toc515274128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477549">
          <w:rPr>
            <w:rFonts w:asciiTheme="majorBidi" w:hAnsiTheme="majorBidi" w:cstheme="majorBidi"/>
            <w:noProof/>
            <w:webHidden/>
          </w:rPr>
          <w:t>53</w:t>
        </w:r>
        <w:r w:rsidRPr="008B74DA">
          <w:rPr>
            <w:rFonts w:asciiTheme="majorBidi" w:hAnsiTheme="majorBidi" w:cstheme="majorBidi"/>
            <w:noProof/>
            <w:webHidden/>
          </w:rPr>
          <w:fldChar w:fldCharType="end"/>
        </w:r>
      </w:hyperlink>
    </w:p>
    <w:p w:rsidR="00BC2DF5" w:rsidRDefault="00DE78CE" w:rsidP="006A40CB">
      <w:pPr>
        <w:pStyle w:val="Titre1"/>
        <w:rPr>
          <w:rFonts w:asciiTheme="majorBidi" w:hAnsiTheme="majorBidi"/>
          <w:b w:val="0"/>
          <w:bCs w:val="0"/>
          <w:color w:val="0070C0"/>
        </w:rPr>
      </w:pPr>
      <w:r>
        <w:rPr>
          <w:rFonts w:asciiTheme="majorBidi" w:hAnsiTheme="majorBidi"/>
          <w:b w:val="0"/>
          <w:bCs w:val="0"/>
          <w:color w:val="0070C0"/>
        </w:rPr>
        <w:fldChar w:fldCharType="end"/>
      </w:r>
    </w:p>
    <w:p w:rsidR="006A40CB" w:rsidRDefault="006A40CB" w:rsidP="006A40CB"/>
    <w:p w:rsidR="006A40CB" w:rsidRDefault="006A40CB" w:rsidP="006A40CB"/>
    <w:p w:rsidR="006A40CB" w:rsidRPr="006A40CB" w:rsidRDefault="006A40CB" w:rsidP="006A40CB"/>
    <w:p w:rsidR="006A40CB" w:rsidRDefault="006A40CB" w:rsidP="005B5C23">
      <w:pPr>
        <w:pStyle w:val="Titre1"/>
        <w:rPr>
          <w:rFonts w:asciiTheme="majorBidi" w:hAnsiTheme="majorBidi"/>
          <w:color w:val="0070C0"/>
        </w:rPr>
      </w:pPr>
    </w:p>
    <w:p w:rsidR="007B49E0" w:rsidRDefault="007B49E0" w:rsidP="005B5C23">
      <w:pPr>
        <w:pStyle w:val="Titre1"/>
        <w:rPr>
          <w:rFonts w:asciiTheme="majorBidi" w:hAnsiTheme="majorBidi"/>
          <w:color w:val="0070C0"/>
        </w:rPr>
      </w:pPr>
    </w:p>
    <w:p w:rsidR="007B49E0" w:rsidRDefault="007B49E0" w:rsidP="005B5C23">
      <w:pPr>
        <w:pStyle w:val="Titre1"/>
        <w:rPr>
          <w:rFonts w:asciiTheme="majorBidi" w:hAnsiTheme="majorBidi"/>
          <w:color w:val="0070C0"/>
        </w:rPr>
      </w:pPr>
    </w:p>
    <w:p w:rsidR="007B49E0" w:rsidRDefault="007B49E0" w:rsidP="005B5C23">
      <w:pPr>
        <w:pStyle w:val="Titre1"/>
        <w:rPr>
          <w:rFonts w:asciiTheme="majorBidi" w:hAnsiTheme="majorBidi"/>
          <w:color w:val="0070C0"/>
        </w:rPr>
      </w:pPr>
    </w:p>
    <w:p w:rsidR="007B49E0" w:rsidRDefault="007B49E0" w:rsidP="007B49E0"/>
    <w:p w:rsidR="008B74DA" w:rsidRDefault="008B74DA" w:rsidP="008B74DA">
      <w:pPr>
        <w:rPr>
          <w:rFonts w:asciiTheme="majorBidi" w:hAnsiTheme="majorBidi"/>
          <w:color w:val="0070C0"/>
        </w:rPr>
      </w:pPr>
    </w:p>
    <w:p w:rsidR="008B74DA" w:rsidRDefault="008B74DA" w:rsidP="008B74DA">
      <w:pPr>
        <w:rPr>
          <w:rFonts w:asciiTheme="majorBidi" w:hAnsiTheme="majorBidi"/>
          <w:color w:val="0070C0"/>
        </w:rPr>
      </w:pPr>
    </w:p>
    <w:p w:rsidR="00156FC8" w:rsidRDefault="00156FC8" w:rsidP="008B74DA">
      <w:pPr>
        <w:rPr>
          <w:rFonts w:asciiTheme="majorBidi" w:hAnsiTheme="majorBidi"/>
          <w:color w:val="0070C0"/>
        </w:rPr>
      </w:pPr>
    </w:p>
    <w:p w:rsidR="00156FC8" w:rsidRDefault="00156FC8" w:rsidP="008B74DA">
      <w:pPr>
        <w:rPr>
          <w:rFonts w:asciiTheme="majorBidi" w:hAnsiTheme="majorBidi"/>
          <w:color w:val="0070C0"/>
        </w:rPr>
      </w:pPr>
    </w:p>
    <w:p w:rsidR="008B74DA" w:rsidRDefault="008B74DA" w:rsidP="008B74DA">
      <w:pPr>
        <w:rPr>
          <w:rFonts w:asciiTheme="majorBidi" w:hAnsiTheme="majorBidi"/>
          <w:color w:val="0070C0"/>
        </w:rPr>
      </w:pPr>
    </w:p>
    <w:p w:rsidR="008B74DA" w:rsidRDefault="008B74DA" w:rsidP="008B74DA">
      <w:pPr>
        <w:rPr>
          <w:rFonts w:asciiTheme="majorBidi" w:hAnsiTheme="majorBidi"/>
          <w:color w:val="0070C0"/>
        </w:rPr>
      </w:pPr>
    </w:p>
    <w:p w:rsidR="008B74DA" w:rsidRDefault="008B74DA" w:rsidP="008B74DA">
      <w:pPr>
        <w:rPr>
          <w:rFonts w:asciiTheme="majorBidi" w:hAnsiTheme="majorBidi"/>
          <w:color w:val="0070C0"/>
        </w:rPr>
      </w:pPr>
    </w:p>
    <w:p w:rsidR="008B74DA" w:rsidRDefault="008B74DA" w:rsidP="008B74DA">
      <w:pPr>
        <w:rPr>
          <w:rFonts w:asciiTheme="majorBidi" w:hAnsiTheme="majorBidi"/>
          <w:color w:val="0070C0"/>
        </w:rPr>
      </w:pPr>
    </w:p>
    <w:p w:rsidR="008B74DA" w:rsidRDefault="008B74DA" w:rsidP="008B74DA">
      <w:pPr>
        <w:rPr>
          <w:rFonts w:asciiTheme="majorBidi" w:hAnsiTheme="majorBidi"/>
          <w:color w:val="0070C0"/>
        </w:rPr>
      </w:pPr>
    </w:p>
    <w:p w:rsidR="008B74DA" w:rsidRDefault="008B74DA" w:rsidP="008B74DA">
      <w:pPr>
        <w:rPr>
          <w:rFonts w:asciiTheme="majorBidi" w:hAnsiTheme="majorBidi"/>
          <w:color w:val="0070C0"/>
        </w:rPr>
      </w:pPr>
    </w:p>
    <w:p w:rsidR="008B74DA" w:rsidRDefault="008B74DA" w:rsidP="008B74DA">
      <w:pPr>
        <w:rPr>
          <w:rFonts w:asciiTheme="majorBidi" w:hAnsiTheme="majorBidi"/>
          <w:color w:val="0070C0"/>
        </w:rPr>
      </w:pPr>
    </w:p>
    <w:p w:rsidR="008B74DA" w:rsidRPr="00C4542D" w:rsidRDefault="00C4542D" w:rsidP="00C4542D">
      <w:pPr>
        <w:jc w:val="center"/>
        <w:rPr>
          <w:rFonts w:asciiTheme="majorBidi" w:hAnsiTheme="majorBidi"/>
          <w:b/>
          <w:bCs/>
          <w:color w:val="0070C0"/>
          <w:sz w:val="72"/>
          <w:szCs w:val="72"/>
        </w:rPr>
      </w:pPr>
      <w:r w:rsidRPr="00C4542D">
        <w:rPr>
          <w:rFonts w:asciiTheme="majorBidi" w:hAnsiTheme="majorBidi"/>
          <w:b/>
          <w:bCs/>
          <w:color w:val="0070C0"/>
          <w:sz w:val="72"/>
          <w:szCs w:val="72"/>
        </w:rPr>
        <w:t>INTRODUCTION</w:t>
      </w:r>
    </w:p>
    <w:p w:rsidR="007B49E0" w:rsidRDefault="007B49E0" w:rsidP="008B74DA"/>
    <w:p w:rsidR="007B49E0" w:rsidRDefault="007B49E0" w:rsidP="00764ECF">
      <w:r>
        <w:br w:type="page"/>
      </w:r>
    </w:p>
    <w:p w:rsidR="007B49E0" w:rsidRPr="00A15D45" w:rsidRDefault="007B49E0" w:rsidP="00A15D45">
      <w:pPr>
        <w:pStyle w:val="Titre1"/>
        <w:rPr>
          <w:rFonts w:asciiTheme="majorBidi" w:hAnsiTheme="majorBidi"/>
        </w:rPr>
      </w:pPr>
      <w:bookmarkStart w:id="3" w:name="_Toc45551133"/>
      <w:r w:rsidRPr="00A15D45">
        <w:rPr>
          <w:rFonts w:asciiTheme="majorBidi" w:hAnsiTheme="majorBidi"/>
        </w:rPr>
        <w:lastRenderedPageBreak/>
        <w:t>I</w:t>
      </w:r>
      <w:r w:rsidR="00A15D45" w:rsidRPr="00A15D45">
        <w:rPr>
          <w:rFonts w:asciiTheme="majorBidi" w:hAnsiTheme="majorBidi"/>
        </w:rPr>
        <w:t>ntroduction</w:t>
      </w:r>
      <w:bookmarkEnd w:id="3"/>
    </w:p>
    <w:p w:rsidR="0002091A" w:rsidRPr="00612B9A" w:rsidRDefault="0002091A" w:rsidP="004328F8">
      <w:pPr>
        <w:spacing w:before="240" w:after="240" w:line="240" w:lineRule="auto"/>
        <w:jc w:val="both"/>
        <w:rPr>
          <w:rFonts w:asciiTheme="majorBidi" w:hAnsiTheme="majorBidi" w:cstheme="majorBidi"/>
          <w:sz w:val="24"/>
          <w:szCs w:val="24"/>
        </w:rPr>
      </w:pPr>
      <w:r w:rsidRPr="00612B9A">
        <w:rPr>
          <w:rFonts w:asciiTheme="majorBidi" w:hAnsiTheme="majorBidi" w:cstheme="majorBidi"/>
          <w:sz w:val="24"/>
          <w:szCs w:val="24"/>
        </w:rPr>
        <w:t>Définie comme étant une hausse généralisée et durable du niveau des prix, l’inflation est, généralement, mesurée par le biais d’un indice des prix à la consommation (IPC) qui synthétise l’évolution des prix des différents biens et services, à qualité constante, consommés par les ménages entre deux périodes données.</w:t>
      </w:r>
      <w:r w:rsidR="002517EE">
        <w:rPr>
          <w:rFonts w:asciiTheme="majorBidi" w:hAnsiTheme="majorBidi" w:cstheme="majorBidi"/>
          <w:sz w:val="24"/>
          <w:szCs w:val="24"/>
        </w:rPr>
        <w:t xml:space="preserve"> C</w:t>
      </w:r>
      <w:r w:rsidRPr="00612B9A">
        <w:rPr>
          <w:rFonts w:asciiTheme="majorBidi" w:hAnsiTheme="majorBidi" w:cstheme="majorBidi"/>
          <w:sz w:val="24"/>
          <w:szCs w:val="24"/>
        </w:rPr>
        <w:t>et indice revêt un caractère officiel institué par un décret fixant les éléments entrant dans sa composition</w:t>
      </w:r>
      <w:r w:rsidR="0056229E">
        <w:rPr>
          <w:rFonts w:asciiTheme="majorBidi" w:hAnsiTheme="majorBidi" w:cstheme="majorBidi"/>
          <w:sz w:val="24"/>
          <w:szCs w:val="24"/>
        </w:rPr>
        <w:t xml:space="preserve"> (décret n°2-09-529 du 5</w:t>
      </w:r>
      <w:r w:rsidR="004328F8">
        <w:rPr>
          <w:rFonts w:asciiTheme="majorBidi" w:hAnsiTheme="majorBidi" w:cstheme="majorBidi"/>
          <w:sz w:val="24"/>
          <w:szCs w:val="24"/>
        </w:rPr>
        <w:t xml:space="preserve"> </w:t>
      </w:r>
      <w:proofErr w:type="spellStart"/>
      <w:r w:rsidR="004328F8">
        <w:rPr>
          <w:rFonts w:asciiTheme="majorBidi" w:hAnsiTheme="majorBidi" w:cstheme="majorBidi"/>
          <w:sz w:val="24"/>
          <w:szCs w:val="24"/>
        </w:rPr>
        <w:t>D</w:t>
      </w:r>
      <w:r w:rsidR="00005159">
        <w:rPr>
          <w:rFonts w:asciiTheme="majorBidi" w:hAnsiTheme="majorBidi" w:cstheme="majorBidi"/>
          <w:sz w:val="24"/>
          <w:szCs w:val="24"/>
        </w:rPr>
        <w:t>oul</w:t>
      </w:r>
      <w:r w:rsidR="0056229E">
        <w:rPr>
          <w:rFonts w:asciiTheme="majorBidi" w:hAnsiTheme="majorBidi" w:cstheme="majorBidi"/>
          <w:sz w:val="24"/>
          <w:szCs w:val="24"/>
        </w:rPr>
        <w:t>hija</w:t>
      </w:r>
      <w:proofErr w:type="spellEnd"/>
      <w:r w:rsidR="0056229E">
        <w:rPr>
          <w:rFonts w:asciiTheme="majorBidi" w:hAnsiTheme="majorBidi" w:cstheme="majorBidi"/>
          <w:sz w:val="24"/>
          <w:szCs w:val="24"/>
        </w:rPr>
        <w:t xml:space="preserve"> 1430 (23 </w:t>
      </w:r>
      <w:r w:rsidR="004328F8">
        <w:rPr>
          <w:rFonts w:asciiTheme="majorBidi" w:hAnsiTheme="majorBidi" w:cstheme="majorBidi"/>
          <w:sz w:val="24"/>
          <w:szCs w:val="24"/>
        </w:rPr>
        <w:t>N</w:t>
      </w:r>
      <w:r w:rsidR="0056229E">
        <w:rPr>
          <w:rFonts w:asciiTheme="majorBidi" w:hAnsiTheme="majorBidi" w:cstheme="majorBidi"/>
          <w:sz w:val="24"/>
          <w:szCs w:val="24"/>
        </w:rPr>
        <w:t>ovembre 2009), publié dans le BO n°5792)</w:t>
      </w:r>
      <w:r w:rsidRPr="00612B9A">
        <w:rPr>
          <w:rFonts w:asciiTheme="majorBidi" w:hAnsiTheme="majorBidi" w:cstheme="majorBidi"/>
          <w:sz w:val="24"/>
          <w:szCs w:val="24"/>
        </w:rPr>
        <w:t>.</w:t>
      </w:r>
    </w:p>
    <w:p w:rsidR="0002091A" w:rsidRPr="00612B9A" w:rsidRDefault="0002091A" w:rsidP="00725E87">
      <w:pPr>
        <w:spacing w:before="240" w:after="240" w:line="240" w:lineRule="auto"/>
        <w:jc w:val="both"/>
        <w:rPr>
          <w:rFonts w:asciiTheme="majorBidi" w:hAnsiTheme="majorBidi" w:cstheme="majorBidi"/>
          <w:sz w:val="24"/>
          <w:szCs w:val="24"/>
        </w:rPr>
      </w:pPr>
      <w:r w:rsidRPr="00612B9A">
        <w:rPr>
          <w:rFonts w:asciiTheme="majorBidi" w:hAnsiTheme="majorBidi" w:cstheme="majorBidi"/>
          <w:sz w:val="24"/>
          <w:szCs w:val="24"/>
        </w:rPr>
        <w:t>L’IPC joue un triple rôle :</w:t>
      </w:r>
    </w:p>
    <w:p w:rsidR="0002091A" w:rsidRPr="00612B9A" w:rsidRDefault="0002091A" w:rsidP="00725E87">
      <w:pPr>
        <w:pStyle w:val="Paragraphedeliste"/>
        <w:numPr>
          <w:ilvl w:val="0"/>
          <w:numId w:val="28"/>
        </w:numPr>
        <w:spacing w:before="240" w:after="240" w:line="240" w:lineRule="auto"/>
        <w:jc w:val="both"/>
        <w:rPr>
          <w:rFonts w:asciiTheme="majorBidi" w:hAnsiTheme="majorBidi" w:cstheme="majorBidi"/>
          <w:sz w:val="24"/>
          <w:szCs w:val="24"/>
        </w:rPr>
      </w:pPr>
      <w:r w:rsidRPr="00612B9A">
        <w:rPr>
          <w:rFonts w:asciiTheme="majorBidi" w:hAnsiTheme="majorBidi" w:cstheme="majorBidi"/>
          <w:sz w:val="24"/>
          <w:szCs w:val="24"/>
        </w:rPr>
        <w:t>Economique : il permet de suivre, mois par mois, l’inflation et est également utilisé comme déflateur de nombreux agrégats</w:t>
      </w:r>
      <w:r w:rsidR="001241B7" w:rsidRPr="00612B9A">
        <w:rPr>
          <w:rFonts w:asciiTheme="majorBidi" w:hAnsiTheme="majorBidi" w:cstheme="majorBidi"/>
          <w:sz w:val="24"/>
          <w:szCs w:val="24"/>
        </w:rPr>
        <w:t xml:space="preserve"> </w:t>
      </w:r>
      <w:r w:rsidR="00302B06">
        <w:rPr>
          <w:rFonts w:asciiTheme="majorBidi" w:hAnsiTheme="majorBidi" w:cstheme="majorBidi"/>
          <w:sz w:val="24"/>
          <w:szCs w:val="24"/>
        </w:rPr>
        <w:t>macro</w:t>
      </w:r>
      <w:r w:rsidR="001241B7" w:rsidRPr="00612B9A">
        <w:rPr>
          <w:rFonts w:asciiTheme="majorBidi" w:hAnsiTheme="majorBidi" w:cstheme="majorBidi"/>
          <w:sz w:val="24"/>
          <w:szCs w:val="24"/>
        </w:rPr>
        <w:t>économiques (PIB, Consommation,…) pour calculer des évolutio</w:t>
      </w:r>
      <w:r w:rsidR="00302B06">
        <w:rPr>
          <w:rFonts w:asciiTheme="majorBidi" w:hAnsiTheme="majorBidi" w:cstheme="majorBidi"/>
          <w:sz w:val="24"/>
          <w:szCs w:val="24"/>
        </w:rPr>
        <w:t>ns en volume ou en termes réels ;</w:t>
      </w:r>
    </w:p>
    <w:p w:rsidR="001241B7" w:rsidRPr="00612B9A" w:rsidRDefault="001241B7" w:rsidP="00725E87">
      <w:pPr>
        <w:pStyle w:val="Paragraphedeliste"/>
        <w:numPr>
          <w:ilvl w:val="0"/>
          <w:numId w:val="28"/>
        </w:numPr>
        <w:spacing w:before="240" w:after="240" w:line="240" w:lineRule="auto"/>
        <w:jc w:val="both"/>
        <w:rPr>
          <w:rFonts w:asciiTheme="majorBidi" w:hAnsiTheme="majorBidi" w:cstheme="majorBidi"/>
          <w:sz w:val="24"/>
          <w:szCs w:val="24"/>
        </w:rPr>
      </w:pPr>
      <w:r w:rsidRPr="00612B9A">
        <w:rPr>
          <w:rFonts w:asciiTheme="majorBidi" w:hAnsiTheme="majorBidi" w:cstheme="majorBidi"/>
          <w:sz w:val="24"/>
          <w:szCs w:val="24"/>
        </w:rPr>
        <w:t>Socio-économique : l’IPC sert à indexer de nombreux contrats entre les différents partenaires. Il sert, également, d’instrument</w:t>
      </w:r>
      <w:r w:rsidR="00302B06">
        <w:rPr>
          <w:rFonts w:asciiTheme="majorBidi" w:hAnsiTheme="majorBidi" w:cstheme="majorBidi"/>
          <w:sz w:val="24"/>
          <w:szCs w:val="24"/>
        </w:rPr>
        <w:t xml:space="preserve"> de travail pour les chercheurs ;</w:t>
      </w:r>
    </w:p>
    <w:p w:rsidR="00E25D71" w:rsidRDefault="001241B7" w:rsidP="00725E87">
      <w:pPr>
        <w:pStyle w:val="Paragraphedeliste"/>
        <w:numPr>
          <w:ilvl w:val="0"/>
          <w:numId w:val="28"/>
        </w:numPr>
        <w:spacing w:before="240" w:after="240" w:line="240" w:lineRule="auto"/>
        <w:jc w:val="both"/>
        <w:rPr>
          <w:rFonts w:asciiTheme="majorBidi" w:hAnsiTheme="majorBidi" w:cstheme="majorBidi"/>
          <w:sz w:val="24"/>
          <w:szCs w:val="24"/>
        </w:rPr>
      </w:pPr>
      <w:r w:rsidRPr="00E25D71">
        <w:rPr>
          <w:rFonts w:asciiTheme="majorBidi" w:hAnsiTheme="majorBidi" w:cstheme="majorBidi"/>
          <w:sz w:val="24"/>
          <w:szCs w:val="24"/>
        </w:rPr>
        <w:t xml:space="preserve">Monétaire et financier : il est utilisé dans l’élaboration de la politique monétaire à des fins </w:t>
      </w:r>
      <w:r w:rsidR="002F1959" w:rsidRPr="00E25D71">
        <w:rPr>
          <w:rFonts w:asciiTheme="majorBidi" w:hAnsiTheme="majorBidi" w:cstheme="majorBidi"/>
          <w:sz w:val="24"/>
          <w:szCs w:val="24"/>
        </w:rPr>
        <w:t>de comparaison internationale. C’est dans ce sens que les indices des prix ont fait l’objet d’un travail d’harmonisation entre les services statistiques nationaux</w:t>
      </w:r>
      <w:r w:rsidR="00E25D71" w:rsidRPr="00E25D71">
        <w:rPr>
          <w:rFonts w:asciiTheme="majorBidi" w:hAnsiTheme="majorBidi" w:cstheme="majorBidi"/>
          <w:sz w:val="24"/>
          <w:szCs w:val="24"/>
        </w:rPr>
        <w:t>.</w:t>
      </w:r>
      <w:r w:rsidR="002F1959" w:rsidRPr="00E25D71">
        <w:rPr>
          <w:rFonts w:asciiTheme="majorBidi" w:hAnsiTheme="majorBidi" w:cstheme="majorBidi"/>
          <w:sz w:val="24"/>
          <w:szCs w:val="24"/>
        </w:rPr>
        <w:t xml:space="preserve"> </w:t>
      </w:r>
    </w:p>
    <w:p w:rsidR="002F1959" w:rsidRPr="00E25D71" w:rsidRDefault="002F1959" w:rsidP="00E25D71">
      <w:pPr>
        <w:spacing w:before="240" w:after="240" w:line="240" w:lineRule="auto"/>
        <w:jc w:val="both"/>
        <w:rPr>
          <w:rFonts w:asciiTheme="majorBidi" w:hAnsiTheme="majorBidi" w:cstheme="majorBidi"/>
          <w:sz w:val="24"/>
          <w:szCs w:val="24"/>
        </w:rPr>
      </w:pPr>
      <w:r w:rsidRPr="00E25D71">
        <w:rPr>
          <w:rFonts w:asciiTheme="majorBidi" w:hAnsiTheme="majorBidi" w:cstheme="majorBidi"/>
          <w:sz w:val="24"/>
          <w:szCs w:val="24"/>
        </w:rPr>
        <w:t>L’IPC est l’un des principaux indices calculés par le Haut Commissariat au Plan. Pour cela, une enquête permanente sur les prix de détail est réalisée afin de servir de base de données pour le calcul mensuel de l’IPC.</w:t>
      </w:r>
    </w:p>
    <w:p w:rsidR="00612B9A" w:rsidRPr="00612B9A" w:rsidRDefault="00FC4512" w:rsidP="005D5073">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La première partie du présent rapport</w:t>
      </w:r>
      <w:r w:rsidR="001F1549">
        <w:rPr>
          <w:rFonts w:asciiTheme="majorBidi" w:hAnsiTheme="majorBidi" w:cstheme="majorBidi"/>
          <w:sz w:val="24"/>
          <w:szCs w:val="24"/>
        </w:rPr>
        <w:t xml:space="preserve"> </w:t>
      </w:r>
      <w:r w:rsidR="00105F6E" w:rsidRPr="00612B9A">
        <w:rPr>
          <w:rFonts w:asciiTheme="majorBidi" w:hAnsiTheme="majorBidi" w:cstheme="majorBidi"/>
          <w:sz w:val="24"/>
          <w:szCs w:val="24"/>
        </w:rPr>
        <w:t>mettr</w:t>
      </w:r>
      <w:r>
        <w:rPr>
          <w:rFonts w:asciiTheme="majorBidi" w:hAnsiTheme="majorBidi" w:cstheme="majorBidi"/>
          <w:sz w:val="24"/>
          <w:szCs w:val="24"/>
        </w:rPr>
        <w:t>a</w:t>
      </w:r>
      <w:r w:rsidR="00105F6E" w:rsidRPr="00612B9A">
        <w:rPr>
          <w:rFonts w:asciiTheme="majorBidi" w:hAnsiTheme="majorBidi" w:cstheme="majorBidi"/>
          <w:sz w:val="24"/>
          <w:szCs w:val="24"/>
        </w:rPr>
        <w:t xml:space="preserve"> la lumière sur l’historique </w:t>
      </w:r>
      <w:r w:rsidR="005266EA">
        <w:rPr>
          <w:rFonts w:asciiTheme="majorBidi" w:hAnsiTheme="majorBidi" w:cstheme="majorBidi"/>
          <w:sz w:val="24"/>
          <w:szCs w:val="24"/>
        </w:rPr>
        <w:t>d</w:t>
      </w:r>
      <w:r w:rsidR="00105F6E" w:rsidRPr="00612B9A">
        <w:rPr>
          <w:rFonts w:asciiTheme="majorBidi" w:hAnsiTheme="majorBidi" w:cstheme="majorBidi"/>
          <w:sz w:val="24"/>
          <w:szCs w:val="24"/>
        </w:rPr>
        <w:t xml:space="preserve">u système de suivi des prix de détail au Maroc. Ensuite, </w:t>
      </w:r>
      <w:r w:rsidR="00905C64">
        <w:rPr>
          <w:rFonts w:asciiTheme="majorBidi" w:hAnsiTheme="majorBidi" w:cstheme="majorBidi"/>
          <w:sz w:val="24"/>
          <w:szCs w:val="24"/>
        </w:rPr>
        <w:t>le deuxième chapitre</w:t>
      </w:r>
      <w:r w:rsidR="00612B9A" w:rsidRPr="00612B9A">
        <w:rPr>
          <w:rFonts w:asciiTheme="majorBidi" w:hAnsiTheme="majorBidi" w:cstheme="majorBidi"/>
          <w:sz w:val="24"/>
          <w:szCs w:val="24"/>
        </w:rPr>
        <w:t xml:space="preserve"> </w:t>
      </w:r>
      <w:r w:rsidR="004766B3">
        <w:rPr>
          <w:rFonts w:asciiTheme="majorBidi" w:hAnsiTheme="majorBidi" w:cstheme="majorBidi"/>
          <w:sz w:val="24"/>
          <w:szCs w:val="24"/>
        </w:rPr>
        <w:t xml:space="preserve">donnera un aperçu sur </w:t>
      </w:r>
      <w:r w:rsidR="004766B3" w:rsidRPr="00612B9A">
        <w:rPr>
          <w:rFonts w:asciiTheme="majorBidi" w:hAnsiTheme="majorBidi" w:cstheme="majorBidi"/>
          <w:sz w:val="24"/>
          <w:szCs w:val="24"/>
        </w:rPr>
        <w:t>l’aspect méthodologique de l’IPC</w:t>
      </w:r>
      <w:r w:rsidR="004766B3">
        <w:rPr>
          <w:rFonts w:asciiTheme="majorBidi" w:hAnsiTheme="majorBidi" w:cstheme="majorBidi"/>
          <w:sz w:val="24"/>
          <w:szCs w:val="24"/>
        </w:rPr>
        <w:t xml:space="preserve"> où </w:t>
      </w:r>
      <w:r>
        <w:rPr>
          <w:rFonts w:asciiTheme="majorBidi" w:hAnsiTheme="majorBidi" w:cstheme="majorBidi"/>
          <w:sz w:val="24"/>
          <w:szCs w:val="24"/>
        </w:rPr>
        <w:t>on</w:t>
      </w:r>
      <w:r w:rsidR="004766B3">
        <w:rPr>
          <w:rFonts w:asciiTheme="majorBidi" w:hAnsiTheme="majorBidi" w:cstheme="majorBidi"/>
          <w:sz w:val="24"/>
          <w:szCs w:val="24"/>
        </w:rPr>
        <w:t xml:space="preserve"> présenter</w:t>
      </w:r>
      <w:r>
        <w:rPr>
          <w:rFonts w:asciiTheme="majorBidi" w:hAnsiTheme="majorBidi" w:cstheme="majorBidi"/>
          <w:sz w:val="24"/>
          <w:szCs w:val="24"/>
        </w:rPr>
        <w:t>a</w:t>
      </w:r>
      <w:r w:rsidR="004766B3" w:rsidRPr="00612B9A">
        <w:rPr>
          <w:rFonts w:asciiTheme="majorBidi" w:hAnsiTheme="majorBidi" w:cstheme="majorBidi"/>
          <w:sz w:val="24"/>
          <w:szCs w:val="24"/>
        </w:rPr>
        <w:t>, en plus de l’aspect théorique, des éclaircissements sur les démarches suivies pour la réalisation de l’enquête sur les prix à la consommation.</w:t>
      </w:r>
      <w:r w:rsidR="004766B3">
        <w:rPr>
          <w:rFonts w:asciiTheme="majorBidi" w:hAnsiTheme="majorBidi" w:cstheme="majorBidi"/>
          <w:sz w:val="24"/>
          <w:szCs w:val="24"/>
        </w:rPr>
        <w:t xml:space="preserve"> Enfin, le dernier chapitre </w:t>
      </w:r>
      <w:r w:rsidR="00612B9A" w:rsidRPr="00612B9A">
        <w:rPr>
          <w:rFonts w:asciiTheme="majorBidi" w:hAnsiTheme="majorBidi" w:cstheme="majorBidi"/>
          <w:sz w:val="24"/>
          <w:szCs w:val="24"/>
        </w:rPr>
        <w:t xml:space="preserve">sera consacré à l’analyse des </w:t>
      </w:r>
      <w:r w:rsidR="00905C64">
        <w:rPr>
          <w:rFonts w:asciiTheme="majorBidi" w:hAnsiTheme="majorBidi" w:cstheme="majorBidi"/>
          <w:sz w:val="24"/>
          <w:szCs w:val="24"/>
        </w:rPr>
        <w:t xml:space="preserve">principaux </w:t>
      </w:r>
      <w:r w:rsidR="00612B9A" w:rsidRPr="00612B9A">
        <w:rPr>
          <w:rFonts w:asciiTheme="majorBidi" w:hAnsiTheme="majorBidi" w:cstheme="majorBidi"/>
          <w:sz w:val="24"/>
          <w:szCs w:val="24"/>
        </w:rPr>
        <w:t xml:space="preserve">résultats de l’indice des prix à la consommation au niveau de la ville de </w:t>
      </w:r>
      <w:r w:rsidR="00B12946" w:rsidRPr="00612B9A">
        <w:rPr>
          <w:rFonts w:asciiTheme="majorBidi" w:hAnsiTheme="majorBidi" w:cstheme="majorBidi"/>
          <w:sz w:val="24"/>
          <w:szCs w:val="24"/>
        </w:rPr>
        <w:t>Kenitra</w:t>
      </w:r>
      <w:r w:rsidR="00612B9A" w:rsidRPr="00612B9A">
        <w:rPr>
          <w:rFonts w:asciiTheme="majorBidi" w:hAnsiTheme="majorBidi" w:cstheme="majorBidi"/>
          <w:sz w:val="24"/>
          <w:szCs w:val="24"/>
        </w:rPr>
        <w:t xml:space="preserve"> </w:t>
      </w:r>
      <w:r w:rsidR="00302B06">
        <w:rPr>
          <w:rFonts w:asciiTheme="majorBidi" w:hAnsiTheme="majorBidi" w:cstheme="majorBidi"/>
          <w:sz w:val="24"/>
          <w:szCs w:val="24"/>
        </w:rPr>
        <w:t xml:space="preserve">accompagnée d’une </w:t>
      </w:r>
      <w:r w:rsidR="00612B9A" w:rsidRPr="00612B9A">
        <w:rPr>
          <w:rFonts w:asciiTheme="majorBidi" w:hAnsiTheme="majorBidi" w:cstheme="majorBidi"/>
          <w:sz w:val="24"/>
          <w:szCs w:val="24"/>
        </w:rPr>
        <w:t>comparaison avec l’IPC national</w:t>
      </w:r>
      <w:r>
        <w:rPr>
          <w:rFonts w:asciiTheme="majorBidi" w:hAnsiTheme="majorBidi" w:cstheme="majorBidi"/>
          <w:sz w:val="24"/>
          <w:szCs w:val="24"/>
        </w:rPr>
        <w:t xml:space="preserve"> et ce</w:t>
      </w:r>
      <w:r w:rsidR="00E95877">
        <w:rPr>
          <w:rFonts w:asciiTheme="majorBidi" w:hAnsiTheme="majorBidi" w:cstheme="majorBidi"/>
          <w:sz w:val="24"/>
          <w:szCs w:val="24"/>
        </w:rPr>
        <w:t>,</w:t>
      </w:r>
      <w:r>
        <w:rPr>
          <w:rFonts w:asciiTheme="majorBidi" w:hAnsiTheme="majorBidi" w:cstheme="majorBidi"/>
          <w:sz w:val="24"/>
          <w:szCs w:val="24"/>
        </w:rPr>
        <w:t xml:space="preserve"> pour la période allant de 2007 à 201</w:t>
      </w:r>
      <w:r w:rsidR="005D5073">
        <w:rPr>
          <w:rFonts w:asciiTheme="majorBidi" w:hAnsiTheme="majorBidi" w:cstheme="majorBidi"/>
          <w:sz w:val="24"/>
          <w:szCs w:val="24"/>
        </w:rPr>
        <w:t>9</w:t>
      </w:r>
      <w:r>
        <w:rPr>
          <w:rFonts w:asciiTheme="majorBidi" w:hAnsiTheme="majorBidi" w:cstheme="majorBidi"/>
          <w:sz w:val="24"/>
          <w:szCs w:val="24"/>
        </w:rPr>
        <w:t>.</w:t>
      </w:r>
      <w:r w:rsidR="00612B9A" w:rsidRPr="00612B9A">
        <w:rPr>
          <w:rFonts w:asciiTheme="majorBidi" w:hAnsiTheme="majorBidi" w:cstheme="majorBidi"/>
          <w:sz w:val="24"/>
          <w:szCs w:val="24"/>
        </w:rPr>
        <w:t xml:space="preserve"> </w:t>
      </w:r>
    </w:p>
    <w:p w:rsidR="006B1064" w:rsidRPr="00612B9A" w:rsidRDefault="006B1064" w:rsidP="00725E87">
      <w:pPr>
        <w:spacing w:before="240" w:after="240" w:line="240" w:lineRule="auto"/>
        <w:jc w:val="both"/>
        <w:rPr>
          <w:rFonts w:asciiTheme="majorBidi" w:hAnsiTheme="majorBidi" w:cstheme="majorBidi"/>
          <w:sz w:val="24"/>
          <w:szCs w:val="24"/>
        </w:rPr>
      </w:pPr>
    </w:p>
    <w:p w:rsidR="006B1064" w:rsidRPr="00612B9A" w:rsidRDefault="006B1064" w:rsidP="00725E87">
      <w:pPr>
        <w:spacing w:before="240" w:after="240" w:line="240" w:lineRule="auto"/>
        <w:jc w:val="both"/>
        <w:rPr>
          <w:rFonts w:asciiTheme="majorBidi" w:hAnsiTheme="majorBidi" w:cstheme="majorBidi"/>
          <w:sz w:val="24"/>
          <w:szCs w:val="24"/>
        </w:rPr>
      </w:pPr>
    </w:p>
    <w:p w:rsidR="00DF65E2" w:rsidRDefault="00DF65E2" w:rsidP="00586B08">
      <w:pPr>
        <w:pStyle w:val="Titre1"/>
        <w:rPr>
          <w:rFonts w:asciiTheme="majorBidi" w:hAnsiTheme="majorBidi"/>
          <w:color w:val="0070C0"/>
        </w:rPr>
      </w:pPr>
    </w:p>
    <w:p w:rsidR="00DF65E2" w:rsidRDefault="00DF65E2" w:rsidP="00DF65E2"/>
    <w:p w:rsidR="00DF65E2" w:rsidRDefault="00DF65E2" w:rsidP="00DF65E2"/>
    <w:p w:rsidR="00A15D45" w:rsidRDefault="00A15D45" w:rsidP="00DF65E2"/>
    <w:p w:rsidR="00170E99" w:rsidRDefault="00170E99">
      <w:r>
        <w:br w:type="page"/>
      </w:r>
    </w:p>
    <w:p w:rsidR="00170E99" w:rsidRDefault="00170E99"/>
    <w:p w:rsidR="00170E99" w:rsidRDefault="00170E99" w:rsidP="00170E99"/>
    <w:p w:rsidR="00170E99" w:rsidRDefault="00170E99" w:rsidP="00170E99"/>
    <w:p w:rsidR="00170E99" w:rsidRDefault="00170E99" w:rsidP="00170E99"/>
    <w:p w:rsidR="00170E99" w:rsidRDefault="00170E99" w:rsidP="00170E99"/>
    <w:p w:rsidR="00170E99" w:rsidRDefault="00170E99" w:rsidP="00170E99"/>
    <w:p w:rsidR="00170E99" w:rsidRDefault="00170E99" w:rsidP="00170E99"/>
    <w:p w:rsidR="00170E99" w:rsidRDefault="00170E99" w:rsidP="00170E99"/>
    <w:p w:rsidR="00E2154A" w:rsidRPr="00C4542D" w:rsidRDefault="00C4542D" w:rsidP="00170E99">
      <w:pPr>
        <w:rPr>
          <w:rFonts w:asciiTheme="majorBidi" w:hAnsiTheme="majorBidi"/>
          <w:b/>
          <w:bCs/>
          <w:color w:val="0070C0"/>
          <w:sz w:val="72"/>
          <w:szCs w:val="72"/>
        </w:rPr>
      </w:pPr>
      <w:r w:rsidRPr="00C4542D">
        <w:rPr>
          <w:rFonts w:asciiTheme="majorBidi" w:hAnsiTheme="majorBidi"/>
          <w:b/>
          <w:bCs/>
          <w:color w:val="0070C0"/>
          <w:sz w:val="72"/>
          <w:szCs w:val="72"/>
        </w:rPr>
        <w:t>CHAPITRE I</w:t>
      </w:r>
    </w:p>
    <w:p w:rsidR="00C4542D" w:rsidRPr="00C4542D" w:rsidRDefault="00C4542D" w:rsidP="00170E99">
      <w:pPr>
        <w:rPr>
          <w:rFonts w:asciiTheme="majorBidi" w:hAnsiTheme="majorBidi"/>
          <w:b/>
          <w:bCs/>
          <w:color w:val="0070C0"/>
          <w:sz w:val="72"/>
          <w:szCs w:val="72"/>
        </w:rPr>
      </w:pPr>
      <w:r w:rsidRPr="00C4542D">
        <w:rPr>
          <w:rFonts w:asciiTheme="majorBidi" w:hAnsiTheme="majorBidi"/>
          <w:b/>
          <w:bCs/>
          <w:color w:val="0070C0"/>
          <w:sz w:val="72"/>
          <w:szCs w:val="72"/>
        </w:rPr>
        <w:t>HISTORIQUE DU SYSTEME DE SUIVI DES PRIX DE DETAIL</w:t>
      </w:r>
    </w:p>
    <w:p w:rsidR="00E2154A" w:rsidRDefault="00E2154A">
      <w:pPr>
        <w:rPr>
          <w:rFonts w:asciiTheme="majorBidi" w:hAnsiTheme="majorBidi"/>
          <w:color w:val="0070C0"/>
          <w:sz w:val="32"/>
          <w:szCs w:val="32"/>
        </w:rPr>
      </w:pPr>
      <w:r>
        <w:rPr>
          <w:rFonts w:asciiTheme="majorBidi" w:hAnsiTheme="majorBidi"/>
          <w:color w:val="0070C0"/>
          <w:sz w:val="32"/>
          <w:szCs w:val="32"/>
        </w:rPr>
        <w:br w:type="page"/>
      </w:r>
    </w:p>
    <w:p w:rsidR="006B1064" w:rsidRPr="00B432FD" w:rsidRDefault="00170E99" w:rsidP="009C5270">
      <w:pPr>
        <w:pStyle w:val="Titre1"/>
        <w:rPr>
          <w:rFonts w:asciiTheme="majorBidi" w:hAnsiTheme="majorBidi"/>
          <w:color w:val="0070C0"/>
        </w:rPr>
      </w:pPr>
      <w:r w:rsidRPr="00B432FD">
        <w:lastRenderedPageBreak/>
        <w:t xml:space="preserve"> </w:t>
      </w:r>
      <w:bookmarkStart w:id="4" w:name="_Toc45551134"/>
      <w:r w:rsidR="00725E87" w:rsidRPr="00B432FD">
        <w:rPr>
          <w:rFonts w:asciiTheme="majorBidi" w:hAnsiTheme="majorBidi"/>
          <w:color w:val="0070C0"/>
        </w:rPr>
        <w:t xml:space="preserve">I- </w:t>
      </w:r>
      <w:r w:rsidR="00612B9A" w:rsidRPr="00B432FD">
        <w:rPr>
          <w:rFonts w:asciiTheme="majorBidi" w:hAnsiTheme="majorBidi"/>
          <w:color w:val="0070C0"/>
        </w:rPr>
        <w:t>Historique du système de suivi des prix de détail</w:t>
      </w:r>
      <w:bookmarkEnd w:id="4"/>
    </w:p>
    <w:p w:rsidR="00612B9A" w:rsidRDefault="00612B9A" w:rsidP="00725E87">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L’histoire des indices des prix de détail remonte aux années trente</w:t>
      </w:r>
      <w:r w:rsidR="00302B06">
        <w:rPr>
          <w:rFonts w:asciiTheme="majorBidi" w:hAnsiTheme="majorBidi" w:cstheme="majorBidi"/>
          <w:sz w:val="24"/>
          <w:szCs w:val="24"/>
        </w:rPr>
        <w:t>,</w:t>
      </w:r>
      <w:r>
        <w:rPr>
          <w:rFonts w:asciiTheme="majorBidi" w:hAnsiTheme="majorBidi" w:cstheme="majorBidi"/>
          <w:sz w:val="24"/>
          <w:szCs w:val="24"/>
        </w:rPr>
        <w:t xml:space="preserve"> avec le calcul d’un indice au niveau de Casablanca sur la base de 42 articles pour les marocains et 38 pour les européens. Une telle distinction s’imposait vu</w:t>
      </w:r>
      <w:r w:rsidR="00905C64">
        <w:rPr>
          <w:rFonts w:asciiTheme="majorBidi" w:hAnsiTheme="majorBidi" w:cstheme="majorBidi"/>
          <w:sz w:val="24"/>
          <w:szCs w:val="24"/>
        </w:rPr>
        <w:t>es</w:t>
      </w:r>
      <w:r>
        <w:rPr>
          <w:rFonts w:asciiTheme="majorBidi" w:hAnsiTheme="majorBidi" w:cstheme="majorBidi"/>
          <w:sz w:val="24"/>
          <w:szCs w:val="24"/>
        </w:rPr>
        <w:t xml:space="preserve"> les divergences dans les habitudes de consommation entre les deux communautés.</w:t>
      </w:r>
    </w:p>
    <w:p w:rsidR="00612B9A" w:rsidRDefault="00612B9A" w:rsidP="00477549">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Après l’indépendance, un nouvel indice a vu le jour et a remplacé l’ancien </w:t>
      </w:r>
      <w:r w:rsidR="008B1B4C">
        <w:rPr>
          <w:rFonts w:asciiTheme="majorBidi" w:hAnsiTheme="majorBidi" w:cstheme="majorBidi"/>
          <w:sz w:val="24"/>
          <w:szCs w:val="24"/>
        </w:rPr>
        <w:t xml:space="preserve">qui distinguait entre </w:t>
      </w:r>
      <w:r>
        <w:rPr>
          <w:rFonts w:asciiTheme="majorBidi" w:hAnsiTheme="majorBidi" w:cstheme="majorBidi"/>
          <w:sz w:val="24"/>
          <w:szCs w:val="24"/>
        </w:rPr>
        <w:t xml:space="preserve"> </w:t>
      </w:r>
      <w:r w:rsidR="008B1B4C">
        <w:rPr>
          <w:rFonts w:asciiTheme="majorBidi" w:hAnsiTheme="majorBidi" w:cstheme="majorBidi"/>
          <w:sz w:val="24"/>
          <w:szCs w:val="24"/>
        </w:rPr>
        <w:t>la population autochtone et celle étrangère. Celui-ci a été élargi à 111 articles relatifs à un budget modeste des salariés casablancais.</w:t>
      </w:r>
    </w:p>
    <w:p w:rsidR="008B1B4C" w:rsidRDefault="008B1B4C" w:rsidP="00477549">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En 1972, l’indice (base 100 : </w:t>
      </w:r>
      <w:r w:rsidR="00477549">
        <w:rPr>
          <w:rFonts w:asciiTheme="majorBidi" w:hAnsiTheme="majorBidi" w:cstheme="majorBidi"/>
          <w:sz w:val="24"/>
          <w:szCs w:val="24"/>
        </w:rPr>
        <w:t>M</w:t>
      </w:r>
      <w:r>
        <w:rPr>
          <w:rFonts w:asciiTheme="majorBidi" w:hAnsiTheme="majorBidi" w:cstheme="majorBidi"/>
          <w:sz w:val="24"/>
          <w:szCs w:val="24"/>
        </w:rPr>
        <w:t>ai72-</w:t>
      </w:r>
      <w:r w:rsidR="00477549">
        <w:rPr>
          <w:rFonts w:asciiTheme="majorBidi" w:hAnsiTheme="majorBidi" w:cstheme="majorBidi"/>
          <w:sz w:val="24"/>
          <w:szCs w:val="24"/>
        </w:rPr>
        <w:t>A</w:t>
      </w:r>
      <w:r>
        <w:rPr>
          <w:rFonts w:asciiTheme="majorBidi" w:hAnsiTheme="majorBidi" w:cstheme="majorBidi"/>
          <w:sz w:val="24"/>
          <w:szCs w:val="24"/>
        </w:rPr>
        <w:t>vril73)  a été mis en place comme substitut de l’ancien indice (base 100 : oct58-sep59), avec, cette fois-ci, un panier de 210 articles et un champ géographique beaucoup plus étendu</w:t>
      </w:r>
      <w:r w:rsidR="00302B06">
        <w:rPr>
          <w:rFonts w:asciiTheme="majorBidi" w:hAnsiTheme="majorBidi" w:cstheme="majorBidi"/>
          <w:sz w:val="24"/>
          <w:szCs w:val="24"/>
        </w:rPr>
        <w:t>,</w:t>
      </w:r>
      <w:r>
        <w:rPr>
          <w:rFonts w:asciiTheme="majorBidi" w:hAnsiTheme="majorBidi" w:cstheme="majorBidi"/>
          <w:sz w:val="24"/>
          <w:szCs w:val="24"/>
        </w:rPr>
        <w:t xml:space="preserve"> couvrant huit villes à savo</w:t>
      </w:r>
      <w:r w:rsidR="00477549">
        <w:rPr>
          <w:rFonts w:asciiTheme="majorBidi" w:hAnsiTheme="majorBidi" w:cstheme="majorBidi"/>
          <w:sz w:val="24"/>
          <w:szCs w:val="24"/>
        </w:rPr>
        <w:t xml:space="preserve">ir : Agadir, Casablanca, Fès, </w:t>
      </w:r>
      <w:proofErr w:type="spellStart"/>
      <w:r w:rsidR="00477549">
        <w:rPr>
          <w:rFonts w:asciiTheme="majorBidi" w:hAnsiTheme="majorBidi" w:cstheme="majorBidi"/>
          <w:sz w:val="24"/>
          <w:szCs w:val="24"/>
        </w:rPr>
        <w:t>Ké</w:t>
      </w:r>
      <w:r>
        <w:rPr>
          <w:rFonts w:asciiTheme="majorBidi" w:hAnsiTheme="majorBidi" w:cstheme="majorBidi"/>
          <w:sz w:val="24"/>
          <w:szCs w:val="24"/>
        </w:rPr>
        <w:t>nitra</w:t>
      </w:r>
      <w:proofErr w:type="spellEnd"/>
      <w:r>
        <w:rPr>
          <w:rFonts w:asciiTheme="majorBidi" w:hAnsiTheme="majorBidi" w:cstheme="majorBidi"/>
          <w:sz w:val="24"/>
          <w:szCs w:val="24"/>
        </w:rPr>
        <w:t>, Marrakech, Oujda, Rabat et Této</w:t>
      </w:r>
      <w:r w:rsidR="00477549">
        <w:rPr>
          <w:rFonts w:asciiTheme="majorBidi" w:hAnsiTheme="majorBidi" w:cstheme="majorBidi"/>
          <w:sz w:val="24"/>
          <w:szCs w:val="24"/>
        </w:rPr>
        <w:t>uan. La population de référence</w:t>
      </w:r>
      <w:r>
        <w:rPr>
          <w:rFonts w:asciiTheme="majorBidi" w:hAnsiTheme="majorBidi" w:cstheme="majorBidi"/>
          <w:sz w:val="24"/>
          <w:szCs w:val="24"/>
        </w:rPr>
        <w:t xml:space="preserve">, elle aussi, </w:t>
      </w:r>
      <w:r w:rsidR="00477549">
        <w:rPr>
          <w:rFonts w:asciiTheme="majorBidi" w:hAnsiTheme="majorBidi" w:cstheme="majorBidi"/>
          <w:sz w:val="24"/>
          <w:szCs w:val="24"/>
        </w:rPr>
        <w:t xml:space="preserve">a </w:t>
      </w:r>
      <w:r>
        <w:rPr>
          <w:rFonts w:asciiTheme="majorBidi" w:hAnsiTheme="majorBidi" w:cstheme="majorBidi"/>
          <w:sz w:val="24"/>
          <w:szCs w:val="24"/>
        </w:rPr>
        <w:t xml:space="preserve">été élargie pour englober toute la classe moyenne </w:t>
      </w:r>
      <w:r w:rsidR="00CC4351">
        <w:rPr>
          <w:rFonts w:asciiTheme="majorBidi" w:hAnsiTheme="majorBidi" w:cstheme="majorBidi"/>
          <w:sz w:val="24"/>
          <w:szCs w:val="24"/>
        </w:rPr>
        <w:t>(</w:t>
      </w:r>
      <w:r w:rsidR="00477549">
        <w:rPr>
          <w:rFonts w:asciiTheme="majorBidi" w:hAnsiTheme="majorBidi" w:cstheme="majorBidi"/>
          <w:sz w:val="24"/>
          <w:szCs w:val="24"/>
        </w:rPr>
        <w:t>C</w:t>
      </w:r>
      <w:r w:rsidR="00CC4351">
        <w:rPr>
          <w:rFonts w:asciiTheme="majorBidi" w:hAnsiTheme="majorBidi" w:cstheme="majorBidi"/>
          <w:sz w:val="24"/>
          <w:szCs w:val="24"/>
        </w:rPr>
        <w:t>adres</w:t>
      </w:r>
      <w:r>
        <w:rPr>
          <w:rFonts w:asciiTheme="majorBidi" w:hAnsiTheme="majorBidi" w:cstheme="majorBidi"/>
          <w:sz w:val="24"/>
          <w:szCs w:val="24"/>
        </w:rPr>
        <w:t xml:space="preserve"> moyens, </w:t>
      </w:r>
      <w:r w:rsidR="00477549">
        <w:rPr>
          <w:rFonts w:asciiTheme="majorBidi" w:hAnsiTheme="majorBidi" w:cstheme="majorBidi"/>
          <w:sz w:val="24"/>
          <w:szCs w:val="24"/>
        </w:rPr>
        <w:t>C</w:t>
      </w:r>
      <w:r w:rsidR="00CC4351">
        <w:rPr>
          <w:rFonts w:asciiTheme="majorBidi" w:hAnsiTheme="majorBidi" w:cstheme="majorBidi"/>
          <w:sz w:val="24"/>
          <w:szCs w:val="24"/>
        </w:rPr>
        <w:t>ommerçants,</w:t>
      </w:r>
      <w:r>
        <w:rPr>
          <w:rFonts w:asciiTheme="majorBidi" w:hAnsiTheme="majorBidi" w:cstheme="majorBidi"/>
          <w:sz w:val="24"/>
          <w:szCs w:val="24"/>
        </w:rPr>
        <w:t xml:space="preserve"> </w:t>
      </w:r>
      <w:r w:rsidR="00477549">
        <w:rPr>
          <w:rFonts w:asciiTheme="majorBidi" w:hAnsiTheme="majorBidi" w:cstheme="majorBidi"/>
          <w:sz w:val="24"/>
          <w:szCs w:val="24"/>
        </w:rPr>
        <w:t>I</w:t>
      </w:r>
      <w:r>
        <w:rPr>
          <w:rFonts w:asciiTheme="majorBidi" w:hAnsiTheme="majorBidi" w:cstheme="majorBidi"/>
          <w:sz w:val="24"/>
          <w:szCs w:val="24"/>
        </w:rPr>
        <w:t xml:space="preserve">ndépendants non agricoles, </w:t>
      </w:r>
      <w:r w:rsidR="00477549">
        <w:rPr>
          <w:rFonts w:asciiTheme="majorBidi" w:hAnsiTheme="majorBidi" w:cstheme="majorBidi"/>
          <w:sz w:val="24"/>
          <w:szCs w:val="24"/>
        </w:rPr>
        <w:t>E</w:t>
      </w:r>
      <w:r>
        <w:rPr>
          <w:rFonts w:asciiTheme="majorBidi" w:hAnsiTheme="majorBidi" w:cstheme="majorBidi"/>
          <w:sz w:val="24"/>
          <w:szCs w:val="24"/>
        </w:rPr>
        <w:t>mployés d</w:t>
      </w:r>
      <w:r w:rsidR="00477549">
        <w:rPr>
          <w:rFonts w:asciiTheme="majorBidi" w:hAnsiTheme="majorBidi" w:cstheme="majorBidi"/>
          <w:sz w:val="24"/>
          <w:szCs w:val="24"/>
        </w:rPr>
        <w:t>ans les</w:t>
      </w:r>
      <w:r>
        <w:rPr>
          <w:rFonts w:asciiTheme="majorBidi" w:hAnsiTheme="majorBidi" w:cstheme="majorBidi"/>
          <w:sz w:val="24"/>
          <w:szCs w:val="24"/>
        </w:rPr>
        <w:t xml:space="preserve"> bureaux et les services et </w:t>
      </w:r>
      <w:r w:rsidR="00477549">
        <w:rPr>
          <w:rFonts w:asciiTheme="majorBidi" w:hAnsiTheme="majorBidi" w:cstheme="majorBidi"/>
          <w:sz w:val="24"/>
          <w:szCs w:val="24"/>
        </w:rPr>
        <w:t>O</w:t>
      </w:r>
      <w:r>
        <w:rPr>
          <w:rFonts w:asciiTheme="majorBidi" w:hAnsiTheme="majorBidi" w:cstheme="majorBidi"/>
          <w:sz w:val="24"/>
          <w:szCs w:val="24"/>
        </w:rPr>
        <w:t>uvriers non agricoles)</w:t>
      </w:r>
      <w:r w:rsidR="00CC4351">
        <w:rPr>
          <w:rFonts w:asciiTheme="majorBidi" w:hAnsiTheme="majorBidi" w:cstheme="majorBidi"/>
          <w:sz w:val="24"/>
          <w:szCs w:val="24"/>
        </w:rPr>
        <w:t>.</w:t>
      </w:r>
    </w:p>
    <w:p w:rsidR="00CC4351" w:rsidRDefault="00CC4351" w:rsidP="00725E87">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De même , cet indice a été réformé et remplacé par l’indice du coût de la vie (base 100 : 1989) qui avait le même objectif, à savoir la mesure de la variation des prix, entre deux dates données, des biens et services consommés, toujours par la population dite modeste vivant dans le milieu urbain. Le nombre d’articles composant le panier de cet indice a atteint 385  avec une couverture géographique de onze villes (trois villes de plus par rapport à l’ICV de 1972 et qui sont</w:t>
      </w:r>
      <w:r w:rsidR="00E95877">
        <w:rPr>
          <w:rFonts w:asciiTheme="majorBidi" w:hAnsiTheme="majorBidi" w:cstheme="majorBidi"/>
          <w:sz w:val="24"/>
          <w:szCs w:val="24"/>
        </w:rPr>
        <w:t> :</w:t>
      </w:r>
      <w:r>
        <w:rPr>
          <w:rFonts w:asciiTheme="majorBidi" w:hAnsiTheme="majorBidi" w:cstheme="majorBidi"/>
          <w:sz w:val="24"/>
          <w:szCs w:val="24"/>
        </w:rPr>
        <w:t xml:space="preserve"> Meknès, Tanger et </w:t>
      </w:r>
      <w:proofErr w:type="spellStart"/>
      <w:r>
        <w:rPr>
          <w:rFonts w:asciiTheme="majorBidi" w:hAnsiTheme="majorBidi" w:cstheme="majorBidi"/>
          <w:sz w:val="24"/>
          <w:szCs w:val="24"/>
        </w:rPr>
        <w:t>L</w:t>
      </w:r>
      <w:r w:rsidR="003C05C9">
        <w:rPr>
          <w:rFonts w:asciiTheme="majorBidi" w:hAnsiTheme="majorBidi" w:cstheme="majorBidi"/>
          <w:sz w:val="24"/>
          <w:szCs w:val="24"/>
        </w:rPr>
        <w:t>â</w:t>
      </w:r>
      <w:r>
        <w:rPr>
          <w:rFonts w:asciiTheme="majorBidi" w:hAnsiTheme="majorBidi" w:cstheme="majorBidi"/>
          <w:sz w:val="24"/>
          <w:szCs w:val="24"/>
        </w:rPr>
        <w:t>ayoune</w:t>
      </w:r>
      <w:proofErr w:type="spellEnd"/>
      <w:r>
        <w:rPr>
          <w:rFonts w:asciiTheme="majorBidi" w:hAnsiTheme="majorBidi" w:cstheme="majorBidi"/>
          <w:sz w:val="24"/>
          <w:szCs w:val="24"/>
        </w:rPr>
        <w:t>).</w:t>
      </w:r>
    </w:p>
    <w:p w:rsidR="00CC4351" w:rsidRDefault="00CC4351" w:rsidP="00477549">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Avec l’avènement de l’</w:t>
      </w:r>
      <w:r w:rsidR="00477549">
        <w:rPr>
          <w:rFonts w:asciiTheme="majorBidi" w:hAnsiTheme="majorBidi" w:cstheme="majorBidi"/>
          <w:sz w:val="24"/>
          <w:szCs w:val="24"/>
        </w:rPr>
        <w:t>E</w:t>
      </w:r>
      <w:r>
        <w:rPr>
          <w:rFonts w:asciiTheme="majorBidi" w:hAnsiTheme="majorBidi" w:cstheme="majorBidi"/>
          <w:sz w:val="24"/>
          <w:szCs w:val="24"/>
        </w:rPr>
        <w:t xml:space="preserve">nquête </w:t>
      </w:r>
      <w:r w:rsidR="00477549">
        <w:rPr>
          <w:rFonts w:asciiTheme="majorBidi" w:hAnsiTheme="majorBidi" w:cstheme="majorBidi"/>
          <w:sz w:val="24"/>
          <w:szCs w:val="24"/>
        </w:rPr>
        <w:t>N</w:t>
      </w:r>
      <w:r>
        <w:rPr>
          <w:rFonts w:asciiTheme="majorBidi" w:hAnsiTheme="majorBidi" w:cstheme="majorBidi"/>
          <w:sz w:val="24"/>
          <w:szCs w:val="24"/>
        </w:rPr>
        <w:t xml:space="preserve">ationale sur la </w:t>
      </w:r>
      <w:r w:rsidR="00477549">
        <w:rPr>
          <w:rFonts w:asciiTheme="majorBidi" w:hAnsiTheme="majorBidi" w:cstheme="majorBidi"/>
          <w:sz w:val="24"/>
          <w:szCs w:val="24"/>
        </w:rPr>
        <w:t>C</w:t>
      </w:r>
      <w:r>
        <w:rPr>
          <w:rFonts w:asciiTheme="majorBidi" w:hAnsiTheme="majorBidi" w:cstheme="majorBidi"/>
          <w:sz w:val="24"/>
          <w:szCs w:val="24"/>
        </w:rPr>
        <w:t xml:space="preserve">onsommation et les </w:t>
      </w:r>
      <w:r w:rsidR="00477549">
        <w:rPr>
          <w:rFonts w:asciiTheme="majorBidi" w:hAnsiTheme="majorBidi" w:cstheme="majorBidi"/>
          <w:sz w:val="24"/>
          <w:szCs w:val="24"/>
        </w:rPr>
        <w:t>D</w:t>
      </w:r>
      <w:r>
        <w:rPr>
          <w:rFonts w:asciiTheme="majorBidi" w:hAnsiTheme="majorBidi" w:cstheme="majorBidi"/>
          <w:sz w:val="24"/>
          <w:szCs w:val="24"/>
        </w:rPr>
        <w:t xml:space="preserve">épenses des </w:t>
      </w:r>
      <w:r w:rsidR="00477549">
        <w:rPr>
          <w:rFonts w:asciiTheme="majorBidi" w:hAnsiTheme="majorBidi" w:cstheme="majorBidi"/>
          <w:sz w:val="24"/>
          <w:szCs w:val="24"/>
        </w:rPr>
        <w:t>M</w:t>
      </w:r>
      <w:r>
        <w:rPr>
          <w:rFonts w:asciiTheme="majorBidi" w:hAnsiTheme="majorBidi" w:cstheme="majorBidi"/>
          <w:sz w:val="24"/>
          <w:szCs w:val="24"/>
        </w:rPr>
        <w:t>énages de 2001 et du Recensement Général de la Population et de l’Habitat de 2004, un besoin fort a été ressenti pour la réforme de l’ICV (base 100 :1989).</w:t>
      </w:r>
      <w:r w:rsidR="00754997">
        <w:rPr>
          <w:rFonts w:asciiTheme="majorBidi" w:hAnsiTheme="majorBidi" w:cstheme="majorBidi"/>
          <w:sz w:val="24"/>
          <w:szCs w:val="24"/>
        </w:rPr>
        <w:t xml:space="preserve"> D’autant plus, les articles constituant le panier de cet indice sont devenus obsolescents, vu qu’ils sont basés sur l’</w:t>
      </w:r>
      <w:r w:rsidR="00477549">
        <w:rPr>
          <w:rFonts w:asciiTheme="majorBidi" w:hAnsiTheme="majorBidi" w:cstheme="majorBidi"/>
          <w:sz w:val="24"/>
          <w:szCs w:val="24"/>
        </w:rPr>
        <w:t>E</w:t>
      </w:r>
      <w:r w:rsidR="00754997">
        <w:rPr>
          <w:rFonts w:asciiTheme="majorBidi" w:hAnsiTheme="majorBidi" w:cstheme="majorBidi"/>
          <w:sz w:val="24"/>
          <w:szCs w:val="24"/>
        </w:rPr>
        <w:t>nquête</w:t>
      </w:r>
      <w:r>
        <w:rPr>
          <w:rFonts w:asciiTheme="majorBidi" w:hAnsiTheme="majorBidi" w:cstheme="majorBidi"/>
          <w:sz w:val="24"/>
          <w:szCs w:val="24"/>
        </w:rPr>
        <w:t xml:space="preserve"> </w:t>
      </w:r>
      <w:r w:rsidR="00477549">
        <w:rPr>
          <w:rFonts w:asciiTheme="majorBidi" w:hAnsiTheme="majorBidi" w:cstheme="majorBidi"/>
          <w:sz w:val="24"/>
          <w:szCs w:val="24"/>
        </w:rPr>
        <w:t>N</w:t>
      </w:r>
      <w:r w:rsidR="00754997">
        <w:rPr>
          <w:rFonts w:asciiTheme="majorBidi" w:hAnsiTheme="majorBidi" w:cstheme="majorBidi"/>
          <w:sz w:val="24"/>
          <w:szCs w:val="24"/>
        </w:rPr>
        <w:t xml:space="preserve">ationale sur la </w:t>
      </w:r>
      <w:r w:rsidR="00477549">
        <w:rPr>
          <w:rFonts w:asciiTheme="majorBidi" w:hAnsiTheme="majorBidi" w:cstheme="majorBidi"/>
          <w:sz w:val="24"/>
          <w:szCs w:val="24"/>
        </w:rPr>
        <w:t>C</w:t>
      </w:r>
      <w:r w:rsidR="00754997">
        <w:rPr>
          <w:rFonts w:asciiTheme="majorBidi" w:hAnsiTheme="majorBidi" w:cstheme="majorBidi"/>
          <w:sz w:val="24"/>
          <w:szCs w:val="24"/>
        </w:rPr>
        <w:t xml:space="preserve">onsommation et les </w:t>
      </w:r>
      <w:r w:rsidR="00477549">
        <w:rPr>
          <w:rFonts w:asciiTheme="majorBidi" w:hAnsiTheme="majorBidi" w:cstheme="majorBidi"/>
          <w:sz w:val="24"/>
          <w:szCs w:val="24"/>
        </w:rPr>
        <w:t>D</w:t>
      </w:r>
      <w:r w:rsidR="00754997">
        <w:rPr>
          <w:rFonts w:asciiTheme="majorBidi" w:hAnsiTheme="majorBidi" w:cstheme="majorBidi"/>
          <w:sz w:val="24"/>
          <w:szCs w:val="24"/>
        </w:rPr>
        <w:t>épenses des ménages de 1985 et ne représentent plus les nouvelles  habitudes de consommation des marocains.</w:t>
      </w:r>
    </w:p>
    <w:p w:rsidR="00754997" w:rsidRDefault="00754997" w:rsidP="000937F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C’est ainsi qu’à partir de 2005, le Haut Commissariat au Plan a procédé à une révision profonde de l’indice du coût de la vie pour donner lieu à un nouvel indice des prix à la co</w:t>
      </w:r>
      <w:r w:rsidR="000937FE">
        <w:rPr>
          <w:rFonts w:asciiTheme="majorBidi" w:hAnsiTheme="majorBidi" w:cstheme="majorBidi"/>
          <w:sz w:val="24"/>
          <w:szCs w:val="24"/>
        </w:rPr>
        <w:t>nsommation appelé IPC (base 100</w:t>
      </w:r>
      <w:r>
        <w:rPr>
          <w:rFonts w:asciiTheme="majorBidi" w:hAnsiTheme="majorBidi" w:cstheme="majorBidi"/>
          <w:sz w:val="24"/>
          <w:szCs w:val="24"/>
        </w:rPr>
        <w:t>:</w:t>
      </w:r>
      <w:r w:rsidR="007C44A4">
        <w:rPr>
          <w:rFonts w:asciiTheme="majorBidi" w:hAnsiTheme="majorBidi" w:cstheme="majorBidi"/>
          <w:sz w:val="24"/>
          <w:szCs w:val="24"/>
        </w:rPr>
        <w:t xml:space="preserve"> </w:t>
      </w:r>
      <w:r>
        <w:rPr>
          <w:rFonts w:asciiTheme="majorBidi" w:hAnsiTheme="majorBidi" w:cstheme="majorBidi"/>
          <w:sz w:val="24"/>
          <w:szCs w:val="24"/>
        </w:rPr>
        <w:t xml:space="preserve">2006) qui </w:t>
      </w:r>
      <w:r w:rsidR="000937FE">
        <w:rPr>
          <w:rFonts w:asciiTheme="majorBidi" w:hAnsiTheme="majorBidi" w:cstheme="majorBidi"/>
          <w:sz w:val="24"/>
          <w:szCs w:val="24"/>
        </w:rPr>
        <w:t>allait</w:t>
      </w:r>
      <w:r>
        <w:rPr>
          <w:rFonts w:asciiTheme="majorBidi" w:hAnsiTheme="majorBidi" w:cstheme="majorBidi"/>
          <w:sz w:val="24"/>
          <w:szCs w:val="24"/>
        </w:rPr>
        <w:t xml:space="preserve"> toucher l’ensemble des régions du Royaume, représentées par dix-sept villes (avec six nouvelles villes : El </w:t>
      </w:r>
      <w:proofErr w:type="spellStart"/>
      <w:r>
        <w:rPr>
          <w:rFonts w:asciiTheme="majorBidi" w:hAnsiTheme="majorBidi" w:cstheme="majorBidi"/>
          <w:sz w:val="24"/>
          <w:szCs w:val="24"/>
        </w:rPr>
        <w:t>Houceima</w:t>
      </w:r>
      <w:proofErr w:type="spellEnd"/>
      <w:r>
        <w:rPr>
          <w:rFonts w:asciiTheme="majorBidi" w:hAnsiTheme="majorBidi" w:cstheme="majorBidi"/>
          <w:sz w:val="24"/>
          <w:szCs w:val="24"/>
        </w:rPr>
        <w:t xml:space="preserve">, Settat, </w:t>
      </w:r>
      <w:proofErr w:type="spellStart"/>
      <w:r>
        <w:rPr>
          <w:rFonts w:asciiTheme="majorBidi" w:hAnsiTheme="majorBidi" w:cstheme="majorBidi"/>
          <w:sz w:val="24"/>
          <w:szCs w:val="24"/>
        </w:rPr>
        <w:t>Beni</w:t>
      </w:r>
      <w:proofErr w:type="spellEnd"/>
      <w:r>
        <w:rPr>
          <w:rFonts w:asciiTheme="majorBidi" w:hAnsiTheme="majorBidi" w:cstheme="majorBidi"/>
          <w:sz w:val="24"/>
          <w:szCs w:val="24"/>
        </w:rPr>
        <w:t xml:space="preserve"> Mellal, Safi, </w:t>
      </w:r>
      <w:proofErr w:type="spellStart"/>
      <w:r>
        <w:rPr>
          <w:rFonts w:asciiTheme="majorBidi" w:hAnsiTheme="majorBidi" w:cstheme="majorBidi"/>
          <w:sz w:val="24"/>
          <w:szCs w:val="24"/>
        </w:rPr>
        <w:t>Guelmim</w:t>
      </w:r>
      <w:proofErr w:type="spellEnd"/>
      <w:r>
        <w:rPr>
          <w:rFonts w:asciiTheme="majorBidi" w:hAnsiTheme="majorBidi" w:cstheme="majorBidi"/>
          <w:sz w:val="24"/>
          <w:szCs w:val="24"/>
        </w:rPr>
        <w:t xml:space="preserve"> et Dakhla) et élargir la population de référence qui couvrira</w:t>
      </w:r>
      <w:r w:rsidR="000937FE">
        <w:rPr>
          <w:rFonts w:asciiTheme="majorBidi" w:hAnsiTheme="majorBidi" w:cstheme="majorBidi"/>
          <w:sz w:val="24"/>
          <w:szCs w:val="24"/>
        </w:rPr>
        <w:t>it</w:t>
      </w:r>
      <w:r>
        <w:rPr>
          <w:rFonts w:asciiTheme="majorBidi" w:hAnsiTheme="majorBidi" w:cstheme="majorBidi"/>
          <w:sz w:val="24"/>
          <w:szCs w:val="24"/>
        </w:rPr>
        <w:t xml:space="preserve">, désormais, l’ensemble de la population urbaine. </w:t>
      </w:r>
    </w:p>
    <w:p w:rsidR="00F7495D" w:rsidRDefault="007C44A4" w:rsidP="00DE0E05">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Soucieux de la qualité des données statistiques publiées, le HCP procède régulièrement à leur mise à jour afin qu’elles soient conformes aux clauses de la NSDD (Norme Spéciale de Diffusion des Données). Ainsi, à</w:t>
      </w:r>
      <w:r w:rsidR="00F7495D">
        <w:rPr>
          <w:rFonts w:asciiTheme="majorBidi" w:hAnsiTheme="majorBidi" w:cstheme="majorBidi"/>
          <w:sz w:val="24"/>
          <w:szCs w:val="24"/>
        </w:rPr>
        <w:t xml:space="preserve"> partir de </w:t>
      </w:r>
      <w:r>
        <w:rPr>
          <w:rFonts w:asciiTheme="majorBidi" w:hAnsiTheme="majorBidi" w:cstheme="majorBidi"/>
          <w:sz w:val="24"/>
          <w:szCs w:val="24"/>
        </w:rPr>
        <w:t>fin</w:t>
      </w:r>
      <w:r w:rsidR="00DE0E05">
        <w:rPr>
          <w:rFonts w:asciiTheme="majorBidi" w:hAnsiTheme="majorBidi" w:cstheme="majorBidi"/>
          <w:sz w:val="24"/>
          <w:szCs w:val="24"/>
        </w:rPr>
        <w:t xml:space="preserve"> </w:t>
      </w:r>
      <w:r w:rsidR="00F7495D">
        <w:rPr>
          <w:rFonts w:asciiTheme="majorBidi" w:hAnsiTheme="majorBidi" w:cstheme="majorBidi"/>
          <w:sz w:val="24"/>
          <w:szCs w:val="24"/>
        </w:rPr>
        <w:t>201</w:t>
      </w:r>
      <w:r w:rsidR="00DE0E05">
        <w:rPr>
          <w:rFonts w:asciiTheme="majorBidi" w:hAnsiTheme="majorBidi" w:cstheme="majorBidi"/>
          <w:sz w:val="24"/>
          <w:szCs w:val="24"/>
        </w:rPr>
        <w:t>6</w:t>
      </w:r>
      <w:r w:rsidR="00F7495D">
        <w:rPr>
          <w:rFonts w:asciiTheme="majorBidi" w:hAnsiTheme="majorBidi" w:cstheme="majorBidi"/>
          <w:sz w:val="24"/>
          <w:szCs w:val="24"/>
        </w:rPr>
        <w:t xml:space="preserve">,  </w:t>
      </w:r>
      <w:r w:rsidR="00DE0E05">
        <w:rPr>
          <w:rFonts w:asciiTheme="majorBidi" w:hAnsiTheme="majorBidi" w:cstheme="majorBidi"/>
          <w:sz w:val="24"/>
          <w:szCs w:val="24"/>
        </w:rPr>
        <w:t>il</w:t>
      </w:r>
      <w:r w:rsidR="00F7495D">
        <w:rPr>
          <w:rFonts w:asciiTheme="majorBidi" w:hAnsiTheme="majorBidi" w:cstheme="majorBidi"/>
          <w:sz w:val="24"/>
          <w:szCs w:val="24"/>
        </w:rPr>
        <w:t xml:space="preserve"> a entamé la réforme de l’IPC (base100 : 2006) pour les raisons suivantes :</w:t>
      </w:r>
    </w:p>
    <w:p w:rsidR="00F7495D" w:rsidRPr="00F7495D" w:rsidRDefault="00F7495D" w:rsidP="00C76BFB">
      <w:pPr>
        <w:pStyle w:val="Paragraphedeliste"/>
        <w:numPr>
          <w:ilvl w:val="0"/>
          <w:numId w:val="44"/>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Mise en place d’un nouveau découpage régional</w:t>
      </w:r>
      <w:r w:rsidR="00C76BFB">
        <w:rPr>
          <w:rFonts w:asciiTheme="majorBidi" w:hAnsiTheme="majorBidi" w:cstheme="majorBidi"/>
          <w:sz w:val="24"/>
          <w:szCs w:val="24"/>
        </w:rPr>
        <w:t xml:space="preserve"> et par conséquent, l’institution de nouvelles régions économiques (insertion de la ville d’</w:t>
      </w:r>
      <w:proofErr w:type="spellStart"/>
      <w:r w:rsidR="00C76BFB">
        <w:rPr>
          <w:rFonts w:asciiTheme="majorBidi" w:hAnsiTheme="majorBidi" w:cstheme="majorBidi"/>
          <w:sz w:val="24"/>
          <w:szCs w:val="24"/>
        </w:rPr>
        <w:t>Errachidia</w:t>
      </w:r>
      <w:proofErr w:type="spellEnd"/>
      <w:r w:rsidR="00C76BFB">
        <w:rPr>
          <w:rFonts w:asciiTheme="majorBidi" w:hAnsiTheme="majorBidi" w:cstheme="majorBidi"/>
          <w:sz w:val="24"/>
          <w:szCs w:val="24"/>
        </w:rPr>
        <w:t xml:space="preserve"> dans le champ géographique du nouvel indice (base100 :2017)).</w:t>
      </w:r>
    </w:p>
    <w:p w:rsidR="00F7495D" w:rsidRDefault="00F93525" w:rsidP="00767BA0">
      <w:pPr>
        <w:pStyle w:val="Paragraphedeliste"/>
        <w:numPr>
          <w:ilvl w:val="0"/>
          <w:numId w:val="44"/>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Réalisation </w:t>
      </w:r>
      <w:r w:rsidR="00F7495D">
        <w:rPr>
          <w:rFonts w:asciiTheme="majorBidi" w:hAnsiTheme="majorBidi" w:cstheme="majorBidi"/>
          <w:sz w:val="24"/>
          <w:szCs w:val="24"/>
        </w:rPr>
        <w:t>du RGPH 2014</w:t>
      </w:r>
      <w:r w:rsidR="00F7495D" w:rsidRPr="00F7495D">
        <w:rPr>
          <w:rFonts w:asciiTheme="majorBidi" w:hAnsiTheme="majorBidi" w:cstheme="majorBidi"/>
          <w:sz w:val="24"/>
          <w:szCs w:val="24"/>
        </w:rPr>
        <w:t xml:space="preserve"> </w:t>
      </w:r>
      <w:r w:rsidR="00767BA0">
        <w:rPr>
          <w:rFonts w:asciiTheme="majorBidi" w:hAnsiTheme="majorBidi" w:cstheme="majorBidi"/>
          <w:sz w:val="24"/>
          <w:szCs w:val="24"/>
        </w:rPr>
        <w:t xml:space="preserve">qui offre de </w:t>
      </w:r>
      <w:r w:rsidR="00C76BFB">
        <w:rPr>
          <w:rFonts w:asciiTheme="majorBidi" w:hAnsiTheme="majorBidi" w:cstheme="majorBidi"/>
          <w:sz w:val="24"/>
          <w:szCs w:val="24"/>
        </w:rPr>
        <w:t>nouvelles</w:t>
      </w:r>
      <w:r w:rsidR="00F7495D">
        <w:rPr>
          <w:rFonts w:asciiTheme="majorBidi" w:hAnsiTheme="majorBidi" w:cstheme="majorBidi"/>
          <w:sz w:val="24"/>
          <w:szCs w:val="24"/>
        </w:rPr>
        <w:t xml:space="preserve"> pondérations de la population urbaine</w:t>
      </w:r>
      <w:r w:rsidR="00C76BFB">
        <w:rPr>
          <w:rFonts w:asciiTheme="majorBidi" w:hAnsiTheme="majorBidi" w:cstheme="majorBidi"/>
          <w:sz w:val="24"/>
          <w:szCs w:val="24"/>
        </w:rPr>
        <w:t>.</w:t>
      </w:r>
    </w:p>
    <w:p w:rsidR="00C76BFB" w:rsidRPr="00F7495D" w:rsidRDefault="00E30AD8" w:rsidP="00477549">
      <w:pPr>
        <w:pStyle w:val="Paragraphedeliste"/>
        <w:numPr>
          <w:ilvl w:val="0"/>
          <w:numId w:val="44"/>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Disponibilité des données </w:t>
      </w:r>
      <w:r w:rsidR="00C76BFB">
        <w:rPr>
          <w:rFonts w:asciiTheme="majorBidi" w:hAnsiTheme="majorBidi" w:cstheme="majorBidi"/>
          <w:sz w:val="24"/>
          <w:szCs w:val="24"/>
        </w:rPr>
        <w:t xml:space="preserve">de l’Enquête Nationale sur la </w:t>
      </w:r>
      <w:r w:rsidR="00477549">
        <w:rPr>
          <w:rFonts w:asciiTheme="majorBidi" w:hAnsiTheme="majorBidi" w:cstheme="majorBidi"/>
          <w:sz w:val="24"/>
          <w:szCs w:val="24"/>
        </w:rPr>
        <w:t>C</w:t>
      </w:r>
      <w:r w:rsidR="00C76BFB">
        <w:rPr>
          <w:rFonts w:asciiTheme="majorBidi" w:hAnsiTheme="majorBidi" w:cstheme="majorBidi"/>
          <w:sz w:val="24"/>
          <w:szCs w:val="24"/>
        </w:rPr>
        <w:t xml:space="preserve">onsommation et les </w:t>
      </w:r>
      <w:r w:rsidR="00477549">
        <w:rPr>
          <w:rFonts w:asciiTheme="majorBidi" w:hAnsiTheme="majorBidi" w:cstheme="majorBidi"/>
          <w:sz w:val="24"/>
          <w:szCs w:val="24"/>
        </w:rPr>
        <w:t>D</w:t>
      </w:r>
      <w:r w:rsidR="00C76BFB">
        <w:rPr>
          <w:rFonts w:asciiTheme="majorBidi" w:hAnsiTheme="majorBidi" w:cstheme="majorBidi"/>
          <w:sz w:val="24"/>
          <w:szCs w:val="24"/>
        </w:rPr>
        <w:t xml:space="preserve">épenses des </w:t>
      </w:r>
      <w:r w:rsidR="00477549">
        <w:rPr>
          <w:rFonts w:asciiTheme="majorBidi" w:hAnsiTheme="majorBidi" w:cstheme="majorBidi"/>
          <w:sz w:val="24"/>
          <w:szCs w:val="24"/>
        </w:rPr>
        <w:t>M</w:t>
      </w:r>
      <w:r w:rsidR="00C76BFB">
        <w:rPr>
          <w:rFonts w:asciiTheme="majorBidi" w:hAnsiTheme="majorBidi" w:cstheme="majorBidi"/>
          <w:sz w:val="24"/>
          <w:szCs w:val="24"/>
        </w:rPr>
        <w:t xml:space="preserve">énages </w:t>
      </w:r>
      <w:r>
        <w:rPr>
          <w:rFonts w:asciiTheme="majorBidi" w:hAnsiTheme="majorBidi" w:cstheme="majorBidi"/>
          <w:sz w:val="24"/>
          <w:szCs w:val="24"/>
        </w:rPr>
        <w:t>de</w:t>
      </w:r>
      <w:r w:rsidR="00C76BFB">
        <w:rPr>
          <w:rFonts w:asciiTheme="majorBidi" w:hAnsiTheme="majorBidi" w:cstheme="majorBidi"/>
          <w:sz w:val="24"/>
          <w:szCs w:val="24"/>
        </w:rPr>
        <w:t xml:space="preserve"> 2014 </w:t>
      </w:r>
      <w:r>
        <w:rPr>
          <w:rFonts w:asciiTheme="majorBidi" w:hAnsiTheme="majorBidi" w:cstheme="majorBidi"/>
          <w:sz w:val="24"/>
          <w:szCs w:val="24"/>
        </w:rPr>
        <w:t>qui met à jour le</w:t>
      </w:r>
      <w:r w:rsidR="00C76BFB">
        <w:rPr>
          <w:rFonts w:asciiTheme="majorBidi" w:hAnsiTheme="majorBidi" w:cstheme="majorBidi"/>
          <w:sz w:val="24"/>
          <w:szCs w:val="24"/>
        </w:rPr>
        <w:t xml:space="preserve"> panier de biens et services</w:t>
      </w:r>
      <w:r w:rsidR="00F93525">
        <w:rPr>
          <w:rFonts w:asciiTheme="majorBidi" w:hAnsiTheme="majorBidi" w:cstheme="majorBidi"/>
          <w:sz w:val="24"/>
          <w:szCs w:val="24"/>
        </w:rPr>
        <w:t xml:space="preserve"> consommés par la population marocaine</w:t>
      </w:r>
      <w:r w:rsidR="00C76BFB">
        <w:rPr>
          <w:rFonts w:asciiTheme="majorBidi" w:hAnsiTheme="majorBidi" w:cstheme="majorBidi"/>
          <w:sz w:val="24"/>
          <w:szCs w:val="24"/>
        </w:rPr>
        <w:t xml:space="preserve">. Ce dernier fait </w:t>
      </w:r>
      <w:r w:rsidR="00F93525">
        <w:rPr>
          <w:rFonts w:asciiTheme="majorBidi" w:hAnsiTheme="majorBidi" w:cstheme="majorBidi"/>
          <w:sz w:val="24"/>
          <w:szCs w:val="24"/>
        </w:rPr>
        <w:t xml:space="preserve">ressortir </w:t>
      </w:r>
      <w:r w:rsidR="00C76BFB">
        <w:rPr>
          <w:rFonts w:asciiTheme="majorBidi" w:hAnsiTheme="majorBidi" w:cstheme="majorBidi"/>
          <w:sz w:val="24"/>
          <w:szCs w:val="24"/>
        </w:rPr>
        <w:t>de nouvelles pondérations des produits</w:t>
      </w:r>
      <w:r w:rsidR="00F93525">
        <w:rPr>
          <w:rFonts w:asciiTheme="majorBidi" w:hAnsiTheme="majorBidi" w:cstheme="majorBidi"/>
          <w:sz w:val="24"/>
          <w:szCs w:val="24"/>
        </w:rPr>
        <w:t xml:space="preserve">, </w:t>
      </w:r>
      <w:r w:rsidR="00477549">
        <w:rPr>
          <w:rFonts w:asciiTheme="majorBidi" w:hAnsiTheme="majorBidi" w:cstheme="majorBidi"/>
          <w:sz w:val="24"/>
          <w:szCs w:val="24"/>
        </w:rPr>
        <w:t>dont</w:t>
      </w:r>
      <w:r w:rsidR="00F93525">
        <w:rPr>
          <w:rFonts w:asciiTheme="majorBidi" w:hAnsiTheme="majorBidi" w:cstheme="majorBidi"/>
          <w:sz w:val="24"/>
          <w:szCs w:val="24"/>
        </w:rPr>
        <w:t xml:space="preserve"> il faut tenir compte dans la réforme en cours.</w:t>
      </w:r>
    </w:p>
    <w:p w:rsidR="006B1064" w:rsidRDefault="006B1064" w:rsidP="00725E87">
      <w:pPr>
        <w:spacing w:before="240" w:after="240" w:line="240" w:lineRule="auto"/>
        <w:jc w:val="both"/>
        <w:rPr>
          <w:rFonts w:asciiTheme="majorBidi" w:hAnsiTheme="majorBidi" w:cstheme="majorBidi"/>
        </w:rPr>
      </w:pPr>
    </w:p>
    <w:p w:rsidR="00DF65E2" w:rsidRDefault="00DF65E2" w:rsidP="00586B08">
      <w:pPr>
        <w:pStyle w:val="Titre1"/>
        <w:rPr>
          <w:rFonts w:asciiTheme="majorBidi" w:hAnsiTheme="majorBidi"/>
          <w:color w:val="0070C0"/>
        </w:rPr>
      </w:pPr>
    </w:p>
    <w:p w:rsidR="00DF65E2" w:rsidRDefault="00DF65E2" w:rsidP="00586B08">
      <w:pPr>
        <w:pStyle w:val="Titre1"/>
        <w:rPr>
          <w:rFonts w:asciiTheme="majorBidi" w:hAnsiTheme="majorBidi"/>
          <w:color w:val="0070C0"/>
        </w:rPr>
      </w:pPr>
    </w:p>
    <w:p w:rsidR="00DF65E2" w:rsidRDefault="00DF65E2" w:rsidP="00586B08">
      <w:pPr>
        <w:pStyle w:val="Titre1"/>
        <w:rPr>
          <w:rFonts w:asciiTheme="majorBidi" w:hAnsiTheme="majorBidi"/>
          <w:color w:val="0070C0"/>
        </w:rPr>
      </w:pPr>
    </w:p>
    <w:p w:rsidR="00E2154A" w:rsidRDefault="00E2154A">
      <w:pPr>
        <w:rPr>
          <w:rFonts w:asciiTheme="majorBidi" w:eastAsiaTheme="majorEastAsia" w:hAnsiTheme="majorBidi" w:cstheme="majorBidi"/>
          <w:b/>
          <w:bCs/>
          <w:color w:val="0070C0"/>
          <w:sz w:val="28"/>
          <w:szCs w:val="28"/>
        </w:rPr>
      </w:pPr>
      <w:r>
        <w:rPr>
          <w:rFonts w:asciiTheme="majorBidi" w:hAnsiTheme="majorBidi"/>
          <w:color w:val="0070C0"/>
        </w:rPr>
        <w:br w:type="page"/>
      </w:r>
    </w:p>
    <w:p w:rsidR="00DF65E2" w:rsidRDefault="00DF65E2" w:rsidP="00586B08">
      <w:pPr>
        <w:pStyle w:val="Titre1"/>
        <w:rPr>
          <w:rFonts w:asciiTheme="majorBidi" w:hAnsiTheme="majorBidi"/>
          <w:color w:val="0070C0"/>
        </w:rPr>
      </w:pPr>
    </w:p>
    <w:p w:rsidR="00DF65E2" w:rsidRDefault="00DF65E2" w:rsidP="00586B08">
      <w:pPr>
        <w:pStyle w:val="Titre1"/>
        <w:rPr>
          <w:rFonts w:asciiTheme="majorBidi" w:hAnsiTheme="majorBidi"/>
          <w:color w:val="0070C0"/>
        </w:rPr>
      </w:pPr>
    </w:p>
    <w:p w:rsidR="00A905C6" w:rsidRDefault="00A905C6" w:rsidP="00A905C6"/>
    <w:p w:rsidR="00A905C6" w:rsidRDefault="00A905C6" w:rsidP="00A905C6"/>
    <w:p w:rsidR="008B74DA" w:rsidRDefault="008B74DA" w:rsidP="00A905C6"/>
    <w:p w:rsidR="008B74DA" w:rsidRPr="00A905C6" w:rsidRDefault="008B74DA" w:rsidP="00A905C6"/>
    <w:p w:rsidR="008B74DA" w:rsidRPr="00C4542D" w:rsidRDefault="00C4542D" w:rsidP="00586B08">
      <w:pPr>
        <w:pStyle w:val="Titre1"/>
        <w:rPr>
          <w:rFonts w:asciiTheme="majorBidi" w:hAnsiTheme="majorBidi"/>
          <w:color w:val="0070C0"/>
          <w:sz w:val="72"/>
          <w:szCs w:val="72"/>
        </w:rPr>
      </w:pPr>
      <w:r w:rsidRPr="00C4542D">
        <w:rPr>
          <w:rFonts w:asciiTheme="majorBidi" w:hAnsiTheme="majorBidi"/>
          <w:color w:val="0070C0"/>
          <w:sz w:val="72"/>
          <w:szCs w:val="72"/>
        </w:rPr>
        <w:t>CHAPITRE II</w:t>
      </w:r>
    </w:p>
    <w:p w:rsidR="00C4542D" w:rsidRDefault="00C4542D" w:rsidP="00C4542D">
      <w:pPr>
        <w:pStyle w:val="Titre1"/>
        <w:rPr>
          <w:rFonts w:asciiTheme="majorBidi" w:hAnsiTheme="majorBidi"/>
          <w:color w:val="0070C0"/>
          <w:sz w:val="72"/>
          <w:szCs w:val="72"/>
        </w:rPr>
      </w:pPr>
      <w:r w:rsidRPr="00C4542D">
        <w:rPr>
          <w:rFonts w:asciiTheme="majorBidi" w:hAnsiTheme="majorBidi"/>
          <w:color w:val="0070C0"/>
          <w:sz w:val="72"/>
          <w:szCs w:val="72"/>
        </w:rPr>
        <w:t xml:space="preserve">METHODOLOGIE DE L’INDICE DES PRIX A </w:t>
      </w:r>
    </w:p>
    <w:p w:rsidR="00C4542D" w:rsidRDefault="00C4542D" w:rsidP="00C4542D">
      <w:pPr>
        <w:pStyle w:val="Titre1"/>
        <w:spacing w:before="0" w:line="240" w:lineRule="auto"/>
        <w:rPr>
          <w:rFonts w:asciiTheme="majorBidi" w:hAnsiTheme="majorBidi"/>
          <w:color w:val="0070C0"/>
          <w:sz w:val="72"/>
          <w:szCs w:val="72"/>
        </w:rPr>
      </w:pPr>
      <w:r w:rsidRPr="00C4542D">
        <w:rPr>
          <w:rFonts w:asciiTheme="majorBidi" w:hAnsiTheme="majorBidi"/>
          <w:color w:val="0070C0"/>
          <w:sz w:val="72"/>
          <w:szCs w:val="72"/>
        </w:rPr>
        <w:t xml:space="preserve">LA CONSOMMATION </w:t>
      </w:r>
    </w:p>
    <w:p w:rsidR="00C4542D" w:rsidRPr="00C4542D" w:rsidRDefault="00C4542D" w:rsidP="00C4542D">
      <w:pPr>
        <w:pStyle w:val="Titre1"/>
        <w:spacing w:before="0" w:line="240" w:lineRule="auto"/>
        <w:rPr>
          <w:rFonts w:asciiTheme="majorBidi" w:hAnsiTheme="majorBidi"/>
          <w:color w:val="0070C0"/>
          <w:sz w:val="72"/>
          <w:szCs w:val="72"/>
        </w:rPr>
      </w:pPr>
      <w:r w:rsidRPr="00C4542D">
        <w:rPr>
          <w:rFonts w:asciiTheme="majorBidi" w:hAnsiTheme="majorBidi"/>
          <w:color w:val="0070C0"/>
          <w:sz w:val="72"/>
          <w:szCs w:val="72"/>
        </w:rPr>
        <w:t>(BASE 100 : 2006)</w:t>
      </w:r>
    </w:p>
    <w:p w:rsidR="008B74DA" w:rsidRPr="001022E9" w:rsidRDefault="008B74DA" w:rsidP="008B74DA"/>
    <w:p w:rsidR="00A905C6" w:rsidRPr="001022E9" w:rsidRDefault="00A905C6" w:rsidP="008B74DA"/>
    <w:p w:rsidR="00DF65E2" w:rsidRDefault="00DF65E2" w:rsidP="00A905C6"/>
    <w:p w:rsidR="00A905C6" w:rsidRDefault="00A905C6" w:rsidP="00A905C6"/>
    <w:p w:rsidR="00DF65E2" w:rsidRDefault="00DF65E2" w:rsidP="00586B08">
      <w:pPr>
        <w:pStyle w:val="Titre1"/>
        <w:rPr>
          <w:rFonts w:asciiTheme="majorBidi" w:hAnsiTheme="majorBidi"/>
          <w:color w:val="0070C0"/>
        </w:rPr>
      </w:pPr>
    </w:p>
    <w:p w:rsidR="00E2154A" w:rsidRDefault="00E2154A">
      <w:pPr>
        <w:rPr>
          <w:rFonts w:asciiTheme="majorBidi" w:eastAsiaTheme="majorEastAsia" w:hAnsiTheme="majorBidi" w:cstheme="majorBidi"/>
          <w:b/>
          <w:bCs/>
          <w:color w:val="0070C0"/>
          <w:sz w:val="28"/>
          <w:szCs w:val="28"/>
        </w:rPr>
      </w:pPr>
      <w:r>
        <w:rPr>
          <w:rFonts w:asciiTheme="majorBidi" w:hAnsiTheme="majorBidi"/>
          <w:color w:val="0070C0"/>
        </w:rPr>
        <w:br w:type="page"/>
      </w:r>
    </w:p>
    <w:p w:rsidR="0088739E" w:rsidRPr="00FC4512" w:rsidRDefault="0088739E" w:rsidP="00586B08">
      <w:pPr>
        <w:pStyle w:val="Titre1"/>
        <w:rPr>
          <w:rFonts w:asciiTheme="majorBidi" w:hAnsiTheme="majorBidi"/>
          <w:color w:val="0070C0"/>
        </w:rPr>
      </w:pPr>
      <w:bookmarkStart w:id="5" w:name="_Toc45551135"/>
      <w:r w:rsidRPr="00FC4512">
        <w:rPr>
          <w:rFonts w:asciiTheme="majorBidi" w:hAnsiTheme="majorBidi"/>
          <w:color w:val="0070C0"/>
        </w:rPr>
        <w:lastRenderedPageBreak/>
        <w:t xml:space="preserve">II- Méthodologie de l’Indice des Prix à la Consommation </w:t>
      </w:r>
      <w:r w:rsidR="000937FE" w:rsidRPr="00FC4512">
        <w:rPr>
          <w:rFonts w:asciiTheme="majorBidi" w:hAnsiTheme="majorBidi"/>
          <w:color w:val="0070C0"/>
        </w:rPr>
        <w:t>(Base 100:2006)</w:t>
      </w:r>
      <w:bookmarkEnd w:id="5"/>
    </w:p>
    <w:p w:rsidR="0088739E" w:rsidRPr="00FC4512" w:rsidRDefault="0088739E" w:rsidP="00586B08">
      <w:pPr>
        <w:pStyle w:val="Titre2"/>
        <w:rPr>
          <w:rFonts w:asciiTheme="majorBidi" w:hAnsiTheme="majorBidi"/>
          <w:color w:val="0070C0"/>
          <w:sz w:val="28"/>
          <w:szCs w:val="28"/>
        </w:rPr>
      </w:pPr>
      <w:bookmarkStart w:id="6" w:name="_Toc45551136"/>
      <w:r w:rsidRPr="00FC4512">
        <w:rPr>
          <w:rFonts w:asciiTheme="majorBidi" w:hAnsiTheme="majorBidi"/>
          <w:color w:val="0070C0"/>
        </w:rPr>
        <w:t>II-1 Définition et objectifs</w:t>
      </w:r>
      <w:bookmarkEnd w:id="6"/>
    </w:p>
    <w:p w:rsidR="0088739E" w:rsidRPr="00FC4512" w:rsidRDefault="0088739E" w:rsidP="00586B08">
      <w:pPr>
        <w:pStyle w:val="Titre3"/>
        <w:rPr>
          <w:rFonts w:asciiTheme="majorBidi" w:hAnsiTheme="majorBidi"/>
          <w:color w:val="0070C0"/>
          <w:sz w:val="24"/>
          <w:szCs w:val="24"/>
        </w:rPr>
      </w:pPr>
      <w:r w:rsidRPr="00725E87">
        <w:rPr>
          <w:rFonts w:asciiTheme="majorBidi" w:hAnsiTheme="majorBidi"/>
          <w:b w:val="0"/>
          <w:bCs w:val="0"/>
          <w:color w:val="0070C0"/>
          <w:sz w:val="24"/>
          <w:szCs w:val="24"/>
        </w:rPr>
        <w:tab/>
      </w:r>
      <w:r w:rsidRPr="00725E87">
        <w:rPr>
          <w:rFonts w:asciiTheme="majorBidi" w:hAnsiTheme="majorBidi"/>
          <w:b w:val="0"/>
          <w:bCs w:val="0"/>
          <w:color w:val="0070C0"/>
          <w:sz w:val="24"/>
          <w:szCs w:val="24"/>
        </w:rPr>
        <w:tab/>
      </w:r>
      <w:bookmarkStart w:id="7" w:name="_Toc45551137"/>
      <w:r w:rsidRPr="00FC4512">
        <w:rPr>
          <w:rFonts w:asciiTheme="majorBidi" w:hAnsiTheme="majorBidi"/>
          <w:color w:val="0070C0"/>
          <w:sz w:val="24"/>
          <w:szCs w:val="24"/>
        </w:rPr>
        <w:t>II-1-1 Définition</w:t>
      </w:r>
      <w:bookmarkEnd w:id="7"/>
    </w:p>
    <w:p w:rsidR="0088739E" w:rsidRDefault="0088739E" w:rsidP="00D5577B">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L’indice des prix à la consommation mesure la variation des prix d’un panier de biens et </w:t>
      </w:r>
      <w:r w:rsidR="00302B06">
        <w:rPr>
          <w:rFonts w:asciiTheme="majorBidi" w:hAnsiTheme="majorBidi" w:cstheme="majorBidi"/>
          <w:sz w:val="24"/>
          <w:szCs w:val="24"/>
        </w:rPr>
        <w:t xml:space="preserve">de </w:t>
      </w:r>
      <w:r>
        <w:rPr>
          <w:rFonts w:asciiTheme="majorBidi" w:hAnsiTheme="majorBidi" w:cstheme="majorBidi"/>
          <w:sz w:val="24"/>
          <w:szCs w:val="24"/>
        </w:rPr>
        <w:t>services</w:t>
      </w:r>
      <w:r w:rsidR="00D5577B">
        <w:rPr>
          <w:rFonts w:asciiTheme="majorBidi" w:hAnsiTheme="majorBidi" w:cstheme="majorBidi"/>
          <w:sz w:val="24"/>
          <w:szCs w:val="24"/>
        </w:rPr>
        <w:t>, à qualité constante,</w:t>
      </w:r>
      <w:r>
        <w:rPr>
          <w:rFonts w:asciiTheme="majorBidi" w:hAnsiTheme="majorBidi" w:cstheme="majorBidi"/>
          <w:sz w:val="24"/>
          <w:szCs w:val="24"/>
        </w:rPr>
        <w:t xml:space="preserve"> représentatifs de la consommation des ménages, </w:t>
      </w:r>
      <w:r w:rsidR="00D5577B">
        <w:rPr>
          <w:rFonts w:asciiTheme="majorBidi" w:hAnsiTheme="majorBidi" w:cstheme="majorBidi"/>
          <w:sz w:val="24"/>
          <w:szCs w:val="24"/>
        </w:rPr>
        <w:t>entre deux périodes données</w:t>
      </w:r>
      <w:r>
        <w:rPr>
          <w:rFonts w:asciiTheme="majorBidi" w:hAnsiTheme="majorBidi" w:cstheme="majorBidi"/>
          <w:sz w:val="24"/>
          <w:szCs w:val="24"/>
        </w:rPr>
        <w:t>.</w:t>
      </w:r>
    </w:p>
    <w:p w:rsidR="0088739E" w:rsidRDefault="0088739E" w:rsidP="00D5577B">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Cet indice revêt un caractère officiel institué par un décret fixant les éléments entrant dans sa composition (décret n°2-09-529 du 5 </w:t>
      </w:r>
      <w:proofErr w:type="spellStart"/>
      <w:r w:rsidR="00FE6F0C">
        <w:rPr>
          <w:rFonts w:asciiTheme="majorBidi" w:hAnsiTheme="majorBidi" w:cstheme="majorBidi"/>
          <w:sz w:val="24"/>
          <w:szCs w:val="24"/>
        </w:rPr>
        <w:t>doul</w:t>
      </w:r>
      <w:r>
        <w:rPr>
          <w:rFonts w:asciiTheme="majorBidi" w:hAnsiTheme="majorBidi" w:cstheme="majorBidi"/>
          <w:sz w:val="24"/>
          <w:szCs w:val="24"/>
        </w:rPr>
        <w:t>hija</w:t>
      </w:r>
      <w:proofErr w:type="spellEnd"/>
      <w:r>
        <w:rPr>
          <w:rFonts w:asciiTheme="majorBidi" w:hAnsiTheme="majorBidi" w:cstheme="majorBidi"/>
          <w:sz w:val="24"/>
          <w:szCs w:val="24"/>
        </w:rPr>
        <w:t xml:space="preserve"> 1430 (23 novembre 2009), publié dans le BO n°5792). Il est élaboré conformément aux recommandations du Bureau International du Travail (BIT) et aux pratiques de la Norme Spéciale de Diffusion des Données (NSDD) et le Fond Monétaire International (FMI).</w:t>
      </w:r>
    </w:p>
    <w:p w:rsidR="0088739E" w:rsidRDefault="0088739E" w:rsidP="00302B06">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Même s’il ne tient pas compte de tous les produits (biens immobiliers,</w:t>
      </w:r>
      <w:r w:rsidR="00302B06">
        <w:rPr>
          <w:rFonts w:asciiTheme="majorBidi" w:hAnsiTheme="majorBidi" w:cstheme="majorBidi"/>
          <w:sz w:val="24"/>
          <w:szCs w:val="24"/>
        </w:rPr>
        <w:t xml:space="preserve"> biens d’équipement,..), il est, </w:t>
      </w:r>
      <w:r>
        <w:rPr>
          <w:rFonts w:asciiTheme="majorBidi" w:hAnsiTheme="majorBidi" w:cstheme="majorBidi"/>
          <w:sz w:val="24"/>
          <w:szCs w:val="24"/>
        </w:rPr>
        <w:t>quand même</w:t>
      </w:r>
      <w:r w:rsidR="00302B06">
        <w:rPr>
          <w:rFonts w:asciiTheme="majorBidi" w:hAnsiTheme="majorBidi" w:cstheme="majorBidi"/>
          <w:sz w:val="24"/>
          <w:szCs w:val="24"/>
        </w:rPr>
        <w:t>,</w:t>
      </w:r>
      <w:r>
        <w:rPr>
          <w:rFonts w:asciiTheme="majorBidi" w:hAnsiTheme="majorBidi" w:cstheme="majorBidi"/>
          <w:sz w:val="24"/>
          <w:szCs w:val="24"/>
        </w:rPr>
        <w:t xml:space="preserve"> utilisé comme indicateur de l’inflation générale par beaucoup de pays</w:t>
      </w:r>
      <w:r w:rsidR="00302B06">
        <w:rPr>
          <w:rFonts w:asciiTheme="majorBidi" w:hAnsiTheme="majorBidi" w:cstheme="majorBidi"/>
          <w:sz w:val="24"/>
          <w:szCs w:val="24"/>
        </w:rPr>
        <w:t xml:space="preserve">, </w:t>
      </w:r>
      <w:r>
        <w:rPr>
          <w:rFonts w:asciiTheme="majorBidi" w:hAnsiTheme="majorBidi" w:cstheme="majorBidi"/>
          <w:sz w:val="24"/>
          <w:szCs w:val="24"/>
        </w:rPr>
        <w:t>notamment le Maroc.</w:t>
      </w:r>
    </w:p>
    <w:p w:rsidR="0088739E" w:rsidRPr="00FC4512" w:rsidRDefault="0088739E" w:rsidP="00586B08">
      <w:pPr>
        <w:pStyle w:val="Titre3"/>
        <w:rPr>
          <w:rFonts w:asciiTheme="majorBidi" w:hAnsiTheme="majorBidi"/>
          <w:color w:val="0070C0"/>
          <w:sz w:val="24"/>
          <w:szCs w:val="24"/>
        </w:rPr>
      </w:pPr>
      <w:r w:rsidRPr="00725E87">
        <w:rPr>
          <w:rFonts w:asciiTheme="majorBidi" w:hAnsiTheme="majorBidi"/>
          <w:color w:val="0070C0"/>
          <w:sz w:val="24"/>
          <w:szCs w:val="24"/>
        </w:rPr>
        <w:tab/>
      </w:r>
      <w:r w:rsidRPr="00725E87">
        <w:rPr>
          <w:rFonts w:asciiTheme="majorBidi" w:hAnsiTheme="majorBidi"/>
          <w:color w:val="0070C0"/>
          <w:sz w:val="24"/>
          <w:szCs w:val="24"/>
        </w:rPr>
        <w:tab/>
      </w:r>
      <w:bookmarkStart w:id="8" w:name="_Toc45551138"/>
      <w:r w:rsidRPr="00FC4512">
        <w:rPr>
          <w:rFonts w:asciiTheme="majorBidi" w:hAnsiTheme="majorBidi"/>
          <w:color w:val="0070C0"/>
          <w:sz w:val="24"/>
          <w:szCs w:val="24"/>
        </w:rPr>
        <w:t>II-1-2 Objectifs</w:t>
      </w:r>
      <w:bookmarkEnd w:id="8"/>
    </w:p>
    <w:p w:rsidR="0088739E" w:rsidRPr="00C84D24" w:rsidRDefault="0088739E" w:rsidP="0088739E">
      <w:pPr>
        <w:spacing w:before="240" w:after="240" w:line="240" w:lineRule="auto"/>
        <w:jc w:val="both"/>
        <w:rPr>
          <w:rFonts w:asciiTheme="majorBidi" w:hAnsiTheme="majorBidi" w:cstheme="majorBidi"/>
          <w:sz w:val="24"/>
          <w:szCs w:val="24"/>
        </w:rPr>
      </w:pPr>
      <w:r w:rsidRPr="00C84D24">
        <w:rPr>
          <w:rFonts w:asciiTheme="majorBidi" w:hAnsiTheme="majorBidi" w:cstheme="majorBidi"/>
          <w:sz w:val="24"/>
          <w:szCs w:val="24"/>
        </w:rPr>
        <w:t>Outre son utilisation comme indicateur de l’inflation générale, l’IPC sert comme :</w:t>
      </w:r>
    </w:p>
    <w:p w:rsidR="0088739E" w:rsidRPr="00C84D24" w:rsidRDefault="0088739E" w:rsidP="0088739E">
      <w:pPr>
        <w:pStyle w:val="Paragraphedeliste"/>
        <w:numPr>
          <w:ilvl w:val="0"/>
          <w:numId w:val="30"/>
        </w:numPr>
        <w:spacing w:before="240" w:after="240" w:line="240" w:lineRule="auto"/>
        <w:jc w:val="both"/>
        <w:rPr>
          <w:rFonts w:asciiTheme="majorBidi" w:hAnsiTheme="majorBidi" w:cstheme="majorBidi"/>
          <w:sz w:val="24"/>
          <w:szCs w:val="24"/>
        </w:rPr>
      </w:pPr>
      <w:r w:rsidRPr="00C84D24">
        <w:rPr>
          <w:rFonts w:asciiTheme="majorBidi" w:hAnsiTheme="majorBidi" w:cstheme="majorBidi"/>
          <w:sz w:val="24"/>
          <w:szCs w:val="24"/>
        </w:rPr>
        <w:t>Instrument d’analyse de la conjoncture économique ;</w:t>
      </w:r>
    </w:p>
    <w:p w:rsidR="0088739E" w:rsidRPr="00C84D24" w:rsidRDefault="0088739E" w:rsidP="0088739E">
      <w:pPr>
        <w:pStyle w:val="Paragraphedeliste"/>
        <w:numPr>
          <w:ilvl w:val="0"/>
          <w:numId w:val="30"/>
        </w:numPr>
        <w:spacing w:before="240" w:after="240" w:line="240" w:lineRule="auto"/>
        <w:jc w:val="both"/>
        <w:rPr>
          <w:rFonts w:asciiTheme="majorBidi" w:hAnsiTheme="majorBidi" w:cstheme="majorBidi"/>
          <w:sz w:val="24"/>
          <w:szCs w:val="24"/>
        </w:rPr>
      </w:pPr>
      <w:r w:rsidRPr="00C84D24">
        <w:rPr>
          <w:rFonts w:asciiTheme="majorBidi" w:hAnsiTheme="majorBidi" w:cstheme="majorBidi"/>
          <w:sz w:val="24"/>
          <w:szCs w:val="24"/>
        </w:rPr>
        <w:t>Donnée de base pour l’élaboration de la politique monétaire ;</w:t>
      </w:r>
    </w:p>
    <w:p w:rsidR="0088739E" w:rsidRPr="00C84D24" w:rsidRDefault="0088739E" w:rsidP="0088739E">
      <w:pPr>
        <w:pStyle w:val="Paragraphedeliste"/>
        <w:numPr>
          <w:ilvl w:val="0"/>
          <w:numId w:val="30"/>
        </w:numPr>
        <w:spacing w:before="240" w:after="240" w:line="240" w:lineRule="auto"/>
        <w:jc w:val="both"/>
        <w:rPr>
          <w:rFonts w:asciiTheme="majorBidi" w:hAnsiTheme="majorBidi" w:cstheme="majorBidi"/>
          <w:sz w:val="24"/>
          <w:szCs w:val="24"/>
        </w:rPr>
      </w:pPr>
      <w:r w:rsidRPr="00C84D24">
        <w:rPr>
          <w:rFonts w:asciiTheme="majorBidi" w:hAnsiTheme="majorBidi" w:cstheme="majorBidi"/>
          <w:sz w:val="24"/>
          <w:szCs w:val="24"/>
        </w:rPr>
        <w:t>Outil d’indexation des contrats entre les différents partenaires socio-économiques ;</w:t>
      </w:r>
    </w:p>
    <w:p w:rsidR="0088739E" w:rsidRDefault="0088739E" w:rsidP="0088739E">
      <w:pPr>
        <w:pStyle w:val="Paragraphedeliste"/>
        <w:numPr>
          <w:ilvl w:val="0"/>
          <w:numId w:val="30"/>
        </w:numPr>
        <w:spacing w:before="240" w:after="240" w:line="240" w:lineRule="auto"/>
        <w:jc w:val="both"/>
        <w:rPr>
          <w:rFonts w:asciiTheme="majorBidi" w:hAnsiTheme="majorBidi" w:cstheme="majorBidi"/>
          <w:sz w:val="24"/>
          <w:szCs w:val="24"/>
        </w:rPr>
      </w:pPr>
      <w:r w:rsidRPr="00C84D24">
        <w:rPr>
          <w:rFonts w:asciiTheme="majorBidi" w:hAnsiTheme="majorBidi" w:cstheme="majorBidi"/>
          <w:sz w:val="24"/>
          <w:szCs w:val="24"/>
        </w:rPr>
        <w:t>Déflateur des agrégats de la comptabilité nationale.</w:t>
      </w:r>
    </w:p>
    <w:p w:rsidR="0088739E" w:rsidRPr="00FC4512" w:rsidRDefault="0088739E" w:rsidP="00586B08">
      <w:pPr>
        <w:pStyle w:val="Titre2"/>
        <w:rPr>
          <w:rFonts w:asciiTheme="majorBidi" w:hAnsiTheme="majorBidi"/>
          <w:color w:val="0070C0"/>
          <w:sz w:val="24"/>
          <w:szCs w:val="24"/>
        </w:rPr>
      </w:pPr>
      <w:bookmarkStart w:id="9" w:name="_Toc45551139"/>
      <w:r w:rsidRPr="00FC4512">
        <w:rPr>
          <w:rFonts w:asciiTheme="majorBidi" w:hAnsiTheme="majorBidi"/>
          <w:color w:val="0070C0"/>
        </w:rPr>
        <w:t>II-2 Couverture de l’IPC</w:t>
      </w:r>
      <w:bookmarkEnd w:id="9"/>
    </w:p>
    <w:p w:rsidR="00F7495D" w:rsidRDefault="0088739E" w:rsidP="00A37B89">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w:t>
      </w:r>
      <w:r w:rsidRPr="00C84D24">
        <w:rPr>
          <w:rFonts w:asciiTheme="majorBidi" w:hAnsiTheme="majorBidi" w:cstheme="majorBidi"/>
          <w:sz w:val="24"/>
          <w:szCs w:val="24"/>
        </w:rPr>
        <w:t>’indice des prix à la consommation</w:t>
      </w:r>
      <w:r w:rsidR="00E30AD8">
        <w:rPr>
          <w:rFonts w:asciiTheme="majorBidi" w:hAnsiTheme="majorBidi" w:cstheme="majorBidi"/>
          <w:sz w:val="24"/>
          <w:szCs w:val="24"/>
        </w:rPr>
        <w:t xml:space="preserve"> (Base 100 : 2006) </w:t>
      </w:r>
      <w:r>
        <w:rPr>
          <w:rFonts w:asciiTheme="majorBidi" w:hAnsiTheme="majorBidi" w:cstheme="majorBidi"/>
          <w:sz w:val="24"/>
          <w:szCs w:val="24"/>
        </w:rPr>
        <w:t>couvre l’ensemble de la population urbaine des dix-sept villes </w:t>
      </w:r>
      <w:r w:rsidR="00F7495D">
        <w:rPr>
          <w:rFonts w:asciiTheme="majorBidi" w:hAnsiTheme="majorBidi" w:cstheme="majorBidi"/>
          <w:sz w:val="24"/>
          <w:szCs w:val="24"/>
        </w:rPr>
        <w:t>représentant les anciennes 16 régions économiques, il s’agit de</w:t>
      </w:r>
      <w:r>
        <w:rPr>
          <w:rFonts w:asciiTheme="majorBidi" w:hAnsiTheme="majorBidi" w:cstheme="majorBidi"/>
          <w:sz w:val="24"/>
          <w:szCs w:val="24"/>
        </w:rPr>
        <w:t>:</w:t>
      </w:r>
      <w:r w:rsidRPr="002519A6">
        <w:rPr>
          <w:rFonts w:asciiTheme="majorBidi" w:hAnsiTheme="majorBidi" w:cstheme="majorBidi"/>
          <w:sz w:val="24"/>
          <w:szCs w:val="24"/>
        </w:rPr>
        <w:t xml:space="preserve"> </w:t>
      </w:r>
      <w:r>
        <w:rPr>
          <w:rFonts w:asciiTheme="majorBidi" w:hAnsiTheme="majorBidi" w:cstheme="majorBidi"/>
          <w:sz w:val="24"/>
          <w:szCs w:val="24"/>
        </w:rPr>
        <w:t>Agadir, Casablanca, Fès, Kenitra, Marrakech, Oujda, Rabat,</w:t>
      </w:r>
      <w:r w:rsidR="00D5577B">
        <w:rPr>
          <w:rFonts w:asciiTheme="majorBidi" w:hAnsiTheme="majorBidi" w:cstheme="majorBidi"/>
          <w:sz w:val="24"/>
          <w:szCs w:val="24"/>
        </w:rPr>
        <w:t xml:space="preserve"> Tanger,</w:t>
      </w:r>
      <w:r>
        <w:rPr>
          <w:rFonts w:asciiTheme="majorBidi" w:hAnsiTheme="majorBidi" w:cstheme="majorBidi"/>
          <w:sz w:val="24"/>
          <w:szCs w:val="24"/>
        </w:rPr>
        <w:t xml:space="preserve"> Tétouan, Meknès</w:t>
      </w:r>
      <w:r w:rsidR="00302B06">
        <w:rPr>
          <w:rFonts w:asciiTheme="majorBidi" w:hAnsiTheme="majorBidi" w:cstheme="majorBidi"/>
          <w:sz w:val="24"/>
          <w:szCs w:val="24"/>
        </w:rPr>
        <w:t>,</w:t>
      </w:r>
      <w:r>
        <w:rPr>
          <w:rFonts w:asciiTheme="majorBidi" w:hAnsiTheme="majorBidi" w:cstheme="majorBidi"/>
          <w:sz w:val="24"/>
          <w:szCs w:val="24"/>
        </w:rPr>
        <w:t xml:space="preserve"> </w:t>
      </w:r>
      <w:proofErr w:type="spellStart"/>
      <w:r>
        <w:rPr>
          <w:rFonts w:asciiTheme="majorBidi" w:hAnsiTheme="majorBidi" w:cstheme="majorBidi"/>
          <w:sz w:val="24"/>
          <w:szCs w:val="24"/>
        </w:rPr>
        <w:t>Laâyoune</w:t>
      </w:r>
      <w:proofErr w:type="spellEnd"/>
      <w:r>
        <w:rPr>
          <w:rFonts w:asciiTheme="majorBidi" w:hAnsiTheme="majorBidi" w:cstheme="majorBidi"/>
          <w:sz w:val="24"/>
          <w:szCs w:val="24"/>
        </w:rPr>
        <w:t xml:space="preserve">, El </w:t>
      </w:r>
      <w:proofErr w:type="spellStart"/>
      <w:r>
        <w:rPr>
          <w:rFonts w:asciiTheme="majorBidi" w:hAnsiTheme="majorBidi" w:cstheme="majorBidi"/>
          <w:sz w:val="24"/>
          <w:szCs w:val="24"/>
        </w:rPr>
        <w:t>Houceima</w:t>
      </w:r>
      <w:proofErr w:type="spellEnd"/>
      <w:r>
        <w:rPr>
          <w:rFonts w:asciiTheme="majorBidi" w:hAnsiTheme="majorBidi" w:cstheme="majorBidi"/>
          <w:sz w:val="24"/>
          <w:szCs w:val="24"/>
        </w:rPr>
        <w:t xml:space="preserve">, Settat, </w:t>
      </w:r>
      <w:proofErr w:type="spellStart"/>
      <w:r>
        <w:rPr>
          <w:rFonts w:asciiTheme="majorBidi" w:hAnsiTheme="majorBidi" w:cstheme="majorBidi"/>
          <w:sz w:val="24"/>
          <w:szCs w:val="24"/>
        </w:rPr>
        <w:t>Beni</w:t>
      </w:r>
      <w:proofErr w:type="spellEnd"/>
      <w:r>
        <w:rPr>
          <w:rFonts w:asciiTheme="majorBidi" w:hAnsiTheme="majorBidi" w:cstheme="majorBidi"/>
          <w:sz w:val="24"/>
          <w:szCs w:val="24"/>
        </w:rPr>
        <w:t xml:space="preserve"> Mellal, Safi, </w:t>
      </w:r>
      <w:proofErr w:type="spellStart"/>
      <w:r>
        <w:rPr>
          <w:rFonts w:asciiTheme="majorBidi" w:hAnsiTheme="majorBidi" w:cstheme="majorBidi"/>
          <w:sz w:val="24"/>
          <w:szCs w:val="24"/>
        </w:rPr>
        <w:t>Guelmim</w:t>
      </w:r>
      <w:proofErr w:type="spellEnd"/>
      <w:r>
        <w:rPr>
          <w:rFonts w:asciiTheme="majorBidi" w:hAnsiTheme="majorBidi" w:cstheme="majorBidi"/>
          <w:sz w:val="24"/>
          <w:szCs w:val="24"/>
        </w:rPr>
        <w:t xml:space="preserve"> et Dakhla.</w:t>
      </w:r>
      <w:r w:rsidR="00F7495D" w:rsidRPr="00F7495D">
        <w:rPr>
          <w:rFonts w:asciiTheme="majorBidi" w:hAnsiTheme="majorBidi" w:cstheme="majorBidi"/>
          <w:sz w:val="24"/>
          <w:szCs w:val="24"/>
        </w:rPr>
        <w:t xml:space="preserve"> </w:t>
      </w:r>
      <w:r w:rsidR="00F7495D">
        <w:rPr>
          <w:rFonts w:asciiTheme="majorBidi" w:hAnsiTheme="majorBidi" w:cstheme="majorBidi"/>
          <w:sz w:val="24"/>
          <w:szCs w:val="24"/>
        </w:rPr>
        <w:t>Le choix de ces villes s’est fait selon l’importance de la population de référence, l’importance du commerce de détail et la situation géographique, et ce pour garantir une meilleure représentativité de l’indice en milieu urbain.</w:t>
      </w:r>
      <w:r w:rsidR="00E30AD8">
        <w:rPr>
          <w:rFonts w:asciiTheme="majorBidi" w:hAnsiTheme="majorBidi" w:cstheme="majorBidi"/>
          <w:sz w:val="24"/>
          <w:szCs w:val="24"/>
        </w:rPr>
        <w:t xml:space="preserve"> A noter que </w:t>
      </w:r>
      <w:r w:rsidR="00A37B89">
        <w:rPr>
          <w:rFonts w:asciiTheme="majorBidi" w:hAnsiTheme="majorBidi" w:cstheme="majorBidi"/>
          <w:sz w:val="24"/>
          <w:szCs w:val="24"/>
        </w:rPr>
        <w:t xml:space="preserve">lors de </w:t>
      </w:r>
      <w:r w:rsidR="00E30AD8">
        <w:rPr>
          <w:rFonts w:asciiTheme="majorBidi" w:hAnsiTheme="majorBidi" w:cstheme="majorBidi"/>
          <w:sz w:val="24"/>
          <w:szCs w:val="24"/>
        </w:rPr>
        <w:t>la réforme actuelle, la ville d’</w:t>
      </w:r>
      <w:proofErr w:type="spellStart"/>
      <w:r w:rsidR="00E30AD8">
        <w:rPr>
          <w:rFonts w:asciiTheme="majorBidi" w:hAnsiTheme="majorBidi" w:cstheme="majorBidi"/>
          <w:sz w:val="24"/>
          <w:szCs w:val="24"/>
        </w:rPr>
        <w:t>Errachidia</w:t>
      </w:r>
      <w:proofErr w:type="spellEnd"/>
      <w:r w:rsidR="00A37B89">
        <w:rPr>
          <w:rFonts w:asciiTheme="majorBidi" w:hAnsiTheme="majorBidi" w:cstheme="majorBidi"/>
          <w:sz w:val="24"/>
          <w:szCs w:val="24"/>
        </w:rPr>
        <w:t xml:space="preserve"> a été ajoutée</w:t>
      </w:r>
      <w:r w:rsidR="00E30AD8">
        <w:rPr>
          <w:rFonts w:asciiTheme="majorBidi" w:hAnsiTheme="majorBidi" w:cstheme="majorBidi"/>
          <w:sz w:val="24"/>
          <w:szCs w:val="24"/>
        </w:rPr>
        <w:t xml:space="preserve"> au champ géographique afin de tenir compte du nouveau découpage régional.</w:t>
      </w:r>
    </w:p>
    <w:p w:rsidR="0088739E" w:rsidRPr="00FC4512" w:rsidRDefault="0088739E" w:rsidP="00586B08">
      <w:pPr>
        <w:pStyle w:val="Titre2"/>
        <w:rPr>
          <w:rFonts w:asciiTheme="majorBidi" w:hAnsiTheme="majorBidi"/>
          <w:color w:val="0070C0"/>
        </w:rPr>
      </w:pPr>
      <w:bookmarkStart w:id="10" w:name="_Toc45551140"/>
      <w:r w:rsidRPr="00FC4512">
        <w:rPr>
          <w:rFonts w:asciiTheme="majorBidi" w:hAnsiTheme="majorBidi"/>
          <w:color w:val="0070C0"/>
        </w:rPr>
        <w:t>II-3 Panier de l’indice</w:t>
      </w:r>
      <w:bookmarkEnd w:id="10"/>
    </w:p>
    <w:p w:rsidR="0088739E" w:rsidRDefault="0088739E" w:rsidP="00477549">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Le choix des produits retenus dans le panier de l’IPC (base 100:2006) se fait selon leur importance dans la dépense totale des ménages. Cette information est obtenue à partir de l’</w:t>
      </w:r>
      <w:r w:rsidR="00477549">
        <w:rPr>
          <w:rFonts w:asciiTheme="majorBidi" w:hAnsiTheme="majorBidi" w:cstheme="majorBidi"/>
          <w:sz w:val="24"/>
          <w:szCs w:val="24"/>
        </w:rPr>
        <w:t>E</w:t>
      </w:r>
      <w:r>
        <w:rPr>
          <w:rFonts w:asciiTheme="majorBidi" w:hAnsiTheme="majorBidi" w:cstheme="majorBidi"/>
          <w:sz w:val="24"/>
          <w:szCs w:val="24"/>
        </w:rPr>
        <w:t xml:space="preserve">nquête sur la </w:t>
      </w:r>
      <w:r w:rsidR="00477549">
        <w:rPr>
          <w:rFonts w:asciiTheme="majorBidi" w:hAnsiTheme="majorBidi" w:cstheme="majorBidi"/>
          <w:sz w:val="24"/>
          <w:szCs w:val="24"/>
        </w:rPr>
        <w:t>C</w:t>
      </w:r>
      <w:r>
        <w:rPr>
          <w:rFonts w:asciiTheme="majorBidi" w:hAnsiTheme="majorBidi" w:cstheme="majorBidi"/>
          <w:sz w:val="24"/>
          <w:szCs w:val="24"/>
        </w:rPr>
        <w:t xml:space="preserve">onsommation et les </w:t>
      </w:r>
      <w:r w:rsidR="00477549">
        <w:rPr>
          <w:rFonts w:asciiTheme="majorBidi" w:hAnsiTheme="majorBidi" w:cstheme="majorBidi"/>
          <w:sz w:val="24"/>
          <w:szCs w:val="24"/>
        </w:rPr>
        <w:t>D</w:t>
      </w:r>
      <w:r>
        <w:rPr>
          <w:rFonts w:asciiTheme="majorBidi" w:hAnsiTheme="majorBidi" w:cstheme="majorBidi"/>
          <w:sz w:val="24"/>
          <w:szCs w:val="24"/>
        </w:rPr>
        <w:t xml:space="preserve">épenses des </w:t>
      </w:r>
      <w:r w:rsidR="00477549">
        <w:rPr>
          <w:rFonts w:asciiTheme="majorBidi" w:hAnsiTheme="majorBidi" w:cstheme="majorBidi"/>
          <w:sz w:val="24"/>
          <w:szCs w:val="24"/>
        </w:rPr>
        <w:t>M</w:t>
      </w:r>
      <w:r>
        <w:rPr>
          <w:rFonts w:asciiTheme="majorBidi" w:hAnsiTheme="majorBidi" w:cstheme="majorBidi"/>
          <w:sz w:val="24"/>
          <w:szCs w:val="24"/>
        </w:rPr>
        <w:t>énages de 2001 (</w:t>
      </w:r>
      <w:r w:rsidR="00510322">
        <w:rPr>
          <w:rFonts w:asciiTheme="majorBidi" w:hAnsiTheme="majorBidi" w:cstheme="majorBidi"/>
          <w:sz w:val="24"/>
          <w:szCs w:val="24"/>
        </w:rPr>
        <w:t>contre</w:t>
      </w:r>
      <w:r>
        <w:rPr>
          <w:rFonts w:asciiTheme="majorBidi" w:hAnsiTheme="majorBidi" w:cstheme="majorBidi"/>
          <w:sz w:val="24"/>
          <w:szCs w:val="24"/>
        </w:rPr>
        <w:t xml:space="preserve"> celle de </w:t>
      </w:r>
      <w:r w:rsidR="00F93525">
        <w:rPr>
          <w:rFonts w:asciiTheme="majorBidi" w:hAnsiTheme="majorBidi" w:cstheme="majorBidi"/>
          <w:sz w:val="24"/>
          <w:szCs w:val="24"/>
        </w:rPr>
        <w:t>2014</w:t>
      </w:r>
      <w:r>
        <w:rPr>
          <w:rFonts w:asciiTheme="majorBidi" w:hAnsiTheme="majorBidi" w:cstheme="majorBidi"/>
          <w:sz w:val="24"/>
          <w:szCs w:val="24"/>
        </w:rPr>
        <w:t xml:space="preserve"> pour l’I</w:t>
      </w:r>
      <w:r w:rsidR="00F93525">
        <w:rPr>
          <w:rFonts w:asciiTheme="majorBidi" w:hAnsiTheme="majorBidi" w:cstheme="majorBidi"/>
          <w:sz w:val="24"/>
          <w:szCs w:val="24"/>
        </w:rPr>
        <w:t>PC 2017, objet de la réforme actuelle</w:t>
      </w:r>
      <w:r>
        <w:rPr>
          <w:rFonts w:asciiTheme="majorBidi" w:hAnsiTheme="majorBidi" w:cstheme="majorBidi"/>
          <w:sz w:val="24"/>
          <w:szCs w:val="24"/>
        </w:rPr>
        <w:t>).</w:t>
      </w:r>
    </w:p>
    <w:p w:rsidR="004B1065" w:rsidRDefault="004B1065" w:rsidP="0088739E">
      <w:pPr>
        <w:spacing w:before="240" w:after="240" w:line="240" w:lineRule="auto"/>
        <w:jc w:val="both"/>
        <w:rPr>
          <w:rFonts w:asciiTheme="majorBidi" w:hAnsiTheme="majorBidi" w:cstheme="majorBidi"/>
          <w:sz w:val="24"/>
          <w:szCs w:val="24"/>
        </w:rPr>
      </w:pPr>
    </w:p>
    <w:p w:rsidR="004B1065" w:rsidRDefault="004B1065" w:rsidP="0088739E">
      <w:pPr>
        <w:spacing w:before="240" w:after="240" w:line="240" w:lineRule="auto"/>
        <w:jc w:val="both"/>
        <w:rPr>
          <w:rFonts w:asciiTheme="majorBidi" w:hAnsiTheme="majorBidi" w:cstheme="majorBidi"/>
          <w:sz w:val="24"/>
          <w:szCs w:val="24"/>
        </w:rPr>
      </w:pPr>
    </w:p>
    <w:p w:rsidR="0088739E" w:rsidRDefault="0088739E"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Ainsi, le choix du panier de l’indice passe par trois étapes majeures :</w:t>
      </w:r>
    </w:p>
    <w:p w:rsidR="00E30AD8" w:rsidRPr="005677DF" w:rsidRDefault="0088739E" w:rsidP="005677DF">
      <w:pPr>
        <w:pStyle w:val="Paragraphedeliste"/>
        <w:numPr>
          <w:ilvl w:val="0"/>
          <w:numId w:val="31"/>
        </w:numPr>
        <w:spacing w:before="240" w:after="240" w:line="240" w:lineRule="auto"/>
        <w:jc w:val="both"/>
        <w:rPr>
          <w:rFonts w:asciiTheme="majorBidi" w:hAnsiTheme="majorBidi" w:cstheme="majorBidi"/>
          <w:sz w:val="24"/>
          <w:szCs w:val="24"/>
        </w:rPr>
      </w:pPr>
      <w:r w:rsidRPr="005677DF">
        <w:rPr>
          <w:rFonts w:asciiTheme="majorBidi" w:hAnsiTheme="majorBidi" w:cstheme="majorBidi"/>
          <w:b/>
          <w:bCs/>
          <w:i/>
          <w:iCs/>
          <w:color w:val="0070C0"/>
          <w:sz w:val="24"/>
          <w:szCs w:val="24"/>
        </w:rPr>
        <w:t>Classification des produits</w:t>
      </w:r>
      <w:r w:rsidRPr="005677DF">
        <w:rPr>
          <w:rFonts w:asciiTheme="majorBidi" w:hAnsiTheme="majorBidi" w:cstheme="majorBidi"/>
          <w:b/>
          <w:bCs/>
          <w:i/>
          <w:iCs/>
          <w:sz w:val="24"/>
          <w:szCs w:val="24"/>
        </w:rPr>
        <w:t> :</w:t>
      </w:r>
      <w:r w:rsidRPr="005677DF">
        <w:rPr>
          <w:rFonts w:asciiTheme="majorBidi" w:hAnsiTheme="majorBidi" w:cstheme="majorBidi"/>
          <w:sz w:val="24"/>
          <w:szCs w:val="24"/>
        </w:rPr>
        <w:t xml:space="preserve"> la constitution du panier consiste à établir la liste de tous les biens et services consommés par la population. Ces produits sont décomposés en des postes</w:t>
      </w:r>
      <w:r w:rsidR="00A37B89">
        <w:rPr>
          <w:rFonts w:asciiTheme="majorBidi" w:hAnsiTheme="majorBidi" w:cstheme="majorBidi"/>
          <w:sz w:val="24"/>
          <w:szCs w:val="24"/>
        </w:rPr>
        <w:t>,</w:t>
      </w:r>
      <w:r w:rsidRPr="005677DF">
        <w:rPr>
          <w:rFonts w:asciiTheme="majorBidi" w:hAnsiTheme="majorBidi" w:cstheme="majorBidi"/>
          <w:sz w:val="24"/>
          <w:szCs w:val="24"/>
        </w:rPr>
        <w:t xml:space="preserve"> les plus fins possibles</w:t>
      </w:r>
      <w:r w:rsidR="00A37B89">
        <w:rPr>
          <w:rFonts w:asciiTheme="majorBidi" w:hAnsiTheme="majorBidi" w:cstheme="majorBidi"/>
          <w:sz w:val="24"/>
          <w:szCs w:val="24"/>
        </w:rPr>
        <w:t>,</w:t>
      </w:r>
      <w:r w:rsidRPr="005677DF">
        <w:rPr>
          <w:rFonts w:asciiTheme="majorBidi" w:hAnsiTheme="majorBidi" w:cstheme="majorBidi"/>
          <w:sz w:val="24"/>
          <w:szCs w:val="24"/>
        </w:rPr>
        <w:t xml:space="preserve"> et organisés hiérarchiquement suivant une nomenclature obéissant aux normes internationales</w:t>
      </w:r>
      <w:r w:rsidR="00E30AD8" w:rsidRPr="005677DF">
        <w:rPr>
          <w:rFonts w:asciiTheme="majorBidi" w:hAnsiTheme="majorBidi" w:cstheme="majorBidi"/>
          <w:sz w:val="24"/>
          <w:szCs w:val="24"/>
        </w:rPr>
        <w:t xml:space="preserve"> appelée COICOP (Classification Of </w:t>
      </w:r>
      <w:proofErr w:type="spellStart"/>
      <w:r w:rsidR="00E30AD8" w:rsidRPr="005677DF">
        <w:rPr>
          <w:rFonts w:asciiTheme="majorBidi" w:hAnsiTheme="majorBidi" w:cstheme="majorBidi"/>
          <w:sz w:val="24"/>
          <w:szCs w:val="24"/>
        </w:rPr>
        <w:t>Individual</w:t>
      </w:r>
      <w:proofErr w:type="spellEnd"/>
      <w:r w:rsidR="00E30AD8" w:rsidRPr="005677DF">
        <w:rPr>
          <w:rFonts w:asciiTheme="majorBidi" w:hAnsiTheme="majorBidi" w:cstheme="majorBidi"/>
          <w:sz w:val="24"/>
          <w:szCs w:val="24"/>
        </w:rPr>
        <w:t xml:space="preserve"> </w:t>
      </w:r>
      <w:proofErr w:type="spellStart"/>
      <w:r w:rsidR="00E30AD8" w:rsidRPr="005677DF">
        <w:rPr>
          <w:rFonts w:asciiTheme="majorBidi" w:hAnsiTheme="majorBidi" w:cstheme="majorBidi"/>
          <w:sz w:val="24"/>
          <w:szCs w:val="24"/>
        </w:rPr>
        <w:t>Consumption</w:t>
      </w:r>
      <w:proofErr w:type="spellEnd"/>
      <w:r w:rsidR="00E30AD8" w:rsidRPr="005677DF">
        <w:rPr>
          <w:rFonts w:asciiTheme="majorBidi" w:hAnsiTheme="majorBidi" w:cstheme="majorBidi"/>
          <w:sz w:val="24"/>
          <w:szCs w:val="24"/>
        </w:rPr>
        <w:t xml:space="preserve"> by </w:t>
      </w:r>
      <w:proofErr w:type="spellStart"/>
      <w:r w:rsidR="00E30AD8" w:rsidRPr="005677DF">
        <w:rPr>
          <w:rFonts w:asciiTheme="majorBidi" w:hAnsiTheme="majorBidi" w:cstheme="majorBidi"/>
          <w:sz w:val="24"/>
          <w:szCs w:val="24"/>
        </w:rPr>
        <w:t>Purpose</w:t>
      </w:r>
      <w:proofErr w:type="spellEnd"/>
      <w:r w:rsidR="00E30AD8" w:rsidRPr="005677DF">
        <w:rPr>
          <w:rFonts w:asciiTheme="majorBidi" w:hAnsiTheme="majorBidi" w:cstheme="majorBidi"/>
          <w:sz w:val="24"/>
          <w:szCs w:val="24"/>
        </w:rPr>
        <w:t xml:space="preserve">). Celle-ci est structurée en 12 divisions, 41 groupes, 88 classes et 112 sections. </w:t>
      </w:r>
    </w:p>
    <w:p w:rsidR="0088739E" w:rsidRDefault="0088739E" w:rsidP="00767BA0">
      <w:pPr>
        <w:pStyle w:val="Paragraphedeliste"/>
        <w:numPr>
          <w:ilvl w:val="0"/>
          <w:numId w:val="31"/>
        </w:numPr>
        <w:spacing w:before="240" w:after="240" w:line="240" w:lineRule="auto"/>
        <w:jc w:val="both"/>
        <w:rPr>
          <w:rFonts w:asciiTheme="majorBidi" w:hAnsiTheme="majorBidi" w:cstheme="majorBidi"/>
          <w:sz w:val="24"/>
          <w:szCs w:val="24"/>
        </w:rPr>
      </w:pPr>
      <w:r w:rsidRPr="00725E87">
        <w:rPr>
          <w:rFonts w:asciiTheme="majorBidi" w:hAnsiTheme="majorBidi" w:cstheme="majorBidi"/>
          <w:b/>
          <w:bCs/>
          <w:i/>
          <w:iCs/>
          <w:color w:val="0070C0"/>
          <w:sz w:val="24"/>
          <w:szCs w:val="24"/>
        </w:rPr>
        <w:t>Choix des produits</w:t>
      </w:r>
      <w:r>
        <w:rPr>
          <w:rFonts w:asciiTheme="majorBidi" w:hAnsiTheme="majorBidi" w:cstheme="majorBidi"/>
          <w:b/>
          <w:bCs/>
          <w:i/>
          <w:iCs/>
          <w:sz w:val="24"/>
          <w:szCs w:val="24"/>
        </w:rPr>
        <w:t> :</w:t>
      </w:r>
      <w:r>
        <w:rPr>
          <w:rFonts w:asciiTheme="majorBidi" w:hAnsiTheme="majorBidi" w:cstheme="majorBidi"/>
          <w:sz w:val="24"/>
          <w:szCs w:val="24"/>
        </w:rPr>
        <w:t xml:space="preserve"> étant donné la liste exhaustive des produits, le choix s’arrête sur un échantillon représentatif de produits témoins dont la taille s’élève à 478 (contre </w:t>
      </w:r>
      <w:r w:rsidR="00767BA0">
        <w:rPr>
          <w:rFonts w:asciiTheme="majorBidi" w:hAnsiTheme="majorBidi" w:cstheme="majorBidi"/>
          <w:sz w:val="24"/>
          <w:szCs w:val="24"/>
        </w:rPr>
        <w:t>plus de 500</w:t>
      </w:r>
      <w:r>
        <w:rPr>
          <w:rFonts w:asciiTheme="majorBidi" w:hAnsiTheme="majorBidi" w:cstheme="majorBidi"/>
          <w:sz w:val="24"/>
          <w:szCs w:val="24"/>
        </w:rPr>
        <w:t xml:space="preserve"> pour l’I</w:t>
      </w:r>
      <w:r w:rsidR="00767BA0">
        <w:rPr>
          <w:rFonts w:asciiTheme="majorBidi" w:hAnsiTheme="majorBidi" w:cstheme="majorBidi"/>
          <w:sz w:val="24"/>
          <w:szCs w:val="24"/>
        </w:rPr>
        <w:t>PC 2017</w:t>
      </w:r>
      <w:r>
        <w:rPr>
          <w:rFonts w:asciiTheme="majorBidi" w:hAnsiTheme="majorBidi" w:cstheme="majorBidi"/>
          <w:sz w:val="24"/>
          <w:szCs w:val="24"/>
        </w:rPr>
        <w:t>). Ce choix tient compte de l’importance du produit dans la consommation des ménages.</w:t>
      </w:r>
    </w:p>
    <w:p w:rsidR="0088739E" w:rsidRDefault="0088739E" w:rsidP="0088739E">
      <w:pPr>
        <w:pStyle w:val="Paragraphedeliste"/>
        <w:numPr>
          <w:ilvl w:val="0"/>
          <w:numId w:val="31"/>
        </w:numPr>
        <w:spacing w:before="240" w:after="240" w:line="240" w:lineRule="auto"/>
        <w:jc w:val="both"/>
        <w:rPr>
          <w:rFonts w:asciiTheme="majorBidi" w:hAnsiTheme="majorBidi" w:cstheme="majorBidi"/>
          <w:sz w:val="24"/>
          <w:szCs w:val="24"/>
        </w:rPr>
      </w:pPr>
      <w:r w:rsidRPr="00725E87">
        <w:rPr>
          <w:rFonts w:asciiTheme="majorBidi" w:hAnsiTheme="majorBidi" w:cstheme="majorBidi"/>
          <w:b/>
          <w:bCs/>
          <w:i/>
          <w:iCs/>
          <w:color w:val="0070C0"/>
          <w:sz w:val="24"/>
          <w:szCs w:val="24"/>
        </w:rPr>
        <w:t>Choix et description des variétés</w:t>
      </w:r>
      <w:r>
        <w:rPr>
          <w:rFonts w:asciiTheme="majorBidi" w:hAnsiTheme="majorBidi" w:cstheme="majorBidi"/>
          <w:b/>
          <w:bCs/>
          <w:i/>
          <w:iCs/>
          <w:sz w:val="24"/>
          <w:szCs w:val="24"/>
        </w:rPr>
        <w:t> :</w:t>
      </w:r>
      <w:r>
        <w:rPr>
          <w:rFonts w:asciiTheme="majorBidi" w:hAnsiTheme="majorBidi" w:cstheme="majorBidi"/>
          <w:sz w:val="24"/>
          <w:szCs w:val="24"/>
        </w:rPr>
        <w:t xml:space="preserve"> étant donné un produit du panier de l’indice, des variétés sont choisies pour mieux renseigner sur la variation globale des différents prix du produit. La description exacte de ces variétés est primordiale pour mener à bien le relevé des prix auprès des détaillants, notamment pour les produits hétérogènes tels que les articles d’habillement et de l’ameublement. Dans ce cadre, 1067 variétés (y compris les variétés relatives au loyer et aux médicaments) sont sélectionnées pour une meilleure représentativité régionale et saisonnière.</w:t>
      </w:r>
    </w:p>
    <w:p w:rsidR="0088739E" w:rsidRPr="00FC4512" w:rsidRDefault="0088739E" w:rsidP="00586B08">
      <w:pPr>
        <w:pStyle w:val="Titre2"/>
        <w:rPr>
          <w:rFonts w:asciiTheme="majorBidi" w:hAnsiTheme="majorBidi"/>
          <w:color w:val="0070C0"/>
          <w:lang w:val="en-US"/>
        </w:rPr>
      </w:pPr>
      <w:bookmarkStart w:id="11" w:name="_Toc45551141"/>
      <w:r w:rsidRPr="00FC4512">
        <w:rPr>
          <w:rFonts w:asciiTheme="majorBidi" w:hAnsiTheme="majorBidi"/>
          <w:color w:val="0070C0"/>
          <w:lang w:val="en-US"/>
        </w:rPr>
        <w:t>II-</w:t>
      </w:r>
      <w:r w:rsidR="005677DF" w:rsidRPr="00FC4512">
        <w:rPr>
          <w:rFonts w:asciiTheme="majorBidi" w:hAnsiTheme="majorBidi"/>
          <w:color w:val="0070C0"/>
          <w:lang w:val="en-US"/>
        </w:rPr>
        <w:t>4</w:t>
      </w:r>
      <w:r w:rsidRPr="00FC4512">
        <w:rPr>
          <w:rFonts w:asciiTheme="majorBidi" w:hAnsiTheme="majorBidi"/>
          <w:color w:val="0070C0"/>
          <w:lang w:val="en-US"/>
        </w:rPr>
        <w:t xml:space="preserve"> </w:t>
      </w:r>
      <w:r w:rsidRPr="00FC4512">
        <w:rPr>
          <w:rFonts w:asciiTheme="majorBidi" w:hAnsiTheme="majorBidi"/>
          <w:color w:val="0070C0"/>
        </w:rPr>
        <w:t>Pondérations</w:t>
      </w:r>
      <w:bookmarkEnd w:id="11"/>
      <w:r w:rsidRPr="00FC4512">
        <w:rPr>
          <w:rFonts w:asciiTheme="majorBidi" w:hAnsiTheme="majorBidi"/>
          <w:color w:val="0070C0"/>
          <w:lang w:val="en-US"/>
        </w:rPr>
        <w:t xml:space="preserve"> </w:t>
      </w:r>
    </w:p>
    <w:p w:rsidR="0088739E" w:rsidRDefault="0088739E" w:rsidP="00477549">
      <w:pPr>
        <w:spacing w:before="240" w:after="240" w:line="240" w:lineRule="auto"/>
        <w:jc w:val="both"/>
        <w:rPr>
          <w:rFonts w:asciiTheme="majorBidi" w:hAnsiTheme="majorBidi" w:cstheme="majorBidi"/>
          <w:sz w:val="24"/>
          <w:szCs w:val="24"/>
          <w:lang w:val="fr-MA"/>
        </w:rPr>
      </w:pPr>
      <w:r w:rsidRPr="00FE3C0E">
        <w:rPr>
          <w:rFonts w:asciiTheme="majorBidi" w:hAnsiTheme="majorBidi" w:cstheme="majorBidi"/>
          <w:sz w:val="24"/>
          <w:szCs w:val="24"/>
          <w:lang w:val="fr-MA"/>
        </w:rPr>
        <w:t xml:space="preserve">Les coefficients de </w:t>
      </w:r>
      <w:r w:rsidRPr="00BC220A">
        <w:rPr>
          <w:rFonts w:asciiTheme="majorBidi" w:hAnsiTheme="majorBidi" w:cstheme="majorBidi"/>
          <w:sz w:val="24"/>
          <w:szCs w:val="24"/>
        </w:rPr>
        <w:t>pondération</w:t>
      </w:r>
      <w:r w:rsidRPr="00FE3C0E">
        <w:rPr>
          <w:rFonts w:asciiTheme="majorBidi" w:hAnsiTheme="majorBidi" w:cstheme="majorBidi"/>
          <w:sz w:val="24"/>
          <w:szCs w:val="24"/>
          <w:lang w:val="fr-MA"/>
        </w:rPr>
        <w:t xml:space="preserve"> des </w:t>
      </w:r>
      <w:r w:rsidRPr="00007386">
        <w:rPr>
          <w:rFonts w:asciiTheme="majorBidi" w:hAnsiTheme="majorBidi" w:cstheme="majorBidi"/>
          <w:sz w:val="24"/>
          <w:szCs w:val="24"/>
        </w:rPr>
        <w:t>produits</w:t>
      </w:r>
      <w:r w:rsidRPr="00FE3C0E">
        <w:rPr>
          <w:rFonts w:asciiTheme="majorBidi" w:hAnsiTheme="majorBidi" w:cstheme="majorBidi"/>
          <w:sz w:val="24"/>
          <w:szCs w:val="24"/>
          <w:lang w:val="fr-MA"/>
        </w:rPr>
        <w:t xml:space="preserve"> du</w:t>
      </w:r>
      <w:r w:rsidRPr="006C41F1">
        <w:rPr>
          <w:rFonts w:asciiTheme="majorBidi" w:hAnsiTheme="majorBidi" w:cstheme="majorBidi"/>
          <w:sz w:val="24"/>
          <w:szCs w:val="24"/>
          <w:lang w:val="fr-MA"/>
        </w:rPr>
        <w:t xml:space="preserve"> panier</w:t>
      </w:r>
      <w:r w:rsidRPr="00FE3C0E">
        <w:rPr>
          <w:rFonts w:asciiTheme="majorBidi" w:hAnsiTheme="majorBidi" w:cstheme="majorBidi"/>
          <w:sz w:val="24"/>
          <w:szCs w:val="24"/>
          <w:lang w:val="fr-MA"/>
        </w:rPr>
        <w:t xml:space="preserve"> de</w:t>
      </w:r>
      <w:r w:rsidRPr="006C41F1">
        <w:rPr>
          <w:rFonts w:asciiTheme="majorBidi" w:hAnsiTheme="majorBidi" w:cstheme="majorBidi"/>
          <w:sz w:val="24"/>
          <w:szCs w:val="24"/>
          <w:lang w:val="fr-MA"/>
        </w:rPr>
        <w:t xml:space="preserve"> l’IPC</w:t>
      </w:r>
      <w:r w:rsidRPr="00FE3C0E">
        <w:rPr>
          <w:rFonts w:asciiTheme="majorBidi" w:hAnsiTheme="majorBidi" w:cstheme="majorBidi"/>
          <w:sz w:val="24"/>
          <w:szCs w:val="24"/>
          <w:lang w:val="fr-MA"/>
        </w:rPr>
        <w:t xml:space="preserve"> reflètent la structure des</w:t>
      </w:r>
      <w:r w:rsidRPr="00B12946">
        <w:rPr>
          <w:rFonts w:asciiTheme="majorBidi" w:hAnsiTheme="majorBidi" w:cstheme="majorBidi"/>
          <w:sz w:val="24"/>
          <w:szCs w:val="24"/>
          <w:lang w:val="fr-MA"/>
        </w:rPr>
        <w:t xml:space="preserve"> dépenses</w:t>
      </w:r>
      <w:r w:rsidRPr="00FE3C0E">
        <w:rPr>
          <w:rFonts w:asciiTheme="majorBidi" w:hAnsiTheme="majorBidi" w:cstheme="majorBidi"/>
          <w:sz w:val="24"/>
          <w:szCs w:val="24"/>
          <w:lang w:val="fr-MA"/>
        </w:rPr>
        <w:t xml:space="preserve"> de</w:t>
      </w:r>
      <w:r w:rsidRPr="00B12946">
        <w:rPr>
          <w:rFonts w:asciiTheme="majorBidi" w:hAnsiTheme="majorBidi" w:cstheme="majorBidi"/>
          <w:sz w:val="24"/>
          <w:szCs w:val="24"/>
        </w:rPr>
        <w:t xml:space="preserve"> consommation</w:t>
      </w:r>
      <w:r w:rsidRPr="00FE3C0E">
        <w:rPr>
          <w:rFonts w:asciiTheme="majorBidi" w:hAnsiTheme="majorBidi" w:cstheme="majorBidi"/>
          <w:sz w:val="24"/>
          <w:szCs w:val="24"/>
          <w:lang w:val="fr-MA"/>
        </w:rPr>
        <w:t xml:space="preserve"> des ménages urbains.</w:t>
      </w:r>
      <w:r w:rsidRPr="00FE3C0E">
        <w:rPr>
          <w:rFonts w:asciiTheme="majorBidi" w:hAnsiTheme="majorBidi" w:cstheme="majorBidi"/>
          <w:sz w:val="24"/>
          <w:szCs w:val="24"/>
        </w:rPr>
        <w:t xml:space="preserve"> Ils</w:t>
      </w:r>
      <w:r>
        <w:rPr>
          <w:rFonts w:asciiTheme="majorBidi" w:hAnsiTheme="majorBidi" w:cstheme="majorBidi"/>
          <w:sz w:val="24"/>
          <w:szCs w:val="24"/>
          <w:lang w:val="en-US"/>
        </w:rPr>
        <w:t xml:space="preserve"> </w:t>
      </w:r>
      <w:r w:rsidRPr="00FE3C0E">
        <w:rPr>
          <w:rFonts w:asciiTheme="majorBidi" w:hAnsiTheme="majorBidi" w:cstheme="majorBidi"/>
          <w:sz w:val="24"/>
          <w:szCs w:val="24"/>
        </w:rPr>
        <w:t>sont calculés</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sur</w:t>
      </w:r>
      <w:proofErr w:type="spellEnd"/>
      <w:r>
        <w:rPr>
          <w:rFonts w:asciiTheme="majorBidi" w:hAnsiTheme="majorBidi" w:cstheme="majorBidi"/>
          <w:sz w:val="24"/>
          <w:szCs w:val="24"/>
          <w:lang w:val="en-US"/>
        </w:rPr>
        <w:t xml:space="preserve"> la base de </w:t>
      </w:r>
      <w:proofErr w:type="spellStart"/>
      <w:r>
        <w:rPr>
          <w:rFonts w:asciiTheme="majorBidi" w:hAnsiTheme="majorBidi" w:cstheme="majorBidi"/>
          <w:sz w:val="24"/>
          <w:szCs w:val="24"/>
          <w:lang w:val="en-US"/>
        </w:rPr>
        <w:t>l’</w:t>
      </w:r>
      <w:r w:rsidR="00477549">
        <w:rPr>
          <w:rFonts w:asciiTheme="majorBidi" w:hAnsiTheme="majorBidi" w:cstheme="majorBidi"/>
          <w:sz w:val="24"/>
          <w:szCs w:val="24"/>
          <w:lang w:val="en-US"/>
        </w:rPr>
        <w:t>E</w:t>
      </w:r>
      <w:r>
        <w:rPr>
          <w:rFonts w:asciiTheme="majorBidi" w:hAnsiTheme="majorBidi" w:cstheme="majorBidi"/>
          <w:sz w:val="24"/>
          <w:szCs w:val="24"/>
          <w:lang w:val="en-US"/>
        </w:rPr>
        <w:t>nquête</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sur</w:t>
      </w:r>
      <w:proofErr w:type="spellEnd"/>
      <w:r>
        <w:rPr>
          <w:rFonts w:asciiTheme="majorBidi" w:hAnsiTheme="majorBidi" w:cstheme="majorBidi"/>
          <w:sz w:val="24"/>
          <w:szCs w:val="24"/>
          <w:lang w:val="en-US"/>
        </w:rPr>
        <w:t xml:space="preserve"> la </w:t>
      </w:r>
      <w:proofErr w:type="spellStart"/>
      <w:r w:rsidR="00477549">
        <w:rPr>
          <w:rFonts w:asciiTheme="majorBidi" w:hAnsiTheme="majorBidi" w:cstheme="majorBidi"/>
          <w:sz w:val="24"/>
          <w:szCs w:val="24"/>
          <w:lang w:val="en-US"/>
        </w:rPr>
        <w:t>C</w:t>
      </w:r>
      <w:r>
        <w:rPr>
          <w:rFonts w:asciiTheme="majorBidi" w:hAnsiTheme="majorBidi" w:cstheme="majorBidi"/>
          <w:sz w:val="24"/>
          <w:szCs w:val="24"/>
          <w:lang w:val="en-US"/>
        </w:rPr>
        <w:t>onsommation</w:t>
      </w:r>
      <w:proofErr w:type="spellEnd"/>
      <w:r>
        <w:rPr>
          <w:rFonts w:asciiTheme="majorBidi" w:hAnsiTheme="majorBidi" w:cstheme="majorBidi"/>
          <w:sz w:val="24"/>
          <w:szCs w:val="24"/>
          <w:lang w:val="en-US"/>
        </w:rPr>
        <w:t xml:space="preserve"> et les </w:t>
      </w:r>
      <w:proofErr w:type="spellStart"/>
      <w:r w:rsidR="00477549">
        <w:rPr>
          <w:rFonts w:asciiTheme="majorBidi" w:hAnsiTheme="majorBidi" w:cstheme="majorBidi"/>
          <w:sz w:val="24"/>
          <w:szCs w:val="24"/>
          <w:lang w:val="en-US"/>
        </w:rPr>
        <w:t>D</w:t>
      </w:r>
      <w:r>
        <w:rPr>
          <w:rFonts w:asciiTheme="majorBidi" w:hAnsiTheme="majorBidi" w:cstheme="majorBidi"/>
          <w:sz w:val="24"/>
          <w:szCs w:val="24"/>
          <w:lang w:val="en-US"/>
        </w:rPr>
        <w:t>épenses</w:t>
      </w:r>
      <w:proofErr w:type="spellEnd"/>
      <w:r>
        <w:rPr>
          <w:rFonts w:asciiTheme="majorBidi" w:hAnsiTheme="majorBidi" w:cstheme="majorBidi"/>
          <w:sz w:val="24"/>
          <w:szCs w:val="24"/>
          <w:lang w:val="en-US"/>
        </w:rPr>
        <w:t xml:space="preserve"> des </w:t>
      </w:r>
      <w:r w:rsidR="00477549">
        <w:rPr>
          <w:rFonts w:asciiTheme="majorBidi" w:hAnsiTheme="majorBidi" w:cstheme="majorBidi"/>
          <w:sz w:val="24"/>
          <w:szCs w:val="24"/>
          <w:lang w:val="en-US"/>
        </w:rPr>
        <w:t>M</w:t>
      </w:r>
      <w:r>
        <w:rPr>
          <w:rFonts w:asciiTheme="majorBidi" w:hAnsiTheme="majorBidi" w:cstheme="majorBidi"/>
          <w:sz w:val="24"/>
          <w:szCs w:val="24"/>
          <w:lang w:val="en-US"/>
        </w:rPr>
        <w:t xml:space="preserve">énages de 2001 et de </w:t>
      </w:r>
      <w:proofErr w:type="spellStart"/>
      <w:r>
        <w:rPr>
          <w:rFonts w:asciiTheme="majorBidi" w:hAnsiTheme="majorBidi" w:cstheme="majorBidi"/>
          <w:sz w:val="24"/>
          <w:szCs w:val="24"/>
          <w:lang w:val="en-US"/>
        </w:rPr>
        <w:t>l’</w:t>
      </w:r>
      <w:r w:rsidR="00477549">
        <w:rPr>
          <w:rFonts w:asciiTheme="majorBidi" w:hAnsiTheme="majorBidi" w:cstheme="majorBidi"/>
          <w:sz w:val="24"/>
          <w:szCs w:val="24"/>
          <w:lang w:val="en-US"/>
        </w:rPr>
        <w:t>E</w:t>
      </w:r>
      <w:r>
        <w:rPr>
          <w:rFonts w:asciiTheme="majorBidi" w:hAnsiTheme="majorBidi" w:cstheme="majorBidi"/>
          <w:sz w:val="24"/>
          <w:szCs w:val="24"/>
          <w:lang w:val="en-US"/>
        </w:rPr>
        <w:t>nquête</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sur</w:t>
      </w:r>
      <w:proofErr w:type="spellEnd"/>
      <w:r>
        <w:rPr>
          <w:rFonts w:asciiTheme="majorBidi" w:hAnsiTheme="majorBidi" w:cstheme="majorBidi"/>
          <w:sz w:val="24"/>
          <w:szCs w:val="24"/>
          <w:lang w:val="en-US"/>
        </w:rPr>
        <w:t xml:space="preserve"> les </w:t>
      </w:r>
      <w:proofErr w:type="spellStart"/>
      <w:r w:rsidR="00477549">
        <w:rPr>
          <w:rFonts w:asciiTheme="majorBidi" w:hAnsiTheme="majorBidi" w:cstheme="majorBidi"/>
          <w:sz w:val="24"/>
          <w:szCs w:val="24"/>
          <w:lang w:val="en-US"/>
        </w:rPr>
        <w:t>R</w:t>
      </w:r>
      <w:r>
        <w:rPr>
          <w:rFonts w:asciiTheme="majorBidi" w:hAnsiTheme="majorBidi" w:cstheme="majorBidi"/>
          <w:sz w:val="24"/>
          <w:szCs w:val="24"/>
          <w:lang w:val="en-US"/>
        </w:rPr>
        <w:t>evenus</w:t>
      </w:r>
      <w:proofErr w:type="spellEnd"/>
      <w:r>
        <w:rPr>
          <w:rFonts w:asciiTheme="majorBidi" w:hAnsiTheme="majorBidi" w:cstheme="majorBidi"/>
          <w:sz w:val="24"/>
          <w:szCs w:val="24"/>
          <w:lang w:val="en-US"/>
        </w:rPr>
        <w:t xml:space="preserve"> et le </w:t>
      </w:r>
      <w:proofErr w:type="spellStart"/>
      <w:r w:rsidR="00477549">
        <w:rPr>
          <w:rFonts w:asciiTheme="majorBidi" w:hAnsiTheme="majorBidi" w:cstheme="majorBidi"/>
          <w:sz w:val="24"/>
          <w:szCs w:val="24"/>
          <w:lang w:val="en-US"/>
        </w:rPr>
        <w:t>N</w:t>
      </w:r>
      <w:r>
        <w:rPr>
          <w:rFonts w:asciiTheme="majorBidi" w:hAnsiTheme="majorBidi" w:cstheme="majorBidi"/>
          <w:sz w:val="24"/>
          <w:szCs w:val="24"/>
          <w:lang w:val="en-US"/>
        </w:rPr>
        <w:t>iveau</w:t>
      </w:r>
      <w:proofErr w:type="spellEnd"/>
      <w:r>
        <w:rPr>
          <w:rFonts w:asciiTheme="majorBidi" w:hAnsiTheme="majorBidi" w:cstheme="majorBidi"/>
          <w:sz w:val="24"/>
          <w:szCs w:val="24"/>
          <w:lang w:val="en-US"/>
        </w:rPr>
        <w:t xml:space="preserve"> de </w:t>
      </w:r>
      <w:r w:rsidR="00477549">
        <w:rPr>
          <w:rFonts w:asciiTheme="majorBidi" w:hAnsiTheme="majorBidi" w:cstheme="majorBidi"/>
          <w:sz w:val="24"/>
          <w:szCs w:val="24"/>
          <w:lang w:val="en-US"/>
        </w:rPr>
        <w:t>V</w:t>
      </w:r>
      <w:r>
        <w:rPr>
          <w:rFonts w:asciiTheme="majorBidi" w:hAnsiTheme="majorBidi" w:cstheme="majorBidi"/>
          <w:sz w:val="24"/>
          <w:szCs w:val="24"/>
          <w:lang w:val="en-US"/>
        </w:rPr>
        <w:t xml:space="preserve">ie des </w:t>
      </w:r>
      <w:r w:rsidR="00477549">
        <w:rPr>
          <w:rFonts w:asciiTheme="majorBidi" w:hAnsiTheme="majorBidi" w:cstheme="majorBidi"/>
          <w:sz w:val="24"/>
          <w:szCs w:val="24"/>
          <w:lang w:val="en-US"/>
        </w:rPr>
        <w:t>M</w:t>
      </w:r>
      <w:r>
        <w:rPr>
          <w:rFonts w:asciiTheme="majorBidi" w:hAnsiTheme="majorBidi" w:cstheme="majorBidi"/>
          <w:sz w:val="24"/>
          <w:szCs w:val="24"/>
          <w:lang w:val="en-US"/>
        </w:rPr>
        <w:t>énages de 2007</w:t>
      </w:r>
      <w:r w:rsidR="0086253C">
        <w:rPr>
          <w:rFonts w:asciiTheme="majorBidi" w:hAnsiTheme="majorBidi" w:cstheme="majorBidi"/>
          <w:sz w:val="24"/>
          <w:szCs w:val="24"/>
          <w:lang w:val="en-US"/>
        </w:rPr>
        <w:t xml:space="preserve"> pour </w:t>
      </w:r>
      <w:proofErr w:type="spellStart"/>
      <w:r w:rsidR="0086253C">
        <w:rPr>
          <w:rFonts w:asciiTheme="majorBidi" w:hAnsiTheme="majorBidi" w:cstheme="majorBidi"/>
          <w:sz w:val="24"/>
          <w:szCs w:val="24"/>
          <w:lang w:val="en-US"/>
        </w:rPr>
        <w:t>l’IPC</w:t>
      </w:r>
      <w:proofErr w:type="spellEnd"/>
      <w:r w:rsidR="0086253C">
        <w:rPr>
          <w:rFonts w:asciiTheme="majorBidi" w:hAnsiTheme="majorBidi" w:cstheme="majorBidi"/>
          <w:sz w:val="24"/>
          <w:szCs w:val="24"/>
          <w:lang w:val="en-US"/>
        </w:rPr>
        <w:t xml:space="preserve"> 2006, et </w:t>
      </w:r>
      <w:proofErr w:type="spellStart"/>
      <w:r w:rsidR="0086253C">
        <w:rPr>
          <w:rFonts w:asciiTheme="majorBidi" w:hAnsiTheme="majorBidi" w:cstheme="majorBidi"/>
          <w:sz w:val="24"/>
          <w:szCs w:val="24"/>
          <w:lang w:val="en-US"/>
        </w:rPr>
        <w:t>sur</w:t>
      </w:r>
      <w:proofErr w:type="spellEnd"/>
      <w:r w:rsidR="0086253C">
        <w:rPr>
          <w:rFonts w:asciiTheme="majorBidi" w:hAnsiTheme="majorBidi" w:cstheme="majorBidi"/>
          <w:sz w:val="24"/>
          <w:szCs w:val="24"/>
          <w:lang w:val="en-US"/>
        </w:rPr>
        <w:t xml:space="preserve"> la base de </w:t>
      </w:r>
      <w:proofErr w:type="spellStart"/>
      <w:r w:rsidR="0086253C">
        <w:rPr>
          <w:rFonts w:asciiTheme="majorBidi" w:hAnsiTheme="majorBidi" w:cstheme="majorBidi"/>
          <w:sz w:val="24"/>
          <w:szCs w:val="24"/>
          <w:lang w:val="en-US"/>
        </w:rPr>
        <w:t>l’</w:t>
      </w:r>
      <w:r w:rsidR="00477549">
        <w:rPr>
          <w:rFonts w:asciiTheme="majorBidi" w:hAnsiTheme="majorBidi" w:cstheme="majorBidi"/>
          <w:sz w:val="24"/>
          <w:szCs w:val="24"/>
          <w:lang w:val="en-US"/>
        </w:rPr>
        <w:t>E</w:t>
      </w:r>
      <w:r w:rsidR="0086253C">
        <w:rPr>
          <w:rFonts w:asciiTheme="majorBidi" w:hAnsiTheme="majorBidi" w:cstheme="majorBidi"/>
          <w:sz w:val="24"/>
          <w:szCs w:val="24"/>
          <w:lang w:val="en-US"/>
        </w:rPr>
        <w:t>nquête</w:t>
      </w:r>
      <w:proofErr w:type="spellEnd"/>
      <w:r w:rsidR="0086253C">
        <w:rPr>
          <w:rFonts w:asciiTheme="majorBidi" w:hAnsiTheme="majorBidi" w:cstheme="majorBidi"/>
          <w:sz w:val="24"/>
          <w:szCs w:val="24"/>
          <w:lang w:val="en-US"/>
        </w:rPr>
        <w:t xml:space="preserve"> de </w:t>
      </w:r>
      <w:proofErr w:type="spellStart"/>
      <w:r w:rsidR="00477549">
        <w:rPr>
          <w:rFonts w:asciiTheme="majorBidi" w:hAnsiTheme="majorBidi" w:cstheme="majorBidi"/>
          <w:sz w:val="24"/>
          <w:szCs w:val="24"/>
          <w:lang w:val="en-US"/>
        </w:rPr>
        <w:t>C</w:t>
      </w:r>
      <w:r w:rsidR="0086253C">
        <w:rPr>
          <w:rFonts w:asciiTheme="majorBidi" w:hAnsiTheme="majorBidi" w:cstheme="majorBidi"/>
          <w:sz w:val="24"/>
          <w:szCs w:val="24"/>
          <w:lang w:val="en-US"/>
        </w:rPr>
        <w:t>ons</w:t>
      </w:r>
      <w:r w:rsidR="0085673B">
        <w:rPr>
          <w:rFonts w:asciiTheme="majorBidi" w:hAnsiTheme="majorBidi" w:cstheme="majorBidi"/>
          <w:sz w:val="24"/>
          <w:szCs w:val="24"/>
          <w:lang w:val="en-US"/>
        </w:rPr>
        <w:t>o</w:t>
      </w:r>
      <w:r w:rsidR="0086253C">
        <w:rPr>
          <w:rFonts w:asciiTheme="majorBidi" w:hAnsiTheme="majorBidi" w:cstheme="majorBidi"/>
          <w:sz w:val="24"/>
          <w:szCs w:val="24"/>
          <w:lang w:val="en-US"/>
        </w:rPr>
        <w:t>mmation</w:t>
      </w:r>
      <w:proofErr w:type="spellEnd"/>
      <w:r w:rsidR="0086253C">
        <w:rPr>
          <w:rFonts w:asciiTheme="majorBidi" w:hAnsiTheme="majorBidi" w:cstheme="majorBidi"/>
          <w:sz w:val="24"/>
          <w:szCs w:val="24"/>
          <w:lang w:val="en-US"/>
        </w:rPr>
        <w:t xml:space="preserve"> de 2014 pour </w:t>
      </w:r>
      <w:proofErr w:type="spellStart"/>
      <w:r w:rsidR="0086253C">
        <w:rPr>
          <w:rFonts w:asciiTheme="majorBidi" w:hAnsiTheme="majorBidi" w:cstheme="majorBidi"/>
          <w:sz w:val="24"/>
          <w:szCs w:val="24"/>
          <w:lang w:val="en-US"/>
        </w:rPr>
        <w:t>l’IPC</w:t>
      </w:r>
      <w:proofErr w:type="spellEnd"/>
      <w:r w:rsidR="0086253C">
        <w:rPr>
          <w:rFonts w:asciiTheme="majorBidi" w:hAnsiTheme="majorBidi" w:cstheme="majorBidi"/>
          <w:sz w:val="24"/>
          <w:szCs w:val="24"/>
          <w:lang w:val="en-US"/>
        </w:rPr>
        <w:t xml:space="preserve"> 2017, objet de la </w:t>
      </w:r>
      <w:proofErr w:type="spellStart"/>
      <w:r w:rsidR="0086253C">
        <w:rPr>
          <w:rFonts w:asciiTheme="majorBidi" w:hAnsiTheme="majorBidi" w:cstheme="majorBidi"/>
          <w:sz w:val="24"/>
          <w:szCs w:val="24"/>
          <w:lang w:val="en-US"/>
        </w:rPr>
        <w:t>réforme</w:t>
      </w:r>
      <w:proofErr w:type="spellEnd"/>
      <w:r w:rsidR="0060561D">
        <w:rPr>
          <w:rFonts w:asciiTheme="majorBidi" w:hAnsiTheme="majorBidi" w:cstheme="majorBidi"/>
          <w:sz w:val="24"/>
          <w:szCs w:val="24"/>
          <w:lang w:val="en-US"/>
        </w:rPr>
        <w:t xml:space="preserve"> </w:t>
      </w:r>
      <w:proofErr w:type="spellStart"/>
      <w:r w:rsidR="0060561D">
        <w:rPr>
          <w:rFonts w:asciiTheme="majorBidi" w:hAnsiTheme="majorBidi" w:cstheme="majorBidi"/>
          <w:sz w:val="24"/>
          <w:szCs w:val="24"/>
          <w:lang w:val="en-US"/>
        </w:rPr>
        <w:t>actuelle</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Selon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cette</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dernière</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enquête</w:t>
      </w:r>
      <w:proofErr w:type="spellEnd"/>
      <w:r>
        <w:rPr>
          <w:rFonts w:asciiTheme="majorBidi" w:hAnsiTheme="majorBidi" w:cstheme="majorBidi"/>
          <w:sz w:val="24"/>
          <w:szCs w:val="24"/>
          <w:lang w:val="en-US"/>
        </w:rPr>
        <w:t xml:space="preserve">, les coefficients de </w:t>
      </w:r>
      <w:proofErr w:type="spellStart"/>
      <w:r>
        <w:rPr>
          <w:rFonts w:asciiTheme="majorBidi" w:hAnsiTheme="majorBidi" w:cstheme="majorBidi"/>
          <w:sz w:val="24"/>
          <w:szCs w:val="24"/>
          <w:lang w:val="en-US"/>
        </w:rPr>
        <w:t>pondération</w:t>
      </w:r>
      <w:proofErr w:type="spellEnd"/>
      <w:r>
        <w:rPr>
          <w:rFonts w:asciiTheme="majorBidi" w:hAnsiTheme="majorBidi" w:cstheme="majorBidi"/>
          <w:sz w:val="24"/>
          <w:szCs w:val="24"/>
          <w:lang w:val="en-US"/>
        </w:rPr>
        <w:t xml:space="preserve"> des </w:t>
      </w:r>
      <w:proofErr w:type="spellStart"/>
      <w:r>
        <w:rPr>
          <w:rFonts w:asciiTheme="majorBidi" w:hAnsiTheme="majorBidi" w:cstheme="majorBidi"/>
          <w:sz w:val="24"/>
          <w:szCs w:val="24"/>
          <w:lang w:val="en-US"/>
        </w:rPr>
        <w:t>produits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alimentaires</w:t>
      </w:r>
      <w:proofErr w:type="spellEnd"/>
      <w:r>
        <w:rPr>
          <w:rFonts w:asciiTheme="majorBidi" w:hAnsiTheme="majorBidi" w:cstheme="majorBidi"/>
          <w:sz w:val="24"/>
          <w:szCs w:val="24"/>
          <w:lang w:val="en-US"/>
        </w:rPr>
        <w:t xml:space="preserve"> et </w:t>
      </w:r>
      <w:proofErr w:type="spellStart"/>
      <w:r>
        <w:rPr>
          <w:rFonts w:asciiTheme="majorBidi" w:hAnsiTheme="majorBidi" w:cstheme="majorBidi"/>
          <w:sz w:val="24"/>
          <w:szCs w:val="24"/>
          <w:lang w:val="en-US"/>
        </w:rPr>
        <w:t>boissons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ont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atteint</w:t>
      </w:r>
      <w:proofErr w:type="spellEnd"/>
      <w:r>
        <w:rPr>
          <w:rFonts w:asciiTheme="majorBidi" w:hAnsiTheme="majorBidi" w:cstheme="majorBidi"/>
          <w:sz w:val="24"/>
          <w:szCs w:val="24"/>
          <w:lang w:val="en-US"/>
        </w:rPr>
        <w:t xml:space="preserve"> </w:t>
      </w:r>
      <w:r w:rsidR="0085673B">
        <w:rPr>
          <w:rFonts w:asciiTheme="majorBidi" w:hAnsiTheme="majorBidi" w:cstheme="majorBidi"/>
          <w:sz w:val="24"/>
          <w:szCs w:val="24"/>
          <w:lang w:val="en-US"/>
        </w:rPr>
        <w:t>38</w:t>
      </w:r>
      <w:proofErr w:type="gramStart"/>
      <w:r w:rsidR="0085673B">
        <w:rPr>
          <w:rFonts w:asciiTheme="majorBidi" w:hAnsiTheme="majorBidi" w:cstheme="majorBidi"/>
          <w:sz w:val="24"/>
          <w:szCs w:val="24"/>
          <w:lang w:val="en-US"/>
        </w:rPr>
        <w:t>,8</w:t>
      </w:r>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enregistrant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ainsi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une</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baisse</w:t>
      </w:r>
      <w:proofErr w:type="spellEnd"/>
      <w:r>
        <w:rPr>
          <w:rFonts w:asciiTheme="majorBidi" w:hAnsiTheme="majorBidi" w:cstheme="majorBidi"/>
          <w:sz w:val="24"/>
          <w:szCs w:val="24"/>
          <w:lang w:val="en-US"/>
        </w:rPr>
        <w:t xml:space="preserve"> de </w:t>
      </w:r>
      <w:r w:rsidR="0085673B">
        <w:rPr>
          <w:rFonts w:asciiTheme="majorBidi" w:hAnsiTheme="majorBidi" w:cstheme="majorBidi"/>
          <w:sz w:val="24"/>
          <w:szCs w:val="24"/>
          <w:lang w:val="en-US"/>
        </w:rPr>
        <w:t>6,5%</w:t>
      </w:r>
      <w:r>
        <w:rPr>
          <w:rFonts w:asciiTheme="majorBidi" w:hAnsiTheme="majorBidi" w:cstheme="majorBidi"/>
          <w:sz w:val="24"/>
          <w:szCs w:val="24"/>
          <w:lang w:val="en-US"/>
        </w:rPr>
        <w:t xml:space="preserve"> par rapport à </w:t>
      </w:r>
      <w:r w:rsidR="0085673B">
        <w:rPr>
          <w:rFonts w:asciiTheme="majorBidi" w:hAnsiTheme="majorBidi" w:cstheme="majorBidi"/>
          <w:sz w:val="24"/>
          <w:szCs w:val="24"/>
          <w:lang w:val="en-US"/>
        </w:rPr>
        <w:t>2007</w:t>
      </w:r>
      <w:r>
        <w:rPr>
          <w:rFonts w:asciiTheme="majorBidi" w:hAnsiTheme="majorBidi" w:cstheme="majorBidi"/>
          <w:sz w:val="24"/>
          <w:szCs w:val="24"/>
          <w:lang w:val="en-US"/>
        </w:rPr>
        <w:t xml:space="preserve">. </w:t>
      </w:r>
      <w:r w:rsidR="00AB553C">
        <w:rPr>
          <w:rFonts w:asciiTheme="majorBidi" w:hAnsiTheme="majorBidi" w:cstheme="majorBidi"/>
          <w:sz w:val="24"/>
          <w:szCs w:val="24"/>
          <w:lang w:val="fr-MA"/>
        </w:rPr>
        <w:t xml:space="preserve">Cette diminution a profité à certains postes de dépenses, notamment : l’Enseignement dont le coefficient budgétaire a augmenté de 60,3%, la Santé de près de 40%, et les Loisirs de 23,6%. </w:t>
      </w:r>
    </w:p>
    <w:p w:rsidR="0088739E" w:rsidRPr="00007386" w:rsidRDefault="0088739E" w:rsidP="001848E9">
      <w:pPr>
        <w:spacing w:before="240" w:after="240" w:line="240" w:lineRule="auto"/>
        <w:ind w:right="142"/>
        <w:jc w:val="both"/>
        <w:rPr>
          <w:rFonts w:asciiTheme="majorBidi" w:hAnsiTheme="majorBidi" w:cstheme="majorBidi"/>
          <w:lang w:val="en-US"/>
        </w:rPr>
      </w:pPr>
      <w:r>
        <w:rPr>
          <w:rFonts w:asciiTheme="majorBidi" w:hAnsiTheme="majorBidi" w:cstheme="majorBidi"/>
          <w:sz w:val="24"/>
          <w:szCs w:val="24"/>
          <w:lang w:val="fr-MA"/>
        </w:rPr>
        <w:t>La structure</w:t>
      </w:r>
      <w:r w:rsidR="001E3F22">
        <w:rPr>
          <w:rFonts w:asciiTheme="majorBidi" w:hAnsiTheme="majorBidi" w:cstheme="majorBidi"/>
          <w:sz w:val="24"/>
          <w:szCs w:val="24"/>
          <w:lang w:val="fr-MA"/>
        </w:rPr>
        <w:t xml:space="preserve"> nationale</w:t>
      </w:r>
      <w:r>
        <w:rPr>
          <w:rFonts w:asciiTheme="majorBidi" w:hAnsiTheme="majorBidi" w:cstheme="majorBidi"/>
          <w:sz w:val="24"/>
          <w:szCs w:val="24"/>
          <w:lang w:val="fr-MA"/>
        </w:rPr>
        <w:t xml:space="preserve"> des coefficients budgétaires de l’ensemble des biens et services du panier de l’indice, </w:t>
      </w:r>
      <w:r w:rsidR="00C2411B">
        <w:rPr>
          <w:rFonts w:asciiTheme="majorBidi" w:hAnsiTheme="majorBidi" w:cstheme="majorBidi"/>
          <w:sz w:val="24"/>
          <w:szCs w:val="24"/>
          <w:lang w:val="fr-MA"/>
        </w:rPr>
        <w:t xml:space="preserve">selon les deux enquêtes, </w:t>
      </w:r>
      <w:r>
        <w:rPr>
          <w:rFonts w:asciiTheme="majorBidi" w:hAnsiTheme="majorBidi" w:cstheme="majorBidi"/>
          <w:sz w:val="24"/>
          <w:szCs w:val="24"/>
          <w:lang w:val="fr-MA"/>
        </w:rPr>
        <w:t>est présentée dans le tableau, ci-dessous :</w:t>
      </w:r>
    </w:p>
    <w:p w:rsidR="004B1065" w:rsidRDefault="004B1065">
      <w:pPr>
        <w:rPr>
          <w:rFonts w:asciiTheme="majorBidi" w:hAnsiTheme="majorBidi" w:cstheme="majorBidi"/>
          <w:b/>
          <w:bCs/>
          <w:color w:val="4F81BD" w:themeColor="accent1"/>
        </w:rPr>
      </w:pPr>
      <w:bookmarkStart w:id="12" w:name="_Toc510776092"/>
      <w:r>
        <w:rPr>
          <w:rFonts w:asciiTheme="majorBidi" w:hAnsiTheme="majorBidi" w:cstheme="majorBidi"/>
        </w:rPr>
        <w:br w:type="page"/>
      </w:r>
    </w:p>
    <w:p w:rsidR="00832702" w:rsidRPr="006A40CB" w:rsidRDefault="00486BC8" w:rsidP="006A40CB">
      <w:pPr>
        <w:pStyle w:val="Lgende"/>
        <w:spacing w:after="0"/>
        <w:rPr>
          <w:rFonts w:asciiTheme="majorBidi" w:hAnsiTheme="majorBidi" w:cstheme="majorBidi"/>
          <w:sz w:val="22"/>
          <w:szCs w:val="22"/>
        </w:rPr>
      </w:pPr>
      <w:bookmarkStart w:id="13" w:name="_Toc54261203"/>
      <w:r w:rsidRPr="006A40CB">
        <w:rPr>
          <w:rFonts w:asciiTheme="majorBidi" w:hAnsiTheme="majorBidi" w:cstheme="majorBidi"/>
          <w:sz w:val="22"/>
          <w:szCs w:val="22"/>
        </w:rPr>
        <w:lastRenderedPageBreak/>
        <w:t xml:space="preserve">Tableau </w:t>
      </w:r>
      <w:r w:rsidR="00DE78CE" w:rsidRPr="006A40CB">
        <w:rPr>
          <w:rFonts w:asciiTheme="majorBidi" w:hAnsiTheme="majorBidi" w:cstheme="majorBidi"/>
          <w:sz w:val="22"/>
          <w:szCs w:val="22"/>
        </w:rPr>
        <w:fldChar w:fldCharType="begin"/>
      </w:r>
      <w:r w:rsidR="00756AA5" w:rsidRPr="006A40CB">
        <w:rPr>
          <w:rFonts w:asciiTheme="majorBidi" w:hAnsiTheme="majorBidi" w:cstheme="majorBidi"/>
          <w:sz w:val="22"/>
          <w:szCs w:val="22"/>
        </w:rPr>
        <w:instrText xml:space="preserve"> SEQ Tableau \* ARABIC </w:instrText>
      </w:r>
      <w:r w:rsidR="00DE78CE" w:rsidRPr="006A40CB">
        <w:rPr>
          <w:rFonts w:asciiTheme="majorBidi" w:hAnsiTheme="majorBidi" w:cstheme="majorBidi"/>
          <w:sz w:val="22"/>
          <w:szCs w:val="22"/>
        </w:rPr>
        <w:fldChar w:fldCharType="separate"/>
      </w:r>
      <w:r w:rsidR="00477549">
        <w:rPr>
          <w:rFonts w:asciiTheme="majorBidi" w:hAnsiTheme="majorBidi" w:cstheme="majorBidi"/>
          <w:noProof/>
          <w:sz w:val="22"/>
          <w:szCs w:val="22"/>
        </w:rPr>
        <w:t>1</w:t>
      </w:r>
      <w:r w:rsidR="00DE78CE" w:rsidRPr="006A40CB">
        <w:rPr>
          <w:rFonts w:asciiTheme="majorBidi" w:hAnsiTheme="majorBidi" w:cstheme="majorBidi"/>
          <w:sz w:val="22"/>
          <w:szCs w:val="22"/>
        </w:rPr>
        <w:fldChar w:fldCharType="end"/>
      </w:r>
      <w:r w:rsidRPr="006A40CB">
        <w:rPr>
          <w:rFonts w:asciiTheme="majorBidi" w:hAnsiTheme="majorBidi" w:cstheme="majorBidi"/>
          <w:sz w:val="22"/>
          <w:szCs w:val="22"/>
        </w:rPr>
        <w:t xml:space="preserve"> : </w:t>
      </w:r>
      <w:r w:rsidR="00832702" w:rsidRPr="006A40CB">
        <w:rPr>
          <w:rFonts w:asciiTheme="majorBidi" w:hAnsiTheme="majorBidi" w:cstheme="majorBidi"/>
          <w:color w:val="0070C0"/>
          <w:sz w:val="22"/>
          <w:szCs w:val="22"/>
        </w:rPr>
        <w:t>Coefficients de pondération des grands groupes de produits en 2007 et 2014</w:t>
      </w:r>
      <w:bookmarkEnd w:id="12"/>
      <w:bookmarkEnd w:id="13"/>
    </w:p>
    <w:tbl>
      <w:tblPr>
        <w:tblW w:w="5000" w:type="pct"/>
        <w:tblCellMar>
          <w:left w:w="70" w:type="dxa"/>
          <w:right w:w="70" w:type="dxa"/>
        </w:tblCellMar>
        <w:tblLook w:val="04A0"/>
      </w:tblPr>
      <w:tblGrid>
        <w:gridCol w:w="7314"/>
        <w:gridCol w:w="1020"/>
        <w:gridCol w:w="1020"/>
      </w:tblGrid>
      <w:tr w:rsidR="00FE3C0E" w:rsidRPr="00FE3C0E" w:rsidTr="004B1065">
        <w:trPr>
          <w:trHeight w:val="442"/>
        </w:trPr>
        <w:tc>
          <w:tcPr>
            <w:tcW w:w="3910" w:type="pct"/>
            <w:tcBorders>
              <w:top w:val="single" w:sz="8" w:space="0" w:color="auto"/>
              <w:left w:val="nil"/>
              <w:bottom w:val="single" w:sz="8" w:space="0" w:color="auto"/>
              <w:right w:val="nil"/>
            </w:tcBorders>
            <w:shd w:val="clear" w:color="000000" w:fill="A5A5A5"/>
            <w:noWrap/>
            <w:vAlign w:val="center"/>
            <w:hideMark/>
          </w:tcPr>
          <w:p w:rsidR="00FE3C0E" w:rsidRPr="0066312D" w:rsidRDefault="00FE3C0E" w:rsidP="004B1065">
            <w:pPr>
              <w:spacing w:after="0" w:line="240" w:lineRule="auto"/>
              <w:rPr>
                <w:rFonts w:ascii="Times New Roman" w:eastAsia="Times New Roman" w:hAnsi="Times New Roman" w:cs="Times New Roman"/>
                <w:b/>
                <w:bCs/>
                <w:sz w:val="24"/>
                <w:szCs w:val="24"/>
                <w:lang w:eastAsia="fr-FR"/>
              </w:rPr>
            </w:pPr>
            <w:r w:rsidRPr="0066312D">
              <w:rPr>
                <w:rFonts w:ascii="Times New Roman" w:eastAsia="Times New Roman" w:hAnsi="Times New Roman" w:cs="Times New Roman"/>
                <w:b/>
                <w:bCs/>
                <w:sz w:val="24"/>
                <w:szCs w:val="24"/>
                <w:lang w:eastAsia="fr-FR"/>
              </w:rPr>
              <w:t>DIVISIONS</w:t>
            </w:r>
          </w:p>
        </w:tc>
        <w:tc>
          <w:tcPr>
            <w:tcW w:w="545" w:type="pct"/>
            <w:tcBorders>
              <w:top w:val="single" w:sz="8" w:space="0" w:color="auto"/>
              <w:left w:val="nil"/>
              <w:bottom w:val="single" w:sz="8" w:space="0" w:color="auto"/>
              <w:right w:val="nil"/>
            </w:tcBorders>
            <w:shd w:val="clear" w:color="000000" w:fill="A5A5A5"/>
            <w:noWrap/>
            <w:vAlign w:val="center"/>
            <w:hideMark/>
          </w:tcPr>
          <w:p w:rsidR="00FE3C0E" w:rsidRPr="00FE3C0E" w:rsidRDefault="00FE3C0E" w:rsidP="004B1065">
            <w:pPr>
              <w:spacing w:after="0" w:line="240" w:lineRule="auto"/>
              <w:jc w:val="right"/>
              <w:rPr>
                <w:rFonts w:ascii="Times New Roman" w:eastAsia="Times New Roman" w:hAnsi="Times New Roman" w:cs="Times New Roman"/>
                <w:b/>
                <w:bCs/>
                <w:color w:val="000000"/>
                <w:sz w:val="24"/>
                <w:szCs w:val="24"/>
                <w:lang w:eastAsia="fr-FR"/>
              </w:rPr>
            </w:pPr>
            <w:r w:rsidRPr="00FE3C0E">
              <w:rPr>
                <w:rFonts w:ascii="Times New Roman" w:eastAsia="Times New Roman" w:hAnsi="Times New Roman" w:cs="Times New Roman"/>
                <w:b/>
                <w:bCs/>
                <w:color w:val="000000"/>
                <w:sz w:val="24"/>
                <w:szCs w:val="24"/>
                <w:lang w:eastAsia="fr-FR"/>
              </w:rPr>
              <w:t>2007</w:t>
            </w:r>
            <w:r w:rsidR="00C2411B">
              <w:rPr>
                <w:rFonts w:ascii="Times New Roman" w:eastAsia="Times New Roman" w:hAnsi="Times New Roman" w:cs="Times New Roman"/>
                <w:b/>
                <w:bCs/>
                <w:color w:val="000000"/>
                <w:sz w:val="24"/>
                <w:szCs w:val="24"/>
                <w:lang w:eastAsia="fr-FR"/>
              </w:rPr>
              <w:t>(%)</w:t>
            </w:r>
          </w:p>
        </w:tc>
        <w:tc>
          <w:tcPr>
            <w:tcW w:w="545" w:type="pct"/>
            <w:tcBorders>
              <w:top w:val="single" w:sz="8" w:space="0" w:color="auto"/>
              <w:left w:val="nil"/>
              <w:bottom w:val="single" w:sz="8" w:space="0" w:color="auto"/>
              <w:right w:val="nil"/>
            </w:tcBorders>
            <w:shd w:val="clear" w:color="000000" w:fill="A5A5A5"/>
            <w:noWrap/>
            <w:vAlign w:val="center"/>
            <w:hideMark/>
          </w:tcPr>
          <w:p w:rsidR="00FE3C0E" w:rsidRPr="00FE3C0E" w:rsidRDefault="00FE3C0E" w:rsidP="004B1065">
            <w:pPr>
              <w:spacing w:after="0" w:line="240" w:lineRule="auto"/>
              <w:jc w:val="right"/>
              <w:rPr>
                <w:rFonts w:ascii="Times New Roman" w:eastAsia="Times New Roman" w:hAnsi="Times New Roman" w:cs="Times New Roman"/>
                <w:b/>
                <w:bCs/>
                <w:color w:val="000000"/>
                <w:sz w:val="24"/>
                <w:szCs w:val="24"/>
                <w:lang w:eastAsia="fr-FR"/>
              </w:rPr>
            </w:pPr>
            <w:r w:rsidRPr="00FE3C0E">
              <w:rPr>
                <w:rFonts w:ascii="Times New Roman" w:eastAsia="Times New Roman" w:hAnsi="Times New Roman" w:cs="Times New Roman"/>
                <w:b/>
                <w:bCs/>
                <w:color w:val="000000"/>
                <w:sz w:val="24"/>
                <w:szCs w:val="24"/>
                <w:lang w:eastAsia="fr-FR"/>
              </w:rPr>
              <w:t>2014</w:t>
            </w:r>
            <w:r w:rsidR="00C2411B">
              <w:rPr>
                <w:rFonts w:ascii="Times New Roman" w:eastAsia="Times New Roman" w:hAnsi="Times New Roman" w:cs="Times New Roman"/>
                <w:b/>
                <w:bCs/>
                <w:color w:val="000000"/>
                <w:sz w:val="24"/>
                <w:szCs w:val="24"/>
                <w:lang w:eastAsia="fr-FR"/>
              </w:rPr>
              <w:t>(%)</w:t>
            </w:r>
          </w:p>
        </w:tc>
      </w:tr>
      <w:tr w:rsidR="00FE3C0E" w:rsidRPr="00FE3C0E" w:rsidTr="00832702">
        <w:trPr>
          <w:trHeight w:val="315"/>
        </w:trPr>
        <w:tc>
          <w:tcPr>
            <w:tcW w:w="3910" w:type="pct"/>
            <w:tcBorders>
              <w:top w:val="nil"/>
              <w:left w:val="nil"/>
              <w:bottom w:val="nil"/>
              <w:right w:val="nil"/>
            </w:tcBorders>
            <w:shd w:val="clear" w:color="auto" w:fill="auto"/>
            <w:noWrap/>
            <w:vAlign w:val="bottom"/>
            <w:hideMark/>
          </w:tcPr>
          <w:p w:rsidR="00FE3C0E" w:rsidRPr="004B1065" w:rsidRDefault="0085673B" w:rsidP="00477549">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 xml:space="preserve">Produits Alimentaires </w:t>
            </w:r>
            <w:r w:rsidR="00FC5811" w:rsidRPr="004B1065">
              <w:rPr>
                <w:rFonts w:ascii="Times New Roman" w:eastAsia="Times New Roman" w:hAnsi="Times New Roman" w:cs="Times New Roman"/>
                <w:lang w:eastAsia="fr-FR"/>
              </w:rPr>
              <w:t>e</w:t>
            </w:r>
            <w:r w:rsidRPr="004B1065">
              <w:rPr>
                <w:rFonts w:ascii="Times New Roman" w:eastAsia="Times New Roman" w:hAnsi="Times New Roman" w:cs="Times New Roman"/>
                <w:lang w:eastAsia="fr-FR"/>
              </w:rPr>
              <w:t xml:space="preserve">t Boissons </w:t>
            </w:r>
            <w:r w:rsidR="00477549">
              <w:rPr>
                <w:rFonts w:ascii="Times New Roman" w:eastAsia="Times New Roman" w:hAnsi="Times New Roman" w:cs="Times New Roman"/>
                <w:lang w:eastAsia="fr-FR"/>
              </w:rPr>
              <w:t>n</w:t>
            </w:r>
            <w:r w:rsidRPr="004B1065">
              <w:rPr>
                <w:rFonts w:ascii="Times New Roman" w:eastAsia="Times New Roman" w:hAnsi="Times New Roman" w:cs="Times New Roman"/>
                <w:lang w:eastAsia="fr-FR"/>
              </w:rPr>
              <w:t>on Alcoolisées</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39,3</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37,3</w:t>
            </w:r>
          </w:p>
        </w:tc>
      </w:tr>
      <w:tr w:rsidR="00FE3C0E" w:rsidRPr="00FE3C0E" w:rsidTr="00832702">
        <w:trPr>
          <w:trHeight w:val="315"/>
        </w:trPr>
        <w:tc>
          <w:tcPr>
            <w:tcW w:w="3910" w:type="pct"/>
            <w:tcBorders>
              <w:top w:val="nil"/>
              <w:left w:val="nil"/>
              <w:bottom w:val="nil"/>
              <w:right w:val="nil"/>
            </w:tcBorders>
            <w:shd w:val="clear" w:color="auto" w:fill="auto"/>
            <w:noWrap/>
            <w:vAlign w:val="bottom"/>
            <w:hideMark/>
          </w:tcPr>
          <w:p w:rsidR="00FE3C0E" w:rsidRPr="004B1065" w:rsidRDefault="0085673B" w:rsidP="00FC5811">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 xml:space="preserve">Boissons Alcoolisées, Tabac </w:t>
            </w:r>
            <w:r w:rsidR="00FC5811" w:rsidRPr="004B1065">
              <w:rPr>
                <w:rFonts w:ascii="Times New Roman" w:eastAsia="Times New Roman" w:hAnsi="Times New Roman" w:cs="Times New Roman"/>
                <w:lang w:eastAsia="fr-FR"/>
              </w:rPr>
              <w:t>e</w:t>
            </w:r>
            <w:r w:rsidRPr="004B1065">
              <w:rPr>
                <w:rFonts w:ascii="Times New Roman" w:eastAsia="Times New Roman" w:hAnsi="Times New Roman" w:cs="Times New Roman"/>
                <w:lang w:eastAsia="fr-FR"/>
              </w:rPr>
              <w:t>t Stupéfiants</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2,2</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1,5</w:t>
            </w:r>
          </w:p>
        </w:tc>
      </w:tr>
      <w:tr w:rsidR="00FE3C0E" w:rsidRPr="00FE3C0E" w:rsidTr="00832702">
        <w:trPr>
          <w:trHeight w:val="315"/>
        </w:trPr>
        <w:tc>
          <w:tcPr>
            <w:tcW w:w="3910" w:type="pct"/>
            <w:tcBorders>
              <w:top w:val="nil"/>
              <w:left w:val="nil"/>
              <w:bottom w:val="nil"/>
              <w:right w:val="nil"/>
            </w:tcBorders>
            <w:shd w:val="clear" w:color="auto" w:fill="auto"/>
            <w:noWrap/>
            <w:vAlign w:val="bottom"/>
            <w:hideMark/>
          </w:tcPr>
          <w:p w:rsidR="00FE3C0E" w:rsidRPr="004B1065" w:rsidRDefault="0085673B" w:rsidP="00FC5811">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 xml:space="preserve">Articles D'habillement </w:t>
            </w:r>
            <w:r w:rsidR="00FC5811" w:rsidRPr="004B1065">
              <w:rPr>
                <w:rFonts w:ascii="Times New Roman" w:eastAsia="Times New Roman" w:hAnsi="Times New Roman" w:cs="Times New Roman"/>
                <w:lang w:eastAsia="fr-FR"/>
              </w:rPr>
              <w:t>e</w:t>
            </w:r>
            <w:r w:rsidRPr="004B1065">
              <w:rPr>
                <w:rFonts w:ascii="Times New Roman" w:eastAsia="Times New Roman" w:hAnsi="Times New Roman" w:cs="Times New Roman"/>
                <w:lang w:eastAsia="fr-FR"/>
              </w:rPr>
              <w:t>t Chaussures</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3,9</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4,3</w:t>
            </w:r>
          </w:p>
        </w:tc>
      </w:tr>
      <w:tr w:rsidR="00FE3C0E" w:rsidRPr="00FE3C0E" w:rsidTr="00832702">
        <w:trPr>
          <w:trHeight w:val="315"/>
        </w:trPr>
        <w:tc>
          <w:tcPr>
            <w:tcW w:w="3910" w:type="pct"/>
            <w:tcBorders>
              <w:top w:val="nil"/>
              <w:left w:val="nil"/>
              <w:bottom w:val="nil"/>
              <w:right w:val="nil"/>
            </w:tcBorders>
            <w:shd w:val="clear" w:color="auto" w:fill="auto"/>
            <w:noWrap/>
            <w:vAlign w:val="bottom"/>
            <w:hideMark/>
          </w:tcPr>
          <w:p w:rsidR="00FE3C0E" w:rsidRPr="004B1065" w:rsidRDefault="0085673B" w:rsidP="00FC5811">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 xml:space="preserve">Logement, Eau, Gaz, </w:t>
            </w:r>
            <w:r w:rsidR="00A37B89" w:rsidRPr="004B1065">
              <w:rPr>
                <w:rFonts w:ascii="Times New Roman" w:eastAsia="Times New Roman" w:hAnsi="Times New Roman" w:cs="Times New Roman"/>
                <w:lang w:eastAsia="fr-FR"/>
              </w:rPr>
              <w:t>Electricité</w:t>
            </w:r>
            <w:r w:rsidRPr="004B1065">
              <w:rPr>
                <w:rFonts w:ascii="Times New Roman" w:eastAsia="Times New Roman" w:hAnsi="Times New Roman" w:cs="Times New Roman"/>
                <w:lang w:eastAsia="fr-FR"/>
              </w:rPr>
              <w:t xml:space="preserve"> </w:t>
            </w:r>
            <w:r w:rsidR="00FC5811" w:rsidRPr="004B1065">
              <w:rPr>
                <w:rFonts w:ascii="Times New Roman" w:eastAsia="Times New Roman" w:hAnsi="Times New Roman" w:cs="Times New Roman"/>
                <w:lang w:eastAsia="fr-FR"/>
              </w:rPr>
              <w:t>e</w:t>
            </w:r>
            <w:r w:rsidRPr="004B1065">
              <w:rPr>
                <w:rFonts w:ascii="Times New Roman" w:eastAsia="Times New Roman" w:hAnsi="Times New Roman" w:cs="Times New Roman"/>
                <w:lang w:eastAsia="fr-FR"/>
              </w:rPr>
              <w:t>t Autres Combustibles</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14,8</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14,5</w:t>
            </w:r>
          </w:p>
        </w:tc>
      </w:tr>
      <w:tr w:rsidR="00FE3C0E" w:rsidRPr="00FE3C0E" w:rsidTr="00832702">
        <w:trPr>
          <w:trHeight w:val="315"/>
        </w:trPr>
        <w:tc>
          <w:tcPr>
            <w:tcW w:w="3910" w:type="pct"/>
            <w:tcBorders>
              <w:top w:val="nil"/>
              <w:left w:val="nil"/>
              <w:bottom w:val="nil"/>
              <w:right w:val="nil"/>
            </w:tcBorders>
            <w:shd w:val="clear" w:color="auto" w:fill="auto"/>
            <w:noWrap/>
            <w:vAlign w:val="bottom"/>
            <w:hideMark/>
          </w:tcPr>
          <w:p w:rsidR="00FE3C0E" w:rsidRPr="004B1065" w:rsidRDefault="0085673B" w:rsidP="00477549">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 xml:space="preserve">Meubles, Articles De </w:t>
            </w:r>
            <w:r w:rsidR="00A37B89" w:rsidRPr="004B1065">
              <w:rPr>
                <w:rFonts w:ascii="Times New Roman" w:eastAsia="Times New Roman" w:hAnsi="Times New Roman" w:cs="Times New Roman"/>
                <w:lang w:eastAsia="fr-FR"/>
              </w:rPr>
              <w:t>Ménage</w:t>
            </w:r>
            <w:r w:rsidRPr="004B1065">
              <w:rPr>
                <w:rFonts w:ascii="Times New Roman" w:eastAsia="Times New Roman" w:hAnsi="Times New Roman" w:cs="Times New Roman"/>
                <w:lang w:eastAsia="fr-FR"/>
              </w:rPr>
              <w:t xml:space="preserve"> </w:t>
            </w:r>
            <w:r w:rsidR="00FC5811" w:rsidRPr="004B1065">
              <w:rPr>
                <w:rFonts w:ascii="Times New Roman" w:eastAsia="Times New Roman" w:hAnsi="Times New Roman" w:cs="Times New Roman"/>
                <w:lang w:eastAsia="fr-FR"/>
              </w:rPr>
              <w:t>e</w:t>
            </w:r>
            <w:r w:rsidRPr="004B1065">
              <w:rPr>
                <w:rFonts w:ascii="Times New Roman" w:eastAsia="Times New Roman" w:hAnsi="Times New Roman" w:cs="Times New Roman"/>
                <w:lang w:eastAsia="fr-FR"/>
              </w:rPr>
              <w:t xml:space="preserve">t Entretien Courant </w:t>
            </w:r>
            <w:r w:rsidR="00477549">
              <w:rPr>
                <w:rFonts w:ascii="Times New Roman" w:eastAsia="Times New Roman" w:hAnsi="Times New Roman" w:cs="Times New Roman"/>
                <w:lang w:eastAsia="fr-FR"/>
              </w:rPr>
              <w:t>d</w:t>
            </w:r>
            <w:r w:rsidRPr="004B1065">
              <w:rPr>
                <w:rFonts w:ascii="Times New Roman" w:eastAsia="Times New Roman" w:hAnsi="Times New Roman" w:cs="Times New Roman"/>
                <w:lang w:eastAsia="fr-FR"/>
              </w:rPr>
              <w:t>u Foyer</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4,9</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4,4</w:t>
            </w:r>
          </w:p>
        </w:tc>
      </w:tr>
      <w:tr w:rsidR="00FE3C0E" w:rsidRPr="00FE3C0E" w:rsidTr="00832702">
        <w:trPr>
          <w:trHeight w:val="315"/>
        </w:trPr>
        <w:tc>
          <w:tcPr>
            <w:tcW w:w="3910" w:type="pct"/>
            <w:tcBorders>
              <w:top w:val="nil"/>
              <w:left w:val="nil"/>
              <w:bottom w:val="nil"/>
              <w:right w:val="nil"/>
            </w:tcBorders>
            <w:shd w:val="clear" w:color="auto" w:fill="auto"/>
            <w:noWrap/>
            <w:vAlign w:val="bottom"/>
            <w:hideMark/>
          </w:tcPr>
          <w:p w:rsidR="00FE3C0E" w:rsidRPr="004B1065" w:rsidRDefault="0085673B" w:rsidP="00FE3C0E">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Santé</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5,5</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7,7</w:t>
            </w:r>
          </w:p>
        </w:tc>
      </w:tr>
      <w:tr w:rsidR="00FE3C0E" w:rsidRPr="00FE3C0E" w:rsidTr="00832702">
        <w:trPr>
          <w:trHeight w:val="315"/>
        </w:trPr>
        <w:tc>
          <w:tcPr>
            <w:tcW w:w="3910" w:type="pct"/>
            <w:tcBorders>
              <w:top w:val="nil"/>
              <w:left w:val="nil"/>
              <w:bottom w:val="nil"/>
              <w:right w:val="nil"/>
            </w:tcBorders>
            <w:shd w:val="clear" w:color="auto" w:fill="auto"/>
            <w:noWrap/>
            <w:vAlign w:val="bottom"/>
            <w:hideMark/>
          </w:tcPr>
          <w:p w:rsidR="00FE3C0E" w:rsidRPr="004B1065" w:rsidRDefault="0085673B" w:rsidP="00FE3C0E">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Transports</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11,4</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10,0</w:t>
            </w:r>
          </w:p>
        </w:tc>
      </w:tr>
      <w:tr w:rsidR="00FE3C0E" w:rsidRPr="00FE3C0E" w:rsidTr="00832702">
        <w:trPr>
          <w:trHeight w:val="315"/>
        </w:trPr>
        <w:tc>
          <w:tcPr>
            <w:tcW w:w="3910" w:type="pct"/>
            <w:tcBorders>
              <w:top w:val="nil"/>
              <w:left w:val="nil"/>
              <w:bottom w:val="nil"/>
              <w:right w:val="nil"/>
            </w:tcBorders>
            <w:shd w:val="clear" w:color="auto" w:fill="auto"/>
            <w:noWrap/>
            <w:vAlign w:val="bottom"/>
            <w:hideMark/>
          </w:tcPr>
          <w:p w:rsidR="00FE3C0E" w:rsidRPr="004B1065" w:rsidRDefault="0085673B" w:rsidP="00FE3C0E">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Communications</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3,5</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2,9</w:t>
            </w:r>
          </w:p>
        </w:tc>
      </w:tr>
      <w:tr w:rsidR="00FE3C0E" w:rsidRPr="00FE3C0E" w:rsidTr="00832702">
        <w:trPr>
          <w:trHeight w:val="315"/>
        </w:trPr>
        <w:tc>
          <w:tcPr>
            <w:tcW w:w="3910" w:type="pct"/>
            <w:tcBorders>
              <w:top w:val="nil"/>
              <w:left w:val="nil"/>
              <w:bottom w:val="nil"/>
              <w:right w:val="nil"/>
            </w:tcBorders>
            <w:shd w:val="clear" w:color="auto" w:fill="auto"/>
            <w:noWrap/>
            <w:vAlign w:val="bottom"/>
            <w:hideMark/>
          </w:tcPr>
          <w:p w:rsidR="00FE3C0E" w:rsidRPr="004B1065" w:rsidRDefault="0085673B" w:rsidP="00477549">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 xml:space="preserve">Loisirs </w:t>
            </w:r>
            <w:r w:rsidR="00477549">
              <w:rPr>
                <w:rFonts w:ascii="Times New Roman" w:eastAsia="Times New Roman" w:hAnsi="Times New Roman" w:cs="Times New Roman"/>
                <w:lang w:eastAsia="fr-FR"/>
              </w:rPr>
              <w:t>e</w:t>
            </w:r>
            <w:r w:rsidRPr="004B1065">
              <w:rPr>
                <w:rFonts w:ascii="Times New Roman" w:eastAsia="Times New Roman" w:hAnsi="Times New Roman" w:cs="Times New Roman"/>
                <w:lang w:eastAsia="fr-FR"/>
              </w:rPr>
              <w:t>t Culture</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2,2</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2,7</w:t>
            </w:r>
          </w:p>
        </w:tc>
      </w:tr>
      <w:tr w:rsidR="00FE3C0E" w:rsidRPr="00FE3C0E" w:rsidTr="00832702">
        <w:trPr>
          <w:trHeight w:val="315"/>
        </w:trPr>
        <w:tc>
          <w:tcPr>
            <w:tcW w:w="3910" w:type="pct"/>
            <w:tcBorders>
              <w:top w:val="nil"/>
              <w:left w:val="nil"/>
              <w:bottom w:val="nil"/>
              <w:right w:val="nil"/>
            </w:tcBorders>
            <w:shd w:val="clear" w:color="auto" w:fill="auto"/>
            <w:noWrap/>
            <w:vAlign w:val="bottom"/>
            <w:hideMark/>
          </w:tcPr>
          <w:p w:rsidR="00FE3C0E" w:rsidRPr="004B1065" w:rsidRDefault="0085673B" w:rsidP="00FE3C0E">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Enseignement</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3,9</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6,3</w:t>
            </w:r>
          </w:p>
        </w:tc>
      </w:tr>
      <w:tr w:rsidR="00FE3C0E" w:rsidRPr="00FE3C0E" w:rsidTr="00832702">
        <w:trPr>
          <w:trHeight w:val="315"/>
        </w:trPr>
        <w:tc>
          <w:tcPr>
            <w:tcW w:w="3910" w:type="pct"/>
            <w:tcBorders>
              <w:top w:val="nil"/>
              <w:left w:val="nil"/>
              <w:bottom w:val="nil"/>
              <w:right w:val="nil"/>
            </w:tcBorders>
            <w:shd w:val="clear" w:color="auto" w:fill="auto"/>
            <w:noWrap/>
            <w:vAlign w:val="bottom"/>
            <w:hideMark/>
          </w:tcPr>
          <w:p w:rsidR="00FE3C0E" w:rsidRPr="004B1065" w:rsidRDefault="0085673B" w:rsidP="00477549">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 xml:space="preserve">Restaurants </w:t>
            </w:r>
            <w:r w:rsidR="00477549">
              <w:rPr>
                <w:rFonts w:ascii="Times New Roman" w:eastAsia="Times New Roman" w:hAnsi="Times New Roman" w:cs="Times New Roman"/>
                <w:lang w:eastAsia="fr-FR"/>
              </w:rPr>
              <w:t>e</w:t>
            </w:r>
            <w:r w:rsidRPr="004B1065">
              <w:rPr>
                <w:rFonts w:ascii="Times New Roman" w:eastAsia="Times New Roman" w:hAnsi="Times New Roman" w:cs="Times New Roman"/>
                <w:lang w:eastAsia="fr-FR"/>
              </w:rPr>
              <w:t>t Hôtels</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2,9</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1,3</w:t>
            </w:r>
          </w:p>
        </w:tc>
      </w:tr>
      <w:tr w:rsidR="00FE3C0E" w:rsidRPr="00FE3C0E" w:rsidTr="00832702">
        <w:trPr>
          <w:trHeight w:val="330"/>
        </w:trPr>
        <w:tc>
          <w:tcPr>
            <w:tcW w:w="3910" w:type="pct"/>
            <w:tcBorders>
              <w:top w:val="nil"/>
              <w:left w:val="nil"/>
              <w:bottom w:val="single" w:sz="8" w:space="0" w:color="auto"/>
              <w:right w:val="nil"/>
            </w:tcBorders>
            <w:shd w:val="clear" w:color="auto" w:fill="auto"/>
            <w:noWrap/>
            <w:vAlign w:val="bottom"/>
            <w:hideMark/>
          </w:tcPr>
          <w:p w:rsidR="00FE3C0E" w:rsidRPr="004B1065" w:rsidRDefault="0085673B" w:rsidP="00477549">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 xml:space="preserve">Biens </w:t>
            </w:r>
            <w:r w:rsidR="00477549">
              <w:rPr>
                <w:rFonts w:ascii="Times New Roman" w:eastAsia="Times New Roman" w:hAnsi="Times New Roman" w:cs="Times New Roman"/>
                <w:lang w:eastAsia="fr-FR"/>
              </w:rPr>
              <w:t>e</w:t>
            </w:r>
            <w:r w:rsidRPr="004B1065">
              <w:rPr>
                <w:rFonts w:ascii="Times New Roman" w:eastAsia="Times New Roman" w:hAnsi="Times New Roman" w:cs="Times New Roman"/>
                <w:lang w:eastAsia="fr-FR"/>
              </w:rPr>
              <w:t>t Services Divers</w:t>
            </w:r>
          </w:p>
        </w:tc>
        <w:tc>
          <w:tcPr>
            <w:tcW w:w="545" w:type="pct"/>
            <w:tcBorders>
              <w:top w:val="nil"/>
              <w:left w:val="nil"/>
              <w:bottom w:val="single" w:sz="8" w:space="0" w:color="auto"/>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5,5</w:t>
            </w:r>
          </w:p>
        </w:tc>
        <w:tc>
          <w:tcPr>
            <w:tcW w:w="545" w:type="pct"/>
            <w:tcBorders>
              <w:top w:val="nil"/>
              <w:left w:val="nil"/>
              <w:bottom w:val="single" w:sz="8" w:space="0" w:color="auto"/>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7,1</w:t>
            </w:r>
          </w:p>
        </w:tc>
      </w:tr>
    </w:tbl>
    <w:p w:rsidR="001959A7" w:rsidRPr="007E29B6" w:rsidRDefault="007E29B6" w:rsidP="007E29B6">
      <w:pPr>
        <w:pStyle w:val="Titre4"/>
        <w:spacing w:before="0"/>
        <w:rPr>
          <w:rFonts w:asciiTheme="majorBidi" w:hAnsiTheme="majorBidi"/>
        </w:rPr>
      </w:pPr>
      <w:r w:rsidRPr="007E29B6">
        <w:rPr>
          <w:rFonts w:asciiTheme="majorBidi" w:hAnsiTheme="majorBidi"/>
        </w:rPr>
        <w:t>Source : HCP</w:t>
      </w:r>
    </w:p>
    <w:p w:rsidR="00C2411B" w:rsidRDefault="00C2411B" w:rsidP="00E95877">
      <w:pPr>
        <w:spacing w:before="240" w:after="240" w:line="240" w:lineRule="auto"/>
        <w:jc w:val="both"/>
        <w:rPr>
          <w:rFonts w:asciiTheme="majorBidi" w:hAnsiTheme="majorBidi" w:cstheme="majorBidi"/>
          <w:sz w:val="24"/>
          <w:szCs w:val="24"/>
          <w:lang w:val="fr-MA"/>
        </w:rPr>
      </w:pPr>
      <w:r>
        <w:rPr>
          <w:rFonts w:asciiTheme="majorBidi" w:hAnsiTheme="majorBidi" w:cstheme="majorBidi"/>
          <w:sz w:val="24"/>
          <w:szCs w:val="24"/>
          <w:lang w:val="fr-MA"/>
        </w:rPr>
        <w:t xml:space="preserve">Ce changement dans la structure des dépenses des ménages montre qu’il y a eu une vraie mutation dans les habitudes de consommation de la population marocaine </w:t>
      </w:r>
      <w:r w:rsidR="00E95877">
        <w:rPr>
          <w:rFonts w:asciiTheme="majorBidi" w:hAnsiTheme="majorBidi" w:cstheme="majorBidi"/>
          <w:sz w:val="24"/>
          <w:szCs w:val="24"/>
          <w:lang w:val="fr-MA"/>
        </w:rPr>
        <w:t xml:space="preserve">en faveur </w:t>
      </w:r>
      <w:r w:rsidR="001E3F22">
        <w:rPr>
          <w:rFonts w:asciiTheme="majorBidi" w:hAnsiTheme="majorBidi" w:cstheme="majorBidi"/>
          <w:sz w:val="24"/>
          <w:szCs w:val="24"/>
          <w:lang w:val="fr-MA"/>
        </w:rPr>
        <w:t>d’</w:t>
      </w:r>
      <w:r>
        <w:rPr>
          <w:rFonts w:asciiTheme="majorBidi" w:hAnsiTheme="majorBidi" w:cstheme="majorBidi"/>
          <w:sz w:val="24"/>
          <w:szCs w:val="24"/>
          <w:lang w:val="fr-MA"/>
        </w:rPr>
        <w:t>une amélioration d</w:t>
      </w:r>
      <w:r w:rsidR="001E3F22">
        <w:rPr>
          <w:rFonts w:asciiTheme="majorBidi" w:hAnsiTheme="majorBidi" w:cstheme="majorBidi"/>
          <w:sz w:val="24"/>
          <w:szCs w:val="24"/>
          <w:lang w:val="fr-MA"/>
        </w:rPr>
        <w:t>e</w:t>
      </w:r>
      <w:r>
        <w:rPr>
          <w:rFonts w:asciiTheme="majorBidi" w:hAnsiTheme="majorBidi" w:cstheme="majorBidi"/>
          <w:sz w:val="24"/>
          <w:szCs w:val="24"/>
          <w:lang w:val="fr-MA"/>
        </w:rPr>
        <w:t xml:space="preserve"> la qualité de vie des marocains.</w:t>
      </w:r>
    </w:p>
    <w:p w:rsidR="0088739E" w:rsidRPr="00FC4512" w:rsidRDefault="0088739E" w:rsidP="00586B08">
      <w:pPr>
        <w:pStyle w:val="Titre2"/>
        <w:rPr>
          <w:rFonts w:asciiTheme="majorBidi" w:hAnsiTheme="majorBidi"/>
          <w:color w:val="0070C0"/>
        </w:rPr>
      </w:pPr>
      <w:bookmarkStart w:id="14" w:name="_Toc45551142"/>
      <w:r w:rsidRPr="00FC4512">
        <w:rPr>
          <w:rFonts w:asciiTheme="majorBidi" w:hAnsiTheme="majorBidi"/>
          <w:color w:val="0070C0"/>
        </w:rPr>
        <w:t>II-</w:t>
      </w:r>
      <w:r w:rsidR="005677DF" w:rsidRPr="00FC4512">
        <w:rPr>
          <w:rFonts w:asciiTheme="majorBidi" w:hAnsiTheme="majorBidi"/>
          <w:color w:val="0070C0"/>
        </w:rPr>
        <w:t>5</w:t>
      </w:r>
      <w:r w:rsidRPr="00FC4512">
        <w:rPr>
          <w:rFonts w:asciiTheme="majorBidi" w:hAnsiTheme="majorBidi"/>
          <w:color w:val="0070C0"/>
        </w:rPr>
        <w:t xml:space="preserve"> Collecte des prix</w:t>
      </w:r>
      <w:bookmarkEnd w:id="14"/>
      <w:r w:rsidRPr="00FC4512">
        <w:rPr>
          <w:rFonts w:asciiTheme="majorBidi" w:hAnsiTheme="majorBidi"/>
          <w:color w:val="0070C0"/>
        </w:rPr>
        <w:t xml:space="preserve"> </w:t>
      </w:r>
    </w:p>
    <w:p w:rsidR="0088739E" w:rsidRPr="00C372E4" w:rsidRDefault="0088739E" w:rsidP="0088739E">
      <w:pPr>
        <w:spacing w:before="240" w:after="240" w:line="240" w:lineRule="auto"/>
        <w:jc w:val="both"/>
        <w:rPr>
          <w:rFonts w:asciiTheme="majorBidi" w:hAnsiTheme="majorBidi" w:cstheme="majorBidi"/>
          <w:sz w:val="24"/>
          <w:szCs w:val="24"/>
        </w:rPr>
      </w:pPr>
      <w:r w:rsidRPr="00C372E4">
        <w:rPr>
          <w:rFonts w:asciiTheme="majorBidi" w:hAnsiTheme="majorBidi" w:cstheme="majorBidi"/>
          <w:sz w:val="24"/>
          <w:szCs w:val="24"/>
        </w:rPr>
        <w:t>L’indice doit ret</w:t>
      </w:r>
      <w:r>
        <w:rPr>
          <w:rFonts w:asciiTheme="majorBidi" w:hAnsiTheme="majorBidi" w:cstheme="majorBidi"/>
          <w:sz w:val="24"/>
          <w:szCs w:val="24"/>
        </w:rPr>
        <w:t xml:space="preserve">racer l’évolution pure des prix. Celle-ci, </w:t>
      </w:r>
      <w:r w:rsidRPr="00C372E4">
        <w:rPr>
          <w:rFonts w:asciiTheme="majorBidi" w:hAnsiTheme="majorBidi" w:cstheme="majorBidi"/>
          <w:sz w:val="24"/>
          <w:szCs w:val="24"/>
        </w:rPr>
        <w:t>doit être soumise uniquement aux règles du marché et non aux changements qui affectent la qualité des produits, les points de vente, l’horaire de relevé ou autres facteurs. Les conditions de collecte ne doivent, en aucun cas, influencer le niveau des prix des variétés.</w:t>
      </w:r>
    </w:p>
    <w:p w:rsidR="006A40CB" w:rsidRDefault="0088739E" w:rsidP="006A40CB">
      <w:pPr>
        <w:spacing w:before="240" w:after="240" w:line="240" w:lineRule="auto"/>
        <w:jc w:val="both"/>
        <w:rPr>
          <w:rFonts w:asciiTheme="majorBidi" w:hAnsiTheme="majorBidi" w:cstheme="majorBidi"/>
          <w:sz w:val="24"/>
          <w:szCs w:val="24"/>
        </w:rPr>
      </w:pPr>
      <w:r w:rsidRPr="00C372E4">
        <w:rPr>
          <w:rFonts w:asciiTheme="majorBidi" w:hAnsiTheme="majorBidi" w:cstheme="majorBidi"/>
          <w:sz w:val="24"/>
          <w:szCs w:val="24"/>
        </w:rPr>
        <w:t>Le prix se définit comme la valeur unitaire (TTC) du produit qui est effectivement payé par les ménages. Cependant, pour des raisons pratiques, les prix des 478 articles sont relevés à l’aide d’une enquête permanente auprès d’un échantillon fixe de points de vente par entretien direct avec le vendeur</w:t>
      </w:r>
      <w:r w:rsidR="00AF6D2F">
        <w:rPr>
          <w:rFonts w:asciiTheme="majorBidi" w:hAnsiTheme="majorBidi" w:cstheme="majorBidi"/>
          <w:sz w:val="24"/>
          <w:szCs w:val="24"/>
        </w:rPr>
        <w:t>,</w:t>
      </w:r>
      <w:r w:rsidRPr="00C372E4">
        <w:rPr>
          <w:rFonts w:asciiTheme="majorBidi" w:hAnsiTheme="majorBidi" w:cstheme="majorBidi"/>
          <w:sz w:val="24"/>
          <w:szCs w:val="24"/>
        </w:rPr>
        <w:t xml:space="preserve"> tout en respectant la périodicité de chaque variété observée.</w:t>
      </w:r>
    </w:p>
    <w:p w:rsidR="0088739E" w:rsidRPr="006A40CB" w:rsidRDefault="0088739E" w:rsidP="006A40CB">
      <w:pPr>
        <w:spacing w:before="240" w:after="240" w:line="240" w:lineRule="auto"/>
        <w:jc w:val="both"/>
        <w:rPr>
          <w:rFonts w:asciiTheme="majorBidi" w:hAnsiTheme="majorBidi" w:cstheme="majorBidi"/>
          <w:b/>
          <w:bCs/>
          <w:sz w:val="24"/>
          <w:szCs w:val="24"/>
        </w:rPr>
      </w:pPr>
      <w:r w:rsidRPr="00C372E4">
        <w:rPr>
          <w:rFonts w:asciiTheme="majorBidi" w:hAnsiTheme="majorBidi"/>
          <w:color w:val="0070C0"/>
        </w:rPr>
        <w:tab/>
      </w:r>
      <w:r w:rsidRPr="006A40CB">
        <w:rPr>
          <w:rFonts w:asciiTheme="majorBidi" w:hAnsiTheme="majorBidi"/>
          <w:b/>
          <w:bCs/>
          <w:color w:val="0070C0"/>
          <w:sz w:val="24"/>
          <w:szCs w:val="24"/>
        </w:rPr>
        <w:t>II-</w:t>
      </w:r>
      <w:r w:rsidR="005677DF" w:rsidRPr="006A40CB">
        <w:rPr>
          <w:rFonts w:asciiTheme="majorBidi" w:hAnsiTheme="majorBidi"/>
          <w:b/>
          <w:bCs/>
          <w:color w:val="0070C0"/>
          <w:sz w:val="24"/>
          <w:szCs w:val="24"/>
        </w:rPr>
        <w:t>5</w:t>
      </w:r>
      <w:r w:rsidRPr="006A40CB">
        <w:rPr>
          <w:rFonts w:asciiTheme="majorBidi" w:hAnsiTheme="majorBidi"/>
          <w:b/>
          <w:bCs/>
          <w:color w:val="0070C0"/>
          <w:sz w:val="24"/>
          <w:szCs w:val="24"/>
        </w:rPr>
        <w:t>-</w:t>
      </w:r>
      <w:r w:rsidR="00C4189C" w:rsidRPr="006A40CB">
        <w:rPr>
          <w:rFonts w:asciiTheme="majorBidi" w:hAnsiTheme="majorBidi"/>
          <w:b/>
          <w:bCs/>
          <w:color w:val="0070C0"/>
          <w:sz w:val="24"/>
          <w:szCs w:val="24"/>
        </w:rPr>
        <w:t>1</w:t>
      </w:r>
      <w:r w:rsidRPr="006A40CB">
        <w:rPr>
          <w:rFonts w:asciiTheme="majorBidi" w:hAnsiTheme="majorBidi"/>
          <w:b/>
          <w:bCs/>
          <w:color w:val="0070C0"/>
          <w:sz w:val="24"/>
          <w:szCs w:val="24"/>
        </w:rPr>
        <w:t xml:space="preserve"> Zones d’enquête </w:t>
      </w:r>
    </w:p>
    <w:p w:rsidR="0088739E" w:rsidRDefault="0088739E" w:rsidP="00FC4512">
      <w:pPr>
        <w:spacing w:before="240" w:after="240" w:line="240" w:lineRule="auto"/>
        <w:jc w:val="both"/>
        <w:rPr>
          <w:rFonts w:asciiTheme="majorBidi" w:hAnsiTheme="majorBidi" w:cstheme="majorBidi"/>
          <w:sz w:val="24"/>
          <w:szCs w:val="24"/>
        </w:rPr>
      </w:pPr>
      <w:r w:rsidRPr="005E2393">
        <w:rPr>
          <w:rFonts w:asciiTheme="majorBidi" w:hAnsiTheme="majorBidi" w:cstheme="majorBidi"/>
          <w:sz w:val="24"/>
          <w:szCs w:val="24"/>
        </w:rPr>
        <w:t>Le découpage de la ville en zones d’enquête</w:t>
      </w:r>
      <w:r>
        <w:rPr>
          <w:rFonts w:asciiTheme="majorBidi" w:hAnsiTheme="majorBidi" w:cstheme="majorBidi"/>
          <w:sz w:val="24"/>
          <w:szCs w:val="24"/>
        </w:rPr>
        <w:t>, permet</w:t>
      </w:r>
      <w:r w:rsidRPr="005E2393">
        <w:rPr>
          <w:rFonts w:asciiTheme="majorBidi" w:hAnsiTheme="majorBidi" w:cstheme="majorBidi"/>
          <w:sz w:val="24"/>
          <w:szCs w:val="24"/>
        </w:rPr>
        <w:t xml:space="preserve"> notamment d</w:t>
      </w:r>
      <w:r w:rsidR="00FC4512">
        <w:rPr>
          <w:rFonts w:asciiTheme="majorBidi" w:hAnsiTheme="majorBidi" w:cstheme="majorBidi"/>
          <w:sz w:val="24"/>
          <w:szCs w:val="24"/>
        </w:rPr>
        <w:t>’</w:t>
      </w:r>
      <w:r w:rsidRPr="005E2393">
        <w:rPr>
          <w:rFonts w:asciiTheme="majorBidi" w:hAnsiTheme="majorBidi" w:cstheme="majorBidi"/>
          <w:sz w:val="24"/>
          <w:szCs w:val="24"/>
        </w:rPr>
        <w:t>:</w:t>
      </w:r>
    </w:p>
    <w:p w:rsidR="0088739E" w:rsidRDefault="0088739E" w:rsidP="00FC4512">
      <w:pPr>
        <w:pStyle w:val="Paragraphedeliste"/>
        <w:numPr>
          <w:ilvl w:val="0"/>
          <w:numId w:val="35"/>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Assurer le principe de représentativité spatiale au niveau de la ville en terme de relevé des prix ;</w:t>
      </w:r>
    </w:p>
    <w:p w:rsidR="0088739E" w:rsidRDefault="0088739E" w:rsidP="0088739E">
      <w:pPr>
        <w:pStyle w:val="Paragraphedeliste"/>
        <w:numPr>
          <w:ilvl w:val="0"/>
          <w:numId w:val="35"/>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Opérer un choix représentatif des points de vente pour l’ensemble des biens et services ;</w:t>
      </w:r>
    </w:p>
    <w:p w:rsidR="0088739E" w:rsidRDefault="0088739E" w:rsidP="0088739E">
      <w:pPr>
        <w:pStyle w:val="Paragraphedeliste"/>
        <w:numPr>
          <w:ilvl w:val="0"/>
          <w:numId w:val="35"/>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Organiser l’enquête dans le temps et dans l’espace ;</w:t>
      </w:r>
    </w:p>
    <w:p w:rsidR="0088739E" w:rsidRDefault="0088739E" w:rsidP="0088739E">
      <w:pPr>
        <w:pStyle w:val="Paragraphedeliste"/>
        <w:numPr>
          <w:ilvl w:val="0"/>
          <w:numId w:val="35"/>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Etablir un planning de relevé des prix en adoptant une périodicité adéquate selon les types de produits.</w:t>
      </w:r>
    </w:p>
    <w:p w:rsidR="0088739E" w:rsidRDefault="0088739E"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Les critères de formation des zones sont comme suit :</w:t>
      </w:r>
    </w:p>
    <w:p w:rsidR="0088739E" w:rsidRDefault="0088739E" w:rsidP="0088739E">
      <w:pPr>
        <w:pStyle w:val="Paragraphedeliste"/>
        <w:numPr>
          <w:ilvl w:val="0"/>
          <w:numId w:val="36"/>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La dispersion des prix au sein de la même zone doit être non significative ;</w:t>
      </w:r>
    </w:p>
    <w:p w:rsidR="0088739E" w:rsidRDefault="0088739E" w:rsidP="0088739E">
      <w:pPr>
        <w:pStyle w:val="Paragraphedeliste"/>
        <w:numPr>
          <w:ilvl w:val="0"/>
          <w:numId w:val="36"/>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Une zone doit contenir au moins une ou plusieurs concentrations;</w:t>
      </w:r>
    </w:p>
    <w:p w:rsidR="0088739E" w:rsidRDefault="0088739E" w:rsidP="0088739E">
      <w:pPr>
        <w:pStyle w:val="Paragraphedeliste"/>
        <w:numPr>
          <w:ilvl w:val="0"/>
          <w:numId w:val="36"/>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lastRenderedPageBreak/>
        <w:t>Une zone doit être une aire continue, c'est-à-dire un ensemble contigu de concentrations;</w:t>
      </w:r>
    </w:p>
    <w:p w:rsidR="0088739E" w:rsidRDefault="0088739E" w:rsidP="0088739E">
      <w:pPr>
        <w:pStyle w:val="Paragraphedeliste"/>
        <w:numPr>
          <w:ilvl w:val="0"/>
          <w:numId w:val="36"/>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La zone doit contenir une activité commerciale variée ;</w:t>
      </w:r>
    </w:p>
    <w:p w:rsidR="0088739E" w:rsidRDefault="0088739E" w:rsidP="0088739E">
      <w:pPr>
        <w:pStyle w:val="Paragraphedeliste"/>
        <w:numPr>
          <w:ilvl w:val="0"/>
          <w:numId w:val="36"/>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L’accès à la zone doit être facile.</w:t>
      </w:r>
    </w:p>
    <w:p w:rsidR="0088739E" w:rsidRDefault="0088739E"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Au niveau de la ville de Kenitra, les cinq zones constituées, sont présentées par quartier dans le tableau suivant :</w:t>
      </w:r>
    </w:p>
    <w:p w:rsidR="0088739E" w:rsidRPr="006A40CB" w:rsidRDefault="0036690E" w:rsidP="006A40CB">
      <w:pPr>
        <w:pStyle w:val="Lgende"/>
        <w:spacing w:after="0"/>
        <w:rPr>
          <w:rFonts w:asciiTheme="majorBidi" w:hAnsiTheme="majorBidi" w:cstheme="majorBidi"/>
          <w:sz w:val="22"/>
          <w:szCs w:val="22"/>
        </w:rPr>
      </w:pPr>
      <w:bookmarkStart w:id="15" w:name="_Toc54261204"/>
      <w:r w:rsidRPr="006A40CB">
        <w:rPr>
          <w:rFonts w:asciiTheme="majorBidi" w:hAnsiTheme="majorBidi" w:cstheme="majorBidi"/>
          <w:sz w:val="22"/>
          <w:szCs w:val="22"/>
        </w:rPr>
        <w:t xml:space="preserve">Tableau </w:t>
      </w:r>
      <w:r w:rsidR="00DE78CE" w:rsidRPr="006A40CB">
        <w:rPr>
          <w:rFonts w:asciiTheme="majorBidi" w:hAnsiTheme="majorBidi" w:cstheme="majorBidi"/>
          <w:sz w:val="22"/>
          <w:szCs w:val="22"/>
        </w:rPr>
        <w:fldChar w:fldCharType="begin"/>
      </w:r>
      <w:r w:rsidR="00756AA5" w:rsidRPr="006A40CB">
        <w:rPr>
          <w:rFonts w:asciiTheme="majorBidi" w:hAnsiTheme="majorBidi" w:cstheme="majorBidi"/>
          <w:sz w:val="22"/>
          <w:szCs w:val="22"/>
        </w:rPr>
        <w:instrText xml:space="preserve"> SEQ Tableau \* ARABIC </w:instrText>
      </w:r>
      <w:r w:rsidR="00DE78CE" w:rsidRPr="006A40CB">
        <w:rPr>
          <w:rFonts w:asciiTheme="majorBidi" w:hAnsiTheme="majorBidi" w:cstheme="majorBidi"/>
          <w:sz w:val="22"/>
          <w:szCs w:val="22"/>
        </w:rPr>
        <w:fldChar w:fldCharType="separate"/>
      </w:r>
      <w:r w:rsidR="00477549">
        <w:rPr>
          <w:rFonts w:asciiTheme="majorBidi" w:hAnsiTheme="majorBidi" w:cstheme="majorBidi"/>
          <w:noProof/>
          <w:sz w:val="22"/>
          <w:szCs w:val="22"/>
        </w:rPr>
        <w:t>2</w:t>
      </w:r>
      <w:r w:rsidR="00DE78CE" w:rsidRPr="006A40CB">
        <w:rPr>
          <w:rFonts w:asciiTheme="majorBidi" w:hAnsiTheme="majorBidi" w:cstheme="majorBidi"/>
          <w:sz w:val="22"/>
          <w:szCs w:val="22"/>
        </w:rPr>
        <w:fldChar w:fldCharType="end"/>
      </w:r>
      <w:r w:rsidRPr="006A40CB">
        <w:rPr>
          <w:rFonts w:asciiTheme="majorBidi" w:hAnsiTheme="majorBidi" w:cstheme="majorBidi"/>
          <w:sz w:val="22"/>
          <w:szCs w:val="22"/>
        </w:rPr>
        <w:t xml:space="preserve"> : </w:t>
      </w:r>
      <w:r w:rsidR="0088739E" w:rsidRPr="006A40CB">
        <w:rPr>
          <w:rFonts w:asciiTheme="majorBidi" w:hAnsiTheme="majorBidi" w:cstheme="majorBidi"/>
          <w:sz w:val="22"/>
          <w:szCs w:val="22"/>
        </w:rPr>
        <w:t>Liste des zones d’enquêtes par quartier de concentrations</w:t>
      </w:r>
      <w:bookmarkEnd w:id="15"/>
      <w:r w:rsidR="0088739E" w:rsidRPr="006A40CB">
        <w:rPr>
          <w:rFonts w:asciiTheme="majorBidi" w:hAnsiTheme="majorBidi" w:cstheme="majorBidi"/>
          <w:sz w:val="22"/>
          <w:szCs w:val="22"/>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7828"/>
      </w:tblGrid>
      <w:tr w:rsidR="0088739E" w:rsidRPr="00BF575C" w:rsidTr="00F93525">
        <w:trPr>
          <w:trHeight w:val="475"/>
        </w:trPr>
        <w:tc>
          <w:tcPr>
            <w:tcW w:w="1384" w:type="dxa"/>
            <w:tcBorders>
              <w:top w:val="single" w:sz="12" w:space="0" w:color="auto"/>
              <w:bottom w:val="single" w:sz="12" w:space="0" w:color="auto"/>
            </w:tcBorders>
            <w:shd w:val="clear" w:color="auto" w:fill="BFBFBF" w:themeFill="background1" w:themeFillShade="BF"/>
            <w:vAlign w:val="center"/>
          </w:tcPr>
          <w:p w:rsidR="0088739E" w:rsidRPr="004B1065" w:rsidRDefault="0088739E" w:rsidP="00F93525">
            <w:pPr>
              <w:jc w:val="center"/>
              <w:rPr>
                <w:rFonts w:asciiTheme="majorBidi" w:hAnsiTheme="majorBidi" w:cstheme="majorBidi"/>
                <w:b/>
                <w:bCs/>
              </w:rPr>
            </w:pPr>
            <w:r w:rsidRPr="004B1065">
              <w:rPr>
                <w:rFonts w:asciiTheme="majorBidi" w:hAnsiTheme="majorBidi" w:cstheme="majorBidi"/>
                <w:b/>
                <w:bCs/>
              </w:rPr>
              <w:t>Zones</w:t>
            </w:r>
          </w:p>
        </w:tc>
        <w:tc>
          <w:tcPr>
            <w:tcW w:w="7828" w:type="dxa"/>
            <w:tcBorders>
              <w:top w:val="single" w:sz="12" w:space="0" w:color="auto"/>
              <w:bottom w:val="single" w:sz="12" w:space="0" w:color="auto"/>
            </w:tcBorders>
            <w:shd w:val="clear" w:color="auto" w:fill="BFBFBF" w:themeFill="background1" w:themeFillShade="BF"/>
            <w:vAlign w:val="center"/>
          </w:tcPr>
          <w:p w:rsidR="0088739E" w:rsidRPr="004B1065" w:rsidRDefault="0088739E" w:rsidP="00F93525">
            <w:pPr>
              <w:jc w:val="center"/>
              <w:rPr>
                <w:rFonts w:asciiTheme="majorBidi" w:hAnsiTheme="majorBidi" w:cstheme="majorBidi"/>
                <w:b/>
                <w:bCs/>
              </w:rPr>
            </w:pPr>
            <w:r w:rsidRPr="004B1065">
              <w:rPr>
                <w:rFonts w:asciiTheme="majorBidi" w:hAnsiTheme="majorBidi" w:cstheme="majorBidi"/>
                <w:b/>
                <w:bCs/>
              </w:rPr>
              <w:t>Quartiers des concentrations</w:t>
            </w:r>
          </w:p>
        </w:tc>
      </w:tr>
      <w:tr w:rsidR="0088739E" w:rsidTr="00F93525">
        <w:trPr>
          <w:trHeight w:val="284"/>
        </w:trPr>
        <w:tc>
          <w:tcPr>
            <w:tcW w:w="1384" w:type="dxa"/>
            <w:tcBorders>
              <w:top w:val="single" w:sz="12" w:space="0" w:color="auto"/>
            </w:tcBorders>
            <w:vAlign w:val="center"/>
          </w:tcPr>
          <w:p w:rsidR="0088739E" w:rsidRPr="004B1065" w:rsidRDefault="0088739E" w:rsidP="00F93525">
            <w:pPr>
              <w:jc w:val="center"/>
              <w:rPr>
                <w:rFonts w:asciiTheme="majorBidi" w:hAnsiTheme="majorBidi" w:cstheme="majorBidi"/>
              </w:rPr>
            </w:pPr>
            <w:r w:rsidRPr="004B1065">
              <w:rPr>
                <w:rFonts w:asciiTheme="majorBidi" w:hAnsiTheme="majorBidi" w:cstheme="majorBidi"/>
              </w:rPr>
              <w:t>1</w:t>
            </w:r>
          </w:p>
        </w:tc>
        <w:tc>
          <w:tcPr>
            <w:tcW w:w="7828" w:type="dxa"/>
            <w:tcBorders>
              <w:top w:val="single" w:sz="12" w:space="0" w:color="auto"/>
            </w:tcBorders>
            <w:vAlign w:val="center"/>
          </w:tcPr>
          <w:p w:rsidR="0088739E" w:rsidRPr="004B1065" w:rsidRDefault="0088739E" w:rsidP="002251E1">
            <w:pPr>
              <w:rPr>
                <w:rFonts w:asciiTheme="majorBidi" w:hAnsiTheme="majorBidi" w:cstheme="majorBidi"/>
              </w:rPr>
            </w:pPr>
            <w:proofErr w:type="spellStart"/>
            <w:r w:rsidRPr="004B1065">
              <w:rPr>
                <w:rFonts w:asciiTheme="majorBidi" w:hAnsiTheme="majorBidi" w:cstheme="majorBidi"/>
              </w:rPr>
              <w:t>Ouled</w:t>
            </w:r>
            <w:proofErr w:type="spellEnd"/>
            <w:r w:rsidRPr="004B1065">
              <w:rPr>
                <w:rFonts w:asciiTheme="majorBidi" w:hAnsiTheme="majorBidi" w:cstheme="majorBidi"/>
              </w:rPr>
              <w:t xml:space="preserve"> </w:t>
            </w:r>
            <w:proofErr w:type="spellStart"/>
            <w:r w:rsidRPr="004B1065">
              <w:rPr>
                <w:rFonts w:asciiTheme="majorBidi" w:hAnsiTheme="majorBidi" w:cstheme="majorBidi"/>
              </w:rPr>
              <w:t>Oujih</w:t>
            </w:r>
            <w:proofErr w:type="spellEnd"/>
            <w:r w:rsidRPr="004B1065">
              <w:rPr>
                <w:rFonts w:asciiTheme="majorBidi" w:hAnsiTheme="majorBidi" w:cstheme="majorBidi"/>
              </w:rPr>
              <w:t xml:space="preserve"> –  La ville haute –  Marché central –  </w:t>
            </w:r>
            <w:proofErr w:type="spellStart"/>
            <w:r w:rsidRPr="004B1065">
              <w:rPr>
                <w:rFonts w:asciiTheme="majorBidi" w:hAnsiTheme="majorBidi" w:cstheme="majorBidi"/>
              </w:rPr>
              <w:t>Kissariat</w:t>
            </w:r>
            <w:proofErr w:type="spellEnd"/>
            <w:r w:rsidRPr="004B1065">
              <w:rPr>
                <w:rFonts w:asciiTheme="majorBidi" w:hAnsiTheme="majorBidi" w:cstheme="majorBidi"/>
              </w:rPr>
              <w:t xml:space="preserve"> </w:t>
            </w:r>
            <w:proofErr w:type="spellStart"/>
            <w:r w:rsidRPr="004B1065">
              <w:rPr>
                <w:rFonts w:asciiTheme="majorBidi" w:hAnsiTheme="majorBidi" w:cstheme="majorBidi"/>
              </w:rPr>
              <w:t>nafora</w:t>
            </w:r>
            <w:proofErr w:type="spellEnd"/>
            <w:r w:rsidRPr="004B1065">
              <w:rPr>
                <w:rFonts w:asciiTheme="majorBidi" w:hAnsiTheme="majorBidi" w:cstheme="majorBidi"/>
              </w:rPr>
              <w:t xml:space="preserve"> –  Avenue Med V – Place de la municipalité </w:t>
            </w:r>
          </w:p>
        </w:tc>
      </w:tr>
      <w:tr w:rsidR="0088739E" w:rsidTr="00F93525">
        <w:trPr>
          <w:trHeight w:val="502"/>
        </w:trPr>
        <w:tc>
          <w:tcPr>
            <w:tcW w:w="1384" w:type="dxa"/>
            <w:vAlign w:val="center"/>
          </w:tcPr>
          <w:p w:rsidR="0088739E" w:rsidRPr="004B1065" w:rsidRDefault="0088739E" w:rsidP="00F93525">
            <w:pPr>
              <w:jc w:val="center"/>
              <w:rPr>
                <w:rFonts w:asciiTheme="majorBidi" w:hAnsiTheme="majorBidi" w:cstheme="majorBidi"/>
              </w:rPr>
            </w:pPr>
            <w:r w:rsidRPr="004B1065">
              <w:rPr>
                <w:rFonts w:asciiTheme="majorBidi" w:hAnsiTheme="majorBidi" w:cstheme="majorBidi"/>
              </w:rPr>
              <w:t>2</w:t>
            </w:r>
          </w:p>
        </w:tc>
        <w:tc>
          <w:tcPr>
            <w:tcW w:w="7828" w:type="dxa"/>
            <w:vAlign w:val="center"/>
          </w:tcPr>
          <w:p w:rsidR="0088739E" w:rsidRPr="004B1065" w:rsidRDefault="0088739E" w:rsidP="00F93525">
            <w:pPr>
              <w:rPr>
                <w:rFonts w:asciiTheme="majorBidi" w:hAnsiTheme="majorBidi" w:cstheme="majorBidi"/>
              </w:rPr>
            </w:pPr>
            <w:proofErr w:type="spellStart"/>
            <w:r w:rsidRPr="004B1065">
              <w:rPr>
                <w:rFonts w:asciiTheme="majorBidi" w:hAnsiTheme="majorBidi" w:cstheme="majorBidi"/>
              </w:rPr>
              <w:t>Errahba</w:t>
            </w:r>
            <w:proofErr w:type="spellEnd"/>
            <w:r w:rsidRPr="004B1065">
              <w:rPr>
                <w:rFonts w:asciiTheme="majorBidi" w:hAnsiTheme="majorBidi" w:cstheme="majorBidi"/>
              </w:rPr>
              <w:t xml:space="preserve"> –  Centre commercial </w:t>
            </w:r>
            <w:proofErr w:type="spellStart"/>
            <w:r w:rsidRPr="004B1065">
              <w:rPr>
                <w:rFonts w:asciiTheme="majorBidi" w:hAnsiTheme="majorBidi" w:cstheme="majorBidi"/>
              </w:rPr>
              <w:t>Maamora</w:t>
            </w:r>
            <w:proofErr w:type="spellEnd"/>
            <w:r w:rsidRPr="004B1065">
              <w:rPr>
                <w:rFonts w:asciiTheme="majorBidi" w:hAnsiTheme="majorBidi" w:cstheme="majorBidi"/>
              </w:rPr>
              <w:t xml:space="preserve"> –  El Mellah –  </w:t>
            </w:r>
            <w:proofErr w:type="spellStart"/>
            <w:r w:rsidRPr="004B1065">
              <w:rPr>
                <w:rFonts w:asciiTheme="majorBidi" w:hAnsiTheme="majorBidi" w:cstheme="majorBidi"/>
              </w:rPr>
              <w:t>Bab</w:t>
            </w:r>
            <w:proofErr w:type="spellEnd"/>
            <w:r w:rsidRPr="004B1065">
              <w:rPr>
                <w:rFonts w:asciiTheme="majorBidi" w:hAnsiTheme="majorBidi" w:cstheme="majorBidi"/>
              </w:rPr>
              <w:t xml:space="preserve"> Fès –  Avenue Med V</w:t>
            </w:r>
          </w:p>
        </w:tc>
      </w:tr>
      <w:tr w:rsidR="0088739E" w:rsidTr="00F93525">
        <w:trPr>
          <w:trHeight w:val="284"/>
        </w:trPr>
        <w:tc>
          <w:tcPr>
            <w:tcW w:w="1384" w:type="dxa"/>
            <w:vAlign w:val="center"/>
          </w:tcPr>
          <w:p w:rsidR="0088739E" w:rsidRPr="004B1065" w:rsidRDefault="0088739E" w:rsidP="00F93525">
            <w:pPr>
              <w:jc w:val="center"/>
              <w:rPr>
                <w:rFonts w:asciiTheme="majorBidi" w:hAnsiTheme="majorBidi" w:cstheme="majorBidi"/>
              </w:rPr>
            </w:pPr>
            <w:r w:rsidRPr="004B1065">
              <w:rPr>
                <w:rFonts w:asciiTheme="majorBidi" w:hAnsiTheme="majorBidi" w:cstheme="majorBidi"/>
              </w:rPr>
              <w:t>3</w:t>
            </w:r>
          </w:p>
        </w:tc>
        <w:tc>
          <w:tcPr>
            <w:tcW w:w="7828" w:type="dxa"/>
            <w:vAlign w:val="center"/>
          </w:tcPr>
          <w:p w:rsidR="0088739E" w:rsidRPr="004B1065" w:rsidRDefault="0088739E" w:rsidP="00F93525">
            <w:pPr>
              <w:rPr>
                <w:rFonts w:asciiTheme="majorBidi" w:hAnsiTheme="majorBidi" w:cstheme="majorBidi"/>
              </w:rPr>
            </w:pPr>
            <w:proofErr w:type="spellStart"/>
            <w:r w:rsidRPr="004B1065">
              <w:rPr>
                <w:rFonts w:asciiTheme="majorBidi" w:hAnsiTheme="majorBidi" w:cstheme="majorBidi"/>
              </w:rPr>
              <w:t>Khabbazate</w:t>
            </w:r>
            <w:proofErr w:type="spellEnd"/>
            <w:r w:rsidRPr="004B1065">
              <w:rPr>
                <w:rFonts w:asciiTheme="majorBidi" w:hAnsiTheme="majorBidi" w:cstheme="majorBidi"/>
              </w:rPr>
              <w:t xml:space="preserve"> – </w:t>
            </w:r>
            <w:proofErr w:type="spellStart"/>
            <w:r w:rsidRPr="004B1065">
              <w:rPr>
                <w:rFonts w:asciiTheme="majorBidi" w:hAnsiTheme="majorBidi" w:cstheme="majorBidi"/>
              </w:rPr>
              <w:t>Diour</w:t>
            </w:r>
            <w:proofErr w:type="spellEnd"/>
            <w:r w:rsidRPr="004B1065">
              <w:rPr>
                <w:rFonts w:asciiTheme="majorBidi" w:hAnsiTheme="majorBidi" w:cstheme="majorBidi"/>
              </w:rPr>
              <w:t xml:space="preserve"> </w:t>
            </w:r>
            <w:proofErr w:type="spellStart"/>
            <w:r w:rsidRPr="004B1065">
              <w:rPr>
                <w:rFonts w:asciiTheme="majorBidi" w:hAnsiTheme="majorBidi" w:cstheme="majorBidi"/>
              </w:rPr>
              <w:t>Seniak</w:t>
            </w:r>
            <w:proofErr w:type="spellEnd"/>
            <w:r w:rsidRPr="004B1065">
              <w:rPr>
                <w:rFonts w:asciiTheme="majorBidi" w:hAnsiTheme="majorBidi" w:cstheme="majorBidi"/>
              </w:rPr>
              <w:t xml:space="preserve"> – </w:t>
            </w:r>
            <w:proofErr w:type="spellStart"/>
            <w:r w:rsidRPr="004B1065">
              <w:rPr>
                <w:rFonts w:asciiTheme="majorBidi" w:hAnsiTheme="majorBidi" w:cstheme="majorBidi"/>
              </w:rPr>
              <w:t>Bir</w:t>
            </w:r>
            <w:proofErr w:type="spellEnd"/>
            <w:r w:rsidRPr="004B1065">
              <w:rPr>
                <w:rFonts w:asciiTheme="majorBidi" w:hAnsiTheme="majorBidi" w:cstheme="majorBidi"/>
              </w:rPr>
              <w:t xml:space="preserve"> </w:t>
            </w:r>
            <w:proofErr w:type="spellStart"/>
            <w:r w:rsidRPr="004B1065">
              <w:rPr>
                <w:rFonts w:asciiTheme="majorBidi" w:hAnsiTheme="majorBidi" w:cstheme="majorBidi"/>
              </w:rPr>
              <w:t>Anzarane</w:t>
            </w:r>
            <w:proofErr w:type="spellEnd"/>
            <w:r w:rsidRPr="004B1065">
              <w:rPr>
                <w:rFonts w:asciiTheme="majorBidi" w:hAnsiTheme="majorBidi" w:cstheme="majorBidi"/>
              </w:rPr>
              <w:t xml:space="preserve"> – Rue 36 – Marché </w:t>
            </w:r>
            <w:proofErr w:type="spellStart"/>
            <w:r w:rsidRPr="004B1065">
              <w:rPr>
                <w:rFonts w:asciiTheme="majorBidi" w:hAnsiTheme="majorBidi" w:cstheme="majorBidi"/>
              </w:rPr>
              <w:t>Hourriya</w:t>
            </w:r>
            <w:proofErr w:type="spellEnd"/>
            <w:r w:rsidRPr="004B1065">
              <w:rPr>
                <w:rFonts w:asciiTheme="majorBidi" w:hAnsiTheme="majorBidi" w:cstheme="majorBidi"/>
              </w:rPr>
              <w:t xml:space="preserve"> – </w:t>
            </w:r>
            <w:proofErr w:type="spellStart"/>
            <w:r w:rsidRPr="004B1065">
              <w:rPr>
                <w:rFonts w:asciiTheme="majorBidi" w:hAnsiTheme="majorBidi" w:cstheme="majorBidi"/>
              </w:rPr>
              <w:t>Bidansi</w:t>
            </w:r>
            <w:proofErr w:type="spellEnd"/>
            <w:r w:rsidRPr="004B1065">
              <w:rPr>
                <w:rFonts w:asciiTheme="majorBidi" w:hAnsiTheme="majorBidi" w:cstheme="majorBidi"/>
              </w:rPr>
              <w:t xml:space="preserve"> – </w:t>
            </w:r>
          </w:p>
          <w:p w:rsidR="0088739E" w:rsidRPr="004B1065" w:rsidRDefault="0088739E" w:rsidP="00F93525">
            <w:pPr>
              <w:rPr>
                <w:rFonts w:asciiTheme="majorBidi" w:hAnsiTheme="majorBidi" w:cstheme="majorBidi"/>
              </w:rPr>
            </w:pPr>
            <w:r w:rsidRPr="004B1065">
              <w:rPr>
                <w:rFonts w:asciiTheme="majorBidi" w:hAnsiTheme="majorBidi" w:cstheme="majorBidi"/>
              </w:rPr>
              <w:t>Avenue Med V</w:t>
            </w:r>
          </w:p>
        </w:tc>
      </w:tr>
      <w:tr w:rsidR="0088739E" w:rsidTr="00F93525">
        <w:trPr>
          <w:trHeight w:val="501"/>
        </w:trPr>
        <w:tc>
          <w:tcPr>
            <w:tcW w:w="1384" w:type="dxa"/>
            <w:vAlign w:val="center"/>
          </w:tcPr>
          <w:p w:rsidR="0088739E" w:rsidRPr="004B1065" w:rsidRDefault="0088739E" w:rsidP="00F93525">
            <w:pPr>
              <w:jc w:val="center"/>
              <w:rPr>
                <w:rFonts w:asciiTheme="majorBidi" w:hAnsiTheme="majorBidi" w:cstheme="majorBidi"/>
              </w:rPr>
            </w:pPr>
            <w:r w:rsidRPr="004B1065">
              <w:rPr>
                <w:rFonts w:asciiTheme="majorBidi" w:hAnsiTheme="majorBidi" w:cstheme="majorBidi"/>
              </w:rPr>
              <w:t>4</w:t>
            </w:r>
          </w:p>
        </w:tc>
        <w:tc>
          <w:tcPr>
            <w:tcW w:w="7828" w:type="dxa"/>
            <w:vAlign w:val="center"/>
          </w:tcPr>
          <w:p w:rsidR="0088739E" w:rsidRPr="004B1065" w:rsidRDefault="0088739E" w:rsidP="00F93525">
            <w:pPr>
              <w:rPr>
                <w:rFonts w:asciiTheme="majorBidi" w:hAnsiTheme="majorBidi" w:cstheme="majorBidi"/>
              </w:rPr>
            </w:pPr>
            <w:proofErr w:type="spellStart"/>
            <w:r w:rsidRPr="004B1065">
              <w:rPr>
                <w:rFonts w:asciiTheme="majorBidi" w:hAnsiTheme="majorBidi" w:cstheme="majorBidi"/>
              </w:rPr>
              <w:t>Kissariat</w:t>
            </w:r>
            <w:proofErr w:type="spellEnd"/>
            <w:r w:rsidRPr="004B1065">
              <w:rPr>
                <w:rFonts w:asciiTheme="majorBidi" w:hAnsiTheme="majorBidi" w:cstheme="majorBidi"/>
              </w:rPr>
              <w:t xml:space="preserve"> Oued </w:t>
            </w:r>
            <w:proofErr w:type="spellStart"/>
            <w:r w:rsidRPr="004B1065">
              <w:rPr>
                <w:rFonts w:asciiTheme="majorBidi" w:hAnsiTheme="majorBidi" w:cstheme="majorBidi"/>
              </w:rPr>
              <w:t>Eddahab</w:t>
            </w:r>
            <w:proofErr w:type="spellEnd"/>
            <w:r w:rsidRPr="004B1065">
              <w:rPr>
                <w:rFonts w:asciiTheme="majorBidi" w:hAnsiTheme="majorBidi" w:cstheme="majorBidi"/>
              </w:rPr>
              <w:t xml:space="preserve"> -  Marché </w:t>
            </w:r>
            <w:proofErr w:type="spellStart"/>
            <w:r w:rsidRPr="004B1065">
              <w:rPr>
                <w:rFonts w:asciiTheme="majorBidi" w:hAnsiTheme="majorBidi" w:cstheme="majorBidi"/>
              </w:rPr>
              <w:t>Massira</w:t>
            </w:r>
            <w:proofErr w:type="spellEnd"/>
            <w:r w:rsidRPr="004B1065">
              <w:rPr>
                <w:rFonts w:asciiTheme="majorBidi" w:hAnsiTheme="majorBidi" w:cstheme="majorBidi"/>
              </w:rPr>
              <w:t xml:space="preserve"> –  Marché l’habitat –  El </w:t>
            </w:r>
            <w:proofErr w:type="spellStart"/>
            <w:r w:rsidRPr="004B1065">
              <w:rPr>
                <w:rFonts w:asciiTheme="majorBidi" w:hAnsiTheme="majorBidi" w:cstheme="majorBidi"/>
              </w:rPr>
              <w:t>Aalama</w:t>
            </w:r>
            <w:proofErr w:type="spellEnd"/>
            <w:r w:rsidRPr="004B1065">
              <w:rPr>
                <w:rFonts w:asciiTheme="majorBidi" w:hAnsiTheme="majorBidi" w:cstheme="majorBidi"/>
              </w:rPr>
              <w:t xml:space="preserve"> –  </w:t>
            </w:r>
            <w:proofErr w:type="spellStart"/>
            <w:r w:rsidRPr="004B1065">
              <w:rPr>
                <w:rFonts w:asciiTheme="majorBidi" w:hAnsiTheme="majorBidi" w:cstheme="majorBidi"/>
              </w:rPr>
              <w:t>Diour</w:t>
            </w:r>
            <w:proofErr w:type="spellEnd"/>
            <w:r w:rsidRPr="004B1065">
              <w:rPr>
                <w:rFonts w:asciiTheme="majorBidi" w:hAnsiTheme="majorBidi" w:cstheme="majorBidi"/>
              </w:rPr>
              <w:t xml:space="preserve"> </w:t>
            </w:r>
            <w:proofErr w:type="spellStart"/>
            <w:r w:rsidRPr="004B1065">
              <w:rPr>
                <w:rFonts w:asciiTheme="majorBidi" w:hAnsiTheme="majorBidi" w:cstheme="majorBidi"/>
              </w:rPr>
              <w:t>Achralaf</w:t>
            </w:r>
            <w:proofErr w:type="spellEnd"/>
          </w:p>
        </w:tc>
      </w:tr>
      <w:tr w:rsidR="0088739E" w:rsidTr="00F93525">
        <w:trPr>
          <w:trHeight w:val="436"/>
        </w:trPr>
        <w:tc>
          <w:tcPr>
            <w:tcW w:w="1384" w:type="dxa"/>
            <w:tcBorders>
              <w:bottom w:val="single" w:sz="12" w:space="0" w:color="auto"/>
            </w:tcBorders>
            <w:vAlign w:val="center"/>
          </w:tcPr>
          <w:p w:rsidR="0088739E" w:rsidRPr="004B1065" w:rsidRDefault="0088739E" w:rsidP="00F93525">
            <w:pPr>
              <w:jc w:val="center"/>
              <w:rPr>
                <w:rFonts w:asciiTheme="majorBidi" w:hAnsiTheme="majorBidi" w:cstheme="majorBidi"/>
              </w:rPr>
            </w:pPr>
            <w:r w:rsidRPr="004B1065">
              <w:rPr>
                <w:rFonts w:asciiTheme="majorBidi" w:hAnsiTheme="majorBidi" w:cstheme="majorBidi"/>
              </w:rPr>
              <w:t>5</w:t>
            </w:r>
          </w:p>
        </w:tc>
        <w:tc>
          <w:tcPr>
            <w:tcW w:w="7828" w:type="dxa"/>
            <w:tcBorders>
              <w:bottom w:val="single" w:sz="12" w:space="0" w:color="auto"/>
            </w:tcBorders>
            <w:vAlign w:val="center"/>
          </w:tcPr>
          <w:p w:rsidR="0088739E" w:rsidRPr="004B1065" w:rsidRDefault="0088739E" w:rsidP="00F93525">
            <w:pPr>
              <w:rPr>
                <w:rFonts w:asciiTheme="majorBidi" w:hAnsiTheme="majorBidi" w:cstheme="majorBidi"/>
              </w:rPr>
            </w:pPr>
            <w:proofErr w:type="spellStart"/>
            <w:r w:rsidRPr="004B1065">
              <w:rPr>
                <w:rFonts w:asciiTheme="majorBidi" w:hAnsiTheme="majorBidi" w:cstheme="majorBidi"/>
              </w:rPr>
              <w:t>Bir</w:t>
            </w:r>
            <w:proofErr w:type="spellEnd"/>
            <w:r w:rsidRPr="004B1065">
              <w:rPr>
                <w:rFonts w:asciiTheme="majorBidi" w:hAnsiTheme="majorBidi" w:cstheme="majorBidi"/>
              </w:rPr>
              <w:t xml:space="preserve"> Rami (ASWAK ASSALAM)</w:t>
            </w:r>
          </w:p>
        </w:tc>
      </w:tr>
    </w:tbl>
    <w:p w:rsidR="0088739E" w:rsidRPr="004B1065" w:rsidRDefault="0088739E" w:rsidP="004B1065">
      <w:pPr>
        <w:spacing w:before="240" w:after="240" w:line="240" w:lineRule="auto"/>
        <w:jc w:val="both"/>
        <w:rPr>
          <w:rFonts w:asciiTheme="majorBidi" w:hAnsiTheme="majorBidi"/>
          <w:b/>
          <w:bCs/>
          <w:color w:val="0070C0"/>
          <w:sz w:val="24"/>
          <w:szCs w:val="24"/>
        </w:rPr>
      </w:pPr>
      <w:r w:rsidRPr="00C372E4">
        <w:rPr>
          <w:rFonts w:asciiTheme="majorBidi" w:hAnsiTheme="majorBidi" w:cstheme="majorBidi"/>
          <w:color w:val="0070C0"/>
        </w:rPr>
        <w:tab/>
      </w:r>
      <w:r w:rsidRPr="004B1065">
        <w:rPr>
          <w:rFonts w:asciiTheme="majorBidi" w:hAnsiTheme="majorBidi"/>
          <w:b/>
          <w:bCs/>
          <w:color w:val="0070C0"/>
          <w:sz w:val="24"/>
          <w:szCs w:val="24"/>
        </w:rPr>
        <w:t>II-</w:t>
      </w:r>
      <w:r w:rsidR="005677DF" w:rsidRPr="004B1065">
        <w:rPr>
          <w:rFonts w:asciiTheme="majorBidi" w:hAnsiTheme="majorBidi"/>
          <w:b/>
          <w:bCs/>
          <w:color w:val="0070C0"/>
          <w:sz w:val="24"/>
          <w:szCs w:val="24"/>
        </w:rPr>
        <w:t>5</w:t>
      </w:r>
      <w:r w:rsidRPr="004B1065">
        <w:rPr>
          <w:rFonts w:asciiTheme="majorBidi" w:hAnsiTheme="majorBidi"/>
          <w:b/>
          <w:bCs/>
          <w:color w:val="0070C0"/>
          <w:sz w:val="24"/>
          <w:szCs w:val="24"/>
        </w:rPr>
        <w:t>-</w:t>
      </w:r>
      <w:r w:rsidR="00C4189C" w:rsidRPr="004B1065">
        <w:rPr>
          <w:rFonts w:asciiTheme="majorBidi" w:hAnsiTheme="majorBidi"/>
          <w:b/>
          <w:bCs/>
          <w:color w:val="0070C0"/>
          <w:sz w:val="24"/>
          <w:szCs w:val="24"/>
        </w:rPr>
        <w:t>2</w:t>
      </w:r>
      <w:r w:rsidRPr="004B1065">
        <w:rPr>
          <w:rFonts w:asciiTheme="majorBidi" w:hAnsiTheme="majorBidi"/>
          <w:b/>
          <w:bCs/>
          <w:color w:val="0070C0"/>
          <w:sz w:val="24"/>
          <w:szCs w:val="24"/>
        </w:rPr>
        <w:t xml:space="preserve"> Points d’observation</w:t>
      </w:r>
    </w:p>
    <w:p w:rsidR="0088739E" w:rsidRDefault="0088739E" w:rsidP="0088739E">
      <w:pPr>
        <w:spacing w:before="240" w:after="240" w:line="240" w:lineRule="auto"/>
        <w:jc w:val="both"/>
        <w:rPr>
          <w:rFonts w:asciiTheme="majorBidi" w:hAnsiTheme="majorBidi" w:cstheme="majorBidi"/>
          <w:sz w:val="24"/>
          <w:szCs w:val="24"/>
        </w:rPr>
      </w:pPr>
      <w:r w:rsidRPr="00F85862">
        <w:rPr>
          <w:rFonts w:asciiTheme="majorBidi" w:hAnsiTheme="majorBidi" w:cstheme="majorBidi"/>
          <w:sz w:val="24"/>
          <w:szCs w:val="24"/>
        </w:rPr>
        <w:t>Le point d’observation</w:t>
      </w:r>
      <w:r>
        <w:rPr>
          <w:rFonts w:asciiTheme="majorBidi" w:hAnsiTheme="majorBidi" w:cstheme="majorBidi"/>
          <w:sz w:val="24"/>
          <w:szCs w:val="24"/>
        </w:rPr>
        <w:t>, ou point de vente, peut être un magasin proche, une entreprise de service, un commerçant, une boutique spécialisée, un étal fixe d’un marché ou autres lieux.</w:t>
      </w:r>
    </w:p>
    <w:p w:rsidR="0088739E" w:rsidRDefault="0088739E"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Le point d’observation doit avoir certaines caractéristiques :</w:t>
      </w:r>
    </w:p>
    <w:p w:rsidR="0088739E" w:rsidRDefault="0088739E" w:rsidP="0088739E">
      <w:pPr>
        <w:pStyle w:val="Paragraphedeliste"/>
        <w:numPr>
          <w:ilvl w:val="0"/>
          <w:numId w:val="37"/>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Une activité intense dans la concentration ;</w:t>
      </w:r>
    </w:p>
    <w:p w:rsidR="0088739E" w:rsidRDefault="0088739E" w:rsidP="0088739E">
      <w:pPr>
        <w:pStyle w:val="Paragraphedeliste"/>
        <w:numPr>
          <w:ilvl w:val="0"/>
          <w:numId w:val="37"/>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La continuité de l’activité dans le temps est nécessaire ;</w:t>
      </w:r>
    </w:p>
    <w:p w:rsidR="0088739E" w:rsidRDefault="0088739E" w:rsidP="0088739E">
      <w:pPr>
        <w:pStyle w:val="Paragraphedeliste"/>
        <w:numPr>
          <w:ilvl w:val="0"/>
          <w:numId w:val="37"/>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Le vendeur doit être coopérant ;</w:t>
      </w:r>
    </w:p>
    <w:p w:rsidR="0088739E" w:rsidRDefault="0088739E" w:rsidP="0088739E">
      <w:pPr>
        <w:pStyle w:val="Paragraphedeliste"/>
        <w:numPr>
          <w:ilvl w:val="0"/>
          <w:numId w:val="37"/>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Les prix déclarés par le vendeur doivent être fiables.</w:t>
      </w:r>
    </w:p>
    <w:p w:rsidR="0088739E" w:rsidRDefault="0088739E"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Ainsi, au niveau de la ville de Kenitra, plus de 340 points de vente ont été choisis pour y relever les prix des variétés.</w:t>
      </w:r>
      <w:r w:rsidR="00FC4512">
        <w:rPr>
          <w:rFonts w:asciiTheme="majorBidi" w:hAnsiTheme="majorBidi" w:cstheme="majorBidi"/>
          <w:sz w:val="24"/>
          <w:szCs w:val="24"/>
        </w:rPr>
        <w:t xml:space="preserve"> Ce chiffre est appelé à la hausse dans la réforme actuelle</w:t>
      </w:r>
      <w:r w:rsidR="00B9288C">
        <w:rPr>
          <w:rFonts w:asciiTheme="majorBidi" w:hAnsiTheme="majorBidi" w:cstheme="majorBidi"/>
          <w:sz w:val="24"/>
          <w:szCs w:val="24"/>
        </w:rPr>
        <w:t xml:space="preserve"> (près de 500 points de vente)</w:t>
      </w:r>
      <w:r w:rsidR="00FC4512">
        <w:rPr>
          <w:rFonts w:asciiTheme="majorBidi" w:hAnsiTheme="majorBidi" w:cstheme="majorBidi"/>
          <w:sz w:val="24"/>
          <w:szCs w:val="24"/>
        </w:rPr>
        <w:t>.</w:t>
      </w:r>
    </w:p>
    <w:p w:rsidR="0088739E" w:rsidRPr="00FC4512" w:rsidRDefault="0088739E" w:rsidP="006A40CB">
      <w:pPr>
        <w:pStyle w:val="Titre3"/>
        <w:ind w:firstLine="708"/>
        <w:rPr>
          <w:rFonts w:asciiTheme="majorBidi" w:hAnsiTheme="majorBidi"/>
          <w:color w:val="0070C0"/>
          <w:sz w:val="24"/>
          <w:szCs w:val="24"/>
        </w:rPr>
      </w:pPr>
      <w:bookmarkStart w:id="16" w:name="_Toc45551143"/>
      <w:r w:rsidRPr="00FC4512">
        <w:rPr>
          <w:rFonts w:asciiTheme="majorBidi" w:hAnsiTheme="majorBidi"/>
          <w:color w:val="0070C0"/>
          <w:sz w:val="24"/>
          <w:szCs w:val="24"/>
        </w:rPr>
        <w:t>II-</w:t>
      </w:r>
      <w:r w:rsidR="005677DF" w:rsidRPr="00FC4512">
        <w:rPr>
          <w:rFonts w:asciiTheme="majorBidi" w:hAnsiTheme="majorBidi"/>
          <w:color w:val="0070C0"/>
          <w:sz w:val="24"/>
          <w:szCs w:val="24"/>
        </w:rPr>
        <w:t>5</w:t>
      </w:r>
      <w:r w:rsidRPr="00FC4512">
        <w:rPr>
          <w:rFonts w:asciiTheme="majorBidi" w:hAnsiTheme="majorBidi"/>
          <w:color w:val="0070C0"/>
          <w:sz w:val="24"/>
          <w:szCs w:val="24"/>
        </w:rPr>
        <w:t>-</w:t>
      </w:r>
      <w:r w:rsidR="00C4189C" w:rsidRPr="00FC4512">
        <w:rPr>
          <w:rFonts w:asciiTheme="majorBidi" w:hAnsiTheme="majorBidi"/>
          <w:color w:val="0070C0"/>
          <w:sz w:val="24"/>
          <w:szCs w:val="24"/>
        </w:rPr>
        <w:t>3</w:t>
      </w:r>
      <w:r w:rsidRPr="00FC4512">
        <w:rPr>
          <w:rFonts w:asciiTheme="majorBidi" w:hAnsiTheme="majorBidi"/>
          <w:color w:val="0070C0"/>
          <w:sz w:val="24"/>
          <w:szCs w:val="24"/>
        </w:rPr>
        <w:t xml:space="preserve"> Périodicité de l’enquête</w:t>
      </w:r>
      <w:bookmarkEnd w:id="16"/>
    </w:p>
    <w:p w:rsidR="0088739E" w:rsidRDefault="0088739E" w:rsidP="0088739E">
      <w:pPr>
        <w:spacing w:before="240" w:after="240" w:line="240" w:lineRule="auto"/>
        <w:jc w:val="both"/>
        <w:rPr>
          <w:rFonts w:asciiTheme="majorBidi" w:hAnsiTheme="majorBidi" w:cstheme="majorBidi"/>
          <w:sz w:val="24"/>
          <w:szCs w:val="24"/>
        </w:rPr>
      </w:pPr>
      <w:r w:rsidRPr="00D97E85">
        <w:rPr>
          <w:rFonts w:asciiTheme="majorBidi" w:hAnsiTheme="majorBidi" w:cstheme="majorBidi"/>
          <w:sz w:val="24"/>
          <w:szCs w:val="24"/>
        </w:rPr>
        <w:t>Chaque produit</w:t>
      </w:r>
      <w:r>
        <w:rPr>
          <w:rFonts w:asciiTheme="majorBidi" w:hAnsiTheme="majorBidi" w:cstheme="majorBidi"/>
          <w:sz w:val="24"/>
          <w:szCs w:val="24"/>
        </w:rPr>
        <w:t xml:space="preserve"> est observé selon son importance dans les habitudes de consommation de la population concernée. Ainsi, on distingue trois types d’observation :</w:t>
      </w:r>
    </w:p>
    <w:p w:rsidR="0088739E" w:rsidRPr="00D97E85" w:rsidRDefault="0088739E" w:rsidP="0088739E">
      <w:pPr>
        <w:pStyle w:val="Paragraphedeliste"/>
        <w:numPr>
          <w:ilvl w:val="0"/>
          <w:numId w:val="38"/>
        </w:numPr>
        <w:spacing w:before="240" w:after="240" w:line="240" w:lineRule="auto"/>
        <w:jc w:val="both"/>
        <w:rPr>
          <w:rFonts w:asciiTheme="majorBidi" w:hAnsiTheme="majorBidi" w:cstheme="majorBidi"/>
          <w:i/>
          <w:iCs/>
          <w:sz w:val="24"/>
          <w:szCs w:val="24"/>
        </w:rPr>
      </w:pPr>
      <w:r w:rsidRPr="00D97E85">
        <w:rPr>
          <w:rFonts w:asciiTheme="majorBidi" w:hAnsiTheme="majorBidi" w:cstheme="majorBidi"/>
          <w:i/>
          <w:iCs/>
          <w:sz w:val="24"/>
          <w:szCs w:val="24"/>
        </w:rPr>
        <w:t>Observations hebdomadaires</w:t>
      </w:r>
    </w:p>
    <w:p w:rsidR="0088739E" w:rsidRPr="00D97E85" w:rsidRDefault="0088739E" w:rsidP="0088739E">
      <w:pPr>
        <w:pStyle w:val="Paragraphedeliste"/>
        <w:numPr>
          <w:ilvl w:val="0"/>
          <w:numId w:val="38"/>
        </w:numPr>
        <w:spacing w:before="240" w:after="240" w:line="240" w:lineRule="auto"/>
        <w:jc w:val="both"/>
        <w:rPr>
          <w:rFonts w:asciiTheme="majorBidi" w:hAnsiTheme="majorBidi" w:cstheme="majorBidi"/>
          <w:i/>
          <w:iCs/>
          <w:sz w:val="24"/>
          <w:szCs w:val="24"/>
        </w:rPr>
      </w:pPr>
      <w:r w:rsidRPr="00D97E85">
        <w:rPr>
          <w:rFonts w:asciiTheme="majorBidi" w:hAnsiTheme="majorBidi" w:cstheme="majorBidi"/>
          <w:i/>
          <w:iCs/>
          <w:sz w:val="24"/>
          <w:szCs w:val="24"/>
        </w:rPr>
        <w:t>Observations mensuelles</w:t>
      </w:r>
    </w:p>
    <w:p w:rsidR="0088739E" w:rsidRDefault="0088739E" w:rsidP="0088739E">
      <w:pPr>
        <w:pStyle w:val="Paragraphedeliste"/>
        <w:numPr>
          <w:ilvl w:val="0"/>
          <w:numId w:val="38"/>
        </w:numPr>
        <w:spacing w:before="240" w:after="240" w:line="240" w:lineRule="auto"/>
        <w:jc w:val="both"/>
        <w:rPr>
          <w:rFonts w:asciiTheme="majorBidi" w:hAnsiTheme="majorBidi" w:cstheme="majorBidi"/>
          <w:i/>
          <w:iCs/>
          <w:sz w:val="24"/>
          <w:szCs w:val="24"/>
        </w:rPr>
      </w:pPr>
      <w:r w:rsidRPr="00D97E85">
        <w:rPr>
          <w:rFonts w:asciiTheme="majorBidi" w:hAnsiTheme="majorBidi" w:cstheme="majorBidi"/>
          <w:i/>
          <w:iCs/>
          <w:sz w:val="24"/>
          <w:szCs w:val="24"/>
        </w:rPr>
        <w:t>Observations relatives au loyer</w:t>
      </w:r>
    </w:p>
    <w:p w:rsidR="0088739E" w:rsidRDefault="0088739E" w:rsidP="00B9288C">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Mis à part les produits frais qui sont observés quatre fois par mois, et les produits de l’épicerie ainsi que le loyer une fois par mois,</w:t>
      </w:r>
      <w:r w:rsidR="00B9288C">
        <w:rPr>
          <w:rFonts w:asciiTheme="majorBidi" w:hAnsiTheme="majorBidi" w:cstheme="majorBidi"/>
          <w:sz w:val="24"/>
          <w:szCs w:val="24"/>
        </w:rPr>
        <w:t xml:space="preserve"> dans les quatre zones,</w:t>
      </w:r>
      <w:r>
        <w:rPr>
          <w:rFonts w:asciiTheme="majorBidi" w:hAnsiTheme="majorBidi" w:cstheme="majorBidi"/>
          <w:sz w:val="24"/>
          <w:szCs w:val="24"/>
        </w:rPr>
        <w:t xml:space="preserve"> tous les autres produits (de la 2</w:t>
      </w:r>
      <w:r w:rsidRPr="007577EB">
        <w:rPr>
          <w:rFonts w:asciiTheme="majorBidi" w:hAnsiTheme="majorBidi" w:cstheme="majorBidi"/>
          <w:sz w:val="24"/>
          <w:szCs w:val="24"/>
          <w:vertAlign w:val="superscript"/>
        </w:rPr>
        <w:t>ème</w:t>
      </w:r>
      <w:r>
        <w:rPr>
          <w:rFonts w:asciiTheme="majorBidi" w:hAnsiTheme="majorBidi" w:cstheme="majorBidi"/>
          <w:sz w:val="24"/>
          <w:szCs w:val="24"/>
        </w:rPr>
        <w:t xml:space="preserve"> à la 12</w:t>
      </w:r>
      <w:r w:rsidRPr="007577EB">
        <w:rPr>
          <w:rFonts w:asciiTheme="majorBidi" w:hAnsiTheme="majorBidi" w:cstheme="majorBidi"/>
          <w:sz w:val="24"/>
          <w:szCs w:val="24"/>
          <w:vertAlign w:val="superscript"/>
        </w:rPr>
        <w:t>ème</w:t>
      </w:r>
      <w:r>
        <w:rPr>
          <w:rFonts w:asciiTheme="majorBidi" w:hAnsiTheme="majorBidi" w:cstheme="majorBidi"/>
          <w:sz w:val="24"/>
          <w:szCs w:val="24"/>
        </w:rPr>
        <w:t xml:space="preserve"> division) sont observés</w:t>
      </w:r>
      <w:r w:rsidR="00B9288C">
        <w:rPr>
          <w:rFonts w:asciiTheme="majorBidi" w:hAnsiTheme="majorBidi" w:cstheme="majorBidi"/>
          <w:sz w:val="24"/>
          <w:szCs w:val="24"/>
        </w:rPr>
        <w:t xml:space="preserve"> seulement dans deux zones</w:t>
      </w:r>
      <w:r>
        <w:rPr>
          <w:rFonts w:asciiTheme="majorBidi" w:hAnsiTheme="majorBidi" w:cstheme="majorBidi"/>
          <w:sz w:val="24"/>
          <w:szCs w:val="24"/>
        </w:rPr>
        <w:t>,</w:t>
      </w:r>
      <w:r w:rsidR="00B9288C">
        <w:rPr>
          <w:rFonts w:asciiTheme="majorBidi" w:hAnsiTheme="majorBidi" w:cstheme="majorBidi"/>
          <w:sz w:val="24"/>
          <w:szCs w:val="24"/>
        </w:rPr>
        <w:t xml:space="preserve"> tandis que dans les deux autres </w:t>
      </w:r>
      <w:r w:rsidR="00B9288C">
        <w:rPr>
          <w:rFonts w:asciiTheme="majorBidi" w:hAnsiTheme="majorBidi" w:cstheme="majorBidi"/>
          <w:sz w:val="24"/>
          <w:szCs w:val="24"/>
        </w:rPr>
        <w:lastRenderedPageBreak/>
        <w:t>zones,</w:t>
      </w:r>
      <w:r>
        <w:rPr>
          <w:rFonts w:asciiTheme="majorBidi" w:hAnsiTheme="majorBidi" w:cstheme="majorBidi"/>
          <w:sz w:val="24"/>
          <w:szCs w:val="24"/>
        </w:rPr>
        <w:t xml:space="preserve"> on procède au report des </w:t>
      </w:r>
      <w:r w:rsidR="00B9288C">
        <w:rPr>
          <w:rFonts w:asciiTheme="majorBidi" w:hAnsiTheme="majorBidi" w:cstheme="majorBidi"/>
          <w:sz w:val="24"/>
          <w:szCs w:val="24"/>
        </w:rPr>
        <w:t>prix</w:t>
      </w:r>
      <w:r>
        <w:rPr>
          <w:rFonts w:asciiTheme="majorBidi" w:hAnsiTheme="majorBidi" w:cstheme="majorBidi"/>
          <w:sz w:val="24"/>
          <w:szCs w:val="24"/>
        </w:rPr>
        <w:t xml:space="preserve"> du mois précédent.</w:t>
      </w:r>
      <w:r w:rsidR="00B9288C">
        <w:rPr>
          <w:rFonts w:asciiTheme="majorBidi" w:hAnsiTheme="majorBidi" w:cstheme="majorBidi"/>
          <w:sz w:val="24"/>
          <w:szCs w:val="24"/>
        </w:rPr>
        <w:t xml:space="preserve"> Cette opération est inversée le mois d’après.</w:t>
      </w:r>
    </w:p>
    <w:p w:rsidR="0088739E" w:rsidRPr="00FC4512" w:rsidRDefault="006A40CB" w:rsidP="00586B08">
      <w:pPr>
        <w:pStyle w:val="Titre3"/>
        <w:rPr>
          <w:rFonts w:asciiTheme="majorBidi" w:hAnsiTheme="majorBidi"/>
          <w:color w:val="0070C0"/>
          <w:sz w:val="24"/>
          <w:szCs w:val="24"/>
        </w:rPr>
      </w:pPr>
      <w:r>
        <w:rPr>
          <w:rFonts w:asciiTheme="majorBidi" w:hAnsiTheme="majorBidi"/>
          <w:color w:val="0070C0"/>
          <w:sz w:val="24"/>
          <w:szCs w:val="24"/>
        </w:rPr>
        <w:tab/>
      </w:r>
      <w:bookmarkStart w:id="17" w:name="_Toc45551144"/>
      <w:r w:rsidR="0088739E" w:rsidRPr="00FC4512">
        <w:rPr>
          <w:rFonts w:asciiTheme="majorBidi" w:hAnsiTheme="majorBidi"/>
          <w:color w:val="0070C0"/>
          <w:sz w:val="24"/>
          <w:szCs w:val="24"/>
        </w:rPr>
        <w:t>II-</w:t>
      </w:r>
      <w:r w:rsidR="005677DF" w:rsidRPr="00FC4512">
        <w:rPr>
          <w:rFonts w:asciiTheme="majorBidi" w:hAnsiTheme="majorBidi"/>
          <w:color w:val="0070C0"/>
          <w:sz w:val="24"/>
          <w:szCs w:val="24"/>
        </w:rPr>
        <w:t>5</w:t>
      </w:r>
      <w:r w:rsidR="0088739E" w:rsidRPr="00FC4512">
        <w:rPr>
          <w:rFonts w:asciiTheme="majorBidi" w:hAnsiTheme="majorBidi"/>
          <w:color w:val="0070C0"/>
          <w:sz w:val="24"/>
          <w:szCs w:val="24"/>
        </w:rPr>
        <w:t>-</w:t>
      </w:r>
      <w:r w:rsidR="00586B08" w:rsidRPr="00FC4512">
        <w:rPr>
          <w:rFonts w:asciiTheme="majorBidi" w:hAnsiTheme="majorBidi"/>
          <w:color w:val="0070C0"/>
          <w:sz w:val="24"/>
          <w:szCs w:val="24"/>
        </w:rPr>
        <w:t>4</w:t>
      </w:r>
      <w:r w:rsidR="0088739E" w:rsidRPr="00FC4512">
        <w:rPr>
          <w:rFonts w:asciiTheme="majorBidi" w:hAnsiTheme="majorBidi"/>
          <w:color w:val="0070C0"/>
          <w:sz w:val="24"/>
          <w:szCs w:val="24"/>
        </w:rPr>
        <w:t xml:space="preserve"> Questionnaires de l’enquête</w:t>
      </w:r>
      <w:bookmarkEnd w:id="17"/>
    </w:p>
    <w:p w:rsidR="0088739E" w:rsidRDefault="0088739E"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Le relevé des prix s’effectue selon trois types de questionnaires :</w:t>
      </w:r>
    </w:p>
    <w:p w:rsidR="0088739E" w:rsidRDefault="0088739E" w:rsidP="0088739E">
      <w:pPr>
        <w:pStyle w:val="Paragraphedeliste"/>
        <w:numPr>
          <w:ilvl w:val="0"/>
          <w:numId w:val="40"/>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Un questionnaire pour les produits hebdomadaires ;</w:t>
      </w:r>
    </w:p>
    <w:p w:rsidR="0088739E" w:rsidRDefault="0088739E" w:rsidP="0088739E">
      <w:pPr>
        <w:pStyle w:val="Paragraphedeliste"/>
        <w:numPr>
          <w:ilvl w:val="0"/>
          <w:numId w:val="40"/>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Un questionnaire pour les produits mensuels;</w:t>
      </w:r>
    </w:p>
    <w:p w:rsidR="0088739E" w:rsidRDefault="0088739E" w:rsidP="0088739E">
      <w:pPr>
        <w:pStyle w:val="Paragraphedeliste"/>
        <w:numPr>
          <w:ilvl w:val="0"/>
          <w:numId w:val="40"/>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Un questionnaire pour le loyer.</w:t>
      </w:r>
    </w:p>
    <w:p w:rsidR="0088739E" w:rsidRPr="000665DB" w:rsidRDefault="0088739E" w:rsidP="00586B08">
      <w:pPr>
        <w:pStyle w:val="Titre3"/>
        <w:rPr>
          <w:rFonts w:asciiTheme="majorBidi" w:hAnsiTheme="majorBidi"/>
          <w:color w:val="0070C0"/>
          <w:sz w:val="24"/>
          <w:szCs w:val="24"/>
        </w:rPr>
      </w:pPr>
      <w:r w:rsidRPr="00000178">
        <w:rPr>
          <w:rFonts w:asciiTheme="majorBidi" w:hAnsiTheme="majorBidi"/>
          <w:b w:val="0"/>
          <w:bCs w:val="0"/>
          <w:color w:val="0070C0"/>
          <w:sz w:val="24"/>
          <w:szCs w:val="24"/>
        </w:rPr>
        <w:tab/>
      </w:r>
      <w:bookmarkStart w:id="18" w:name="_Toc45551145"/>
      <w:r w:rsidRPr="000665DB">
        <w:rPr>
          <w:rFonts w:asciiTheme="majorBidi" w:hAnsiTheme="majorBidi"/>
          <w:color w:val="0070C0"/>
          <w:sz w:val="24"/>
          <w:szCs w:val="24"/>
        </w:rPr>
        <w:t>II-</w:t>
      </w:r>
      <w:r w:rsidR="005677DF" w:rsidRPr="000665DB">
        <w:rPr>
          <w:rFonts w:asciiTheme="majorBidi" w:hAnsiTheme="majorBidi"/>
          <w:color w:val="0070C0"/>
          <w:sz w:val="24"/>
          <w:szCs w:val="24"/>
        </w:rPr>
        <w:t>5</w:t>
      </w:r>
      <w:r w:rsidRPr="000665DB">
        <w:rPr>
          <w:rFonts w:asciiTheme="majorBidi" w:hAnsiTheme="majorBidi"/>
          <w:color w:val="0070C0"/>
          <w:sz w:val="24"/>
          <w:szCs w:val="24"/>
        </w:rPr>
        <w:t>-</w:t>
      </w:r>
      <w:r w:rsidR="00586B08" w:rsidRPr="000665DB">
        <w:rPr>
          <w:rFonts w:asciiTheme="majorBidi" w:hAnsiTheme="majorBidi"/>
          <w:color w:val="0070C0"/>
          <w:sz w:val="24"/>
          <w:szCs w:val="24"/>
        </w:rPr>
        <w:t>5</w:t>
      </w:r>
      <w:r w:rsidR="00C4189C" w:rsidRPr="000665DB">
        <w:rPr>
          <w:rFonts w:asciiTheme="majorBidi" w:hAnsiTheme="majorBidi"/>
          <w:color w:val="0070C0"/>
          <w:sz w:val="24"/>
          <w:szCs w:val="24"/>
        </w:rPr>
        <w:t xml:space="preserve"> </w:t>
      </w:r>
      <w:r w:rsidRPr="000665DB">
        <w:rPr>
          <w:rFonts w:asciiTheme="majorBidi" w:hAnsiTheme="majorBidi"/>
          <w:color w:val="0070C0"/>
          <w:sz w:val="24"/>
          <w:szCs w:val="24"/>
        </w:rPr>
        <w:t>Problèmes et difficultés d’observation des prix</w:t>
      </w:r>
      <w:bookmarkEnd w:id="18"/>
    </w:p>
    <w:p w:rsidR="0088739E" w:rsidRPr="009B04CF" w:rsidRDefault="0088739E"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La collecte des prix de détail est souvent exposée à un certain nombre de contraintes liées à la nature de l’enquête. On cite notamment :</w:t>
      </w:r>
    </w:p>
    <w:p w:rsidR="0088739E" w:rsidRPr="004B1065" w:rsidRDefault="0088739E" w:rsidP="0088739E">
      <w:pPr>
        <w:numPr>
          <w:ilvl w:val="0"/>
          <w:numId w:val="26"/>
        </w:numPr>
        <w:spacing w:before="240" w:after="240" w:line="240" w:lineRule="auto"/>
        <w:jc w:val="both"/>
        <w:rPr>
          <w:rFonts w:asciiTheme="majorBidi" w:hAnsiTheme="majorBidi" w:cstheme="majorBidi"/>
          <w:sz w:val="24"/>
          <w:szCs w:val="24"/>
        </w:rPr>
      </w:pPr>
      <w:r w:rsidRPr="004B1065">
        <w:rPr>
          <w:rFonts w:asciiTheme="majorBidi" w:hAnsiTheme="majorBidi" w:cstheme="majorBidi"/>
          <w:sz w:val="24"/>
          <w:szCs w:val="24"/>
        </w:rPr>
        <w:t>Réticence des points de vente à cause du caractère permanent de l’enquête ;</w:t>
      </w:r>
    </w:p>
    <w:p w:rsidR="0088739E" w:rsidRPr="004B1065" w:rsidRDefault="0088739E" w:rsidP="0088739E">
      <w:pPr>
        <w:numPr>
          <w:ilvl w:val="0"/>
          <w:numId w:val="26"/>
        </w:numPr>
        <w:spacing w:before="240" w:after="240" w:line="240" w:lineRule="auto"/>
        <w:jc w:val="both"/>
        <w:rPr>
          <w:rFonts w:asciiTheme="majorBidi" w:hAnsiTheme="majorBidi" w:cstheme="majorBidi"/>
          <w:sz w:val="24"/>
          <w:szCs w:val="24"/>
        </w:rPr>
      </w:pPr>
      <w:r w:rsidRPr="004B1065">
        <w:rPr>
          <w:rFonts w:asciiTheme="majorBidi" w:hAnsiTheme="majorBidi" w:cstheme="majorBidi"/>
          <w:sz w:val="24"/>
          <w:szCs w:val="24"/>
        </w:rPr>
        <w:t>Difficultés de suivi de certains produits du fait du caractère évolutif des descriptions (exemple des produits électroniques qui évoluent rapidement avec le progrès technologique);</w:t>
      </w:r>
    </w:p>
    <w:p w:rsidR="0088739E" w:rsidRPr="004B1065" w:rsidRDefault="0088739E" w:rsidP="0088739E">
      <w:pPr>
        <w:numPr>
          <w:ilvl w:val="0"/>
          <w:numId w:val="26"/>
        </w:numPr>
        <w:spacing w:before="240" w:after="240" w:line="240" w:lineRule="auto"/>
        <w:jc w:val="both"/>
        <w:rPr>
          <w:rFonts w:asciiTheme="majorBidi" w:hAnsiTheme="majorBidi" w:cstheme="majorBidi"/>
          <w:sz w:val="24"/>
          <w:szCs w:val="24"/>
        </w:rPr>
      </w:pPr>
      <w:r w:rsidRPr="004B1065">
        <w:rPr>
          <w:rFonts w:asciiTheme="majorBidi" w:hAnsiTheme="majorBidi" w:cstheme="majorBidi"/>
          <w:sz w:val="24"/>
          <w:szCs w:val="24"/>
        </w:rPr>
        <w:t>Problèmes liés au changement de la qualité, tel le cas des produits frais: Fruits, légumes frais et poissons;</w:t>
      </w:r>
    </w:p>
    <w:p w:rsidR="0088739E" w:rsidRPr="004B1065" w:rsidRDefault="0088739E" w:rsidP="0088739E">
      <w:pPr>
        <w:numPr>
          <w:ilvl w:val="0"/>
          <w:numId w:val="26"/>
        </w:numPr>
        <w:spacing w:before="240" w:after="240" w:line="240" w:lineRule="auto"/>
        <w:jc w:val="both"/>
        <w:rPr>
          <w:rFonts w:asciiTheme="majorBidi" w:hAnsiTheme="majorBidi" w:cstheme="majorBidi"/>
          <w:sz w:val="24"/>
          <w:szCs w:val="24"/>
        </w:rPr>
      </w:pPr>
      <w:r w:rsidRPr="004B1065">
        <w:rPr>
          <w:rFonts w:asciiTheme="majorBidi" w:hAnsiTheme="majorBidi" w:cstheme="majorBidi"/>
          <w:sz w:val="24"/>
          <w:szCs w:val="24"/>
        </w:rPr>
        <w:t>Apparition de nouveaux produits ;</w:t>
      </w:r>
    </w:p>
    <w:p w:rsidR="0088739E" w:rsidRPr="004B1065" w:rsidRDefault="0088739E" w:rsidP="0088739E">
      <w:pPr>
        <w:numPr>
          <w:ilvl w:val="0"/>
          <w:numId w:val="26"/>
        </w:numPr>
        <w:spacing w:before="240" w:after="240" w:line="240" w:lineRule="auto"/>
        <w:jc w:val="both"/>
        <w:rPr>
          <w:rFonts w:asciiTheme="majorBidi" w:hAnsiTheme="majorBidi" w:cstheme="majorBidi"/>
          <w:sz w:val="24"/>
          <w:szCs w:val="24"/>
        </w:rPr>
      </w:pPr>
      <w:r w:rsidRPr="004B1065">
        <w:rPr>
          <w:rFonts w:asciiTheme="majorBidi" w:hAnsiTheme="majorBidi" w:cstheme="majorBidi"/>
          <w:sz w:val="24"/>
          <w:szCs w:val="24"/>
        </w:rPr>
        <w:t>Changement des points de  vente;</w:t>
      </w:r>
    </w:p>
    <w:p w:rsidR="0088739E" w:rsidRPr="004B1065" w:rsidRDefault="0088739E" w:rsidP="0088739E">
      <w:pPr>
        <w:numPr>
          <w:ilvl w:val="0"/>
          <w:numId w:val="26"/>
        </w:numPr>
        <w:spacing w:before="240" w:after="240" w:line="240" w:lineRule="auto"/>
        <w:jc w:val="both"/>
        <w:rPr>
          <w:rFonts w:asciiTheme="majorBidi" w:hAnsiTheme="majorBidi" w:cstheme="majorBidi"/>
          <w:sz w:val="24"/>
          <w:szCs w:val="24"/>
        </w:rPr>
      </w:pPr>
      <w:r w:rsidRPr="004B1065">
        <w:rPr>
          <w:rFonts w:asciiTheme="majorBidi" w:hAnsiTheme="majorBidi" w:cstheme="majorBidi"/>
          <w:sz w:val="24"/>
          <w:szCs w:val="24"/>
        </w:rPr>
        <w:t>Discussion ou négociation des prix;</w:t>
      </w:r>
    </w:p>
    <w:p w:rsidR="00974B0E" w:rsidRPr="004B1065" w:rsidRDefault="0088739E" w:rsidP="00586B08">
      <w:pPr>
        <w:numPr>
          <w:ilvl w:val="0"/>
          <w:numId w:val="26"/>
        </w:numPr>
        <w:spacing w:before="240" w:after="240" w:line="240" w:lineRule="auto"/>
        <w:jc w:val="both"/>
        <w:rPr>
          <w:rFonts w:asciiTheme="majorBidi" w:hAnsiTheme="majorBidi"/>
          <w:color w:val="0070C0"/>
          <w:sz w:val="24"/>
          <w:szCs w:val="24"/>
        </w:rPr>
      </w:pPr>
      <w:r w:rsidRPr="004B1065">
        <w:rPr>
          <w:rFonts w:asciiTheme="majorBidi" w:hAnsiTheme="majorBidi" w:cstheme="majorBidi"/>
          <w:sz w:val="24"/>
          <w:szCs w:val="24"/>
        </w:rPr>
        <w:t>Caducité ou obsolescence des produits</w:t>
      </w:r>
      <w:r w:rsidR="006A40CB" w:rsidRPr="004B1065">
        <w:rPr>
          <w:rFonts w:asciiTheme="majorBidi" w:hAnsiTheme="majorBidi" w:cstheme="majorBidi"/>
          <w:sz w:val="24"/>
          <w:szCs w:val="24"/>
        </w:rPr>
        <w:t>.</w:t>
      </w:r>
    </w:p>
    <w:p w:rsidR="000665DB" w:rsidRDefault="000665DB" w:rsidP="000665DB"/>
    <w:p w:rsidR="000665DB" w:rsidRDefault="000665DB" w:rsidP="000665DB"/>
    <w:p w:rsidR="000665DB" w:rsidRDefault="000665DB" w:rsidP="000665DB"/>
    <w:p w:rsidR="000665DB" w:rsidRDefault="000665DB" w:rsidP="000665DB"/>
    <w:p w:rsidR="006A40CB" w:rsidRDefault="006A40CB" w:rsidP="000665DB"/>
    <w:p w:rsidR="006A40CB" w:rsidRDefault="006A40CB" w:rsidP="000665DB"/>
    <w:p w:rsidR="006A40CB" w:rsidRDefault="006A40CB" w:rsidP="000665DB"/>
    <w:p w:rsidR="006A40CB" w:rsidRDefault="006A40CB" w:rsidP="000665DB"/>
    <w:p w:rsidR="00764ECF" w:rsidRDefault="00764ECF" w:rsidP="000665DB"/>
    <w:p w:rsidR="00764ECF" w:rsidRDefault="00764ECF" w:rsidP="00764ECF"/>
    <w:p w:rsidR="00156FC8" w:rsidRDefault="00156FC8" w:rsidP="00764ECF">
      <w:pPr>
        <w:rPr>
          <w:rFonts w:asciiTheme="majorBidi" w:hAnsiTheme="majorBidi"/>
          <w:color w:val="4F81BD" w:themeColor="accent1"/>
        </w:rPr>
      </w:pPr>
    </w:p>
    <w:p w:rsidR="00A279D5" w:rsidRDefault="00A279D5" w:rsidP="00764ECF">
      <w:pPr>
        <w:rPr>
          <w:rFonts w:asciiTheme="majorBidi" w:hAnsiTheme="majorBidi"/>
          <w:color w:val="4F81BD" w:themeColor="accent1"/>
        </w:rPr>
      </w:pPr>
    </w:p>
    <w:p w:rsidR="00A279D5" w:rsidRDefault="00A279D5" w:rsidP="00764ECF">
      <w:pPr>
        <w:rPr>
          <w:rFonts w:asciiTheme="majorBidi" w:hAnsiTheme="majorBidi" w:cstheme="majorBidi"/>
          <w:b/>
          <w:bCs/>
          <w:color w:val="4F81BD" w:themeColor="accent1"/>
          <w:sz w:val="72"/>
          <w:szCs w:val="72"/>
        </w:rPr>
      </w:pPr>
    </w:p>
    <w:p w:rsidR="00A279D5" w:rsidRPr="00A279D5" w:rsidRDefault="00A279D5" w:rsidP="00764ECF">
      <w:pPr>
        <w:rPr>
          <w:rFonts w:asciiTheme="majorBidi" w:hAnsiTheme="majorBidi" w:cstheme="majorBidi"/>
          <w:b/>
          <w:bCs/>
          <w:color w:val="4F81BD" w:themeColor="accent1"/>
          <w:sz w:val="72"/>
          <w:szCs w:val="72"/>
        </w:rPr>
      </w:pPr>
      <w:r w:rsidRPr="00A279D5">
        <w:rPr>
          <w:rFonts w:asciiTheme="majorBidi" w:hAnsiTheme="majorBidi" w:cstheme="majorBidi"/>
          <w:b/>
          <w:bCs/>
          <w:color w:val="4F81BD" w:themeColor="accent1"/>
          <w:sz w:val="72"/>
          <w:szCs w:val="72"/>
        </w:rPr>
        <w:t>CHAPITRE III</w:t>
      </w:r>
    </w:p>
    <w:p w:rsidR="00A279D5" w:rsidRPr="00A279D5" w:rsidRDefault="00A279D5" w:rsidP="00764ECF">
      <w:pPr>
        <w:rPr>
          <w:rFonts w:asciiTheme="majorBidi" w:hAnsiTheme="majorBidi" w:cstheme="majorBidi"/>
          <w:b/>
          <w:bCs/>
          <w:color w:val="4F81BD" w:themeColor="accent1"/>
          <w:sz w:val="72"/>
          <w:szCs w:val="72"/>
        </w:rPr>
      </w:pPr>
      <w:r w:rsidRPr="00A279D5">
        <w:rPr>
          <w:rFonts w:asciiTheme="majorBidi" w:hAnsiTheme="majorBidi" w:cstheme="majorBidi"/>
          <w:b/>
          <w:bCs/>
          <w:color w:val="4F81BD" w:themeColor="accent1"/>
          <w:sz w:val="72"/>
          <w:szCs w:val="72"/>
        </w:rPr>
        <w:t>IPC (BASE 100 : 2006) DE LA VILLE DE KENITRA</w:t>
      </w:r>
    </w:p>
    <w:p w:rsidR="00A279D5" w:rsidRPr="00A279D5" w:rsidRDefault="00A279D5" w:rsidP="00764ECF">
      <w:pPr>
        <w:rPr>
          <w:rFonts w:asciiTheme="majorBidi" w:hAnsiTheme="majorBidi" w:cstheme="majorBidi"/>
          <w:b/>
          <w:bCs/>
          <w:color w:val="4F81BD" w:themeColor="accent1"/>
          <w:sz w:val="72"/>
          <w:szCs w:val="72"/>
        </w:rPr>
      </w:pPr>
      <w:r w:rsidRPr="00A279D5">
        <w:rPr>
          <w:rFonts w:asciiTheme="majorBidi" w:hAnsiTheme="majorBidi" w:cstheme="majorBidi"/>
          <w:b/>
          <w:bCs/>
          <w:color w:val="4F81BD" w:themeColor="accent1"/>
          <w:sz w:val="72"/>
          <w:szCs w:val="72"/>
        </w:rPr>
        <w:t>EVOLUTION ENTRE 2007 ET 2019</w:t>
      </w:r>
    </w:p>
    <w:p w:rsidR="004B1065" w:rsidRDefault="004B1065" w:rsidP="00156FC8"/>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pPr>
        <w:rPr>
          <w:rFonts w:asciiTheme="majorBidi" w:eastAsiaTheme="majorEastAsia" w:hAnsiTheme="majorBidi" w:cstheme="majorBidi"/>
          <w:b/>
          <w:bCs/>
          <w:color w:val="4F81BD" w:themeColor="accent1"/>
          <w:sz w:val="28"/>
          <w:szCs w:val="28"/>
        </w:rPr>
      </w:pPr>
      <w:r>
        <w:rPr>
          <w:rFonts w:asciiTheme="majorBidi" w:hAnsiTheme="majorBidi"/>
          <w:color w:val="4F81BD" w:themeColor="accent1"/>
        </w:rPr>
        <w:br w:type="page"/>
      </w:r>
    </w:p>
    <w:p w:rsidR="00E4492A" w:rsidRPr="00864A16" w:rsidRDefault="006F61F8" w:rsidP="006A40CB">
      <w:pPr>
        <w:pStyle w:val="Titre1"/>
        <w:spacing w:before="0"/>
        <w:rPr>
          <w:rFonts w:asciiTheme="majorBidi" w:hAnsiTheme="majorBidi"/>
          <w:color w:val="4F81BD" w:themeColor="accent1"/>
        </w:rPr>
      </w:pPr>
      <w:bookmarkStart w:id="19" w:name="_Toc45551146"/>
      <w:r w:rsidRPr="00864A16">
        <w:rPr>
          <w:rFonts w:asciiTheme="majorBidi" w:hAnsiTheme="majorBidi"/>
          <w:color w:val="4F81BD" w:themeColor="accent1"/>
        </w:rPr>
        <w:lastRenderedPageBreak/>
        <w:t>II</w:t>
      </w:r>
      <w:r w:rsidR="002519A6" w:rsidRPr="00864A16">
        <w:rPr>
          <w:rFonts w:asciiTheme="majorBidi" w:hAnsiTheme="majorBidi"/>
          <w:color w:val="4F81BD" w:themeColor="accent1"/>
        </w:rPr>
        <w:t>I</w:t>
      </w:r>
      <w:r w:rsidRPr="00864A16">
        <w:rPr>
          <w:rFonts w:asciiTheme="majorBidi" w:hAnsiTheme="majorBidi"/>
          <w:color w:val="4F81BD" w:themeColor="accent1"/>
        </w:rPr>
        <w:t>- IPC</w:t>
      </w:r>
      <w:r w:rsidR="001D68BF" w:rsidRPr="00864A16">
        <w:rPr>
          <w:rFonts w:asciiTheme="majorBidi" w:hAnsiTheme="majorBidi"/>
          <w:color w:val="4F81BD" w:themeColor="accent1"/>
        </w:rPr>
        <w:t xml:space="preserve"> (Base100 :2006) </w:t>
      </w:r>
      <w:r w:rsidR="007E29B6">
        <w:rPr>
          <w:rFonts w:asciiTheme="majorBidi" w:hAnsiTheme="majorBidi"/>
          <w:color w:val="4F81BD" w:themeColor="accent1"/>
        </w:rPr>
        <w:t xml:space="preserve"> de la ville de </w:t>
      </w:r>
      <w:proofErr w:type="spellStart"/>
      <w:r w:rsidR="007E29B6">
        <w:rPr>
          <w:rFonts w:asciiTheme="majorBidi" w:hAnsiTheme="majorBidi"/>
          <w:color w:val="4F81BD" w:themeColor="accent1"/>
        </w:rPr>
        <w:t>Ké</w:t>
      </w:r>
      <w:r w:rsidRPr="00864A16">
        <w:rPr>
          <w:rFonts w:asciiTheme="majorBidi" w:hAnsiTheme="majorBidi"/>
          <w:color w:val="4F81BD" w:themeColor="accent1"/>
        </w:rPr>
        <w:t>nitra</w:t>
      </w:r>
      <w:proofErr w:type="spellEnd"/>
      <w:r w:rsidRPr="00864A16">
        <w:rPr>
          <w:rFonts w:asciiTheme="majorBidi" w:hAnsiTheme="majorBidi"/>
          <w:color w:val="4F81BD" w:themeColor="accent1"/>
        </w:rPr>
        <w:t xml:space="preserve"> : </w:t>
      </w:r>
      <w:r w:rsidR="00777D90" w:rsidRPr="00864A16">
        <w:rPr>
          <w:rFonts w:asciiTheme="majorBidi" w:hAnsiTheme="majorBidi"/>
          <w:color w:val="4F81BD" w:themeColor="accent1"/>
        </w:rPr>
        <w:t>évolution entre 2007 et 201</w:t>
      </w:r>
      <w:r w:rsidR="00A12EEA">
        <w:rPr>
          <w:rFonts w:asciiTheme="majorBidi" w:hAnsiTheme="majorBidi"/>
          <w:color w:val="4F81BD" w:themeColor="accent1"/>
        </w:rPr>
        <w:t>9</w:t>
      </w:r>
      <w:bookmarkEnd w:id="19"/>
    </w:p>
    <w:p w:rsidR="00777D90" w:rsidRPr="00864A16" w:rsidRDefault="006536C2" w:rsidP="00A12EEA">
      <w:pPr>
        <w:pStyle w:val="Titre2"/>
        <w:rPr>
          <w:rFonts w:asciiTheme="majorBidi" w:hAnsiTheme="majorBidi"/>
        </w:rPr>
      </w:pPr>
      <w:bookmarkStart w:id="20" w:name="_Toc45551147"/>
      <w:r w:rsidRPr="00864A16">
        <w:rPr>
          <w:rFonts w:asciiTheme="majorBidi" w:hAnsiTheme="majorBidi"/>
        </w:rPr>
        <w:t>II</w:t>
      </w:r>
      <w:r w:rsidR="00586B08" w:rsidRPr="00864A16">
        <w:rPr>
          <w:rFonts w:asciiTheme="majorBidi" w:hAnsiTheme="majorBidi"/>
        </w:rPr>
        <w:t>I</w:t>
      </w:r>
      <w:r w:rsidR="00777D90" w:rsidRPr="00864A16">
        <w:rPr>
          <w:rFonts w:asciiTheme="majorBidi" w:hAnsiTheme="majorBidi"/>
        </w:rPr>
        <w:t>-1 IPC général par ville en 201</w:t>
      </w:r>
      <w:r w:rsidR="00A12EEA">
        <w:rPr>
          <w:rFonts w:asciiTheme="majorBidi" w:hAnsiTheme="majorBidi"/>
        </w:rPr>
        <w:t>8 et 2019</w:t>
      </w:r>
      <w:bookmarkEnd w:id="20"/>
    </w:p>
    <w:p w:rsidR="00777D90" w:rsidRDefault="00777D90" w:rsidP="00B432FD">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En 201</w:t>
      </w:r>
      <w:r w:rsidR="001A1C29">
        <w:rPr>
          <w:rFonts w:asciiTheme="majorBidi" w:hAnsiTheme="majorBidi" w:cstheme="majorBidi"/>
          <w:sz w:val="24"/>
          <w:szCs w:val="24"/>
        </w:rPr>
        <w:t>9</w:t>
      </w:r>
      <w:r>
        <w:rPr>
          <w:rFonts w:asciiTheme="majorBidi" w:hAnsiTheme="majorBidi" w:cstheme="majorBidi"/>
          <w:sz w:val="24"/>
          <w:szCs w:val="24"/>
        </w:rPr>
        <w:t xml:space="preserve">, la comparaison de l’IPC général par ville montre que le </w:t>
      </w:r>
      <w:r w:rsidR="00363237">
        <w:rPr>
          <w:rFonts w:asciiTheme="majorBidi" w:hAnsiTheme="majorBidi" w:cstheme="majorBidi"/>
          <w:sz w:val="24"/>
          <w:szCs w:val="24"/>
        </w:rPr>
        <w:t xml:space="preserve">coût </w:t>
      </w:r>
      <w:r>
        <w:rPr>
          <w:rFonts w:asciiTheme="majorBidi" w:hAnsiTheme="majorBidi" w:cstheme="majorBidi"/>
          <w:sz w:val="24"/>
          <w:szCs w:val="24"/>
        </w:rPr>
        <w:t>de</w:t>
      </w:r>
      <w:r w:rsidR="00363237">
        <w:rPr>
          <w:rFonts w:asciiTheme="majorBidi" w:hAnsiTheme="majorBidi" w:cstheme="majorBidi"/>
          <w:sz w:val="24"/>
          <w:szCs w:val="24"/>
        </w:rPr>
        <w:t xml:space="preserve"> la</w:t>
      </w:r>
      <w:r>
        <w:rPr>
          <w:rFonts w:asciiTheme="majorBidi" w:hAnsiTheme="majorBidi" w:cstheme="majorBidi"/>
          <w:sz w:val="24"/>
          <w:szCs w:val="24"/>
        </w:rPr>
        <w:t xml:space="preserve"> vie à Kenitra se situe en dessous de la moyenne nationale et est moins cher par rapport à </w:t>
      </w:r>
      <w:r w:rsidR="001A1C29">
        <w:rPr>
          <w:rFonts w:asciiTheme="majorBidi" w:hAnsiTheme="majorBidi" w:cstheme="majorBidi"/>
          <w:sz w:val="24"/>
          <w:szCs w:val="24"/>
        </w:rPr>
        <w:t>onze</w:t>
      </w:r>
      <w:r>
        <w:rPr>
          <w:rFonts w:asciiTheme="majorBidi" w:hAnsiTheme="majorBidi" w:cstheme="majorBidi"/>
          <w:sz w:val="24"/>
          <w:szCs w:val="24"/>
        </w:rPr>
        <w:t xml:space="preserve"> villes notamment Casablanca</w:t>
      </w:r>
      <w:r w:rsidR="001D68BF">
        <w:rPr>
          <w:rFonts w:asciiTheme="majorBidi" w:hAnsiTheme="majorBidi" w:cstheme="majorBidi"/>
          <w:sz w:val="24"/>
          <w:szCs w:val="24"/>
        </w:rPr>
        <w:t>,</w:t>
      </w:r>
      <w:r w:rsidR="001D68BF" w:rsidRPr="001D68BF">
        <w:rPr>
          <w:rFonts w:asciiTheme="majorBidi" w:hAnsiTheme="majorBidi" w:cstheme="majorBidi"/>
          <w:sz w:val="24"/>
          <w:szCs w:val="24"/>
        </w:rPr>
        <w:t xml:space="preserve"> </w:t>
      </w:r>
      <w:r w:rsidR="001D68BF">
        <w:rPr>
          <w:rFonts w:asciiTheme="majorBidi" w:hAnsiTheme="majorBidi" w:cstheme="majorBidi"/>
          <w:sz w:val="24"/>
          <w:szCs w:val="24"/>
        </w:rPr>
        <w:t>Tanger</w:t>
      </w:r>
      <w:r w:rsidR="00F301B0">
        <w:rPr>
          <w:rFonts w:asciiTheme="majorBidi" w:hAnsiTheme="majorBidi" w:cstheme="majorBidi"/>
          <w:sz w:val="24"/>
          <w:szCs w:val="24"/>
        </w:rPr>
        <w:t xml:space="preserve">, Fès </w:t>
      </w:r>
      <w:r w:rsidR="00123405">
        <w:rPr>
          <w:rFonts w:asciiTheme="majorBidi" w:hAnsiTheme="majorBidi" w:cstheme="majorBidi"/>
          <w:sz w:val="24"/>
          <w:szCs w:val="24"/>
        </w:rPr>
        <w:t>et Meknès.</w:t>
      </w:r>
      <w:r>
        <w:rPr>
          <w:rFonts w:asciiTheme="majorBidi" w:hAnsiTheme="majorBidi" w:cstheme="majorBidi"/>
          <w:sz w:val="24"/>
          <w:szCs w:val="24"/>
        </w:rPr>
        <w:t xml:space="preserve"> </w:t>
      </w:r>
      <w:r w:rsidR="00123405">
        <w:rPr>
          <w:rFonts w:asciiTheme="majorBidi" w:hAnsiTheme="majorBidi" w:cstheme="majorBidi"/>
          <w:sz w:val="24"/>
          <w:szCs w:val="24"/>
        </w:rPr>
        <w:t>T</w:t>
      </w:r>
      <w:r>
        <w:rPr>
          <w:rFonts w:asciiTheme="majorBidi" w:hAnsiTheme="majorBidi" w:cstheme="majorBidi"/>
          <w:sz w:val="24"/>
          <w:szCs w:val="24"/>
        </w:rPr>
        <w:t>andis qu’il est plus cher en comparaison avec</w:t>
      </w:r>
      <w:r w:rsidR="00F301B0">
        <w:rPr>
          <w:rFonts w:asciiTheme="majorBidi" w:hAnsiTheme="majorBidi" w:cstheme="majorBidi"/>
          <w:sz w:val="24"/>
          <w:szCs w:val="24"/>
        </w:rPr>
        <w:t xml:space="preserve"> </w:t>
      </w:r>
      <w:proofErr w:type="spellStart"/>
      <w:r w:rsidR="00F301B0">
        <w:rPr>
          <w:rFonts w:asciiTheme="majorBidi" w:hAnsiTheme="majorBidi" w:cstheme="majorBidi"/>
          <w:sz w:val="24"/>
          <w:szCs w:val="24"/>
        </w:rPr>
        <w:t>Beni</w:t>
      </w:r>
      <w:proofErr w:type="spellEnd"/>
      <w:r w:rsidR="00F301B0">
        <w:rPr>
          <w:rFonts w:asciiTheme="majorBidi" w:hAnsiTheme="majorBidi" w:cstheme="majorBidi"/>
          <w:sz w:val="24"/>
          <w:szCs w:val="24"/>
        </w:rPr>
        <w:t xml:space="preserve"> </w:t>
      </w:r>
      <w:r w:rsidR="00B432FD">
        <w:rPr>
          <w:rFonts w:asciiTheme="majorBidi" w:hAnsiTheme="majorBidi" w:cstheme="majorBidi"/>
          <w:sz w:val="24"/>
          <w:szCs w:val="24"/>
        </w:rPr>
        <w:t>M</w:t>
      </w:r>
      <w:r w:rsidR="00F301B0">
        <w:rPr>
          <w:rFonts w:asciiTheme="majorBidi" w:hAnsiTheme="majorBidi" w:cstheme="majorBidi"/>
          <w:sz w:val="24"/>
          <w:szCs w:val="24"/>
        </w:rPr>
        <w:t>ellal,</w:t>
      </w:r>
      <w:r>
        <w:rPr>
          <w:rFonts w:asciiTheme="majorBidi" w:hAnsiTheme="majorBidi" w:cstheme="majorBidi"/>
          <w:sz w:val="24"/>
          <w:szCs w:val="24"/>
        </w:rPr>
        <w:t xml:space="preserve"> </w:t>
      </w:r>
      <w:r w:rsidR="001D68BF">
        <w:rPr>
          <w:rFonts w:asciiTheme="majorBidi" w:hAnsiTheme="majorBidi" w:cstheme="majorBidi"/>
          <w:sz w:val="24"/>
          <w:szCs w:val="24"/>
        </w:rPr>
        <w:t>Oujda</w:t>
      </w:r>
      <w:r>
        <w:rPr>
          <w:rFonts w:asciiTheme="majorBidi" w:hAnsiTheme="majorBidi" w:cstheme="majorBidi"/>
          <w:sz w:val="24"/>
          <w:szCs w:val="24"/>
        </w:rPr>
        <w:t>, Agadir, Rabat et Safi.</w:t>
      </w:r>
    </w:p>
    <w:p w:rsidR="00777D90" w:rsidRPr="00864A16" w:rsidRDefault="00DF65E2" w:rsidP="00A12EEA">
      <w:pPr>
        <w:pStyle w:val="Lgende"/>
        <w:rPr>
          <w:rFonts w:asciiTheme="majorBidi" w:hAnsiTheme="majorBidi" w:cstheme="majorBidi"/>
          <w:sz w:val="22"/>
          <w:szCs w:val="22"/>
        </w:rPr>
      </w:pPr>
      <w:bookmarkStart w:id="21" w:name="_Toc54261205"/>
      <w:r w:rsidRPr="00864A16">
        <w:rPr>
          <w:rFonts w:asciiTheme="majorBidi" w:hAnsiTheme="majorBidi" w:cstheme="majorBidi"/>
          <w:sz w:val="22"/>
          <w:szCs w:val="22"/>
        </w:rPr>
        <w:t xml:space="preserve">Tableau </w:t>
      </w:r>
      <w:r w:rsidR="00DE78CE" w:rsidRPr="00864A16">
        <w:rPr>
          <w:rFonts w:asciiTheme="majorBidi" w:hAnsiTheme="majorBidi" w:cstheme="majorBidi"/>
          <w:sz w:val="22"/>
          <w:szCs w:val="22"/>
        </w:rPr>
        <w:fldChar w:fldCharType="begin"/>
      </w:r>
      <w:r w:rsidRPr="00864A16">
        <w:rPr>
          <w:rFonts w:asciiTheme="majorBidi" w:hAnsiTheme="majorBidi" w:cstheme="majorBidi"/>
          <w:sz w:val="22"/>
          <w:szCs w:val="22"/>
        </w:rPr>
        <w:instrText xml:space="preserve"> SEQ Tableau \* ARABIC </w:instrText>
      </w:r>
      <w:r w:rsidR="00DE78CE" w:rsidRPr="00864A16">
        <w:rPr>
          <w:rFonts w:asciiTheme="majorBidi" w:hAnsiTheme="majorBidi" w:cstheme="majorBidi"/>
          <w:sz w:val="22"/>
          <w:szCs w:val="22"/>
        </w:rPr>
        <w:fldChar w:fldCharType="separate"/>
      </w:r>
      <w:r w:rsidR="00477549">
        <w:rPr>
          <w:rFonts w:asciiTheme="majorBidi" w:hAnsiTheme="majorBidi" w:cstheme="majorBidi"/>
          <w:noProof/>
          <w:sz w:val="22"/>
          <w:szCs w:val="22"/>
        </w:rPr>
        <w:t>3</w:t>
      </w:r>
      <w:r w:rsidR="00DE78CE" w:rsidRPr="00864A16">
        <w:rPr>
          <w:rFonts w:asciiTheme="majorBidi" w:hAnsiTheme="majorBidi" w:cstheme="majorBidi"/>
          <w:sz w:val="22"/>
          <w:szCs w:val="22"/>
        </w:rPr>
        <w:fldChar w:fldCharType="end"/>
      </w:r>
      <w:r w:rsidRPr="00864A16">
        <w:rPr>
          <w:rFonts w:asciiTheme="majorBidi" w:hAnsiTheme="majorBidi" w:cstheme="majorBidi"/>
          <w:sz w:val="22"/>
          <w:szCs w:val="22"/>
        </w:rPr>
        <w:t xml:space="preserve"> : </w:t>
      </w:r>
      <w:r w:rsidR="00777D90" w:rsidRPr="00864A16">
        <w:rPr>
          <w:rFonts w:asciiTheme="majorBidi" w:hAnsiTheme="majorBidi" w:cstheme="majorBidi"/>
          <w:sz w:val="22"/>
          <w:szCs w:val="22"/>
        </w:rPr>
        <w:t>IPC</w:t>
      </w:r>
      <w:r w:rsidR="007156BC" w:rsidRPr="00864A16">
        <w:rPr>
          <w:rFonts w:asciiTheme="majorBidi" w:hAnsiTheme="majorBidi" w:cstheme="majorBidi"/>
          <w:sz w:val="22"/>
          <w:szCs w:val="22"/>
        </w:rPr>
        <w:t xml:space="preserve"> </w:t>
      </w:r>
      <w:r w:rsidR="00777D90" w:rsidRPr="00864A16">
        <w:rPr>
          <w:rFonts w:asciiTheme="majorBidi" w:hAnsiTheme="majorBidi" w:cstheme="majorBidi"/>
          <w:sz w:val="22"/>
          <w:szCs w:val="22"/>
        </w:rPr>
        <w:t xml:space="preserve">général </w:t>
      </w:r>
      <w:r w:rsidR="007156BC" w:rsidRPr="00864A16">
        <w:rPr>
          <w:rFonts w:asciiTheme="majorBidi" w:hAnsiTheme="majorBidi" w:cstheme="majorBidi"/>
          <w:sz w:val="22"/>
          <w:szCs w:val="22"/>
        </w:rPr>
        <w:t xml:space="preserve">(Base 100 :2006) </w:t>
      </w:r>
      <w:r w:rsidR="00777D90" w:rsidRPr="00864A16">
        <w:rPr>
          <w:rFonts w:asciiTheme="majorBidi" w:hAnsiTheme="majorBidi" w:cstheme="majorBidi"/>
          <w:sz w:val="22"/>
          <w:szCs w:val="22"/>
        </w:rPr>
        <w:t>par ville en 201</w:t>
      </w:r>
      <w:r w:rsidR="00A12EEA">
        <w:rPr>
          <w:rFonts w:asciiTheme="majorBidi" w:hAnsiTheme="majorBidi" w:cstheme="majorBidi"/>
          <w:sz w:val="22"/>
          <w:szCs w:val="22"/>
        </w:rPr>
        <w:t>8</w:t>
      </w:r>
      <w:r w:rsidR="00D562EA" w:rsidRPr="00864A16">
        <w:rPr>
          <w:rFonts w:asciiTheme="majorBidi" w:hAnsiTheme="majorBidi" w:cstheme="majorBidi"/>
          <w:sz w:val="22"/>
          <w:szCs w:val="22"/>
        </w:rPr>
        <w:t xml:space="preserve"> </w:t>
      </w:r>
      <w:r w:rsidR="00777D90" w:rsidRPr="00864A16">
        <w:rPr>
          <w:rFonts w:asciiTheme="majorBidi" w:hAnsiTheme="majorBidi" w:cstheme="majorBidi"/>
          <w:sz w:val="22"/>
          <w:szCs w:val="22"/>
        </w:rPr>
        <w:t>et 201</w:t>
      </w:r>
      <w:r w:rsidR="00A12EEA">
        <w:rPr>
          <w:rFonts w:asciiTheme="majorBidi" w:hAnsiTheme="majorBidi" w:cstheme="majorBidi"/>
          <w:sz w:val="22"/>
          <w:szCs w:val="22"/>
        </w:rPr>
        <w:t>9</w:t>
      </w:r>
      <w:bookmarkEnd w:id="21"/>
    </w:p>
    <w:tbl>
      <w:tblPr>
        <w:tblW w:w="5000" w:type="pct"/>
        <w:tblCellMar>
          <w:left w:w="70" w:type="dxa"/>
          <w:right w:w="70" w:type="dxa"/>
        </w:tblCellMar>
        <w:tblLook w:val="04A0"/>
      </w:tblPr>
      <w:tblGrid>
        <w:gridCol w:w="6367"/>
        <w:gridCol w:w="750"/>
        <w:gridCol w:w="750"/>
        <w:gridCol w:w="1487"/>
      </w:tblGrid>
      <w:tr w:rsidR="00A12EEA" w:rsidRPr="009E2412" w:rsidTr="000665DB">
        <w:trPr>
          <w:trHeight w:val="397"/>
        </w:trPr>
        <w:tc>
          <w:tcPr>
            <w:tcW w:w="3403" w:type="pct"/>
            <w:tcBorders>
              <w:top w:val="single" w:sz="12" w:space="0" w:color="auto"/>
              <w:left w:val="nil"/>
              <w:bottom w:val="single" w:sz="12" w:space="0" w:color="auto"/>
              <w:right w:val="nil"/>
            </w:tcBorders>
            <w:shd w:val="clear" w:color="000000" w:fill="C0C0C0"/>
            <w:noWrap/>
            <w:vAlign w:val="bottom"/>
            <w:hideMark/>
          </w:tcPr>
          <w:p w:rsidR="00A12EEA" w:rsidRPr="00A12EEA" w:rsidRDefault="00A12EEA">
            <w:pPr>
              <w:rPr>
                <w:rFonts w:asciiTheme="majorBidi" w:hAnsiTheme="majorBidi" w:cstheme="majorBidi"/>
                <w:b/>
                <w:bCs/>
                <w:sz w:val="24"/>
                <w:szCs w:val="24"/>
              </w:rPr>
            </w:pPr>
            <w:r w:rsidRPr="00A12EEA">
              <w:rPr>
                <w:rFonts w:asciiTheme="majorBidi" w:hAnsiTheme="majorBidi" w:cstheme="majorBidi"/>
                <w:b/>
                <w:bCs/>
              </w:rPr>
              <w:t>NOM VILLE</w:t>
            </w:r>
          </w:p>
        </w:tc>
        <w:tc>
          <w:tcPr>
            <w:tcW w:w="401" w:type="pct"/>
            <w:tcBorders>
              <w:top w:val="single" w:sz="12" w:space="0" w:color="auto"/>
              <w:left w:val="nil"/>
              <w:bottom w:val="single" w:sz="12" w:space="0" w:color="auto"/>
              <w:right w:val="nil"/>
            </w:tcBorders>
            <w:shd w:val="clear" w:color="000000" w:fill="C0C0C0"/>
            <w:noWrap/>
            <w:vAlign w:val="bottom"/>
            <w:hideMark/>
          </w:tcPr>
          <w:p w:rsidR="00A12EEA" w:rsidRPr="00A12EEA" w:rsidRDefault="00A12EEA">
            <w:pPr>
              <w:jc w:val="right"/>
              <w:rPr>
                <w:rFonts w:asciiTheme="majorBidi" w:hAnsiTheme="majorBidi" w:cstheme="majorBidi"/>
                <w:b/>
                <w:bCs/>
                <w:sz w:val="24"/>
                <w:szCs w:val="24"/>
              </w:rPr>
            </w:pPr>
            <w:r w:rsidRPr="00A12EEA">
              <w:rPr>
                <w:rFonts w:asciiTheme="majorBidi" w:hAnsiTheme="majorBidi" w:cstheme="majorBidi"/>
                <w:b/>
                <w:bCs/>
              </w:rPr>
              <w:t>2018</w:t>
            </w:r>
          </w:p>
        </w:tc>
        <w:tc>
          <w:tcPr>
            <w:tcW w:w="401" w:type="pct"/>
            <w:tcBorders>
              <w:top w:val="single" w:sz="12" w:space="0" w:color="auto"/>
              <w:left w:val="nil"/>
              <w:bottom w:val="single" w:sz="12" w:space="0" w:color="auto"/>
              <w:right w:val="nil"/>
            </w:tcBorders>
            <w:shd w:val="clear" w:color="000000" w:fill="C0C0C0"/>
            <w:noWrap/>
            <w:vAlign w:val="bottom"/>
            <w:hideMark/>
          </w:tcPr>
          <w:p w:rsidR="00A12EEA" w:rsidRPr="00A12EEA" w:rsidRDefault="00A12EEA">
            <w:pPr>
              <w:jc w:val="right"/>
              <w:rPr>
                <w:rFonts w:asciiTheme="majorBidi" w:hAnsiTheme="majorBidi" w:cstheme="majorBidi"/>
                <w:b/>
                <w:bCs/>
                <w:sz w:val="24"/>
                <w:szCs w:val="24"/>
              </w:rPr>
            </w:pPr>
            <w:r w:rsidRPr="00A12EEA">
              <w:rPr>
                <w:rFonts w:asciiTheme="majorBidi" w:hAnsiTheme="majorBidi" w:cstheme="majorBidi"/>
                <w:b/>
                <w:bCs/>
              </w:rPr>
              <w:t>2019</w:t>
            </w:r>
          </w:p>
        </w:tc>
        <w:tc>
          <w:tcPr>
            <w:tcW w:w="795" w:type="pct"/>
            <w:tcBorders>
              <w:top w:val="single" w:sz="12" w:space="0" w:color="auto"/>
              <w:left w:val="nil"/>
              <w:bottom w:val="single" w:sz="12" w:space="0" w:color="auto"/>
              <w:right w:val="nil"/>
            </w:tcBorders>
            <w:shd w:val="clear" w:color="000000" w:fill="C0C0C0"/>
            <w:noWrap/>
            <w:vAlign w:val="bottom"/>
            <w:hideMark/>
          </w:tcPr>
          <w:p w:rsidR="00A12EEA" w:rsidRPr="00A12EEA" w:rsidRDefault="00A12EEA">
            <w:pPr>
              <w:rPr>
                <w:rFonts w:asciiTheme="majorBidi" w:hAnsiTheme="majorBidi" w:cstheme="majorBidi"/>
                <w:b/>
                <w:bCs/>
                <w:sz w:val="24"/>
                <w:szCs w:val="24"/>
              </w:rPr>
            </w:pPr>
            <w:r w:rsidRPr="00A12EEA">
              <w:rPr>
                <w:rFonts w:asciiTheme="majorBidi" w:hAnsiTheme="majorBidi" w:cstheme="majorBidi"/>
                <w:b/>
                <w:bCs/>
              </w:rPr>
              <w:t>Variation (%)</w:t>
            </w:r>
          </w:p>
        </w:tc>
      </w:tr>
      <w:tr w:rsidR="00A12EEA" w:rsidRPr="009E2412" w:rsidTr="000665DB">
        <w:trPr>
          <w:trHeight w:val="397"/>
        </w:trPr>
        <w:tc>
          <w:tcPr>
            <w:tcW w:w="3403" w:type="pct"/>
            <w:tcBorders>
              <w:top w:val="single" w:sz="12" w:space="0" w:color="auto"/>
              <w:left w:val="nil"/>
              <w:bottom w:val="nil"/>
              <w:right w:val="nil"/>
            </w:tcBorders>
            <w:shd w:val="clear" w:color="auto" w:fill="auto"/>
            <w:noWrap/>
            <w:vAlign w:val="bottom"/>
            <w:hideMark/>
          </w:tcPr>
          <w:p w:rsidR="00A12EEA" w:rsidRPr="00A12EEA" w:rsidRDefault="00A12EEA">
            <w:pPr>
              <w:rPr>
                <w:rFonts w:asciiTheme="majorBidi" w:hAnsiTheme="majorBidi" w:cstheme="majorBidi"/>
                <w:b/>
                <w:bCs/>
              </w:rPr>
            </w:pPr>
            <w:r w:rsidRPr="00A12EEA">
              <w:rPr>
                <w:rFonts w:asciiTheme="majorBidi" w:hAnsiTheme="majorBidi" w:cstheme="majorBidi"/>
                <w:b/>
                <w:bCs/>
              </w:rPr>
              <w:t>Safi</w:t>
            </w:r>
          </w:p>
        </w:tc>
        <w:tc>
          <w:tcPr>
            <w:tcW w:w="401" w:type="pct"/>
            <w:tcBorders>
              <w:top w:val="single" w:sz="12" w:space="0" w:color="auto"/>
              <w:left w:val="nil"/>
              <w:bottom w:val="nil"/>
              <w:right w:val="nil"/>
            </w:tcBorders>
            <w:shd w:val="clear" w:color="auto" w:fill="auto"/>
            <w:noWrap/>
            <w:vAlign w:val="bottom"/>
            <w:hideMark/>
          </w:tcPr>
          <w:p w:rsidR="00A12EEA" w:rsidRPr="00A12EEA" w:rsidRDefault="00A12EEA">
            <w:pPr>
              <w:jc w:val="right"/>
              <w:rPr>
                <w:rFonts w:asciiTheme="majorBidi" w:hAnsiTheme="majorBidi" w:cstheme="majorBidi"/>
                <w:color w:val="000000"/>
              </w:rPr>
            </w:pPr>
            <w:r w:rsidRPr="00A12EEA">
              <w:rPr>
                <w:rFonts w:asciiTheme="majorBidi" w:hAnsiTheme="majorBidi" w:cstheme="majorBidi"/>
                <w:color w:val="000000"/>
              </w:rPr>
              <w:t>115,8</w:t>
            </w:r>
          </w:p>
        </w:tc>
        <w:tc>
          <w:tcPr>
            <w:tcW w:w="401" w:type="pct"/>
            <w:tcBorders>
              <w:top w:val="single" w:sz="12" w:space="0" w:color="auto"/>
              <w:left w:val="nil"/>
              <w:bottom w:val="nil"/>
              <w:right w:val="nil"/>
            </w:tcBorders>
            <w:shd w:val="clear" w:color="auto" w:fill="auto"/>
            <w:noWrap/>
            <w:vAlign w:val="bottom"/>
            <w:hideMark/>
          </w:tcPr>
          <w:p w:rsidR="00A12EEA" w:rsidRPr="00A12EEA" w:rsidRDefault="00A12EEA">
            <w:pPr>
              <w:jc w:val="right"/>
              <w:rPr>
                <w:rFonts w:asciiTheme="majorBidi" w:hAnsiTheme="majorBidi" w:cstheme="majorBidi"/>
                <w:color w:val="000000"/>
              </w:rPr>
            </w:pPr>
            <w:r w:rsidRPr="00A12EEA">
              <w:rPr>
                <w:rFonts w:asciiTheme="majorBidi" w:hAnsiTheme="majorBidi" w:cstheme="majorBidi"/>
                <w:color w:val="000000"/>
              </w:rPr>
              <w:t>116,3</w:t>
            </w:r>
          </w:p>
        </w:tc>
        <w:tc>
          <w:tcPr>
            <w:tcW w:w="795" w:type="pct"/>
            <w:tcBorders>
              <w:top w:val="single" w:sz="12" w:space="0" w:color="auto"/>
              <w:left w:val="nil"/>
              <w:bottom w:val="nil"/>
              <w:right w:val="nil"/>
            </w:tcBorders>
            <w:shd w:val="clear" w:color="auto" w:fill="auto"/>
            <w:noWrap/>
            <w:vAlign w:val="bottom"/>
            <w:hideMark/>
          </w:tcPr>
          <w:p w:rsidR="00A12EEA" w:rsidRPr="00A12EEA" w:rsidRDefault="00A12EEA">
            <w:pPr>
              <w:jc w:val="right"/>
              <w:rPr>
                <w:rFonts w:asciiTheme="majorBidi" w:hAnsiTheme="majorBidi" w:cstheme="majorBidi"/>
                <w:color w:val="000000"/>
              </w:rPr>
            </w:pPr>
            <w:r w:rsidRPr="00A12EEA">
              <w:rPr>
                <w:rFonts w:asciiTheme="majorBidi" w:hAnsiTheme="majorBidi" w:cstheme="majorBidi"/>
                <w:color w:val="000000"/>
              </w:rPr>
              <w:t>0,4</w:t>
            </w:r>
          </w:p>
        </w:tc>
      </w:tr>
      <w:tr w:rsidR="00A12EEA" w:rsidRPr="009E2412" w:rsidTr="000665DB">
        <w:trPr>
          <w:trHeight w:val="397"/>
        </w:trPr>
        <w:tc>
          <w:tcPr>
            <w:tcW w:w="3403" w:type="pct"/>
            <w:tcBorders>
              <w:top w:val="nil"/>
              <w:left w:val="nil"/>
              <w:bottom w:val="nil"/>
              <w:right w:val="nil"/>
            </w:tcBorders>
            <w:shd w:val="clear" w:color="auto" w:fill="auto"/>
            <w:noWrap/>
            <w:vAlign w:val="bottom"/>
            <w:hideMark/>
          </w:tcPr>
          <w:p w:rsidR="00A12EEA" w:rsidRPr="00A12EEA" w:rsidRDefault="00A12EEA">
            <w:pPr>
              <w:rPr>
                <w:rFonts w:asciiTheme="majorBidi" w:hAnsiTheme="majorBidi" w:cstheme="majorBidi"/>
                <w:b/>
                <w:bCs/>
              </w:rPr>
            </w:pPr>
            <w:r w:rsidRPr="00A12EEA">
              <w:rPr>
                <w:rFonts w:asciiTheme="majorBidi" w:hAnsiTheme="majorBidi" w:cstheme="majorBidi"/>
                <w:b/>
                <w:bCs/>
              </w:rPr>
              <w:t>Rabat</w:t>
            </w:r>
          </w:p>
        </w:tc>
        <w:tc>
          <w:tcPr>
            <w:tcW w:w="401" w:type="pct"/>
            <w:tcBorders>
              <w:top w:val="nil"/>
              <w:left w:val="nil"/>
              <w:bottom w:val="nil"/>
              <w:right w:val="nil"/>
            </w:tcBorders>
            <w:shd w:val="clear" w:color="auto" w:fill="auto"/>
            <w:noWrap/>
            <w:vAlign w:val="bottom"/>
            <w:hideMark/>
          </w:tcPr>
          <w:p w:rsidR="00A12EEA" w:rsidRPr="00A12EEA" w:rsidRDefault="00A12EEA">
            <w:pPr>
              <w:jc w:val="right"/>
              <w:rPr>
                <w:rFonts w:asciiTheme="majorBidi" w:hAnsiTheme="majorBidi" w:cstheme="majorBidi"/>
                <w:color w:val="000000"/>
              </w:rPr>
            </w:pPr>
            <w:r w:rsidRPr="00A12EEA">
              <w:rPr>
                <w:rFonts w:asciiTheme="majorBidi" w:hAnsiTheme="majorBidi" w:cstheme="majorBidi"/>
                <w:color w:val="000000"/>
              </w:rPr>
              <w:t>117,1</w:t>
            </w:r>
          </w:p>
        </w:tc>
        <w:tc>
          <w:tcPr>
            <w:tcW w:w="401" w:type="pct"/>
            <w:tcBorders>
              <w:top w:val="nil"/>
              <w:left w:val="nil"/>
              <w:bottom w:val="nil"/>
              <w:right w:val="nil"/>
            </w:tcBorders>
            <w:shd w:val="clear" w:color="auto" w:fill="auto"/>
            <w:noWrap/>
            <w:vAlign w:val="bottom"/>
            <w:hideMark/>
          </w:tcPr>
          <w:p w:rsidR="00A12EEA" w:rsidRPr="00A12EEA" w:rsidRDefault="00A12EEA">
            <w:pPr>
              <w:jc w:val="right"/>
              <w:rPr>
                <w:rFonts w:asciiTheme="majorBidi" w:hAnsiTheme="majorBidi" w:cstheme="majorBidi"/>
                <w:color w:val="000000"/>
              </w:rPr>
            </w:pPr>
            <w:r w:rsidRPr="00A12EEA">
              <w:rPr>
                <w:rFonts w:asciiTheme="majorBidi" w:hAnsiTheme="majorBidi" w:cstheme="majorBidi"/>
                <w:color w:val="000000"/>
              </w:rPr>
              <w:t>117,5</w:t>
            </w:r>
          </w:p>
        </w:tc>
        <w:tc>
          <w:tcPr>
            <w:tcW w:w="795" w:type="pct"/>
            <w:tcBorders>
              <w:top w:val="nil"/>
              <w:left w:val="nil"/>
              <w:bottom w:val="nil"/>
              <w:right w:val="nil"/>
            </w:tcBorders>
            <w:shd w:val="clear" w:color="auto" w:fill="auto"/>
            <w:noWrap/>
            <w:vAlign w:val="bottom"/>
            <w:hideMark/>
          </w:tcPr>
          <w:p w:rsidR="00A12EEA" w:rsidRPr="00A12EEA" w:rsidRDefault="00A12EEA">
            <w:pPr>
              <w:jc w:val="right"/>
              <w:rPr>
                <w:rFonts w:asciiTheme="majorBidi" w:hAnsiTheme="majorBidi" w:cstheme="majorBidi"/>
                <w:color w:val="000000"/>
              </w:rPr>
            </w:pPr>
            <w:r w:rsidRPr="00A12EEA">
              <w:rPr>
                <w:rFonts w:asciiTheme="majorBidi" w:hAnsiTheme="majorBidi" w:cstheme="majorBidi"/>
                <w:color w:val="000000"/>
              </w:rPr>
              <w:t>0,3</w:t>
            </w:r>
          </w:p>
        </w:tc>
      </w:tr>
      <w:tr w:rsidR="00A12EEA" w:rsidRPr="009E2412" w:rsidTr="000665DB">
        <w:trPr>
          <w:trHeight w:val="397"/>
        </w:trPr>
        <w:tc>
          <w:tcPr>
            <w:tcW w:w="3403" w:type="pct"/>
            <w:tcBorders>
              <w:top w:val="nil"/>
              <w:left w:val="nil"/>
              <w:bottom w:val="nil"/>
              <w:right w:val="nil"/>
            </w:tcBorders>
            <w:shd w:val="clear" w:color="auto" w:fill="auto"/>
            <w:noWrap/>
            <w:vAlign w:val="bottom"/>
            <w:hideMark/>
          </w:tcPr>
          <w:p w:rsidR="00A12EEA" w:rsidRPr="00A12EEA" w:rsidRDefault="00A12EEA">
            <w:pPr>
              <w:rPr>
                <w:rFonts w:asciiTheme="majorBidi" w:hAnsiTheme="majorBidi" w:cstheme="majorBidi"/>
                <w:b/>
                <w:bCs/>
              </w:rPr>
            </w:pPr>
            <w:r w:rsidRPr="00A12EEA">
              <w:rPr>
                <w:rFonts w:asciiTheme="majorBidi" w:hAnsiTheme="majorBidi" w:cstheme="majorBidi"/>
                <w:b/>
                <w:bCs/>
              </w:rPr>
              <w:t>Agadir</w:t>
            </w:r>
          </w:p>
        </w:tc>
        <w:tc>
          <w:tcPr>
            <w:tcW w:w="401" w:type="pct"/>
            <w:tcBorders>
              <w:top w:val="nil"/>
              <w:left w:val="nil"/>
              <w:bottom w:val="nil"/>
              <w:right w:val="nil"/>
            </w:tcBorders>
            <w:shd w:val="clear" w:color="auto" w:fill="auto"/>
            <w:noWrap/>
            <w:vAlign w:val="bottom"/>
            <w:hideMark/>
          </w:tcPr>
          <w:p w:rsidR="00A12EEA" w:rsidRPr="00A12EEA" w:rsidRDefault="00A12EEA">
            <w:pPr>
              <w:jc w:val="right"/>
              <w:rPr>
                <w:rFonts w:asciiTheme="majorBidi" w:hAnsiTheme="majorBidi" w:cstheme="majorBidi"/>
                <w:color w:val="000000"/>
              </w:rPr>
            </w:pPr>
            <w:r w:rsidRPr="00A12EEA">
              <w:rPr>
                <w:rFonts w:asciiTheme="majorBidi" w:hAnsiTheme="majorBidi" w:cstheme="majorBidi"/>
                <w:color w:val="000000"/>
              </w:rPr>
              <w:t>118,0</w:t>
            </w:r>
          </w:p>
        </w:tc>
        <w:tc>
          <w:tcPr>
            <w:tcW w:w="401" w:type="pct"/>
            <w:tcBorders>
              <w:top w:val="nil"/>
              <w:left w:val="nil"/>
              <w:bottom w:val="nil"/>
              <w:right w:val="nil"/>
            </w:tcBorders>
            <w:shd w:val="clear" w:color="auto" w:fill="auto"/>
            <w:noWrap/>
            <w:vAlign w:val="bottom"/>
            <w:hideMark/>
          </w:tcPr>
          <w:p w:rsidR="00A12EEA" w:rsidRPr="00A12EEA" w:rsidRDefault="00A12EEA">
            <w:pPr>
              <w:jc w:val="right"/>
              <w:rPr>
                <w:rFonts w:asciiTheme="majorBidi" w:hAnsiTheme="majorBidi" w:cstheme="majorBidi"/>
                <w:color w:val="000000"/>
              </w:rPr>
            </w:pPr>
            <w:r w:rsidRPr="00A12EEA">
              <w:rPr>
                <w:rFonts w:asciiTheme="majorBidi" w:hAnsiTheme="majorBidi" w:cstheme="majorBidi"/>
                <w:color w:val="000000"/>
              </w:rPr>
              <w:t>118,0</w:t>
            </w:r>
          </w:p>
        </w:tc>
        <w:tc>
          <w:tcPr>
            <w:tcW w:w="795" w:type="pct"/>
            <w:tcBorders>
              <w:top w:val="nil"/>
              <w:left w:val="nil"/>
              <w:bottom w:val="nil"/>
              <w:right w:val="nil"/>
            </w:tcBorders>
            <w:shd w:val="clear" w:color="auto" w:fill="auto"/>
            <w:noWrap/>
            <w:vAlign w:val="bottom"/>
            <w:hideMark/>
          </w:tcPr>
          <w:p w:rsidR="00A12EEA" w:rsidRPr="00A12EEA" w:rsidRDefault="00A12EEA">
            <w:pPr>
              <w:jc w:val="right"/>
              <w:rPr>
                <w:rFonts w:asciiTheme="majorBidi" w:hAnsiTheme="majorBidi" w:cstheme="majorBidi"/>
                <w:color w:val="000000"/>
              </w:rPr>
            </w:pPr>
            <w:r w:rsidRPr="00A12EEA">
              <w:rPr>
                <w:rFonts w:asciiTheme="majorBidi" w:hAnsiTheme="majorBidi" w:cstheme="majorBidi"/>
                <w:color w:val="000000"/>
              </w:rPr>
              <w:t>0,0</w:t>
            </w:r>
          </w:p>
        </w:tc>
      </w:tr>
      <w:tr w:rsidR="00A12EEA" w:rsidRPr="009E2412" w:rsidTr="000665DB">
        <w:trPr>
          <w:trHeight w:val="397"/>
        </w:trPr>
        <w:tc>
          <w:tcPr>
            <w:tcW w:w="3403" w:type="pct"/>
            <w:tcBorders>
              <w:top w:val="nil"/>
              <w:left w:val="nil"/>
              <w:bottom w:val="nil"/>
              <w:right w:val="nil"/>
            </w:tcBorders>
            <w:shd w:val="clear" w:color="auto" w:fill="auto"/>
            <w:noWrap/>
            <w:vAlign w:val="bottom"/>
            <w:hideMark/>
          </w:tcPr>
          <w:p w:rsidR="00A12EEA" w:rsidRPr="00A12EEA" w:rsidRDefault="00A12EEA">
            <w:pPr>
              <w:rPr>
                <w:rFonts w:asciiTheme="majorBidi" w:hAnsiTheme="majorBidi" w:cstheme="majorBidi"/>
                <w:b/>
                <w:bCs/>
              </w:rPr>
            </w:pPr>
            <w:r w:rsidRPr="00A12EEA">
              <w:rPr>
                <w:rFonts w:asciiTheme="majorBidi" w:hAnsiTheme="majorBidi" w:cstheme="majorBidi"/>
                <w:b/>
                <w:bCs/>
              </w:rPr>
              <w:t>Oujda</w:t>
            </w:r>
          </w:p>
        </w:tc>
        <w:tc>
          <w:tcPr>
            <w:tcW w:w="401" w:type="pct"/>
            <w:tcBorders>
              <w:top w:val="nil"/>
              <w:left w:val="nil"/>
              <w:bottom w:val="nil"/>
              <w:right w:val="nil"/>
            </w:tcBorders>
            <w:shd w:val="clear" w:color="auto" w:fill="auto"/>
            <w:noWrap/>
            <w:vAlign w:val="bottom"/>
            <w:hideMark/>
          </w:tcPr>
          <w:p w:rsidR="00A12EEA" w:rsidRPr="00A12EEA" w:rsidRDefault="00A12EEA">
            <w:pPr>
              <w:jc w:val="right"/>
              <w:rPr>
                <w:rFonts w:asciiTheme="majorBidi" w:hAnsiTheme="majorBidi" w:cstheme="majorBidi"/>
                <w:color w:val="000000"/>
              </w:rPr>
            </w:pPr>
            <w:r w:rsidRPr="00A12EEA">
              <w:rPr>
                <w:rFonts w:asciiTheme="majorBidi" w:hAnsiTheme="majorBidi" w:cstheme="majorBidi"/>
                <w:color w:val="000000"/>
              </w:rPr>
              <w:t>118,4</w:t>
            </w:r>
          </w:p>
        </w:tc>
        <w:tc>
          <w:tcPr>
            <w:tcW w:w="401" w:type="pct"/>
            <w:tcBorders>
              <w:top w:val="nil"/>
              <w:left w:val="nil"/>
              <w:bottom w:val="nil"/>
              <w:right w:val="nil"/>
            </w:tcBorders>
            <w:shd w:val="clear" w:color="auto" w:fill="auto"/>
            <w:noWrap/>
            <w:vAlign w:val="bottom"/>
            <w:hideMark/>
          </w:tcPr>
          <w:p w:rsidR="00A12EEA" w:rsidRPr="00A12EEA" w:rsidRDefault="00A12EEA">
            <w:pPr>
              <w:jc w:val="right"/>
              <w:rPr>
                <w:rFonts w:asciiTheme="majorBidi" w:hAnsiTheme="majorBidi" w:cstheme="majorBidi"/>
                <w:color w:val="000000"/>
              </w:rPr>
            </w:pPr>
            <w:r w:rsidRPr="00A12EEA">
              <w:rPr>
                <w:rFonts w:asciiTheme="majorBidi" w:hAnsiTheme="majorBidi" w:cstheme="majorBidi"/>
                <w:color w:val="000000"/>
              </w:rPr>
              <w:t>118,1</w:t>
            </w:r>
          </w:p>
        </w:tc>
        <w:tc>
          <w:tcPr>
            <w:tcW w:w="795" w:type="pct"/>
            <w:tcBorders>
              <w:top w:val="nil"/>
              <w:left w:val="nil"/>
              <w:bottom w:val="nil"/>
              <w:right w:val="nil"/>
            </w:tcBorders>
            <w:shd w:val="clear" w:color="auto" w:fill="auto"/>
            <w:noWrap/>
            <w:vAlign w:val="bottom"/>
            <w:hideMark/>
          </w:tcPr>
          <w:p w:rsidR="00A12EEA" w:rsidRPr="00A12EEA" w:rsidRDefault="00A12EEA">
            <w:pPr>
              <w:jc w:val="right"/>
              <w:rPr>
                <w:rFonts w:asciiTheme="majorBidi" w:hAnsiTheme="majorBidi" w:cstheme="majorBidi"/>
                <w:color w:val="000000"/>
              </w:rPr>
            </w:pPr>
            <w:r w:rsidRPr="00A12EEA">
              <w:rPr>
                <w:rFonts w:asciiTheme="majorBidi" w:hAnsiTheme="majorBidi" w:cstheme="majorBidi"/>
                <w:color w:val="000000"/>
              </w:rPr>
              <w:t>-0,3</w:t>
            </w:r>
          </w:p>
        </w:tc>
      </w:tr>
      <w:tr w:rsidR="00A12EEA" w:rsidRPr="00D562EA" w:rsidTr="000665DB">
        <w:trPr>
          <w:trHeight w:val="397"/>
        </w:trPr>
        <w:tc>
          <w:tcPr>
            <w:tcW w:w="3403" w:type="pct"/>
            <w:tcBorders>
              <w:top w:val="nil"/>
              <w:left w:val="nil"/>
              <w:bottom w:val="nil"/>
              <w:right w:val="nil"/>
            </w:tcBorders>
            <w:shd w:val="clear" w:color="auto" w:fill="auto"/>
            <w:noWrap/>
            <w:vAlign w:val="bottom"/>
            <w:hideMark/>
          </w:tcPr>
          <w:p w:rsidR="00A12EEA" w:rsidRPr="00A12EEA" w:rsidRDefault="00176713">
            <w:pPr>
              <w:rPr>
                <w:rFonts w:asciiTheme="majorBidi" w:hAnsiTheme="majorBidi" w:cstheme="majorBidi"/>
                <w:b/>
                <w:bCs/>
              </w:rPr>
            </w:pPr>
            <w:proofErr w:type="spellStart"/>
            <w:r>
              <w:rPr>
                <w:rFonts w:asciiTheme="majorBidi" w:hAnsiTheme="majorBidi" w:cstheme="majorBidi"/>
                <w:b/>
                <w:bCs/>
              </w:rPr>
              <w:t>Beni</w:t>
            </w:r>
            <w:proofErr w:type="spellEnd"/>
            <w:r>
              <w:rPr>
                <w:rFonts w:asciiTheme="majorBidi" w:hAnsiTheme="majorBidi" w:cstheme="majorBidi"/>
                <w:b/>
                <w:bCs/>
              </w:rPr>
              <w:t xml:space="preserve"> M</w:t>
            </w:r>
            <w:r w:rsidR="00A12EEA" w:rsidRPr="00A12EEA">
              <w:rPr>
                <w:rFonts w:asciiTheme="majorBidi" w:hAnsiTheme="majorBidi" w:cstheme="majorBidi"/>
                <w:b/>
                <w:bCs/>
              </w:rPr>
              <w:t>ellal</w:t>
            </w:r>
          </w:p>
        </w:tc>
        <w:tc>
          <w:tcPr>
            <w:tcW w:w="401" w:type="pct"/>
            <w:tcBorders>
              <w:top w:val="nil"/>
              <w:left w:val="nil"/>
              <w:bottom w:val="nil"/>
              <w:right w:val="nil"/>
            </w:tcBorders>
            <w:shd w:val="clear" w:color="auto" w:fill="auto"/>
            <w:noWrap/>
            <w:vAlign w:val="bottom"/>
            <w:hideMark/>
          </w:tcPr>
          <w:p w:rsidR="00A12EEA" w:rsidRPr="00A12EEA" w:rsidRDefault="00A12EEA">
            <w:pPr>
              <w:jc w:val="right"/>
              <w:rPr>
                <w:rFonts w:asciiTheme="majorBidi" w:hAnsiTheme="majorBidi" w:cstheme="majorBidi"/>
                <w:color w:val="000000"/>
              </w:rPr>
            </w:pPr>
            <w:r w:rsidRPr="00A12EEA">
              <w:rPr>
                <w:rFonts w:asciiTheme="majorBidi" w:hAnsiTheme="majorBidi" w:cstheme="majorBidi"/>
                <w:color w:val="000000"/>
              </w:rPr>
              <w:t>118,1</w:t>
            </w:r>
          </w:p>
        </w:tc>
        <w:tc>
          <w:tcPr>
            <w:tcW w:w="401" w:type="pct"/>
            <w:tcBorders>
              <w:top w:val="nil"/>
              <w:left w:val="nil"/>
              <w:bottom w:val="nil"/>
              <w:right w:val="nil"/>
            </w:tcBorders>
            <w:shd w:val="clear" w:color="auto" w:fill="auto"/>
            <w:noWrap/>
            <w:vAlign w:val="bottom"/>
            <w:hideMark/>
          </w:tcPr>
          <w:p w:rsidR="00A12EEA" w:rsidRPr="00A12EEA" w:rsidRDefault="00A12EEA">
            <w:pPr>
              <w:jc w:val="right"/>
              <w:rPr>
                <w:rFonts w:asciiTheme="majorBidi" w:hAnsiTheme="majorBidi" w:cstheme="majorBidi"/>
                <w:color w:val="000000"/>
              </w:rPr>
            </w:pPr>
            <w:r w:rsidRPr="00A12EEA">
              <w:rPr>
                <w:rFonts w:asciiTheme="majorBidi" w:hAnsiTheme="majorBidi" w:cstheme="majorBidi"/>
                <w:color w:val="000000"/>
              </w:rPr>
              <w:t>118,7</w:t>
            </w:r>
          </w:p>
        </w:tc>
        <w:tc>
          <w:tcPr>
            <w:tcW w:w="795" w:type="pct"/>
            <w:tcBorders>
              <w:top w:val="nil"/>
              <w:left w:val="nil"/>
              <w:bottom w:val="nil"/>
              <w:right w:val="nil"/>
            </w:tcBorders>
            <w:shd w:val="clear" w:color="auto" w:fill="auto"/>
            <w:noWrap/>
            <w:vAlign w:val="bottom"/>
            <w:hideMark/>
          </w:tcPr>
          <w:p w:rsidR="00A12EEA" w:rsidRPr="00A12EEA" w:rsidRDefault="00A12EEA">
            <w:pPr>
              <w:jc w:val="right"/>
              <w:rPr>
                <w:rFonts w:asciiTheme="majorBidi" w:hAnsiTheme="majorBidi" w:cstheme="majorBidi"/>
                <w:color w:val="000000"/>
              </w:rPr>
            </w:pPr>
            <w:r w:rsidRPr="00A12EEA">
              <w:rPr>
                <w:rFonts w:asciiTheme="majorBidi" w:hAnsiTheme="majorBidi" w:cstheme="majorBidi"/>
                <w:color w:val="000000"/>
              </w:rPr>
              <w:t>0,5</w:t>
            </w:r>
          </w:p>
        </w:tc>
      </w:tr>
      <w:tr w:rsidR="00A12EEA" w:rsidRPr="00B432FD" w:rsidTr="000665DB">
        <w:trPr>
          <w:trHeight w:val="397"/>
        </w:trPr>
        <w:tc>
          <w:tcPr>
            <w:tcW w:w="3403" w:type="pct"/>
            <w:tcBorders>
              <w:top w:val="nil"/>
              <w:left w:val="nil"/>
              <w:bottom w:val="nil"/>
              <w:right w:val="nil"/>
            </w:tcBorders>
            <w:shd w:val="clear" w:color="auto" w:fill="auto"/>
            <w:noWrap/>
            <w:vAlign w:val="bottom"/>
            <w:hideMark/>
          </w:tcPr>
          <w:p w:rsidR="00A12EEA" w:rsidRPr="00B432FD" w:rsidRDefault="00A12EEA">
            <w:pPr>
              <w:rPr>
                <w:rFonts w:asciiTheme="majorBidi" w:hAnsiTheme="majorBidi" w:cstheme="majorBidi"/>
                <w:b/>
                <w:bCs/>
                <w:color w:val="4F81BD" w:themeColor="accent1"/>
              </w:rPr>
            </w:pPr>
            <w:r w:rsidRPr="00B432FD">
              <w:rPr>
                <w:rFonts w:asciiTheme="majorBidi" w:hAnsiTheme="majorBidi" w:cstheme="majorBidi"/>
                <w:b/>
                <w:bCs/>
                <w:color w:val="4F81BD" w:themeColor="accent1"/>
              </w:rPr>
              <w:t>Kenitra</w:t>
            </w:r>
          </w:p>
        </w:tc>
        <w:tc>
          <w:tcPr>
            <w:tcW w:w="401" w:type="pct"/>
            <w:tcBorders>
              <w:top w:val="nil"/>
              <w:left w:val="nil"/>
              <w:bottom w:val="nil"/>
              <w:right w:val="nil"/>
            </w:tcBorders>
            <w:shd w:val="clear" w:color="auto" w:fill="auto"/>
            <w:noWrap/>
            <w:vAlign w:val="bottom"/>
            <w:hideMark/>
          </w:tcPr>
          <w:p w:rsidR="00A12EEA" w:rsidRPr="00B432FD" w:rsidRDefault="00A12EEA">
            <w:pPr>
              <w:jc w:val="right"/>
              <w:rPr>
                <w:rFonts w:asciiTheme="majorBidi" w:hAnsiTheme="majorBidi" w:cstheme="majorBidi"/>
                <w:b/>
                <w:bCs/>
                <w:color w:val="4F81BD" w:themeColor="accent1"/>
              </w:rPr>
            </w:pPr>
            <w:r w:rsidRPr="00B432FD">
              <w:rPr>
                <w:rFonts w:asciiTheme="majorBidi" w:hAnsiTheme="majorBidi" w:cstheme="majorBidi"/>
                <w:b/>
                <w:bCs/>
                <w:color w:val="4F81BD" w:themeColor="accent1"/>
              </w:rPr>
              <w:t>118,5</w:t>
            </w:r>
          </w:p>
        </w:tc>
        <w:tc>
          <w:tcPr>
            <w:tcW w:w="401" w:type="pct"/>
            <w:tcBorders>
              <w:top w:val="nil"/>
              <w:left w:val="nil"/>
              <w:bottom w:val="nil"/>
              <w:right w:val="nil"/>
            </w:tcBorders>
            <w:shd w:val="clear" w:color="auto" w:fill="auto"/>
            <w:noWrap/>
            <w:vAlign w:val="bottom"/>
            <w:hideMark/>
          </w:tcPr>
          <w:p w:rsidR="00A12EEA" w:rsidRPr="00B432FD" w:rsidRDefault="00A12EEA">
            <w:pPr>
              <w:jc w:val="right"/>
              <w:rPr>
                <w:rFonts w:asciiTheme="majorBidi" w:hAnsiTheme="majorBidi" w:cstheme="majorBidi"/>
                <w:b/>
                <w:bCs/>
                <w:color w:val="4F81BD" w:themeColor="accent1"/>
              </w:rPr>
            </w:pPr>
            <w:r w:rsidRPr="00B432FD">
              <w:rPr>
                <w:rFonts w:asciiTheme="majorBidi" w:hAnsiTheme="majorBidi" w:cstheme="majorBidi"/>
                <w:b/>
                <w:bCs/>
                <w:color w:val="4F81BD" w:themeColor="accent1"/>
              </w:rPr>
              <w:t>118,7</w:t>
            </w:r>
          </w:p>
        </w:tc>
        <w:tc>
          <w:tcPr>
            <w:tcW w:w="795" w:type="pct"/>
            <w:tcBorders>
              <w:top w:val="nil"/>
              <w:left w:val="nil"/>
              <w:bottom w:val="nil"/>
              <w:right w:val="nil"/>
            </w:tcBorders>
            <w:shd w:val="clear" w:color="auto" w:fill="auto"/>
            <w:noWrap/>
            <w:vAlign w:val="bottom"/>
            <w:hideMark/>
          </w:tcPr>
          <w:p w:rsidR="00A12EEA" w:rsidRPr="00B432FD" w:rsidRDefault="00A12EEA">
            <w:pPr>
              <w:jc w:val="right"/>
              <w:rPr>
                <w:rFonts w:asciiTheme="majorBidi" w:hAnsiTheme="majorBidi" w:cstheme="majorBidi"/>
                <w:b/>
                <w:bCs/>
                <w:color w:val="4F81BD" w:themeColor="accent1"/>
              </w:rPr>
            </w:pPr>
            <w:r w:rsidRPr="00B432FD">
              <w:rPr>
                <w:rFonts w:asciiTheme="majorBidi" w:hAnsiTheme="majorBidi" w:cstheme="majorBidi"/>
                <w:b/>
                <w:bCs/>
                <w:color w:val="4F81BD" w:themeColor="accent1"/>
              </w:rPr>
              <w:t>0,2</w:t>
            </w:r>
          </w:p>
        </w:tc>
      </w:tr>
      <w:tr w:rsidR="00A12EEA" w:rsidRPr="009E2412" w:rsidTr="000665DB">
        <w:trPr>
          <w:trHeight w:val="397"/>
        </w:trPr>
        <w:tc>
          <w:tcPr>
            <w:tcW w:w="3403" w:type="pct"/>
            <w:tcBorders>
              <w:top w:val="nil"/>
              <w:left w:val="nil"/>
              <w:bottom w:val="nil"/>
              <w:right w:val="nil"/>
            </w:tcBorders>
            <w:shd w:val="clear" w:color="auto" w:fill="auto"/>
            <w:noWrap/>
            <w:vAlign w:val="bottom"/>
            <w:hideMark/>
          </w:tcPr>
          <w:p w:rsidR="00A12EEA" w:rsidRPr="00A12EEA" w:rsidRDefault="00A12EEA">
            <w:pPr>
              <w:rPr>
                <w:rFonts w:asciiTheme="majorBidi" w:hAnsiTheme="majorBidi" w:cstheme="majorBidi"/>
                <w:b/>
                <w:bCs/>
              </w:rPr>
            </w:pPr>
            <w:r w:rsidRPr="00A12EEA">
              <w:rPr>
                <w:rFonts w:asciiTheme="majorBidi" w:hAnsiTheme="majorBidi" w:cstheme="majorBidi"/>
                <w:b/>
                <w:bCs/>
              </w:rPr>
              <w:t>Settat</w:t>
            </w:r>
          </w:p>
        </w:tc>
        <w:tc>
          <w:tcPr>
            <w:tcW w:w="401" w:type="pct"/>
            <w:tcBorders>
              <w:top w:val="nil"/>
              <w:left w:val="nil"/>
              <w:bottom w:val="nil"/>
              <w:right w:val="nil"/>
            </w:tcBorders>
            <w:shd w:val="clear" w:color="auto" w:fill="auto"/>
            <w:noWrap/>
            <w:vAlign w:val="bottom"/>
            <w:hideMark/>
          </w:tcPr>
          <w:p w:rsidR="00A12EEA" w:rsidRPr="00A12EEA" w:rsidRDefault="00A12EEA">
            <w:pPr>
              <w:jc w:val="right"/>
              <w:rPr>
                <w:rFonts w:asciiTheme="majorBidi" w:hAnsiTheme="majorBidi" w:cstheme="majorBidi"/>
                <w:color w:val="000000"/>
              </w:rPr>
            </w:pPr>
            <w:r w:rsidRPr="00A12EEA">
              <w:rPr>
                <w:rFonts w:asciiTheme="majorBidi" w:hAnsiTheme="majorBidi" w:cstheme="majorBidi"/>
                <w:color w:val="000000"/>
              </w:rPr>
              <w:t>117,7</w:t>
            </w:r>
          </w:p>
        </w:tc>
        <w:tc>
          <w:tcPr>
            <w:tcW w:w="401" w:type="pct"/>
            <w:tcBorders>
              <w:top w:val="nil"/>
              <w:left w:val="nil"/>
              <w:bottom w:val="nil"/>
              <w:right w:val="nil"/>
            </w:tcBorders>
            <w:shd w:val="clear" w:color="auto" w:fill="auto"/>
            <w:noWrap/>
            <w:vAlign w:val="bottom"/>
            <w:hideMark/>
          </w:tcPr>
          <w:p w:rsidR="00A12EEA" w:rsidRPr="00A12EEA" w:rsidRDefault="00A12EEA">
            <w:pPr>
              <w:jc w:val="right"/>
              <w:rPr>
                <w:rFonts w:asciiTheme="majorBidi" w:hAnsiTheme="majorBidi" w:cstheme="majorBidi"/>
                <w:color w:val="000000"/>
              </w:rPr>
            </w:pPr>
            <w:r w:rsidRPr="00A12EEA">
              <w:rPr>
                <w:rFonts w:asciiTheme="majorBidi" w:hAnsiTheme="majorBidi" w:cstheme="majorBidi"/>
                <w:color w:val="000000"/>
              </w:rPr>
              <w:t>118,9</w:t>
            </w:r>
          </w:p>
        </w:tc>
        <w:tc>
          <w:tcPr>
            <w:tcW w:w="795" w:type="pct"/>
            <w:tcBorders>
              <w:top w:val="nil"/>
              <w:left w:val="nil"/>
              <w:bottom w:val="nil"/>
              <w:right w:val="nil"/>
            </w:tcBorders>
            <w:shd w:val="clear" w:color="auto" w:fill="auto"/>
            <w:noWrap/>
            <w:vAlign w:val="bottom"/>
            <w:hideMark/>
          </w:tcPr>
          <w:p w:rsidR="00A12EEA" w:rsidRPr="00A12EEA" w:rsidRDefault="00A12EEA">
            <w:pPr>
              <w:jc w:val="right"/>
              <w:rPr>
                <w:rFonts w:asciiTheme="majorBidi" w:hAnsiTheme="majorBidi" w:cstheme="majorBidi"/>
                <w:color w:val="000000"/>
              </w:rPr>
            </w:pPr>
            <w:r w:rsidRPr="00A12EEA">
              <w:rPr>
                <w:rFonts w:asciiTheme="majorBidi" w:hAnsiTheme="majorBidi" w:cstheme="majorBidi"/>
                <w:color w:val="000000"/>
              </w:rPr>
              <w:t>1,0</w:t>
            </w:r>
          </w:p>
        </w:tc>
      </w:tr>
      <w:tr w:rsidR="00A12EEA" w:rsidRPr="009E2412" w:rsidTr="000665DB">
        <w:trPr>
          <w:trHeight w:val="397"/>
        </w:trPr>
        <w:tc>
          <w:tcPr>
            <w:tcW w:w="3403" w:type="pct"/>
            <w:tcBorders>
              <w:top w:val="nil"/>
              <w:left w:val="nil"/>
              <w:bottom w:val="nil"/>
              <w:right w:val="nil"/>
            </w:tcBorders>
            <w:shd w:val="clear" w:color="auto" w:fill="auto"/>
            <w:noWrap/>
            <w:vAlign w:val="bottom"/>
            <w:hideMark/>
          </w:tcPr>
          <w:p w:rsidR="00A12EEA" w:rsidRPr="00A12EEA" w:rsidRDefault="00A12EEA">
            <w:pPr>
              <w:rPr>
                <w:rFonts w:asciiTheme="majorBidi" w:hAnsiTheme="majorBidi" w:cstheme="majorBidi"/>
                <w:b/>
                <w:bCs/>
              </w:rPr>
            </w:pPr>
            <w:r w:rsidRPr="00A12EEA">
              <w:rPr>
                <w:rFonts w:asciiTheme="majorBidi" w:hAnsiTheme="majorBidi" w:cstheme="majorBidi"/>
                <w:b/>
                <w:bCs/>
              </w:rPr>
              <w:t>Marrakech</w:t>
            </w:r>
          </w:p>
        </w:tc>
        <w:tc>
          <w:tcPr>
            <w:tcW w:w="401" w:type="pct"/>
            <w:tcBorders>
              <w:top w:val="nil"/>
              <w:left w:val="nil"/>
              <w:bottom w:val="nil"/>
              <w:right w:val="nil"/>
            </w:tcBorders>
            <w:shd w:val="clear" w:color="auto" w:fill="auto"/>
            <w:noWrap/>
            <w:vAlign w:val="bottom"/>
            <w:hideMark/>
          </w:tcPr>
          <w:p w:rsidR="00A12EEA" w:rsidRPr="00A12EEA" w:rsidRDefault="00A12EEA">
            <w:pPr>
              <w:jc w:val="right"/>
              <w:rPr>
                <w:rFonts w:asciiTheme="majorBidi" w:hAnsiTheme="majorBidi" w:cstheme="majorBidi"/>
                <w:color w:val="000000"/>
              </w:rPr>
            </w:pPr>
            <w:r w:rsidRPr="00A12EEA">
              <w:rPr>
                <w:rFonts w:asciiTheme="majorBidi" w:hAnsiTheme="majorBidi" w:cstheme="majorBidi"/>
                <w:color w:val="000000"/>
              </w:rPr>
              <w:t>119,8</w:t>
            </w:r>
          </w:p>
        </w:tc>
        <w:tc>
          <w:tcPr>
            <w:tcW w:w="401" w:type="pct"/>
            <w:tcBorders>
              <w:top w:val="nil"/>
              <w:left w:val="nil"/>
              <w:bottom w:val="nil"/>
              <w:right w:val="nil"/>
            </w:tcBorders>
            <w:shd w:val="clear" w:color="auto" w:fill="auto"/>
            <w:noWrap/>
            <w:vAlign w:val="bottom"/>
            <w:hideMark/>
          </w:tcPr>
          <w:p w:rsidR="00A12EEA" w:rsidRPr="00A12EEA" w:rsidRDefault="00A12EEA">
            <w:pPr>
              <w:jc w:val="right"/>
              <w:rPr>
                <w:rFonts w:asciiTheme="majorBidi" w:hAnsiTheme="majorBidi" w:cstheme="majorBidi"/>
                <w:color w:val="000000"/>
              </w:rPr>
            </w:pPr>
            <w:r w:rsidRPr="00A12EEA">
              <w:rPr>
                <w:rFonts w:asciiTheme="majorBidi" w:hAnsiTheme="majorBidi" w:cstheme="majorBidi"/>
                <w:color w:val="000000"/>
              </w:rPr>
              <w:t>119,8</w:t>
            </w:r>
          </w:p>
        </w:tc>
        <w:tc>
          <w:tcPr>
            <w:tcW w:w="795" w:type="pct"/>
            <w:tcBorders>
              <w:top w:val="nil"/>
              <w:left w:val="nil"/>
              <w:bottom w:val="nil"/>
              <w:right w:val="nil"/>
            </w:tcBorders>
            <w:shd w:val="clear" w:color="auto" w:fill="auto"/>
            <w:noWrap/>
            <w:vAlign w:val="bottom"/>
            <w:hideMark/>
          </w:tcPr>
          <w:p w:rsidR="00A12EEA" w:rsidRPr="00A12EEA" w:rsidRDefault="00A12EEA">
            <w:pPr>
              <w:jc w:val="right"/>
              <w:rPr>
                <w:rFonts w:asciiTheme="majorBidi" w:hAnsiTheme="majorBidi" w:cstheme="majorBidi"/>
                <w:color w:val="000000"/>
              </w:rPr>
            </w:pPr>
            <w:r w:rsidRPr="00A12EEA">
              <w:rPr>
                <w:rFonts w:asciiTheme="majorBidi" w:hAnsiTheme="majorBidi" w:cstheme="majorBidi"/>
                <w:color w:val="000000"/>
              </w:rPr>
              <w:t>0,1</w:t>
            </w:r>
          </w:p>
        </w:tc>
      </w:tr>
      <w:tr w:rsidR="00A12EEA" w:rsidRPr="00D562EA" w:rsidTr="000665DB">
        <w:trPr>
          <w:trHeight w:val="397"/>
        </w:trPr>
        <w:tc>
          <w:tcPr>
            <w:tcW w:w="3403" w:type="pct"/>
            <w:tcBorders>
              <w:top w:val="nil"/>
              <w:left w:val="nil"/>
              <w:bottom w:val="nil"/>
              <w:right w:val="nil"/>
            </w:tcBorders>
            <w:shd w:val="clear" w:color="auto" w:fill="auto"/>
            <w:noWrap/>
            <w:vAlign w:val="bottom"/>
            <w:hideMark/>
          </w:tcPr>
          <w:p w:rsidR="00A12EEA" w:rsidRPr="00A12EEA" w:rsidRDefault="00A12EEA">
            <w:pPr>
              <w:rPr>
                <w:rFonts w:asciiTheme="majorBidi" w:hAnsiTheme="majorBidi" w:cstheme="majorBidi"/>
                <w:b/>
                <w:bCs/>
              </w:rPr>
            </w:pPr>
            <w:proofErr w:type="spellStart"/>
            <w:r w:rsidRPr="00A12EEA">
              <w:rPr>
                <w:rFonts w:asciiTheme="majorBidi" w:hAnsiTheme="majorBidi" w:cstheme="majorBidi"/>
                <w:b/>
                <w:bCs/>
              </w:rPr>
              <w:t>Guelmim</w:t>
            </w:r>
            <w:proofErr w:type="spellEnd"/>
          </w:p>
        </w:tc>
        <w:tc>
          <w:tcPr>
            <w:tcW w:w="401" w:type="pct"/>
            <w:tcBorders>
              <w:top w:val="nil"/>
              <w:left w:val="nil"/>
              <w:bottom w:val="nil"/>
              <w:right w:val="nil"/>
            </w:tcBorders>
            <w:shd w:val="clear" w:color="auto" w:fill="auto"/>
            <w:noWrap/>
            <w:vAlign w:val="bottom"/>
            <w:hideMark/>
          </w:tcPr>
          <w:p w:rsidR="00A12EEA" w:rsidRPr="00A12EEA" w:rsidRDefault="00A12EEA">
            <w:pPr>
              <w:jc w:val="right"/>
              <w:rPr>
                <w:rFonts w:asciiTheme="majorBidi" w:hAnsiTheme="majorBidi" w:cstheme="majorBidi"/>
                <w:color w:val="000000"/>
              </w:rPr>
            </w:pPr>
            <w:r w:rsidRPr="00A12EEA">
              <w:rPr>
                <w:rFonts w:asciiTheme="majorBidi" w:hAnsiTheme="majorBidi" w:cstheme="majorBidi"/>
                <w:color w:val="000000"/>
              </w:rPr>
              <w:t>119,4</w:t>
            </w:r>
          </w:p>
        </w:tc>
        <w:tc>
          <w:tcPr>
            <w:tcW w:w="401" w:type="pct"/>
            <w:tcBorders>
              <w:top w:val="nil"/>
              <w:left w:val="nil"/>
              <w:bottom w:val="nil"/>
              <w:right w:val="nil"/>
            </w:tcBorders>
            <w:shd w:val="clear" w:color="auto" w:fill="auto"/>
            <w:noWrap/>
            <w:vAlign w:val="bottom"/>
            <w:hideMark/>
          </w:tcPr>
          <w:p w:rsidR="00A12EEA" w:rsidRPr="00A12EEA" w:rsidRDefault="00A12EEA">
            <w:pPr>
              <w:jc w:val="right"/>
              <w:rPr>
                <w:rFonts w:asciiTheme="majorBidi" w:hAnsiTheme="majorBidi" w:cstheme="majorBidi"/>
                <w:color w:val="000000"/>
              </w:rPr>
            </w:pPr>
            <w:r w:rsidRPr="00A12EEA">
              <w:rPr>
                <w:rFonts w:asciiTheme="majorBidi" w:hAnsiTheme="majorBidi" w:cstheme="majorBidi"/>
                <w:color w:val="000000"/>
              </w:rPr>
              <w:t>120,1</w:t>
            </w:r>
          </w:p>
        </w:tc>
        <w:tc>
          <w:tcPr>
            <w:tcW w:w="795" w:type="pct"/>
            <w:tcBorders>
              <w:top w:val="nil"/>
              <w:left w:val="nil"/>
              <w:bottom w:val="nil"/>
              <w:right w:val="nil"/>
            </w:tcBorders>
            <w:shd w:val="clear" w:color="auto" w:fill="auto"/>
            <w:noWrap/>
            <w:vAlign w:val="bottom"/>
            <w:hideMark/>
          </w:tcPr>
          <w:p w:rsidR="00A12EEA" w:rsidRPr="00A12EEA" w:rsidRDefault="00A12EEA">
            <w:pPr>
              <w:jc w:val="right"/>
              <w:rPr>
                <w:rFonts w:asciiTheme="majorBidi" w:hAnsiTheme="majorBidi" w:cstheme="majorBidi"/>
                <w:color w:val="000000"/>
              </w:rPr>
            </w:pPr>
            <w:r w:rsidRPr="00A12EEA">
              <w:rPr>
                <w:rFonts w:asciiTheme="majorBidi" w:hAnsiTheme="majorBidi" w:cstheme="majorBidi"/>
                <w:color w:val="000000"/>
              </w:rPr>
              <w:t>0,6</w:t>
            </w:r>
          </w:p>
        </w:tc>
      </w:tr>
      <w:tr w:rsidR="00A12EEA" w:rsidRPr="009E2412" w:rsidTr="000665DB">
        <w:trPr>
          <w:trHeight w:val="397"/>
        </w:trPr>
        <w:tc>
          <w:tcPr>
            <w:tcW w:w="3403" w:type="pct"/>
            <w:tcBorders>
              <w:top w:val="nil"/>
              <w:left w:val="nil"/>
              <w:bottom w:val="nil"/>
              <w:right w:val="nil"/>
            </w:tcBorders>
            <w:shd w:val="clear" w:color="auto" w:fill="auto"/>
            <w:noWrap/>
            <w:vAlign w:val="bottom"/>
            <w:hideMark/>
          </w:tcPr>
          <w:p w:rsidR="00A12EEA" w:rsidRPr="00A12EEA" w:rsidRDefault="00A12EEA">
            <w:pPr>
              <w:rPr>
                <w:rFonts w:asciiTheme="majorBidi" w:hAnsiTheme="majorBidi" w:cstheme="majorBidi"/>
                <w:b/>
                <w:bCs/>
              </w:rPr>
            </w:pPr>
            <w:r w:rsidRPr="00A12EEA">
              <w:rPr>
                <w:rFonts w:asciiTheme="majorBidi" w:hAnsiTheme="majorBidi" w:cstheme="majorBidi"/>
                <w:b/>
                <w:bCs/>
              </w:rPr>
              <w:t>Tétouan</w:t>
            </w:r>
          </w:p>
        </w:tc>
        <w:tc>
          <w:tcPr>
            <w:tcW w:w="401" w:type="pct"/>
            <w:tcBorders>
              <w:top w:val="nil"/>
              <w:left w:val="nil"/>
              <w:bottom w:val="nil"/>
              <w:right w:val="nil"/>
            </w:tcBorders>
            <w:shd w:val="clear" w:color="auto" w:fill="auto"/>
            <w:noWrap/>
            <w:vAlign w:val="bottom"/>
            <w:hideMark/>
          </w:tcPr>
          <w:p w:rsidR="00A12EEA" w:rsidRPr="00A12EEA" w:rsidRDefault="00A12EEA">
            <w:pPr>
              <w:jc w:val="right"/>
              <w:rPr>
                <w:rFonts w:asciiTheme="majorBidi" w:hAnsiTheme="majorBidi" w:cstheme="majorBidi"/>
                <w:color w:val="000000"/>
              </w:rPr>
            </w:pPr>
            <w:r w:rsidRPr="00A12EEA">
              <w:rPr>
                <w:rFonts w:asciiTheme="majorBidi" w:hAnsiTheme="majorBidi" w:cstheme="majorBidi"/>
                <w:color w:val="000000"/>
              </w:rPr>
              <w:t>120,2</w:t>
            </w:r>
          </w:p>
        </w:tc>
        <w:tc>
          <w:tcPr>
            <w:tcW w:w="401" w:type="pct"/>
            <w:tcBorders>
              <w:top w:val="nil"/>
              <w:left w:val="nil"/>
              <w:bottom w:val="nil"/>
              <w:right w:val="nil"/>
            </w:tcBorders>
            <w:shd w:val="clear" w:color="auto" w:fill="auto"/>
            <w:noWrap/>
            <w:vAlign w:val="bottom"/>
            <w:hideMark/>
          </w:tcPr>
          <w:p w:rsidR="00A12EEA" w:rsidRPr="00A12EEA" w:rsidRDefault="00A12EEA">
            <w:pPr>
              <w:jc w:val="right"/>
              <w:rPr>
                <w:rFonts w:asciiTheme="majorBidi" w:hAnsiTheme="majorBidi" w:cstheme="majorBidi"/>
                <w:color w:val="000000"/>
              </w:rPr>
            </w:pPr>
            <w:r w:rsidRPr="00A12EEA">
              <w:rPr>
                <w:rFonts w:asciiTheme="majorBidi" w:hAnsiTheme="majorBidi" w:cstheme="majorBidi"/>
                <w:color w:val="000000"/>
              </w:rPr>
              <w:t>120,4</w:t>
            </w:r>
          </w:p>
        </w:tc>
        <w:tc>
          <w:tcPr>
            <w:tcW w:w="795" w:type="pct"/>
            <w:tcBorders>
              <w:top w:val="nil"/>
              <w:left w:val="nil"/>
              <w:bottom w:val="nil"/>
              <w:right w:val="nil"/>
            </w:tcBorders>
            <w:shd w:val="clear" w:color="auto" w:fill="auto"/>
            <w:noWrap/>
            <w:vAlign w:val="bottom"/>
            <w:hideMark/>
          </w:tcPr>
          <w:p w:rsidR="00A12EEA" w:rsidRPr="00A12EEA" w:rsidRDefault="00A12EEA">
            <w:pPr>
              <w:jc w:val="right"/>
              <w:rPr>
                <w:rFonts w:asciiTheme="majorBidi" w:hAnsiTheme="majorBidi" w:cstheme="majorBidi"/>
                <w:color w:val="000000"/>
              </w:rPr>
            </w:pPr>
            <w:r w:rsidRPr="00A12EEA">
              <w:rPr>
                <w:rFonts w:asciiTheme="majorBidi" w:hAnsiTheme="majorBidi" w:cstheme="majorBidi"/>
                <w:color w:val="000000"/>
              </w:rPr>
              <w:t>0,2</w:t>
            </w:r>
          </w:p>
        </w:tc>
      </w:tr>
      <w:tr w:rsidR="00A12EEA" w:rsidRPr="00B432FD" w:rsidTr="000665DB">
        <w:trPr>
          <w:trHeight w:val="397"/>
        </w:trPr>
        <w:tc>
          <w:tcPr>
            <w:tcW w:w="3403" w:type="pct"/>
            <w:tcBorders>
              <w:top w:val="nil"/>
              <w:left w:val="nil"/>
              <w:bottom w:val="nil"/>
              <w:right w:val="nil"/>
            </w:tcBorders>
            <w:shd w:val="clear" w:color="auto" w:fill="auto"/>
            <w:noWrap/>
            <w:vAlign w:val="bottom"/>
            <w:hideMark/>
          </w:tcPr>
          <w:p w:rsidR="00A12EEA" w:rsidRPr="00B432FD" w:rsidRDefault="00A12EEA">
            <w:pPr>
              <w:rPr>
                <w:rFonts w:asciiTheme="majorBidi" w:hAnsiTheme="majorBidi" w:cstheme="majorBidi"/>
                <w:b/>
                <w:bCs/>
                <w:color w:val="4F81BD" w:themeColor="accent1"/>
                <w:sz w:val="24"/>
                <w:szCs w:val="24"/>
              </w:rPr>
            </w:pPr>
            <w:r w:rsidRPr="00B432FD">
              <w:rPr>
                <w:rFonts w:asciiTheme="majorBidi" w:hAnsiTheme="majorBidi" w:cstheme="majorBidi"/>
                <w:b/>
                <w:bCs/>
                <w:color w:val="4F81BD" w:themeColor="accent1"/>
              </w:rPr>
              <w:t>Ensemble</w:t>
            </w:r>
          </w:p>
        </w:tc>
        <w:tc>
          <w:tcPr>
            <w:tcW w:w="401" w:type="pct"/>
            <w:tcBorders>
              <w:top w:val="nil"/>
              <w:left w:val="nil"/>
              <w:bottom w:val="nil"/>
              <w:right w:val="nil"/>
            </w:tcBorders>
            <w:shd w:val="clear" w:color="auto" w:fill="auto"/>
            <w:noWrap/>
            <w:vAlign w:val="bottom"/>
            <w:hideMark/>
          </w:tcPr>
          <w:p w:rsidR="00A12EEA" w:rsidRPr="00B432FD" w:rsidRDefault="00A12EEA">
            <w:pPr>
              <w:jc w:val="right"/>
              <w:rPr>
                <w:rFonts w:asciiTheme="majorBidi" w:hAnsiTheme="majorBidi" w:cstheme="majorBidi"/>
                <w:b/>
                <w:bCs/>
                <w:color w:val="4F81BD" w:themeColor="accent1"/>
                <w:sz w:val="24"/>
                <w:szCs w:val="24"/>
              </w:rPr>
            </w:pPr>
            <w:r w:rsidRPr="00B432FD">
              <w:rPr>
                <w:rFonts w:asciiTheme="majorBidi" w:hAnsiTheme="majorBidi" w:cstheme="majorBidi"/>
                <w:b/>
                <w:bCs/>
                <w:color w:val="4F81BD" w:themeColor="accent1"/>
              </w:rPr>
              <w:t>120,1</w:t>
            </w:r>
          </w:p>
        </w:tc>
        <w:tc>
          <w:tcPr>
            <w:tcW w:w="401" w:type="pct"/>
            <w:tcBorders>
              <w:top w:val="nil"/>
              <w:left w:val="nil"/>
              <w:bottom w:val="nil"/>
              <w:right w:val="nil"/>
            </w:tcBorders>
            <w:shd w:val="clear" w:color="auto" w:fill="auto"/>
            <w:noWrap/>
            <w:vAlign w:val="bottom"/>
            <w:hideMark/>
          </w:tcPr>
          <w:p w:rsidR="00A12EEA" w:rsidRPr="00B432FD" w:rsidRDefault="00A12EEA">
            <w:pPr>
              <w:jc w:val="right"/>
              <w:rPr>
                <w:rFonts w:asciiTheme="majorBidi" w:hAnsiTheme="majorBidi" w:cstheme="majorBidi"/>
                <w:b/>
                <w:bCs/>
                <w:color w:val="4F81BD" w:themeColor="accent1"/>
                <w:sz w:val="24"/>
                <w:szCs w:val="24"/>
              </w:rPr>
            </w:pPr>
            <w:r w:rsidRPr="00B432FD">
              <w:rPr>
                <w:rFonts w:asciiTheme="majorBidi" w:hAnsiTheme="majorBidi" w:cstheme="majorBidi"/>
                <w:b/>
                <w:bCs/>
                <w:color w:val="4F81BD" w:themeColor="accent1"/>
              </w:rPr>
              <w:t>120,4</w:t>
            </w:r>
          </w:p>
        </w:tc>
        <w:tc>
          <w:tcPr>
            <w:tcW w:w="795" w:type="pct"/>
            <w:tcBorders>
              <w:top w:val="nil"/>
              <w:left w:val="nil"/>
              <w:bottom w:val="nil"/>
              <w:right w:val="nil"/>
            </w:tcBorders>
            <w:shd w:val="clear" w:color="auto" w:fill="auto"/>
            <w:noWrap/>
            <w:vAlign w:val="bottom"/>
            <w:hideMark/>
          </w:tcPr>
          <w:p w:rsidR="00A12EEA" w:rsidRPr="00B432FD" w:rsidRDefault="00A12EEA">
            <w:pPr>
              <w:jc w:val="right"/>
              <w:rPr>
                <w:rFonts w:asciiTheme="majorBidi" w:hAnsiTheme="majorBidi" w:cstheme="majorBidi"/>
                <w:b/>
                <w:bCs/>
                <w:color w:val="4F81BD" w:themeColor="accent1"/>
                <w:sz w:val="24"/>
                <w:szCs w:val="24"/>
              </w:rPr>
            </w:pPr>
            <w:r w:rsidRPr="00B432FD">
              <w:rPr>
                <w:rFonts w:asciiTheme="majorBidi" w:hAnsiTheme="majorBidi" w:cstheme="majorBidi"/>
                <w:b/>
                <w:bCs/>
                <w:color w:val="4F81BD" w:themeColor="accent1"/>
              </w:rPr>
              <w:t>0,3</w:t>
            </w:r>
          </w:p>
        </w:tc>
      </w:tr>
      <w:tr w:rsidR="00A12EEA" w:rsidRPr="009E2412" w:rsidTr="000665DB">
        <w:trPr>
          <w:trHeight w:val="397"/>
        </w:trPr>
        <w:tc>
          <w:tcPr>
            <w:tcW w:w="3403" w:type="pct"/>
            <w:tcBorders>
              <w:top w:val="nil"/>
              <w:left w:val="nil"/>
              <w:bottom w:val="nil"/>
              <w:right w:val="nil"/>
            </w:tcBorders>
            <w:shd w:val="clear" w:color="auto" w:fill="auto"/>
            <w:noWrap/>
            <w:vAlign w:val="bottom"/>
            <w:hideMark/>
          </w:tcPr>
          <w:p w:rsidR="00A12EEA" w:rsidRPr="00A12EEA" w:rsidRDefault="00A12EEA">
            <w:pPr>
              <w:rPr>
                <w:rFonts w:asciiTheme="majorBidi" w:hAnsiTheme="majorBidi" w:cstheme="majorBidi"/>
                <w:b/>
                <w:bCs/>
              </w:rPr>
            </w:pPr>
            <w:r w:rsidRPr="00A12EEA">
              <w:rPr>
                <w:rFonts w:asciiTheme="majorBidi" w:hAnsiTheme="majorBidi" w:cstheme="majorBidi"/>
                <w:b/>
                <w:bCs/>
              </w:rPr>
              <w:t xml:space="preserve">El </w:t>
            </w:r>
            <w:proofErr w:type="spellStart"/>
            <w:r w:rsidRPr="00A12EEA">
              <w:rPr>
                <w:rFonts w:asciiTheme="majorBidi" w:hAnsiTheme="majorBidi" w:cstheme="majorBidi"/>
                <w:b/>
                <w:bCs/>
              </w:rPr>
              <w:t>houceima</w:t>
            </w:r>
            <w:proofErr w:type="spellEnd"/>
          </w:p>
        </w:tc>
        <w:tc>
          <w:tcPr>
            <w:tcW w:w="401" w:type="pct"/>
            <w:tcBorders>
              <w:top w:val="nil"/>
              <w:left w:val="nil"/>
              <w:bottom w:val="nil"/>
              <w:right w:val="nil"/>
            </w:tcBorders>
            <w:shd w:val="clear" w:color="auto" w:fill="auto"/>
            <w:noWrap/>
            <w:vAlign w:val="bottom"/>
            <w:hideMark/>
          </w:tcPr>
          <w:p w:rsidR="00A12EEA" w:rsidRPr="00A12EEA" w:rsidRDefault="00A12EEA">
            <w:pPr>
              <w:jc w:val="right"/>
              <w:rPr>
                <w:rFonts w:asciiTheme="majorBidi" w:hAnsiTheme="majorBidi" w:cstheme="majorBidi"/>
                <w:color w:val="000000"/>
              </w:rPr>
            </w:pPr>
            <w:r w:rsidRPr="00A12EEA">
              <w:rPr>
                <w:rFonts w:asciiTheme="majorBidi" w:hAnsiTheme="majorBidi" w:cstheme="majorBidi"/>
                <w:color w:val="000000"/>
              </w:rPr>
              <w:t>120,3</w:t>
            </w:r>
          </w:p>
        </w:tc>
        <w:tc>
          <w:tcPr>
            <w:tcW w:w="401" w:type="pct"/>
            <w:tcBorders>
              <w:top w:val="nil"/>
              <w:left w:val="nil"/>
              <w:bottom w:val="nil"/>
              <w:right w:val="nil"/>
            </w:tcBorders>
            <w:shd w:val="clear" w:color="auto" w:fill="auto"/>
            <w:noWrap/>
            <w:vAlign w:val="bottom"/>
            <w:hideMark/>
          </w:tcPr>
          <w:p w:rsidR="00A12EEA" w:rsidRPr="00A12EEA" w:rsidRDefault="00A12EEA">
            <w:pPr>
              <w:jc w:val="right"/>
              <w:rPr>
                <w:rFonts w:asciiTheme="majorBidi" w:hAnsiTheme="majorBidi" w:cstheme="majorBidi"/>
                <w:color w:val="000000"/>
              </w:rPr>
            </w:pPr>
            <w:r w:rsidRPr="00A12EEA">
              <w:rPr>
                <w:rFonts w:asciiTheme="majorBidi" w:hAnsiTheme="majorBidi" w:cstheme="majorBidi"/>
                <w:color w:val="000000"/>
              </w:rPr>
              <w:t>120,9</w:t>
            </w:r>
          </w:p>
        </w:tc>
        <w:tc>
          <w:tcPr>
            <w:tcW w:w="795" w:type="pct"/>
            <w:tcBorders>
              <w:top w:val="nil"/>
              <w:left w:val="nil"/>
              <w:bottom w:val="nil"/>
              <w:right w:val="nil"/>
            </w:tcBorders>
            <w:shd w:val="clear" w:color="auto" w:fill="auto"/>
            <w:noWrap/>
            <w:vAlign w:val="bottom"/>
            <w:hideMark/>
          </w:tcPr>
          <w:p w:rsidR="00A12EEA" w:rsidRPr="00A12EEA" w:rsidRDefault="00A12EEA">
            <w:pPr>
              <w:jc w:val="right"/>
              <w:rPr>
                <w:rFonts w:asciiTheme="majorBidi" w:hAnsiTheme="majorBidi" w:cstheme="majorBidi"/>
                <w:color w:val="000000"/>
              </w:rPr>
            </w:pPr>
            <w:r w:rsidRPr="00A12EEA">
              <w:rPr>
                <w:rFonts w:asciiTheme="majorBidi" w:hAnsiTheme="majorBidi" w:cstheme="majorBidi"/>
                <w:color w:val="000000"/>
              </w:rPr>
              <w:t>0,5</w:t>
            </w:r>
          </w:p>
        </w:tc>
      </w:tr>
      <w:tr w:rsidR="00A12EEA" w:rsidRPr="009E2412" w:rsidTr="000665DB">
        <w:trPr>
          <w:trHeight w:val="397"/>
        </w:trPr>
        <w:tc>
          <w:tcPr>
            <w:tcW w:w="3403" w:type="pct"/>
            <w:tcBorders>
              <w:top w:val="nil"/>
              <w:left w:val="nil"/>
              <w:bottom w:val="nil"/>
              <w:right w:val="nil"/>
            </w:tcBorders>
            <w:shd w:val="clear" w:color="auto" w:fill="auto"/>
            <w:noWrap/>
            <w:vAlign w:val="bottom"/>
            <w:hideMark/>
          </w:tcPr>
          <w:p w:rsidR="00A12EEA" w:rsidRPr="00A12EEA" w:rsidRDefault="00A12EEA">
            <w:pPr>
              <w:rPr>
                <w:rFonts w:asciiTheme="majorBidi" w:hAnsiTheme="majorBidi" w:cstheme="majorBidi"/>
                <w:b/>
                <w:bCs/>
              </w:rPr>
            </w:pPr>
            <w:r w:rsidRPr="00A12EEA">
              <w:rPr>
                <w:rFonts w:asciiTheme="majorBidi" w:hAnsiTheme="majorBidi" w:cstheme="majorBidi"/>
                <w:b/>
                <w:bCs/>
              </w:rPr>
              <w:t>Tanger</w:t>
            </w:r>
          </w:p>
        </w:tc>
        <w:tc>
          <w:tcPr>
            <w:tcW w:w="401" w:type="pct"/>
            <w:tcBorders>
              <w:top w:val="nil"/>
              <w:left w:val="nil"/>
              <w:bottom w:val="nil"/>
              <w:right w:val="nil"/>
            </w:tcBorders>
            <w:shd w:val="clear" w:color="auto" w:fill="auto"/>
            <w:noWrap/>
            <w:vAlign w:val="bottom"/>
            <w:hideMark/>
          </w:tcPr>
          <w:p w:rsidR="00A12EEA" w:rsidRPr="00A12EEA" w:rsidRDefault="00A12EEA">
            <w:pPr>
              <w:jc w:val="right"/>
              <w:rPr>
                <w:rFonts w:asciiTheme="majorBidi" w:hAnsiTheme="majorBidi" w:cstheme="majorBidi"/>
                <w:color w:val="000000"/>
              </w:rPr>
            </w:pPr>
            <w:r w:rsidRPr="00A12EEA">
              <w:rPr>
                <w:rFonts w:asciiTheme="majorBidi" w:hAnsiTheme="majorBidi" w:cstheme="majorBidi"/>
                <w:color w:val="000000"/>
              </w:rPr>
              <w:t>121,8</w:t>
            </w:r>
          </w:p>
        </w:tc>
        <w:tc>
          <w:tcPr>
            <w:tcW w:w="401" w:type="pct"/>
            <w:tcBorders>
              <w:top w:val="nil"/>
              <w:left w:val="nil"/>
              <w:bottom w:val="nil"/>
              <w:right w:val="nil"/>
            </w:tcBorders>
            <w:shd w:val="clear" w:color="auto" w:fill="auto"/>
            <w:noWrap/>
            <w:vAlign w:val="bottom"/>
            <w:hideMark/>
          </w:tcPr>
          <w:p w:rsidR="00A12EEA" w:rsidRPr="00A12EEA" w:rsidRDefault="00A12EEA">
            <w:pPr>
              <w:jc w:val="right"/>
              <w:rPr>
                <w:rFonts w:asciiTheme="majorBidi" w:hAnsiTheme="majorBidi" w:cstheme="majorBidi"/>
                <w:color w:val="000000"/>
              </w:rPr>
            </w:pPr>
            <w:r w:rsidRPr="00A12EEA">
              <w:rPr>
                <w:rFonts w:asciiTheme="majorBidi" w:hAnsiTheme="majorBidi" w:cstheme="majorBidi"/>
                <w:color w:val="000000"/>
              </w:rPr>
              <w:t>122,1</w:t>
            </w:r>
          </w:p>
        </w:tc>
        <w:tc>
          <w:tcPr>
            <w:tcW w:w="795" w:type="pct"/>
            <w:tcBorders>
              <w:top w:val="nil"/>
              <w:left w:val="nil"/>
              <w:bottom w:val="nil"/>
              <w:right w:val="nil"/>
            </w:tcBorders>
            <w:shd w:val="clear" w:color="auto" w:fill="auto"/>
            <w:noWrap/>
            <w:vAlign w:val="bottom"/>
            <w:hideMark/>
          </w:tcPr>
          <w:p w:rsidR="00A12EEA" w:rsidRPr="00A12EEA" w:rsidRDefault="00A12EEA">
            <w:pPr>
              <w:jc w:val="right"/>
              <w:rPr>
                <w:rFonts w:asciiTheme="majorBidi" w:hAnsiTheme="majorBidi" w:cstheme="majorBidi"/>
                <w:color w:val="000000"/>
              </w:rPr>
            </w:pPr>
            <w:r w:rsidRPr="00A12EEA">
              <w:rPr>
                <w:rFonts w:asciiTheme="majorBidi" w:hAnsiTheme="majorBidi" w:cstheme="majorBidi"/>
                <w:color w:val="000000"/>
              </w:rPr>
              <w:t>0,2</w:t>
            </w:r>
          </w:p>
        </w:tc>
      </w:tr>
      <w:tr w:rsidR="00A12EEA" w:rsidRPr="009E2412" w:rsidTr="000665DB">
        <w:trPr>
          <w:trHeight w:val="397"/>
        </w:trPr>
        <w:tc>
          <w:tcPr>
            <w:tcW w:w="3403" w:type="pct"/>
            <w:tcBorders>
              <w:top w:val="nil"/>
              <w:left w:val="nil"/>
              <w:bottom w:val="nil"/>
              <w:right w:val="nil"/>
            </w:tcBorders>
            <w:shd w:val="clear" w:color="auto" w:fill="auto"/>
            <w:noWrap/>
            <w:vAlign w:val="bottom"/>
            <w:hideMark/>
          </w:tcPr>
          <w:p w:rsidR="00A12EEA" w:rsidRPr="00A12EEA" w:rsidRDefault="00A12EEA">
            <w:pPr>
              <w:rPr>
                <w:rFonts w:asciiTheme="majorBidi" w:hAnsiTheme="majorBidi" w:cstheme="majorBidi"/>
                <w:b/>
                <w:bCs/>
              </w:rPr>
            </w:pPr>
            <w:proofErr w:type="spellStart"/>
            <w:r w:rsidRPr="00A12EEA">
              <w:rPr>
                <w:rFonts w:asciiTheme="majorBidi" w:hAnsiTheme="majorBidi" w:cstheme="majorBidi"/>
                <w:b/>
                <w:bCs/>
              </w:rPr>
              <w:t>Meknes</w:t>
            </w:r>
            <w:proofErr w:type="spellEnd"/>
          </w:p>
        </w:tc>
        <w:tc>
          <w:tcPr>
            <w:tcW w:w="401" w:type="pct"/>
            <w:tcBorders>
              <w:top w:val="nil"/>
              <w:left w:val="nil"/>
              <w:bottom w:val="nil"/>
              <w:right w:val="nil"/>
            </w:tcBorders>
            <w:shd w:val="clear" w:color="auto" w:fill="auto"/>
            <w:noWrap/>
            <w:vAlign w:val="bottom"/>
            <w:hideMark/>
          </w:tcPr>
          <w:p w:rsidR="00A12EEA" w:rsidRPr="00A12EEA" w:rsidRDefault="00A12EEA">
            <w:pPr>
              <w:jc w:val="right"/>
              <w:rPr>
                <w:rFonts w:asciiTheme="majorBidi" w:hAnsiTheme="majorBidi" w:cstheme="majorBidi"/>
                <w:color w:val="000000"/>
              </w:rPr>
            </w:pPr>
            <w:r w:rsidRPr="00A12EEA">
              <w:rPr>
                <w:rFonts w:asciiTheme="majorBidi" w:hAnsiTheme="majorBidi" w:cstheme="majorBidi"/>
                <w:color w:val="000000"/>
              </w:rPr>
              <w:t>121,7</w:t>
            </w:r>
          </w:p>
        </w:tc>
        <w:tc>
          <w:tcPr>
            <w:tcW w:w="401" w:type="pct"/>
            <w:tcBorders>
              <w:top w:val="nil"/>
              <w:left w:val="nil"/>
              <w:bottom w:val="nil"/>
              <w:right w:val="nil"/>
            </w:tcBorders>
            <w:shd w:val="clear" w:color="auto" w:fill="auto"/>
            <w:noWrap/>
            <w:vAlign w:val="bottom"/>
            <w:hideMark/>
          </w:tcPr>
          <w:p w:rsidR="00A12EEA" w:rsidRPr="00A12EEA" w:rsidRDefault="00A12EEA">
            <w:pPr>
              <w:jc w:val="right"/>
              <w:rPr>
                <w:rFonts w:asciiTheme="majorBidi" w:hAnsiTheme="majorBidi" w:cstheme="majorBidi"/>
                <w:color w:val="000000"/>
              </w:rPr>
            </w:pPr>
            <w:r w:rsidRPr="00A12EEA">
              <w:rPr>
                <w:rFonts w:asciiTheme="majorBidi" w:hAnsiTheme="majorBidi" w:cstheme="majorBidi"/>
                <w:color w:val="000000"/>
              </w:rPr>
              <w:t>122,3</w:t>
            </w:r>
          </w:p>
        </w:tc>
        <w:tc>
          <w:tcPr>
            <w:tcW w:w="795" w:type="pct"/>
            <w:tcBorders>
              <w:top w:val="nil"/>
              <w:left w:val="nil"/>
              <w:bottom w:val="nil"/>
              <w:right w:val="nil"/>
            </w:tcBorders>
            <w:shd w:val="clear" w:color="auto" w:fill="auto"/>
            <w:noWrap/>
            <w:vAlign w:val="bottom"/>
            <w:hideMark/>
          </w:tcPr>
          <w:p w:rsidR="00A12EEA" w:rsidRPr="00A12EEA" w:rsidRDefault="00A12EEA">
            <w:pPr>
              <w:jc w:val="right"/>
              <w:rPr>
                <w:rFonts w:asciiTheme="majorBidi" w:hAnsiTheme="majorBidi" w:cstheme="majorBidi"/>
                <w:color w:val="000000"/>
              </w:rPr>
            </w:pPr>
            <w:r w:rsidRPr="00A12EEA">
              <w:rPr>
                <w:rFonts w:asciiTheme="majorBidi" w:hAnsiTheme="majorBidi" w:cstheme="majorBidi"/>
                <w:color w:val="000000"/>
              </w:rPr>
              <w:t>0,5</w:t>
            </w:r>
          </w:p>
        </w:tc>
      </w:tr>
      <w:tr w:rsidR="00A12EEA" w:rsidRPr="009E2412" w:rsidTr="000665DB">
        <w:trPr>
          <w:trHeight w:val="397"/>
        </w:trPr>
        <w:tc>
          <w:tcPr>
            <w:tcW w:w="3403" w:type="pct"/>
            <w:tcBorders>
              <w:top w:val="nil"/>
              <w:left w:val="nil"/>
              <w:bottom w:val="nil"/>
              <w:right w:val="nil"/>
            </w:tcBorders>
            <w:shd w:val="clear" w:color="auto" w:fill="auto"/>
            <w:noWrap/>
            <w:vAlign w:val="bottom"/>
            <w:hideMark/>
          </w:tcPr>
          <w:p w:rsidR="00A12EEA" w:rsidRPr="00A12EEA" w:rsidRDefault="00A12EEA">
            <w:pPr>
              <w:rPr>
                <w:rFonts w:asciiTheme="majorBidi" w:hAnsiTheme="majorBidi" w:cstheme="majorBidi"/>
                <w:b/>
                <w:bCs/>
              </w:rPr>
            </w:pPr>
            <w:proofErr w:type="spellStart"/>
            <w:r w:rsidRPr="00A12EEA">
              <w:rPr>
                <w:rFonts w:asciiTheme="majorBidi" w:hAnsiTheme="majorBidi" w:cstheme="majorBidi"/>
                <w:b/>
                <w:bCs/>
              </w:rPr>
              <w:t>Fes</w:t>
            </w:r>
            <w:proofErr w:type="spellEnd"/>
          </w:p>
        </w:tc>
        <w:tc>
          <w:tcPr>
            <w:tcW w:w="401" w:type="pct"/>
            <w:tcBorders>
              <w:top w:val="nil"/>
              <w:left w:val="nil"/>
              <w:bottom w:val="nil"/>
              <w:right w:val="nil"/>
            </w:tcBorders>
            <w:shd w:val="clear" w:color="auto" w:fill="auto"/>
            <w:noWrap/>
            <w:vAlign w:val="bottom"/>
            <w:hideMark/>
          </w:tcPr>
          <w:p w:rsidR="00A12EEA" w:rsidRPr="00A12EEA" w:rsidRDefault="00A12EEA">
            <w:pPr>
              <w:jc w:val="right"/>
              <w:rPr>
                <w:rFonts w:asciiTheme="majorBidi" w:hAnsiTheme="majorBidi" w:cstheme="majorBidi"/>
                <w:color w:val="000000"/>
              </w:rPr>
            </w:pPr>
            <w:r w:rsidRPr="00A12EEA">
              <w:rPr>
                <w:rFonts w:asciiTheme="majorBidi" w:hAnsiTheme="majorBidi" w:cstheme="majorBidi"/>
                <w:color w:val="000000"/>
              </w:rPr>
              <w:t>120,9</w:t>
            </w:r>
          </w:p>
        </w:tc>
        <w:tc>
          <w:tcPr>
            <w:tcW w:w="401" w:type="pct"/>
            <w:tcBorders>
              <w:top w:val="nil"/>
              <w:left w:val="nil"/>
              <w:bottom w:val="nil"/>
              <w:right w:val="nil"/>
            </w:tcBorders>
            <w:shd w:val="clear" w:color="auto" w:fill="auto"/>
            <w:noWrap/>
            <w:vAlign w:val="bottom"/>
            <w:hideMark/>
          </w:tcPr>
          <w:p w:rsidR="00A12EEA" w:rsidRPr="00A12EEA" w:rsidRDefault="00A12EEA">
            <w:pPr>
              <w:jc w:val="right"/>
              <w:rPr>
                <w:rFonts w:asciiTheme="majorBidi" w:hAnsiTheme="majorBidi" w:cstheme="majorBidi"/>
                <w:color w:val="000000"/>
              </w:rPr>
            </w:pPr>
            <w:r w:rsidRPr="00A12EEA">
              <w:rPr>
                <w:rFonts w:asciiTheme="majorBidi" w:hAnsiTheme="majorBidi" w:cstheme="majorBidi"/>
                <w:color w:val="000000"/>
              </w:rPr>
              <w:t>122,4</w:t>
            </w:r>
          </w:p>
        </w:tc>
        <w:tc>
          <w:tcPr>
            <w:tcW w:w="795" w:type="pct"/>
            <w:tcBorders>
              <w:top w:val="nil"/>
              <w:left w:val="nil"/>
              <w:bottom w:val="nil"/>
              <w:right w:val="nil"/>
            </w:tcBorders>
            <w:shd w:val="clear" w:color="auto" w:fill="auto"/>
            <w:noWrap/>
            <w:vAlign w:val="bottom"/>
            <w:hideMark/>
          </w:tcPr>
          <w:p w:rsidR="00A12EEA" w:rsidRPr="00A12EEA" w:rsidRDefault="00A12EEA">
            <w:pPr>
              <w:jc w:val="right"/>
              <w:rPr>
                <w:rFonts w:asciiTheme="majorBidi" w:hAnsiTheme="majorBidi" w:cstheme="majorBidi"/>
                <w:color w:val="000000"/>
              </w:rPr>
            </w:pPr>
            <w:r w:rsidRPr="00A12EEA">
              <w:rPr>
                <w:rFonts w:asciiTheme="majorBidi" w:hAnsiTheme="majorBidi" w:cstheme="majorBidi"/>
                <w:color w:val="000000"/>
              </w:rPr>
              <w:t>1,2</w:t>
            </w:r>
          </w:p>
        </w:tc>
      </w:tr>
      <w:tr w:rsidR="00A12EEA" w:rsidRPr="009E2412" w:rsidTr="000665DB">
        <w:trPr>
          <w:trHeight w:val="397"/>
        </w:trPr>
        <w:tc>
          <w:tcPr>
            <w:tcW w:w="3403" w:type="pct"/>
            <w:tcBorders>
              <w:top w:val="nil"/>
              <w:left w:val="nil"/>
              <w:bottom w:val="nil"/>
              <w:right w:val="nil"/>
            </w:tcBorders>
            <w:shd w:val="clear" w:color="auto" w:fill="auto"/>
            <w:noWrap/>
            <w:vAlign w:val="bottom"/>
            <w:hideMark/>
          </w:tcPr>
          <w:p w:rsidR="00A12EEA" w:rsidRPr="00A12EEA" w:rsidRDefault="00A12EEA">
            <w:pPr>
              <w:rPr>
                <w:rFonts w:asciiTheme="majorBidi" w:hAnsiTheme="majorBidi" w:cstheme="majorBidi"/>
                <w:b/>
                <w:bCs/>
              </w:rPr>
            </w:pPr>
            <w:r w:rsidRPr="00A12EEA">
              <w:rPr>
                <w:rFonts w:asciiTheme="majorBidi" w:hAnsiTheme="majorBidi" w:cstheme="majorBidi"/>
                <w:b/>
                <w:bCs/>
              </w:rPr>
              <w:t>Dakhla</w:t>
            </w:r>
          </w:p>
        </w:tc>
        <w:tc>
          <w:tcPr>
            <w:tcW w:w="401" w:type="pct"/>
            <w:tcBorders>
              <w:top w:val="nil"/>
              <w:left w:val="nil"/>
              <w:bottom w:val="nil"/>
              <w:right w:val="nil"/>
            </w:tcBorders>
            <w:shd w:val="clear" w:color="auto" w:fill="auto"/>
            <w:noWrap/>
            <w:vAlign w:val="bottom"/>
            <w:hideMark/>
          </w:tcPr>
          <w:p w:rsidR="00A12EEA" w:rsidRPr="00A12EEA" w:rsidRDefault="00A12EEA">
            <w:pPr>
              <w:jc w:val="right"/>
              <w:rPr>
                <w:rFonts w:asciiTheme="majorBidi" w:hAnsiTheme="majorBidi" w:cstheme="majorBidi"/>
                <w:color w:val="000000"/>
              </w:rPr>
            </w:pPr>
            <w:r w:rsidRPr="00A12EEA">
              <w:rPr>
                <w:rFonts w:asciiTheme="majorBidi" w:hAnsiTheme="majorBidi" w:cstheme="majorBidi"/>
                <w:color w:val="000000"/>
              </w:rPr>
              <w:t>121,9</w:t>
            </w:r>
          </w:p>
        </w:tc>
        <w:tc>
          <w:tcPr>
            <w:tcW w:w="401" w:type="pct"/>
            <w:tcBorders>
              <w:top w:val="nil"/>
              <w:left w:val="nil"/>
              <w:bottom w:val="nil"/>
              <w:right w:val="nil"/>
            </w:tcBorders>
            <w:shd w:val="clear" w:color="auto" w:fill="auto"/>
            <w:noWrap/>
            <w:vAlign w:val="bottom"/>
            <w:hideMark/>
          </w:tcPr>
          <w:p w:rsidR="00A12EEA" w:rsidRPr="00A12EEA" w:rsidRDefault="00A12EEA">
            <w:pPr>
              <w:jc w:val="right"/>
              <w:rPr>
                <w:rFonts w:asciiTheme="majorBidi" w:hAnsiTheme="majorBidi" w:cstheme="majorBidi"/>
                <w:color w:val="000000"/>
              </w:rPr>
            </w:pPr>
            <w:r w:rsidRPr="00A12EEA">
              <w:rPr>
                <w:rFonts w:asciiTheme="majorBidi" w:hAnsiTheme="majorBidi" w:cstheme="majorBidi"/>
                <w:color w:val="000000"/>
              </w:rPr>
              <w:t>122,4</w:t>
            </w:r>
          </w:p>
        </w:tc>
        <w:tc>
          <w:tcPr>
            <w:tcW w:w="795" w:type="pct"/>
            <w:tcBorders>
              <w:top w:val="nil"/>
              <w:left w:val="nil"/>
              <w:bottom w:val="nil"/>
              <w:right w:val="nil"/>
            </w:tcBorders>
            <w:shd w:val="clear" w:color="auto" w:fill="auto"/>
            <w:noWrap/>
            <w:vAlign w:val="bottom"/>
            <w:hideMark/>
          </w:tcPr>
          <w:p w:rsidR="00A12EEA" w:rsidRPr="00A12EEA" w:rsidRDefault="00A12EEA">
            <w:pPr>
              <w:jc w:val="right"/>
              <w:rPr>
                <w:rFonts w:asciiTheme="majorBidi" w:hAnsiTheme="majorBidi" w:cstheme="majorBidi"/>
                <w:color w:val="000000"/>
              </w:rPr>
            </w:pPr>
            <w:r w:rsidRPr="00A12EEA">
              <w:rPr>
                <w:rFonts w:asciiTheme="majorBidi" w:hAnsiTheme="majorBidi" w:cstheme="majorBidi"/>
                <w:color w:val="000000"/>
              </w:rPr>
              <w:t>0,4</w:t>
            </w:r>
          </w:p>
        </w:tc>
      </w:tr>
      <w:tr w:rsidR="00A12EEA" w:rsidRPr="009E2412" w:rsidTr="000665DB">
        <w:trPr>
          <w:trHeight w:val="397"/>
        </w:trPr>
        <w:tc>
          <w:tcPr>
            <w:tcW w:w="3403" w:type="pct"/>
            <w:tcBorders>
              <w:top w:val="nil"/>
              <w:left w:val="nil"/>
              <w:right w:val="nil"/>
            </w:tcBorders>
            <w:shd w:val="clear" w:color="auto" w:fill="auto"/>
            <w:noWrap/>
            <w:vAlign w:val="bottom"/>
            <w:hideMark/>
          </w:tcPr>
          <w:p w:rsidR="00A12EEA" w:rsidRPr="00A12EEA" w:rsidRDefault="00A12EEA">
            <w:pPr>
              <w:rPr>
                <w:rFonts w:asciiTheme="majorBidi" w:hAnsiTheme="majorBidi" w:cstheme="majorBidi"/>
                <w:b/>
                <w:bCs/>
              </w:rPr>
            </w:pPr>
            <w:proofErr w:type="spellStart"/>
            <w:r w:rsidRPr="00A12EEA">
              <w:rPr>
                <w:rFonts w:asciiTheme="majorBidi" w:hAnsiTheme="majorBidi" w:cstheme="majorBidi"/>
                <w:b/>
                <w:bCs/>
              </w:rPr>
              <w:t>Laayoune</w:t>
            </w:r>
            <w:proofErr w:type="spellEnd"/>
          </w:p>
        </w:tc>
        <w:tc>
          <w:tcPr>
            <w:tcW w:w="401" w:type="pct"/>
            <w:tcBorders>
              <w:top w:val="nil"/>
              <w:left w:val="nil"/>
              <w:right w:val="nil"/>
            </w:tcBorders>
            <w:shd w:val="clear" w:color="auto" w:fill="auto"/>
            <w:noWrap/>
            <w:vAlign w:val="bottom"/>
            <w:hideMark/>
          </w:tcPr>
          <w:p w:rsidR="00A12EEA" w:rsidRPr="00A12EEA" w:rsidRDefault="00A12EEA">
            <w:pPr>
              <w:jc w:val="right"/>
              <w:rPr>
                <w:rFonts w:asciiTheme="majorBidi" w:hAnsiTheme="majorBidi" w:cstheme="majorBidi"/>
                <w:color w:val="000000"/>
              </w:rPr>
            </w:pPr>
            <w:r w:rsidRPr="00A12EEA">
              <w:rPr>
                <w:rFonts w:asciiTheme="majorBidi" w:hAnsiTheme="majorBidi" w:cstheme="majorBidi"/>
                <w:color w:val="000000"/>
              </w:rPr>
              <w:t>122,1</w:t>
            </w:r>
          </w:p>
        </w:tc>
        <w:tc>
          <w:tcPr>
            <w:tcW w:w="401" w:type="pct"/>
            <w:tcBorders>
              <w:top w:val="nil"/>
              <w:left w:val="nil"/>
              <w:right w:val="nil"/>
            </w:tcBorders>
            <w:shd w:val="clear" w:color="auto" w:fill="auto"/>
            <w:noWrap/>
            <w:vAlign w:val="bottom"/>
            <w:hideMark/>
          </w:tcPr>
          <w:p w:rsidR="00A12EEA" w:rsidRPr="00A12EEA" w:rsidRDefault="00A12EEA">
            <w:pPr>
              <w:jc w:val="right"/>
              <w:rPr>
                <w:rFonts w:asciiTheme="majorBidi" w:hAnsiTheme="majorBidi" w:cstheme="majorBidi"/>
                <w:color w:val="000000"/>
              </w:rPr>
            </w:pPr>
            <w:r w:rsidRPr="00A12EEA">
              <w:rPr>
                <w:rFonts w:asciiTheme="majorBidi" w:hAnsiTheme="majorBidi" w:cstheme="majorBidi"/>
                <w:color w:val="000000"/>
              </w:rPr>
              <w:t>122,7</w:t>
            </w:r>
          </w:p>
        </w:tc>
        <w:tc>
          <w:tcPr>
            <w:tcW w:w="795" w:type="pct"/>
            <w:tcBorders>
              <w:top w:val="nil"/>
              <w:left w:val="nil"/>
              <w:right w:val="nil"/>
            </w:tcBorders>
            <w:shd w:val="clear" w:color="auto" w:fill="auto"/>
            <w:noWrap/>
            <w:vAlign w:val="bottom"/>
            <w:hideMark/>
          </w:tcPr>
          <w:p w:rsidR="00A12EEA" w:rsidRPr="00A12EEA" w:rsidRDefault="00A12EEA">
            <w:pPr>
              <w:jc w:val="right"/>
              <w:rPr>
                <w:rFonts w:asciiTheme="majorBidi" w:hAnsiTheme="majorBidi" w:cstheme="majorBidi"/>
                <w:color w:val="000000"/>
              </w:rPr>
            </w:pPr>
            <w:r w:rsidRPr="00A12EEA">
              <w:rPr>
                <w:rFonts w:asciiTheme="majorBidi" w:hAnsiTheme="majorBidi" w:cstheme="majorBidi"/>
                <w:color w:val="000000"/>
              </w:rPr>
              <w:t>0,5</w:t>
            </w:r>
          </w:p>
        </w:tc>
      </w:tr>
      <w:tr w:rsidR="00A12EEA" w:rsidRPr="009E2412" w:rsidTr="000665DB">
        <w:trPr>
          <w:trHeight w:val="397"/>
        </w:trPr>
        <w:tc>
          <w:tcPr>
            <w:tcW w:w="3403" w:type="pct"/>
            <w:tcBorders>
              <w:top w:val="nil"/>
              <w:left w:val="nil"/>
              <w:bottom w:val="single" w:sz="12" w:space="0" w:color="auto"/>
              <w:right w:val="nil"/>
            </w:tcBorders>
            <w:shd w:val="clear" w:color="auto" w:fill="auto"/>
            <w:noWrap/>
            <w:vAlign w:val="bottom"/>
            <w:hideMark/>
          </w:tcPr>
          <w:p w:rsidR="00A12EEA" w:rsidRPr="00A12EEA" w:rsidRDefault="00A12EEA">
            <w:pPr>
              <w:rPr>
                <w:rFonts w:asciiTheme="majorBidi" w:hAnsiTheme="majorBidi" w:cstheme="majorBidi"/>
                <w:b/>
                <w:bCs/>
              </w:rPr>
            </w:pPr>
            <w:r w:rsidRPr="00A12EEA">
              <w:rPr>
                <w:rFonts w:asciiTheme="majorBidi" w:hAnsiTheme="majorBidi" w:cstheme="majorBidi"/>
                <w:b/>
                <w:bCs/>
              </w:rPr>
              <w:t>Casa</w:t>
            </w:r>
            <w:r w:rsidR="008A51D4">
              <w:rPr>
                <w:rFonts w:asciiTheme="majorBidi" w:hAnsiTheme="majorBidi" w:cstheme="majorBidi"/>
                <w:b/>
                <w:bCs/>
              </w:rPr>
              <w:t>blanca</w:t>
            </w:r>
          </w:p>
        </w:tc>
        <w:tc>
          <w:tcPr>
            <w:tcW w:w="401" w:type="pct"/>
            <w:tcBorders>
              <w:top w:val="nil"/>
              <w:left w:val="nil"/>
              <w:bottom w:val="single" w:sz="12" w:space="0" w:color="auto"/>
              <w:right w:val="nil"/>
            </w:tcBorders>
            <w:shd w:val="clear" w:color="auto" w:fill="auto"/>
            <w:noWrap/>
            <w:vAlign w:val="bottom"/>
            <w:hideMark/>
          </w:tcPr>
          <w:p w:rsidR="00A12EEA" w:rsidRPr="00A12EEA" w:rsidRDefault="00A12EEA">
            <w:pPr>
              <w:jc w:val="right"/>
              <w:rPr>
                <w:rFonts w:asciiTheme="majorBidi" w:hAnsiTheme="majorBidi" w:cstheme="majorBidi"/>
                <w:color w:val="000000"/>
              </w:rPr>
            </w:pPr>
            <w:r w:rsidRPr="00A12EEA">
              <w:rPr>
                <w:rFonts w:asciiTheme="majorBidi" w:hAnsiTheme="majorBidi" w:cstheme="majorBidi"/>
                <w:color w:val="000000"/>
              </w:rPr>
              <w:t>122,8</w:t>
            </w:r>
          </w:p>
        </w:tc>
        <w:tc>
          <w:tcPr>
            <w:tcW w:w="401" w:type="pct"/>
            <w:tcBorders>
              <w:top w:val="nil"/>
              <w:left w:val="nil"/>
              <w:bottom w:val="single" w:sz="12" w:space="0" w:color="auto"/>
              <w:right w:val="nil"/>
            </w:tcBorders>
            <w:shd w:val="clear" w:color="auto" w:fill="auto"/>
            <w:noWrap/>
            <w:vAlign w:val="bottom"/>
            <w:hideMark/>
          </w:tcPr>
          <w:p w:rsidR="00A12EEA" w:rsidRPr="00A12EEA" w:rsidRDefault="00A12EEA">
            <w:pPr>
              <w:jc w:val="right"/>
              <w:rPr>
                <w:rFonts w:asciiTheme="majorBidi" w:hAnsiTheme="majorBidi" w:cstheme="majorBidi"/>
                <w:color w:val="000000"/>
              </w:rPr>
            </w:pPr>
            <w:r w:rsidRPr="00A12EEA">
              <w:rPr>
                <w:rFonts w:asciiTheme="majorBidi" w:hAnsiTheme="majorBidi" w:cstheme="majorBidi"/>
                <w:color w:val="000000"/>
              </w:rPr>
              <w:t>123,6</w:t>
            </w:r>
          </w:p>
        </w:tc>
        <w:tc>
          <w:tcPr>
            <w:tcW w:w="795" w:type="pct"/>
            <w:tcBorders>
              <w:top w:val="nil"/>
              <w:left w:val="nil"/>
              <w:bottom w:val="single" w:sz="12" w:space="0" w:color="auto"/>
              <w:right w:val="nil"/>
            </w:tcBorders>
            <w:shd w:val="clear" w:color="auto" w:fill="auto"/>
            <w:noWrap/>
            <w:vAlign w:val="bottom"/>
            <w:hideMark/>
          </w:tcPr>
          <w:p w:rsidR="00A12EEA" w:rsidRPr="00A12EEA" w:rsidRDefault="00A12EEA">
            <w:pPr>
              <w:jc w:val="right"/>
              <w:rPr>
                <w:rFonts w:asciiTheme="majorBidi" w:hAnsiTheme="majorBidi" w:cstheme="majorBidi"/>
                <w:color w:val="000000"/>
              </w:rPr>
            </w:pPr>
            <w:r w:rsidRPr="00A12EEA">
              <w:rPr>
                <w:rFonts w:asciiTheme="majorBidi" w:hAnsiTheme="majorBidi" w:cstheme="majorBidi"/>
                <w:color w:val="000000"/>
              </w:rPr>
              <w:t>0,7</w:t>
            </w:r>
          </w:p>
        </w:tc>
      </w:tr>
    </w:tbl>
    <w:p w:rsidR="000665DB" w:rsidRDefault="00E26CAA" w:rsidP="00E26CAA">
      <w:pPr>
        <w:pStyle w:val="Titre4"/>
        <w:spacing w:before="0"/>
        <w:rPr>
          <w:rFonts w:asciiTheme="majorBidi" w:hAnsiTheme="majorBidi"/>
        </w:rPr>
      </w:pPr>
      <w:r>
        <w:rPr>
          <w:rFonts w:asciiTheme="majorBidi" w:hAnsiTheme="majorBidi"/>
        </w:rPr>
        <w:t>Source : HCP.</w:t>
      </w:r>
    </w:p>
    <w:p w:rsidR="00864A16" w:rsidRPr="008A51D4" w:rsidRDefault="00F301B0" w:rsidP="00B432FD">
      <w:pPr>
        <w:pStyle w:val="Lgende"/>
        <w:spacing w:before="120"/>
        <w:rPr>
          <w:rFonts w:asciiTheme="majorBidi" w:hAnsiTheme="majorBidi" w:cstheme="majorBidi"/>
          <w:b w:val="0"/>
          <w:bCs w:val="0"/>
          <w:color w:val="auto"/>
          <w:sz w:val="24"/>
          <w:szCs w:val="24"/>
        </w:rPr>
      </w:pPr>
      <w:r w:rsidRPr="008A51D4">
        <w:rPr>
          <w:rFonts w:asciiTheme="majorBidi" w:hAnsiTheme="majorBidi" w:cstheme="majorBidi"/>
          <w:b w:val="0"/>
          <w:bCs w:val="0"/>
          <w:color w:val="auto"/>
          <w:sz w:val="24"/>
          <w:szCs w:val="24"/>
        </w:rPr>
        <w:t xml:space="preserve">On note que le niveau général des prix le plus élevé au Maroc en 2019, est celui enregistré par la ville de </w:t>
      </w:r>
      <w:r w:rsidR="00B432FD">
        <w:rPr>
          <w:rFonts w:asciiTheme="majorBidi" w:hAnsiTheme="majorBidi" w:cstheme="majorBidi"/>
          <w:b w:val="0"/>
          <w:bCs w:val="0"/>
          <w:color w:val="auto"/>
          <w:sz w:val="24"/>
          <w:szCs w:val="24"/>
        </w:rPr>
        <w:t>C</w:t>
      </w:r>
      <w:r w:rsidRPr="008A51D4">
        <w:rPr>
          <w:rFonts w:asciiTheme="majorBidi" w:hAnsiTheme="majorBidi" w:cstheme="majorBidi"/>
          <w:b w:val="0"/>
          <w:bCs w:val="0"/>
          <w:color w:val="auto"/>
          <w:sz w:val="24"/>
          <w:szCs w:val="24"/>
        </w:rPr>
        <w:t xml:space="preserve">asablanca qui </w:t>
      </w:r>
      <w:r w:rsidR="0066312D" w:rsidRPr="008A51D4">
        <w:rPr>
          <w:rFonts w:asciiTheme="majorBidi" w:hAnsiTheme="majorBidi" w:cstheme="majorBidi"/>
          <w:b w:val="0"/>
          <w:bCs w:val="0"/>
          <w:color w:val="auto"/>
          <w:sz w:val="24"/>
          <w:szCs w:val="24"/>
        </w:rPr>
        <w:t>a dépassé la moyenne nationale de 3,2%.</w:t>
      </w:r>
    </w:p>
    <w:p w:rsidR="000665DB" w:rsidRPr="00DF65E2" w:rsidRDefault="0036690E" w:rsidP="00A12EEA">
      <w:pPr>
        <w:pStyle w:val="Lgende"/>
        <w:rPr>
          <w:rFonts w:asciiTheme="majorBidi" w:hAnsiTheme="majorBidi" w:cstheme="majorBidi"/>
          <w:sz w:val="22"/>
          <w:szCs w:val="22"/>
        </w:rPr>
      </w:pPr>
      <w:bookmarkStart w:id="22" w:name="_Toc515274104"/>
      <w:r w:rsidRPr="00DF65E2">
        <w:rPr>
          <w:rFonts w:asciiTheme="majorBidi" w:hAnsiTheme="majorBidi" w:cstheme="majorBidi"/>
          <w:sz w:val="22"/>
          <w:szCs w:val="22"/>
        </w:rPr>
        <w:lastRenderedPageBreak/>
        <w:t xml:space="preserve">Graphique </w:t>
      </w:r>
      <w:r w:rsidR="00DE78CE" w:rsidRPr="00DF65E2">
        <w:rPr>
          <w:rFonts w:asciiTheme="majorBidi" w:hAnsiTheme="majorBidi" w:cstheme="majorBidi"/>
          <w:sz w:val="22"/>
          <w:szCs w:val="22"/>
        </w:rPr>
        <w:fldChar w:fldCharType="begin"/>
      </w:r>
      <w:r w:rsidR="00756AA5" w:rsidRPr="00DF65E2">
        <w:rPr>
          <w:rFonts w:asciiTheme="majorBidi" w:hAnsiTheme="majorBidi" w:cstheme="majorBidi"/>
          <w:sz w:val="22"/>
          <w:szCs w:val="22"/>
        </w:rPr>
        <w:instrText xml:space="preserve"> SEQ Graphique \* ARABIC </w:instrText>
      </w:r>
      <w:r w:rsidR="00DE78CE" w:rsidRPr="00DF65E2">
        <w:rPr>
          <w:rFonts w:asciiTheme="majorBidi" w:hAnsiTheme="majorBidi" w:cstheme="majorBidi"/>
          <w:sz w:val="22"/>
          <w:szCs w:val="22"/>
        </w:rPr>
        <w:fldChar w:fldCharType="separate"/>
      </w:r>
      <w:r w:rsidR="00477549">
        <w:rPr>
          <w:rFonts w:asciiTheme="majorBidi" w:hAnsiTheme="majorBidi" w:cstheme="majorBidi"/>
          <w:noProof/>
          <w:sz w:val="22"/>
          <w:szCs w:val="22"/>
        </w:rPr>
        <w:t>1</w:t>
      </w:r>
      <w:r w:rsidR="00DE78CE" w:rsidRPr="00DF65E2">
        <w:rPr>
          <w:rFonts w:asciiTheme="majorBidi" w:hAnsiTheme="majorBidi" w:cstheme="majorBidi"/>
          <w:sz w:val="22"/>
          <w:szCs w:val="22"/>
        </w:rPr>
        <w:fldChar w:fldCharType="end"/>
      </w:r>
      <w:r w:rsidRPr="00DF65E2">
        <w:rPr>
          <w:rFonts w:asciiTheme="majorBidi" w:hAnsiTheme="majorBidi" w:cstheme="majorBidi"/>
          <w:sz w:val="22"/>
          <w:szCs w:val="22"/>
        </w:rPr>
        <w:t xml:space="preserve"> : </w:t>
      </w:r>
      <w:r w:rsidR="000665DB" w:rsidRPr="00DF65E2">
        <w:rPr>
          <w:rFonts w:asciiTheme="majorBidi" w:hAnsiTheme="majorBidi" w:cstheme="majorBidi"/>
          <w:sz w:val="22"/>
          <w:szCs w:val="22"/>
        </w:rPr>
        <w:t>IPC général  par ville en 201</w:t>
      </w:r>
      <w:r w:rsidR="00A12EEA">
        <w:rPr>
          <w:rFonts w:asciiTheme="majorBidi" w:hAnsiTheme="majorBidi" w:cstheme="majorBidi"/>
          <w:sz w:val="22"/>
          <w:szCs w:val="22"/>
        </w:rPr>
        <w:t>8</w:t>
      </w:r>
      <w:r w:rsidR="000665DB" w:rsidRPr="00DF65E2">
        <w:rPr>
          <w:rFonts w:asciiTheme="majorBidi" w:hAnsiTheme="majorBidi" w:cstheme="majorBidi"/>
          <w:sz w:val="22"/>
          <w:szCs w:val="22"/>
        </w:rPr>
        <w:t xml:space="preserve"> et 201</w:t>
      </w:r>
      <w:bookmarkEnd w:id="22"/>
      <w:r w:rsidR="00A12EEA">
        <w:rPr>
          <w:rFonts w:asciiTheme="majorBidi" w:hAnsiTheme="majorBidi" w:cstheme="majorBidi"/>
          <w:sz w:val="22"/>
          <w:szCs w:val="22"/>
        </w:rPr>
        <w:t>9</w:t>
      </w:r>
    </w:p>
    <w:p w:rsidR="00363237" w:rsidRDefault="00A12EEA" w:rsidP="00777D90">
      <w:pPr>
        <w:spacing w:before="240" w:after="240" w:line="240" w:lineRule="auto"/>
        <w:jc w:val="both"/>
        <w:rPr>
          <w:rFonts w:asciiTheme="majorBidi" w:hAnsiTheme="majorBidi" w:cstheme="majorBidi"/>
          <w:sz w:val="24"/>
          <w:szCs w:val="24"/>
        </w:rPr>
      </w:pPr>
      <w:r w:rsidRPr="00A12EEA">
        <w:rPr>
          <w:rFonts w:asciiTheme="majorBidi" w:hAnsiTheme="majorBidi" w:cstheme="majorBidi"/>
          <w:noProof/>
          <w:sz w:val="24"/>
          <w:szCs w:val="24"/>
          <w:lang w:eastAsia="fr-FR"/>
        </w:rPr>
        <w:drawing>
          <wp:inline distT="0" distB="0" distL="0" distR="0">
            <wp:extent cx="5486400" cy="2552700"/>
            <wp:effectExtent l="19050" t="0" r="19050" b="0"/>
            <wp:docPr id="4"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26CAA" w:rsidRDefault="00E26CAA" w:rsidP="00176713">
      <w:pPr>
        <w:pStyle w:val="Titre4"/>
        <w:spacing w:before="0" w:line="240" w:lineRule="atLeast"/>
        <w:rPr>
          <w:rFonts w:asciiTheme="majorBidi" w:hAnsiTheme="majorBidi"/>
        </w:rPr>
      </w:pPr>
      <w:r>
        <w:rPr>
          <w:rFonts w:asciiTheme="majorBidi" w:hAnsiTheme="majorBidi"/>
        </w:rPr>
        <w:t>Source : HCP.</w:t>
      </w:r>
    </w:p>
    <w:p w:rsidR="006B2FBA" w:rsidRDefault="006B2FBA" w:rsidP="007E29B6">
      <w:pPr>
        <w:spacing w:before="240" w:after="240" w:line="240" w:lineRule="auto"/>
        <w:jc w:val="both"/>
        <w:rPr>
          <w:rFonts w:asciiTheme="majorBidi" w:hAnsiTheme="majorBidi" w:cstheme="majorBidi"/>
          <w:sz w:val="24"/>
          <w:szCs w:val="24"/>
        </w:rPr>
      </w:pPr>
      <w:r w:rsidRPr="009C15D0">
        <w:rPr>
          <w:rFonts w:asciiTheme="majorBidi" w:hAnsiTheme="majorBidi" w:cstheme="majorBidi"/>
          <w:sz w:val="24"/>
          <w:szCs w:val="24"/>
        </w:rPr>
        <w:t xml:space="preserve">En termes d’inflation générale, </w:t>
      </w:r>
      <w:r w:rsidR="007156BC">
        <w:rPr>
          <w:rFonts w:asciiTheme="majorBidi" w:hAnsiTheme="majorBidi" w:cstheme="majorBidi"/>
          <w:sz w:val="24"/>
          <w:szCs w:val="24"/>
        </w:rPr>
        <w:t xml:space="preserve">la ville de </w:t>
      </w:r>
      <w:r w:rsidR="0065655F">
        <w:rPr>
          <w:rFonts w:asciiTheme="majorBidi" w:hAnsiTheme="majorBidi" w:cstheme="majorBidi"/>
          <w:sz w:val="24"/>
          <w:szCs w:val="24"/>
        </w:rPr>
        <w:t xml:space="preserve">Fès </w:t>
      </w:r>
      <w:r w:rsidR="007156BC">
        <w:rPr>
          <w:rFonts w:asciiTheme="majorBidi" w:hAnsiTheme="majorBidi" w:cstheme="majorBidi"/>
          <w:sz w:val="24"/>
          <w:szCs w:val="24"/>
        </w:rPr>
        <w:t xml:space="preserve">a enregistré le taux d’inflation le plus élevé au Maroc avec </w:t>
      </w:r>
      <w:r w:rsidR="0065655F">
        <w:rPr>
          <w:rFonts w:asciiTheme="majorBidi" w:hAnsiTheme="majorBidi" w:cstheme="majorBidi"/>
          <w:sz w:val="24"/>
          <w:szCs w:val="24"/>
        </w:rPr>
        <w:t>1,</w:t>
      </w:r>
      <w:r w:rsidR="007156BC">
        <w:rPr>
          <w:rFonts w:asciiTheme="majorBidi" w:hAnsiTheme="majorBidi" w:cstheme="majorBidi"/>
          <w:sz w:val="24"/>
          <w:szCs w:val="24"/>
        </w:rPr>
        <w:t>2%</w:t>
      </w:r>
      <w:r w:rsidR="00F52873">
        <w:rPr>
          <w:rFonts w:asciiTheme="majorBidi" w:hAnsiTheme="majorBidi" w:cstheme="majorBidi"/>
          <w:sz w:val="24"/>
          <w:szCs w:val="24"/>
        </w:rPr>
        <w:t xml:space="preserve"> entre</w:t>
      </w:r>
      <w:r w:rsidR="007156BC">
        <w:rPr>
          <w:rFonts w:asciiTheme="majorBidi" w:hAnsiTheme="majorBidi" w:cstheme="majorBidi"/>
          <w:sz w:val="24"/>
          <w:szCs w:val="24"/>
        </w:rPr>
        <w:t xml:space="preserve"> </w:t>
      </w:r>
      <w:r w:rsidR="0065655F">
        <w:rPr>
          <w:rFonts w:asciiTheme="majorBidi" w:hAnsiTheme="majorBidi" w:cstheme="majorBidi"/>
          <w:sz w:val="24"/>
          <w:szCs w:val="24"/>
        </w:rPr>
        <w:t>2018</w:t>
      </w:r>
      <w:r w:rsidR="00F52873">
        <w:rPr>
          <w:rFonts w:asciiTheme="majorBidi" w:hAnsiTheme="majorBidi" w:cstheme="majorBidi"/>
          <w:sz w:val="24"/>
          <w:szCs w:val="24"/>
        </w:rPr>
        <w:t xml:space="preserve"> et 201</w:t>
      </w:r>
      <w:r w:rsidR="0065655F">
        <w:rPr>
          <w:rFonts w:asciiTheme="majorBidi" w:hAnsiTheme="majorBidi" w:cstheme="majorBidi"/>
          <w:sz w:val="24"/>
          <w:szCs w:val="24"/>
        </w:rPr>
        <w:t>9</w:t>
      </w:r>
      <w:r w:rsidR="00F52873">
        <w:rPr>
          <w:rFonts w:asciiTheme="majorBidi" w:hAnsiTheme="majorBidi" w:cstheme="majorBidi"/>
          <w:sz w:val="24"/>
          <w:szCs w:val="24"/>
        </w:rPr>
        <w:t xml:space="preserve">. Cependant,  </w:t>
      </w:r>
      <w:r w:rsidRPr="009C15D0">
        <w:rPr>
          <w:rFonts w:asciiTheme="majorBidi" w:hAnsiTheme="majorBidi" w:cstheme="majorBidi"/>
          <w:sz w:val="24"/>
          <w:szCs w:val="24"/>
        </w:rPr>
        <w:t xml:space="preserve">Kenitra est </w:t>
      </w:r>
      <w:r w:rsidR="00F52873">
        <w:rPr>
          <w:rFonts w:asciiTheme="majorBidi" w:hAnsiTheme="majorBidi" w:cstheme="majorBidi"/>
          <w:sz w:val="24"/>
          <w:szCs w:val="24"/>
        </w:rPr>
        <w:t xml:space="preserve">classée </w:t>
      </w:r>
      <w:r w:rsidR="007156BC">
        <w:rPr>
          <w:rFonts w:asciiTheme="majorBidi" w:hAnsiTheme="majorBidi" w:cstheme="majorBidi"/>
          <w:sz w:val="24"/>
          <w:szCs w:val="24"/>
        </w:rPr>
        <w:t>parmi les villes qui ont</w:t>
      </w:r>
      <w:r>
        <w:rPr>
          <w:rFonts w:asciiTheme="majorBidi" w:hAnsiTheme="majorBidi" w:cstheme="majorBidi"/>
          <w:sz w:val="24"/>
          <w:szCs w:val="24"/>
        </w:rPr>
        <w:t xml:space="preserve"> </w:t>
      </w:r>
      <w:r w:rsidR="007156BC">
        <w:rPr>
          <w:rFonts w:asciiTheme="majorBidi" w:hAnsiTheme="majorBidi" w:cstheme="majorBidi"/>
          <w:sz w:val="24"/>
          <w:szCs w:val="24"/>
        </w:rPr>
        <w:t>connu une faible variation d</w:t>
      </w:r>
      <w:r w:rsidR="00F52873">
        <w:rPr>
          <w:rFonts w:asciiTheme="majorBidi" w:hAnsiTheme="majorBidi" w:cstheme="majorBidi"/>
          <w:sz w:val="24"/>
          <w:szCs w:val="24"/>
        </w:rPr>
        <w:t>e leur</w:t>
      </w:r>
      <w:r w:rsidR="007156BC">
        <w:rPr>
          <w:rFonts w:asciiTheme="majorBidi" w:hAnsiTheme="majorBidi" w:cstheme="majorBidi"/>
          <w:sz w:val="24"/>
          <w:szCs w:val="24"/>
        </w:rPr>
        <w:t xml:space="preserve"> niveau général des prix, soit 0,</w:t>
      </w:r>
      <w:r w:rsidR="0065655F">
        <w:rPr>
          <w:rFonts w:asciiTheme="majorBidi" w:hAnsiTheme="majorBidi" w:cstheme="majorBidi"/>
          <w:sz w:val="24"/>
          <w:szCs w:val="24"/>
        </w:rPr>
        <w:t>2% contre 0,3</w:t>
      </w:r>
      <w:r w:rsidR="007156BC">
        <w:rPr>
          <w:rFonts w:asciiTheme="majorBidi" w:hAnsiTheme="majorBidi" w:cstheme="majorBidi"/>
          <w:sz w:val="24"/>
          <w:szCs w:val="24"/>
        </w:rPr>
        <w:t xml:space="preserve">% </w:t>
      </w:r>
      <w:r>
        <w:rPr>
          <w:rFonts w:asciiTheme="majorBidi" w:hAnsiTheme="majorBidi" w:cstheme="majorBidi"/>
          <w:sz w:val="24"/>
          <w:szCs w:val="24"/>
        </w:rPr>
        <w:t>au niveau national.</w:t>
      </w:r>
    </w:p>
    <w:p w:rsidR="006B2FBA" w:rsidRDefault="006B2FBA" w:rsidP="005F4314">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Il est à souligner que l’inflation </w:t>
      </w:r>
      <w:r w:rsidR="007156BC">
        <w:rPr>
          <w:rFonts w:asciiTheme="majorBidi" w:hAnsiTheme="majorBidi" w:cstheme="majorBidi"/>
          <w:sz w:val="24"/>
          <w:szCs w:val="24"/>
        </w:rPr>
        <w:t>dépasse</w:t>
      </w:r>
      <w:r>
        <w:rPr>
          <w:rFonts w:asciiTheme="majorBidi" w:hAnsiTheme="majorBidi" w:cstheme="majorBidi"/>
          <w:sz w:val="24"/>
          <w:szCs w:val="24"/>
        </w:rPr>
        <w:t xml:space="preserve"> la moyenne nationale dans </w:t>
      </w:r>
      <w:r w:rsidR="005F4314">
        <w:rPr>
          <w:rFonts w:asciiTheme="majorBidi" w:hAnsiTheme="majorBidi" w:cstheme="majorBidi"/>
          <w:sz w:val="24"/>
          <w:szCs w:val="24"/>
        </w:rPr>
        <w:t>dix</w:t>
      </w:r>
      <w:r>
        <w:rPr>
          <w:rFonts w:asciiTheme="majorBidi" w:hAnsiTheme="majorBidi" w:cstheme="majorBidi"/>
          <w:sz w:val="24"/>
          <w:szCs w:val="24"/>
        </w:rPr>
        <w:t xml:space="preserve"> villes tandis qu</w:t>
      </w:r>
      <w:r w:rsidR="00AF6D2F">
        <w:rPr>
          <w:rFonts w:asciiTheme="majorBidi" w:hAnsiTheme="majorBidi" w:cstheme="majorBidi"/>
          <w:sz w:val="24"/>
          <w:szCs w:val="24"/>
        </w:rPr>
        <w:t xml:space="preserve">’elle </w:t>
      </w:r>
      <w:r>
        <w:rPr>
          <w:rFonts w:asciiTheme="majorBidi" w:hAnsiTheme="majorBidi" w:cstheme="majorBidi"/>
          <w:sz w:val="24"/>
          <w:szCs w:val="24"/>
        </w:rPr>
        <w:t xml:space="preserve"> </w:t>
      </w:r>
      <w:r w:rsidR="007156BC">
        <w:rPr>
          <w:rFonts w:asciiTheme="majorBidi" w:hAnsiTheme="majorBidi" w:cstheme="majorBidi"/>
          <w:sz w:val="24"/>
          <w:szCs w:val="24"/>
        </w:rPr>
        <w:t>est</w:t>
      </w:r>
      <w:r>
        <w:rPr>
          <w:rFonts w:asciiTheme="majorBidi" w:hAnsiTheme="majorBidi" w:cstheme="majorBidi"/>
          <w:sz w:val="24"/>
          <w:szCs w:val="24"/>
        </w:rPr>
        <w:t xml:space="preserve"> comprise entre </w:t>
      </w:r>
      <w:r w:rsidR="00176713">
        <w:rPr>
          <w:rFonts w:asciiTheme="majorBidi" w:hAnsiTheme="majorBidi" w:cstheme="majorBidi"/>
          <w:sz w:val="24"/>
          <w:szCs w:val="24"/>
        </w:rPr>
        <w:t>(</w:t>
      </w:r>
      <w:r>
        <w:rPr>
          <w:rFonts w:asciiTheme="majorBidi" w:hAnsiTheme="majorBidi" w:cstheme="majorBidi"/>
          <w:sz w:val="24"/>
          <w:szCs w:val="24"/>
        </w:rPr>
        <w:t>-0,</w:t>
      </w:r>
      <w:r w:rsidR="00C34D70">
        <w:rPr>
          <w:rFonts w:asciiTheme="majorBidi" w:hAnsiTheme="majorBidi" w:cstheme="majorBidi"/>
          <w:sz w:val="24"/>
          <w:szCs w:val="24"/>
        </w:rPr>
        <w:t>3</w:t>
      </w:r>
      <w:r>
        <w:rPr>
          <w:rFonts w:asciiTheme="majorBidi" w:hAnsiTheme="majorBidi" w:cstheme="majorBidi"/>
          <w:sz w:val="24"/>
          <w:szCs w:val="24"/>
        </w:rPr>
        <w:t>%</w:t>
      </w:r>
      <w:r w:rsidR="00176713">
        <w:rPr>
          <w:rFonts w:asciiTheme="majorBidi" w:hAnsiTheme="majorBidi" w:cstheme="majorBidi"/>
          <w:sz w:val="24"/>
          <w:szCs w:val="24"/>
        </w:rPr>
        <w:t>)</w:t>
      </w:r>
      <w:r>
        <w:rPr>
          <w:rFonts w:asciiTheme="majorBidi" w:hAnsiTheme="majorBidi" w:cstheme="majorBidi"/>
          <w:sz w:val="24"/>
          <w:szCs w:val="24"/>
        </w:rPr>
        <w:t xml:space="preserve"> et 0,</w:t>
      </w:r>
      <w:r w:rsidR="00C34D70">
        <w:rPr>
          <w:rFonts w:asciiTheme="majorBidi" w:hAnsiTheme="majorBidi" w:cstheme="majorBidi"/>
          <w:sz w:val="24"/>
          <w:szCs w:val="24"/>
        </w:rPr>
        <w:t>3</w:t>
      </w:r>
      <w:r>
        <w:rPr>
          <w:rFonts w:asciiTheme="majorBidi" w:hAnsiTheme="majorBidi" w:cstheme="majorBidi"/>
          <w:sz w:val="24"/>
          <w:szCs w:val="24"/>
        </w:rPr>
        <w:t>%</w:t>
      </w:r>
      <w:r w:rsidR="00AF6D2F">
        <w:rPr>
          <w:rFonts w:asciiTheme="majorBidi" w:hAnsiTheme="majorBidi" w:cstheme="majorBidi"/>
          <w:sz w:val="24"/>
          <w:szCs w:val="24"/>
        </w:rPr>
        <w:t xml:space="preserve"> dans les autres villes</w:t>
      </w:r>
      <w:r>
        <w:rPr>
          <w:rFonts w:asciiTheme="majorBidi" w:hAnsiTheme="majorBidi" w:cstheme="majorBidi"/>
          <w:sz w:val="24"/>
          <w:szCs w:val="24"/>
        </w:rPr>
        <w:t>.</w:t>
      </w:r>
    </w:p>
    <w:p w:rsidR="00E26CAA" w:rsidRDefault="00002361" w:rsidP="00E26CAA">
      <w:pPr>
        <w:pStyle w:val="Lgende"/>
        <w:rPr>
          <w:rFonts w:asciiTheme="majorBidi" w:hAnsiTheme="majorBidi" w:cstheme="majorBidi"/>
        </w:rPr>
      </w:pPr>
      <w:bookmarkStart w:id="23" w:name="_Toc515274105"/>
      <w:r w:rsidRPr="009755AE">
        <w:rPr>
          <w:rFonts w:asciiTheme="majorBidi" w:hAnsiTheme="majorBidi" w:cstheme="majorBidi"/>
          <w:sz w:val="22"/>
          <w:szCs w:val="22"/>
        </w:rPr>
        <w:t xml:space="preserve">Graphique </w:t>
      </w:r>
      <w:r w:rsidR="00DE78CE" w:rsidRPr="009755AE">
        <w:rPr>
          <w:rFonts w:asciiTheme="majorBidi" w:hAnsiTheme="majorBidi" w:cstheme="majorBidi"/>
          <w:sz w:val="22"/>
          <w:szCs w:val="22"/>
        </w:rPr>
        <w:fldChar w:fldCharType="begin"/>
      </w:r>
      <w:r w:rsidR="00414E1F" w:rsidRPr="009755AE">
        <w:rPr>
          <w:rFonts w:asciiTheme="majorBidi" w:hAnsiTheme="majorBidi" w:cstheme="majorBidi"/>
          <w:sz w:val="22"/>
          <w:szCs w:val="22"/>
        </w:rPr>
        <w:instrText xml:space="preserve"> SEQ Graphique \* ARABIC </w:instrText>
      </w:r>
      <w:r w:rsidR="00DE78CE" w:rsidRPr="009755AE">
        <w:rPr>
          <w:rFonts w:asciiTheme="majorBidi" w:hAnsiTheme="majorBidi" w:cstheme="majorBidi"/>
          <w:sz w:val="22"/>
          <w:szCs w:val="22"/>
        </w:rPr>
        <w:fldChar w:fldCharType="separate"/>
      </w:r>
      <w:r w:rsidR="00477549">
        <w:rPr>
          <w:rFonts w:asciiTheme="majorBidi" w:hAnsiTheme="majorBidi" w:cstheme="majorBidi"/>
          <w:noProof/>
          <w:sz w:val="22"/>
          <w:szCs w:val="22"/>
        </w:rPr>
        <w:t>2</w:t>
      </w:r>
      <w:r w:rsidR="00DE78CE" w:rsidRPr="009755AE">
        <w:rPr>
          <w:rFonts w:asciiTheme="majorBidi" w:hAnsiTheme="majorBidi" w:cstheme="majorBidi"/>
          <w:sz w:val="22"/>
          <w:szCs w:val="22"/>
        </w:rPr>
        <w:fldChar w:fldCharType="end"/>
      </w:r>
      <w:r w:rsidRPr="00DF65E2">
        <w:rPr>
          <w:rFonts w:ascii="Times New Roman" w:hAnsi="Times New Roman"/>
          <w:sz w:val="22"/>
        </w:rPr>
        <w:t xml:space="preserve"> : </w:t>
      </w:r>
      <w:r w:rsidRPr="00DF65E2">
        <w:rPr>
          <w:rFonts w:ascii="Times New Roman" w:hAnsi="Times New Roman" w:cstheme="majorBidi"/>
          <w:bCs w:val="0"/>
          <w:color w:val="548DD4" w:themeColor="text2" w:themeTint="99"/>
          <w:sz w:val="22"/>
          <w:szCs w:val="24"/>
        </w:rPr>
        <w:t>Inflation générale par ville (en %) -Année 201</w:t>
      </w:r>
      <w:r w:rsidR="009D0EE4">
        <w:rPr>
          <w:rFonts w:ascii="Times New Roman" w:hAnsi="Times New Roman" w:cstheme="majorBidi"/>
          <w:bCs w:val="0"/>
          <w:color w:val="548DD4" w:themeColor="text2" w:themeTint="99"/>
          <w:sz w:val="22"/>
          <w:szCs w:val="24"/>
        </w:rPr>
        <w:t>9</w:t>
      </w:r>
      <w:r w:rsidRPr="00DF65E2">
        <w:rPr>
          <w:rFonts w:ascii="Times New Roman" w:hAnsi="Times New Roman" w:cstheme="majorBidi"/>
          <w:bCs w:val="0"/>
          <w:color w:val="548DD4" w:themeColor="text2" w:themeTint="99"/>
          <w:sz w:val="22"/>
          <w:szCs w:val="24"/>
        </w:rPr>
        <w:t>-</w:t>
      </w:r>
      <w:bookmarkEnd w:id="23"/>
    </w:p>
    <w:p w:rsidR="00777D90" w:rsidRDefault="009D0EE4" w:rsidP="007E29B6">
      <w:pPr>
        <w:pStyle w:val="Lgende"/>
        <w:spacing w:after="0"/>
        <w:rPr>
          <w:rFonts w:asciiTheme="majorBidi" w:hAnsiTheme="majorBidi" w:cstheme="majorBidi"/>
        </w:rPr>
      </w:pPr>
      <w:r w:rsidRPr="009D0EE4">
        <w:rPr>
          <w:rFonts w:asciiTheme="majorBidi" w:hAnsiTheme="majorBidi" w:cstheme="majorBidi"/>
          <w:noProof/>
          <w:lang w:eastAsia="fr-FR"/>
        </w:rPr>
        <w:drawing>
          <wp:inline distT="0" distB="0" distL="0" distR="0">
            <wp:extent cx="5610225" cy="2790825"/>
            <wp:effectExtent l="19050" t="0" r="9525" b="0"/>
            <wp:docPr id="12"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26CAA" w:rsidRDefault="00E26CAA" w:rsidP="00E26CAA">
      <w:pPr>
        <w:pStyle w:val="Titre4"/>
        <w:spacing w:before="0" w:line="240" w:lineRule="atLeast"/>
        <w:rPr>
          <w:rFonts w:asciiTheme="majorBidi" w:hAnsiTheme="majorBidi"/>
        </w:rPr>
      </w:pPr>
      <w:r>
        <w:rPr>
          <w:rFonts w:asciiTheme="majorBidi" w:hAnsiTheme="majorBidi"/>
        </w:rPr>
        <w:t>Source : HCP.</w:t>
      </w:r>
    </w:p>
    <w:p w:rsidR="00E26CAA" w:rsidRPr="00E26CAA" w:rsidRDefault="00E26CAA" w:rsidP="00E26CAA"/>
    <w:p w:rsidR="00754C35" w:rsidRPr="000665DB" w:rsidRDefault="00754C35" w:rsidP="00C34D70">
      <w:pPr>
        <w:pStyle w:val="Titre2"/>
        <w:rPr>
          <w:rFonts w:asciiTheme="majorBidi" w:hAnsiTheme="majorBidi"/>
          <w:color w:val="0070C0"/>
        </w:rPr>
      </w:pPr>
      <w:bookmarkStart w:id="24" w:name="_Toc45551148"/>
      <w:r w:rsidRPr="000665DB">
        <w:rPr>
          <w:rFonts w:asciiTheme="majorBidi" w:hAnsiTheme="majorBidi"/>
          <w:color w:val="0070C0"/>
        </w:rPr>
        <w:lastRenderedPageBreak/>
        <w:t>II</w:t>
      </w:r>
      <w:r w:rsidR="00586B08" w:rsidRPr="000665DB">
        <w:rPr>
          <w:rFonts w:asciiTheme="majorBidi" w:hAnsiTheme="majorBidi"/>
          <w:color w:val="0070C0"/>
        </w:rPr>
        <w:t>I</w:t>
      </w:r>
      <w:r w:rsidRPr="000665DB">
        <w:rPr>
          <w:rFonts w:asciiTheme="majorBidi" w:hAnsiTheme="majorBidi"/>
          <w:color w:val="0070C0"/>
        </w:rPr>
        <w:t>-2 Evolution mensuelle de l’IPC (base100 :2006) en 201</w:t>
      </w:r>
      <w:r w:rsidR="00C34D70">
        <w:rPr>
          <w:rFonts w:asciiTheme="majorBidi" w:hAnsiTheme="majorBidi"/>
          <w:color w:val="0070C0"/>
        </w:rPr>
        <w:t>9</w:t>
      </w:r>
      <w:bookmarkEnd w:id="24"/>
    </w:p>
    <w:p w:rsidR="00754C35" w:rsidRPr="000665DB" w:rsidRDefault="00754C35" w:rsidP="00C34D70">
      <w:pPr>
        <w:pStyle w:val="Titre3"/>
        <w:rPr>
          <w:rFonts w:asciiTheme="majorBidi" w:hAnsiTheme="majorBidi"/>
          <w:color w:val="0070C0"/>
          <w:sz w:val="24"/>
          <w:szCs w:val="24"/>
        </w:rPr>
      </w:pPr>
      <w:bookmarkStart w:id="25" w:name="_Toc45551149"/>
      <w:r w:rsidRPr="000665DB">
        <w:rPr>
          <w:rFonts w:asciiTheme="majorBidi" w:hAnsiTheme="majorBidi"/>
          <w:color w:val="0070C0"/>
          <w:sz w:val="24"/>
          <w:szCs w:val="24"/>
        </w:rPr>
        <w:t>II</w:t>
      </w:r>
      <w:r w:rsidR="00586B08" w:rsidRPr="000665DB">
        <w:rPr>
          <w:rFonts w:asciiTheme="majorBidi" w:hAnsiTheme="majorBidi"/>
          <w:color w:val="0070C0"/>
          <w:sz w:val="24"/>
          <w:szCs w:val="24"/>
        </w:rPr>
        <w:t>I</w:t>
      </w:r>
      <w:r w:rsidRPr="000665DB">
        <w:rPr>
          <w:rFonts w:asciiTheme="majorBidi" w:hAnsiTheme="majorBidi"/>
          <w:color w:val="0070C0"/>
          <w:sz w:val="24"/>
          <w:szCs w:val="24"/>
        </w:rPr>
        <w:t>-2-</w:t>
      </w:r>
      <w:r w:rsidR="006536C2" w:rsidRPr="000665DB">
        <w:rPr>
          <w:rFonts w:asciiTheme="majorBidi" w:hAnsiTheme="majorBidi"/>
          <w:color w:val="0070C0"/>
          <w:sz w:val="24"/>
          <w:szCs w:val="24"/>
        </w:rPr>
        <w:t>1</w:t>
      </w:r>
      <w:r w:rsidRPr="000665DB">
        <w:rPr>
          <w:rFonts w:asciiTheme="majorBidi" w:hAnsiTheme="majorBidi"/>
          <w:color w:val="0070C0"/>
          <w:sz w:val="24"/>
          <w:szCs w:val="24"/>
        </w:rPr>
        <w:t xml:space="preserve"> Comparaison entre l’IPC général de Kenitra et celui du Maroc en 201</w:t>
      </w:r>
      <w:r w:rsidR="00C34D70">
        <w:rPr>
          <w:rFonts w:asciiTheme="majorBidi" w:hAnsiTheme="majorBidi"/>
          <w:color w:val="0070C0"/>
          <w:sz w:val="24"/>
          <w:szCs w:val="24"/>
        </w:rPr>
        <w:t>9</w:t>
      </w:r>
      <w:bookmarkEnd w:id="25"/>
    </w:p>
    <w:p w:rsidR="00754C35" w:rsidRDefault="00754C35" w:rsidP="00F079F4">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Au cours de l’année 201</w:t>
      </w:r>
      <w:r w:rsidR="00C34D70">
        <w:rPr>
          <w:rFonts w:asciiTheme="majorBidi" w:hAnsiTheme="majorBidi" w:cstheme="majorBidi"/>
          <w:sz w:val="24"/>
          <w:szCs w:val="24"/>
        </w:rPr>
        <w:t>9</w:t>
      </w:r>
      <w:r>
        <w:rPr>
          <w:rFonts w:asciiTheme="majorBidi" w:hAnsiTheme="majorBidi" w:cstheme="majorBidi"/>
          <w:sz w:val="24"/>
          <w:szCs w:val="24"/>
        </w:rPr>
        <w:t>, l’IPC général du Maroc a atteint des niveaux supérieurs à ceux enre</w:t>
      </w:r>
      <w:r w:rsidR="00964184">
        <w:rPr>
          <w:rFonts w:asciiTheme="majorBidi" w:hAnsiTheme="majorBidi" w:cstheme="majorBidi"/>
          <w:sz w:val="24"/>
          <w:szCs w:val="24"/>
        </w:rPr>
        <w:t xml:space="preserve">gistrés </w:t>
      </w:r>
      <w:r w:rsidR="00F079F4">
        <w:rPr>
          <w:rFonts w:asciiTheme="majorBidi" w:hAnsiTheme="majorBidi" w:cstheme="majorBidi"/>
          <w:sz w:val="24"/>
          <w:szCs w:val="24"/>
        </w:rPr>
        <w:t>dans</w:t>
      </w:r>
      <w:r w:rsidR="00964184">
        <w:rPr>
          <w:rFonts w:asciiTheme="majorBidi" w:hAnsiTheme="majorBidi" w:cstheme="majorBidi"/>
          <w:sz w:val="24"/>
          <w:szCs w:val="24"/>
        </w:rPr>
        <w:t xml:space="preserve"> la ville de Kenitra, soit, en moyenne</w:t>
      </w:r>
      <w:r w:rsidR="00E15ABD">
        <w:rPr>
          <w:rFonts w:asciiTheme="majorBidi" w:hAnsiTheme="majorBidi" w:cstheme="majorBidi"/>
          <w:sz w:val="24"/>
          <w:szCs w:val="24"/>
        </w:rPr>
        <w:t xml:space="preserve"> 120,4 contre 118,7, respectivement. Cependant, les deux indices </w:t>
      </w:r>
      <w:r w:rsidR="00F079F4">
        <w:rPr>
          <w:rFonts w:asciiTheme="majorBidi" w:hAnsiTheme="majorBidi" w:cstheme="majorBidi"/>
          <w:sz w:val="24"/>
          <w:szCs w:val="24"/>
        </w:rPr>
        <w:t xml:space="preserve">ont </w:t>
      </w:r>
      <w:r w:rsidR="00E15ABD">
        <w:rPr>
          <w:rFonts w:asciiTheme="majorBidi" w:hAnsiTheme="majorBidi" w:cstheme="majorBidi"/>
          <w:sz w:val="24"/>
          <w:szCs w:val="24"/>
        </w:rPr>
        <w:t>affich</w:t>
      </w:r>
      <w:r w:rsidR="00F079F4">
        <w:rPr>
          <w:rFonts w:asciiTheme="majorBidi" w:hAnsiTheme="majorBidi" w:cstheme="majorBidi"/>
          <w:sz w:val="24"/>
          <w:szCs w:val="24"/>
        </w:rPr>
        <w:t>é</w:t>
      </w:r>
      <w:r w:rsidR="00E15ABD">
        <w:rPr>
          <w:rFonts w:asciiTheme="majorBidi" w:hAnsiTheme="majorBidi" w:cstheme="majorBidi"/>
          <w:sz w:val="24"/>
          <w:szCs w:val="24"/>
        </w:rPr>
        <w:t xml:space="preserve"> la même tendance, au cours de l’année</w:t>
      </w:r>
      <w:r w:rsidR="00F079F4">
        <w:rPr>
          <w:rFonts w:asciiTheme="majorBidi" w:hAnsiTheme="majorBidi" w:cstheme="majorBidi"/>
          <w:sz w:val="24"/>
          <w:szCs w:val="24"/>
        </w:rPr>
        <w:t xml:space="preserve"> 2019</w:t>
      </w:r>
      <w:r w:rsidR="00E15ABD">
        <w:rPr>
          <w:rFonts w:asciiTheme="majorBidi" w:hAnsiTheme="majorBidi" w:cstheme="majorBidi"/>
          <w:sz w:val="24"/>
          <w:szCs w:val="24"/>
        </w:rPr>
        <w:t xml:space="preserve">, qui </w:t>
      </w:r>
      <w:r w:rsidR="00F079F4">
        <w:rPr>
          <w:rFonts w:asciiTheme="majorBidi" w:hAnsiTheme="majorBidi" w:cstheme="majorBidi"/>
          <w:sz w:val="24"/>
          <w:szCs w:val="24"/>
        </w:rPr>
        <w:t xml:space="preserve">a été </w:t>
      </w:r>
      <w:r w:rsidR="00E15ABD">
        <w:rPr>
          <w:rFonts w:asciiTheme="majorBidi" w:hAnsiTheme="majorBidi" w:cstheme="majorBidi"/>
          <w:sz w:val="24"/>
          <w:szCs w:val="24"/>
        </w:rPr>
        <w:t xml:space="preserve"> </w:t>
      </w:r>
      <w:r w:rsidR="0024792B">
        <w:rPr>
          <w:rFonts w:asciiTheme="majorBidi" w:hAnsiTheme="majorBidi" w:cstheme="majorBidi"/>
          <w:sz w:val="24"/>
          <w:szCs w:val="24"/>
        </w:rPr>
        <w:t>marqu</w:t>
      </w:r>
      <w:r w:rsidR="007E29B6">
        <w:rPr>
          <w:rFonts w:asciiTheme="majorBidi" w:hAnsiTheme="majorBidi" w:cstheme="majorBidi"/>
          <w:sz w:val="24"/>
          <w:szCs w:val="24"/>
        </w:rPr>
        <w:t>ée par d</w:t>
      </w:r>
      <w:r w:rsidR="00E15ABD">
        <w:rPr>
          <w:rFonts w:asciiTheme="majorBidi" w:hAnsiTheme="majorBidi" w:cstheme="majorBidi"/>
          <w:sz w:val="24"/>
          <w:szCs w:val="24"/>
        </w:rPr>
        <w:t>es pics saisonniers induits, notamment, par les événements religieux à savoir le mois de Ramadan et la fête du sacrifice ayant eu lieu au cours du 2</w:t>
      </w:r>
      <w:r w:rsidR="00E15ABD" w:rsidRPr="00E15ABD">
        <w:rPr>
          <w:rFonts w:asciiTheme="majorBidi" w:hAnsiTheme="majorBidi" w:cstheme="majorBidi"/>
          <w:sz w:val="24"/>
          <w:szCs w:val="24"/>
          <w:vertAlign w:val="superscript"/>
        </w:rPr>
        <w:t>ème</w:t>
      </w:r>
      <w:r w:rsidR="00E15ABD">
        <w:rPr>
          <w:rFonts w:asciiTheme="majorBidi" w:hAnsiTheme="majorBidi" w:cstheme="majorBidi"/>
          <w:sz w:val="24"/>
          <w:szCs w:val="24"/>
        </w:rPr>
        <w:t xml:space="preserve"> et 3</w:t>
      </w:r>
      <w:r w:rsidR="00E15ABD" w:rsidRPr="00E15ABD">
        <w:rPr>
          <w:rFonts w:asciiTheme="majorBidi" w:hAnsiTheme="majorBidi" w:cstheme="majorBidi"/>
          <w:sz w:val="24"/>
          <w:szCs w:val="24"/>
          <w:vertAlign w:val="superscript"/>
        </w:rPr>
        <w:t>ème</w:t>
      </w:r>
      <w:r w:rsidR="00E15ABD">
        <w:rPr>
          <w:rFonts w:asciiTheme="majorBidi" w:hAnsiTheme="majorBidi" w:cstheme="majorBidi"/>
          <w:sz w:val="24"/>
          <w:szCs w:val="24"/>
        </w:rPr>
        <w:t xml:space="preserve"> trimestre de 2019.</w:t>
      </w:r>
    </w:p>
    <w:p w:rsidR="00E15ABD" w:rsidRDefault="00E15ABD" w:rsidP="007E29B6">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En termes d’écarts absolus, les niveaux des indices </w:t>
      </w:r>
      <w:proofErr w:type="gramStart"/>
      <w:r>
        <w:rPr>
          <w:rFonts w:asciiTheme="majorBidi" w:hAnsiTheme="majorBidi" w:cstheme="majorBidi"/>
          <w:sz w:val="24"/>
          <w:szCs w:val="24"/>
        </w:rPr>
        <w:t>national</w:t>
      </w:r>
      <w:proofErr w:type="gramEnd"/>
      <w:r>
        <w:rPr>
          <w:rFonts w:asciiTheme="majorBidi" w:hAnsiTheme="majorBidi" w:cstheme="majorBidi"/>
          <w:sz w:val="24"/>
          <w:szCs w:val="24"/>
        </w:rPr>
        <w:t xml:space="preserve"> et celui de la ville de </w:t>
      </w:r>
      <w:proofErr w:type="spellStart"/>
      <w:r>
        <w:rPr>
          <w:rFonts w:asciiTheme="majorBidi" w:hAnsiTheme="majorBidi" w:cstheme="majorBidi"/>
          <w:sz w:val="24"/>
          <w:szCs w:val="24"/>
        </w:rPr>
        <w:t>kénitra</w:t>
      </w:r>
      <w:proofErr w:type="spellEnd"/>
      <w:r w:rsidR="0024792B">
        <w:rPr>
          <w:rFonts w:asciiTheme="majorBidi" w:hAnsiTheme="majorBidi" w:cstheme="majorBidi"/>
          <w:sz w:val="24"/>
          <w:szCs w:val="24"/>
        </w:rPr>
        <w:t xml:space="preserve"> ont marqué une évolution cyclique irrégulière au cours de l’année</w:t>
      </w:r>
      <w:r w:rsidR="00F84A22">
        <w:rPr>
          <w:rFonts w:asciiTheme="majorBidi" w:hAnsiTheme="majorBidi" w:cstheme="majorBidi"/>
          <w:sz w:val="24"/>
          <w:szCs w:val="24"/>
        </w:rPr>
        <w:t xml:space="preserve"> 2019</w:t>
      </w:r>
      <w:r w:rsidR="0024792B">
        <w:rPr>
          <w:rFonts w:asciiTheme="majorBidi" w:hAnsiTheme="majorBidi" w:cstheme="majorBidi"/>
          <w:sz w:val="24"/>
          <w:szCs w:val="24"/>
        </w:rPr>
        <w:t xml:space="preserve"> avec une tendance à la hausse durant le 2</w:t>
      </w:r>
      <w:r w:rsidR="0024792B" w:rsidRPr="0024792B">
        <w:rPr>
          <w:rFonts w:asciiTheme="majorBidi" w:hAnsiTheme="majorBidi" w:cstheme="majorBidi"/>
          <w:sz w:val="24"/>
          <w:szCs w:val="24"/>
          <w:vertAlign w:val="superscript"/>
        </w:rPr>
        <w:t>ème</w:t>
      </w:r>
      <w:r w:rsidR="0024792B">
        <w:rPr>
          <w:rFonts w:asciiTheme="majorBidi" w:hAnsiTheme="majorBidi" w:cstheme="majorBidi"/>
          <w:sz w:val="24"/>
          <w:szCs w:val="24"/>
        </w:rPr>
        <w:t xml:space="preserve"> semestre. En effet, la moyenne des écarts absolus au cours du 1</w:t>
      </w:r>
      <w:r w:rsidR="0024792B" w:rsidRPr="0024792B">
        <w:rPr>
          <w:rFonts w:asciiTheme="majorBidi" w:hAnsiTheme="majorBidi" w:cstheme="majorBidi"/>
          <w:sz w:val="24"/>
          <w:szCs w:val="24"/>
          <w:vertAlign w:val="superscript"/>
        </w:rPr>
        <w:t>er</w:t>
      </w:r>
      <w:r w:rsidR="0024792B">
        <w:rPr>
          <w:rFonts w:asciiTheme="majorBidi" w:hAnsiTheme="majorBidi" w:cstheme="majorBidi"/>
          <w:sz w:val="24"/>
          <w:szCs w:val="24"/>
        </w:rPr>
        <w:t xml:space="preserve"> trimestre était de 1,3 points,  puis elle est passée à 1,4 au 2</w:t>
      </w:r>
      <w:r w:rsidR="0024792B" w:rsidRPr="0024792B">
        <w:rPr>
          <w:rFonts w:asciiTheme="majorBidi" w:hAnsiTheme="majorBidi" w:cstheme="majorBidi"/>
          <w:sz w:val="24"/>
          <w:szCs w:val="24"/>
          <w:vertAlign w:val="superscript"/>
        </w:rPr>
        <w:t>ème</w:t>
      </w:r>
      <w:r w:rsidR="0024792B">
        <w:rPr>
          <w:rFonts w:asciiTheme="majorBidi" w:hAnsiTheme="majorBidi" w:cstheme="majorBidi"/>
          <w:sz w:val="24"/>
          <w:szCs w:val="24"/>
        </w:rPr>
        <w:t xml:space="preserve"> trimestre</w:t>
      </w:r>
      <w:r w:rsidR="007E29B6">
        <w:rPr>
          <w:rFonts w:asciiTheme="majorBidi" w:hAnsiTheme="majorBidi" w:cstheme="majorBidi"/>
          <w:sz w:val="24"/>
          <w:szCs w:val="24"/>
        </w:rPr>
        <w:t>,</w:t>
      </w:r>
      <w:r w:rsidR="0024792B">
        <w:rPr>
          <w:rFonts w:asciiTheme="majorBidi" w:hAnsiTheme="majorBidi" w:cstheme="majorBidi"/>
          <w:sz w:val="24"/>
          <w:szCs w:val="24"/>
        </w:rPr>
        <w:t xml:space="preserve"> elle a atteint</w:t>
      </w:r>
      <w:r w:rsidR="007E29B6">
        <w:rPr>
          <w:rFonts w:asciiTheme="majorBidi" w:hAnsiTheme="majorBidi" w:cstheme="majorBidi"/>
          <w:sz w:val="24"/>
          <w:szCs w:val="24"/>
        </w:rPr>
        <w:t>,</w:t>
      </w:r>
      <w:r w:rsidR="0024792B">
        <w:rPr>
          <w:rFonts w:asciiTheme="majorBidi" w:hAnsiTheme="majorBidi" w:cstheme="majorBidi"/>
          <w:sz w:val="24"/>
          <w:szCs w:val="24"/>
        </w:rPr>
        <w:t xml:space="preserve"> </w:t>
      </w:r>
      <w:r w:rsidR="007E29B6">
        <w:rPr>
          <w:rFonts w:asciiTheme="majorBidi" w:hAnsiTheme="majorBidi" w:cstheme="majorBidi"/>
          <w:sz w:val="24"/>
          <w:szCs w:val="24"/>
        </w:rPr>
        <w:t xml:space="preserve">ensuite, </w:t>
      </w:r>
      <w:r w:rsidR="0024792B">
        <w:rPr>
          <w:rFonts w:asciiTheme="majorBidi" w:hAnsiTheme="majorBidi" w:cstheme="majorBidi"/>
          <w:sz w:val="24"/>
          <w:szCs w:val="24"/>
        </w:rPr>
        <w:t>1,9 au 3</w:t>
      </w:r>
      <w:r w:rsidR="0024792B" w:rsidRPr="0024792B">
        <w:rPr>
          <w:rFonts w:asciiTheme="majorBidi" w:hAnsiTheme="majorBidi" w:cstheme="majorBidi"/>
          <w:sz w:val="24"/>
          <w:szCs w:val="24"/>
          <w:vertAlign w:val="superscript"/>
        </w:rPr>
        <w:t>ème</w:t>
      </w:r>
      <w:r w:rsidR="0024792B">
        <w:rPr>
          <w:rFonts w:asciiTheme="majorBidi" w:hAnsiTheme="majorBidi" w:cstheme="majorBidi"/>
          <w:sz w:val="24"/>
          <w:szCs w:val="24"/>
        </w:rPr>
        <w:t xml:space="preserve"> trimestre</w:t>
      </w:r>
      <w:r w:rsidR="007E29B6">
        <w:rPr>
          <w:rFonts w:asciiTheme="majorBidi" w:hAnsiTheme="majorBidi" w:cstheme="majorBidi"/>
          <w:sz w:val="24"/>
          <w:szCs w:val="24"/>
        </w:rPr>
        <w:t>,</w:t>
      </w:r>
      <w:r w:rsidR="0024792B">
        <w:rPr>
          <w:rFonts w:asciiTheme="majorBidi" w:hAnsiTheme="majorBidi" w:cstheme="majorBidi"/>
          <w:sz w:val="24"/>
          <w:szCs w:val="24"/>
        </w:rPr>
        <w:t xml:space="preserve"> pour terminer avec 2,1 points au cours du dernier trimestre de 2019.</w:t>
      </w:r>
    </w:p>
    <w:p w:rsidR="00DF65E2" w:rsidRPr="00DF65E2" w:rsidRDefault="00DF65E2" w:rsidP="000F66F0">
      <w:pPr>
        <w:pStyle w:val="Lgende"/>
        <w:rPr>
          <w:rFonts w:asciiTheme="majorBidi" w:hAnsiTheme="majorBidi" w:cstheme="majorBidi"/>
          <w:sz w:val="22"/>
          <w:szCs w:val="22"/>
        </w:rPr>
      </w:pPr>
      <w:bookmarkStart w:id="26" w:name="_Toc54261206"/>
      <w:r w:rsidRPr="00DF65E2">
        <w:rPr>
          <w:rFonts w:asciiTheme="majorBidi" w:hAnsiTheme="majorBidi" w:cstheme="majorBidi"/>
          <w:sz w:val="22"/>
          <w:szCs w:val="22"/>
        </w:rPr>
        <w:t xml:space="preserve">Tableau </w:t>
      </w:r>
      <w:r w:rsidR="00DE78CE" w:rsidRPr="00DF65E2">
        <w:rPr>
          <w:rFonts w:asciiTheme="majorBidi" w:hAnsiTheme="majorBidi" w:cstheme="majorBidi"/>
          <w:sz w:val="22"/>
          <w:szCs w:val="22"/>
        </w:rPr>
        <w:fldChar w:fldCharType="begin"/>
      </w:r>
      <w:r w:rsidRPr="00DF65E2">
        <w:rPr>
          <w:rFonts w:asciiTheme="majorBidi" w:hAnsiTheme="majorBidi" w:cstheme="majorBidi"/>
          <w:sz w:val="22"/>
          <w:szCs w:val="22"/>
        </w:rPr>
        <w:instrText xml:space="preserve"> SEQ Tableau \* ARABIC </w:instrText>
      </w:r>
      <w:r w:rsidR="00DE78CE" w:rsidRPr="00DF65E2">
        <w:rPr>
          <w:rFonts w:asciiTheme="majorBidi" w:hAnsiTheme="majorBidi" w:cstheme="majorBidi"/>
          <w:sz w:val="22"/>
          <w:szCs w:val="22"/>
        </w:rPr>
        <w:fldChar w:fldCharType="separate"/>
      </w:r>
      <w:r w:rsidR="00477549">
        <w:rPr>
          <w:rFonts w:asciiTheme="majorBidi" w:hAnsiTheme="majorBidi" w:cstheme="majorBidi"/>
          <w:noProof/>
          <w:sz w:val="22"/>
          <w:szCs w:val="22"/>
        </w:rPr>
        <w:t>4</w:t>
      </w:r>
      <w:r w:rsidR="00DE78CE" w:rsidRPr="00DF65E2">
        <w:rPr>
          <w:rFonts w:asciiTheme="majorBidi" w:hAnsiTheme="majorBidi" w:cstheme="majorBidi"/>
          <w:sz w:val="22"/>
          <w:szCs w:val="22"/>
        </w:rPr>
        <w:fldChar w:fldCharType="end"/>
      </w:r>
      <w:r w:rsidRPr="00DF65E2">
        <w:rPr>
          <w:rFonts w:asciiTheme="majorBidi" w:hAnsiTheme="majorBidi" w:cstheme="majorBidi"/>
          <w:sz w:val="22"/>
          <w:szCs w:val="22"/>
        </w:rPr>
        <w:t xml:space="preserve"> : IPC général par mois </w:t>
      </w:r>
      <w:r>
        <w:rPr>
          <w:rFonts w:asciiTheme="majorBidi" w:hAnsiTheme="majorBidi" w:cstheme="majorBidi"/>
          <w:sz w:val="22"/>
          <w:szCs w:val="22"/>
        </w:rPr>
        <w:t>-</w:t>
      </w:r>
      <w:r w:rsidRPr="00DF65E2">
        <w:rPr>
          <w:rFonts w:asciiTheme="majorBidi" w:hAnsiTheme="majorBidi" w:cstheme="majorBidi"/>
          <w:sz w:val="22"/>
          <w:szCs w:val="22"/>
        </w:rPr>
        <w:t xml:space="preserve"> Année 201</w:t>
      </w:r>
      <w:r w:rsidR="000F66F0">
        <w:rPr>
          <w:rFonts w:asciiTheme="majorBidi" w:hAnsiTheme="majorBidi" w:cstheme="majorBidi"/>
          <w:sz w:val="22"/>
          <w:szCs w:val="22"/>
        </w:rPr>
        <w:t>9</w:t>
      </w:r>
      <w:r w:rsidRPr="00DF65E2">
        <w:rPr>
          <w:rFonts w:asciiTheme="majorBidi" w:hAnsiTheme="majorBidi" w:cstheme="majorBidi"/>
          <w:sz w:val="22"/>
          <w:szCs w:val="22"/>
        </w:rPr>
        <w:t>-</w:t>
      </w:r>
      <w:bookmarkEnd w:id="26"/>
    </w:p>
    <w:tbl>
      <w:tblPr>
        <w:tblW w:w="4963" w:type="pct"/>
        <w:tblLayout w:type="fixed"/>
        <w:tblCellMar>
          <w:left w:w="70" w:type="dxa"/>
          <w:right w:w="70" w:type="dxa"/>
        </w:tblCellMar>
        <w:tblLook w:val="04A0"/>
      </w:tblPr>
      <w:tblGrid>
        <w:gridCol w:w="1074"/>
        <w:gridCol w:w="787"/>
        <w:gridCol w:w="585"/>
        <w:gridCol w:w="592"/>
        <w:gridCol w:w="587"/>
        <w:gridCol w:w="587"/>
        <w:gridCol w:w="587"/>
        <w:gridCol w:w="587"/>
        <w:gridCol w:w="587"/>
        <w:gridCol w:w="587"/>
        <w:gridCol w:w="587"/>
        <w:gridCol w:w="587"/>
        <w:gridCol w:w="587"/>
        <w:gridCol w:w="964"/>
      </w:tblGrid>
      <w:tr w:rsidR="000F66F0" w:rsidRPr="00761596" w:rsidTr="00DF65E2">
        <w:trPr>
          <w:trHeight w:val="525"/>
        </w:trPr>
        <w:tc>
          <w:tcPr>
            <w:tcW w:w="578" w:type="pct"/>
            <w:tcBorders>
              <w:left w:val="nil"/>
              <w:bottom w:val="single" w:sz="12" w:space="0" w:color="000000" w:themeColor="text1"/>
            </w:tcBorders>
            <w:shd w:val="clear" w:color="auto" w:fill="auto"/>
            <w:noWrap/>
            <w:vAlign w:val="center"/>
            <w:hideMark/>
          </w:tcPr>
          <w:p w:rsidR="000F66F0" w:rsidRPr="000F66F0" w:rsidRDefault="000F66F0">
            <w:pPr>
              <w:jc w:val="center"/>
              <w:rPr>
                <w:rFonts w:asciiTheme="majorBidi" w:hAnsiTheme="majorBidi" w:cstheme="majorBidi"/>
                <w:b/>
                <w:bCs/>
                <w:sz w:val="18"/>
                <w:szCs w:val="18"/>
              </w:rPr>
            </w:pPr>
            <w:r w:rsidRPr="000F66F0">
              <w:rPr>
                <w:rFonts w:asciiTheme="majorBidi" w:hAnsiTheme="majorBidi" w:cstheme="majorBidi"/>
                <w:b/>
                <w:bCs/>
                <w:sz w:val="18"/>
                <w:szCs w:val="18"/>
              </w:rPr>
              <w:t> </w:t>
            </w:r>
          </w:p>
        </w:tc>
        <w:tc>
          <w:tcPr>
            <w:tcW w:w="424" w:type="pct"/>
            <w:tcBorders>
              <w:top w:val="single" w:sz="12" w:space="0" w:color="000000" w:themeColor="text1"/>
              <w:bottom w:val="single" w:sz="12" w:space="0" w:color="000000" w:themeColor="text1"/>
            </w:tcBorders>
            <w:shd w:val="clear" w:color="000000" w:fill="C0C0C0"/>
            <w:noWrap/>
            <w:vAlign w:val="center"/>
            <w:hideMark/>
          </w:tcPr>
          <w:p w:rsidR="000F66F0" w:rsidRPr="000F66F0" w:rsidRDefault="000F66F0">
            <w:pPr>
              <w:jc w:val="center"/>
              <w:rPr>
                <w:rFonts w:asciiTheme="majorBidi" w:hAnsiTheme="majorBidi" w:cstheme="majorBidi"/>
                <w:b/>
                <w:bCs/>
                <w:sz w:val="18"/>
                <w:szCs w:val="18"/>
              </w:rPr>
            </w:pPr>
            <w:r w:rsidRPr="000F66F0">
              <w:rPr>
                <w:rFonts w:asciiTheme="majorBidi" w:hAnsiTheme="majorBidi" w:cstheme="majorBidi"/>
                <w:b/>
                <w:bCs/>
                <w:sz w:val="18"/>
                <w:szCs w:val="18"/>
              </w:rPr>
              <w:t>Jan</w:t>
            </w:r>
          </w:p>
        </w:tc>
        <w:tc>
          <w:tcPr>
            <w:tcW w:w="315" w:type="pct"/>
            <w:tcBorders>
              <w:top w:val="single" w:sz="12" w:space="0" w:color="000000" w:themeColor="text1"/>
              <w:bottom w:val="single" w:sz="12" w:space="0" w:color="000000" w:themeColor="text1"/>
            </w:tcBorders>
            <w:shd w:val="clear" w:color="000000" w:fill="C0C0C0"/>
            <w:noWrap/>
            <w:vAlign w:val="center"/>
            <w:hideMark/>
          </w:tcPr>
          <w:p w:rsidR="000F66F0" w:rsidRPr="000F66F0" w:rsidRDefault="000F66F0">
            <w:pPr>
              <w:jc w:val="center"/>
              <w:rPr>
                <w:rFonts w:asciiTheme="majorBidi" w:hAnsiTheme="majorBidi" w:cstheme="majorBidi"/>
                <w:b/>
                <w:bCs/>
                <w:sz w:val="18"/>
                <w:szCs w:val="18"/>
              </w:rPr>
            </w:pPr>
            <w:proofErr w:type="spellStart"/>
            <w:r w:rsidRPr="000F66F0">
              <w:rPr>
                <w:rFonts w:asciiTheme="majorBidi" w:hAnsiTheme="majorBidi" w:cstheme="majorBidi"/>
                <w:b/>
                <w:bCs/>
                <w:sz w:val="18"/>
                <w:szCs w:val="18"/>
              </w:rPr>
              <w:t>Fev</w:t>
            </w:r>
            <w:proofErr w:type="spellEnd"/>
          </w:p>
        </w:tc>
        <w:tc>
          <w:tcPr>
            <w:tcW w:w="319" w:type="pct"/>
            <w:tcBorders>
              <w:top w:val="single" w:sz="12" w:space="0" w:color="000000" w:themeColor="text1"/>
              <w:bottom w:val="single" w:sz="12" w:space="0" w:color="000000" w:themeColor="text1"/>
            </w:tcBorders>
            <w:shd w:val="clear" w:color="000000" w:fill="C0C0C0"/>
            <w:noWrap/>
            <w:vAlign w:val="center"/>
            <w:hideMark/>
          </w:tcPr>
          <w:p w:rsidR="000F66F0" w:rsidRPr="000F66F0" w:rsidRDefault="000F66F0">
            <w:pPr>
              <w:jc w:val="center"/>
              <w:rPr>
                <w:rFonts w:asciiTheme="majorBidi" w:hAnsiTheme="majorBidi" w:cstheme="majorBidi"/>
                <w:b/>
                <w:bCs/>
                <w:sz w:val="18"/>
                <w:szCs w:val="18"/>
              </w:rPr>
            </w:pPr>
            <w:r w:rsidRPr="000F66F0">
              <w:rPr>
                <w:rFonts w:asciiTheme="majorBidi" w:hAnsiTheme="majorBidi" w:cstheme="majorBidi"/>
                <w:b/>
                <w:bCs/>
                <w:sz w:val="18"/>
                <w:szCs w:val="18"/>
              </w:rPr>
              <w:t>Mars</w:t>
            </w:r>
          </w:p>
        </w:tc>
        <w:tc>
          <w:tcPr>
            <w:tcW w:w="316" w:type="pct"/>
            <w:tcBorders>
              <w:top w:val="single" w:sz="12" w:space="0" w:color="000000" w:themeColor="text1"/>
              <w:bottom w:val="single" w:sz="12" w:space="0" w:color="000000" w:themeColor="text1"/>
            </w:tcBorders>
            <w:shd w:val="clear" w:color="000000" w:fill="C0C0C0"/>
            <w:noWrap/>
            <w:vAlign w:val="center"/>
            <w:hideMark/>
          </w:tcPr>
          <w:p w:rsidR="000F66F0" w:rsidRPr="000F66F0" w:rsidRDefault="000F66F0">
            <w:pPr>
              <w:jc w:val="center"/>
              <w:rPr>
                <w:rFonts w:asciiTheme="majorBidi" w:hAnsiTheme="majorBidi" w:cstheme="majorBidi"/>
                <w:b/>
                <w:bCs/>
                <w:sz w:val="18"/>
                <w:szCs w:val="18"/>
              </w:rPr>
            </w:pPr>
            <w:proofErr w:type="spellStart"/>
            <w:r w:rsidRPr="000F66F0">
              <w:rPr>
                <w:rFonts w:asciiTheme="majorBidi" w:hAnsiTheme="majorBidi" w:cstheme="majorBidi"/>
                <w:b/>
                <w:bCs/>
                <w:sz w:val="18"/>
                <w:szCs w:val="18"/>
              </w:rPr>
              <w:t>Avr</w:t>
            </w:r>
            <w:proofErr w:type="spellEnd"/>
          </w:p>
        </w:tc>
        <w:tc>
          <w:tcPr>
            <w:tcW w:w="316" w:type="pct"/>
            <w:tcBorders>
              <w:top w:val="single" w:sz="12" w:space="0" w:color="000000" w:themeColor="text1"/>
              <w:bottom w:val="single" w:sz="12" w:space="0" w:color="000000" w:themeColor="text1"/>
            </w:tcBorders>
            <w:shd w:val="clear" w:color="000000" w:fill="C0C0C0"/>
            <w:noWrap/>
            <w:vAlign w:val="center"/>
            <w:hideMark/>
          </w:tcPr>
          <w:p w:rsidR="000F66F0" w:rsidRPr="000F66F0" w:rsidRDefault="000F66F0">
            <w:pPr>
              <w:jc w:val="center"/>
              <w:rPr>
                <w:rFonts w:asciiTheme="majorBidi" w:hAnsiTheme="majorBidi" w:cstheme="majorBidi"/>
                <w:b/>
                <w:bCs/>
                <w:sz w:val="18"/>
                <w:szCs w:val="18"/>
              </w:rPr>
            </w:pPr>
            <w:r w:rsidRPr="000F66F0">
              <w:rPr>
                <w:rFonts w:asciiTheme="majorBidi" w:hAnsiTheme="majorBidi" w:cstheme="majorBidi"/>
                <w:b/>
                <w:bCs/>
                <w:sz w:val="18"/>
                <w:szCs w:val="18"/>
              </w:rPr>
              <w:t>Mai</w:t>
            </w:r>
          </w:p>
        </w:tc>
        <w:tc>
          <w:tcPr>
            <w:tcW w:w="316" w:type="pct"/>
            <w:tcBorders>
              <w:top w:val="single" w:sz="12" w:space="0" w:color="000000" w:themeColor="text1"/>
              <w:bottom w:val="single" w:sz="12" w:space="0" w:color="000000" w:themeColor="text1"/>
            </w:tcBorders>
            <w:shd w:val="clear" w:color="000000" w:fill="C0C0C0"/>
            <w:noWrap/>
            <w:vAlign w:val="center"/>
            <w:hideMark/>
          </w:tcPr>
          <w:p w:rsidR="000F66F0" w:rsidRPr="000F66F0" w:rsidRDefault="000F66F0">
            <w:pPr>
              <w:jc w:val="center"/>
              <w:rPr>
                <w:rFonts w:asciiTheme="majorBidi" w:hAnsiTheme="majorBidi" w:cstheme="majorBidi"/>
                <w:b/>
                <w:bCs/>
                <w:sz w:val="18"/>
                <w:szCs w:val="18"/>
              </w:rPr>
            </w:pPr>
            <w:r w:rsidRPr="000F66F0">
              <w:rPr>
                <w:rFonts w:asciiTheme="majorBidi" w:hAnsiTheme="majorBidi" w:cstheme="majorBidi"/>
                <w:b/>
                <w:bCs/>
                <w:sz w:val="18"/>
                <w:szCs w:val="18"/>
              </w:rPr>
              <w:t>Juin</w:t>
            </w:r>
          </w:p>
        </w:tc>
        <w:tc>
          <w:tcPr>
            <w:tcW w:w="316" w:type="pct"/>
            <w:tcBorders>
              <w:top w:val="single" w:sz="12" w:space="0" w:color="000000" w:themeColor="text1"/>
              <w:bottom w:val="single" w:sz="12" w:space="0" w:color="000000" w:themeColor="text1"/>
            </w:tcBorders>
            <w:shd w:val="clear" w:color="000000" w:fill="C0C0C0"/>
            <w:noWrap/>
            <w:vAlign w:val="center"/>
            <w:hideMark/>
          </w:tcPr>
          <w:p w:rsidR="000F66F0" w:rsidRPr="000F66F0" w:rsidRDefault="000F66F0">
            <w:pPr>
              <w:jc w:val="center"/>
              <w:rPr>
                <w:rFonts w:asciiTheme="majorBidi" w:hAnsiTheme="majorBidi" w:cstheme="majorBidi"/>
                <w:b/>
                <w:bCs/>
                <w:sz w:val="18"/>
                <w:szCs w:val="18"/>
              </w:rPr>
            </w:pPr>
            <w:proofErr w:type="spellStart"/>
            <w:r w:rsidRPr="000F66F0">
              <w:rPr>
                <w:rFonts w:asciiTheme="majorBidi" w:hAnsiTheme="majorBidi" w:cstheme="majorBidi"/>
                <w:b/>
                <w:bCs/>
                <w:sz w:val="18"/>
                <w:szCs w:val="18"/>
              </w:rPr>
              <w:t>Jul</w:t>
            </w:r>
            <w:proofErr w:type="spellEnd"/>
          </w:p>
        </w:tc>
        <w:tc>
          <w:tcPr>
            <w:tcW w:w="316" w:type="pct"/>
            <w:tcBorders>
              <w:top w:val="single" w:sz="12" w:space="0" w:color="000000" w:themeColor="text1"/>
              <w:bottom w:val="single" w:sz="12" w:space="0" w:color="000000" w:themeColor="text1"/>
            </w:tcBorders>
            <w:shd w:val="clear" w:color="000000" w:fill="C0C0C0"/>
            <w:noWrap/>
            <w:vAlign w:val="center"/>
            <w:hideMark/>
          </w:tcPr>
          <w:p w:rsidR="000F66F0" w:rsidRPr="000F66F0" w:rsidRDefault="000F66F0">
            <w:pPr>
              <w:jc w:val="center"/>
              <w:rPr>
                <w:rFonts w:asciiTheme="majorBidi" w:hAnsiTheme="majorBidi" w:cstheme="majorBidi"/>
                <w:b/>
                <w:bCs/>
                <w:sz w:val="18"/>
                <w:szCs w:val="18"/>
              </w:rPr>
            </w:pPr>
            <w:r w:rsidRPr="000F66F0">
              <w:rPr>
                <w:rFonts w:asciiTheme="majorBidi" w:hAnsiTheme="majorBidi" w:cstheme="majorBidi"/>
                <w:b/>
                <w:bCs/>
                <w:sz w:val="18"/>
                <w:szCs w:val="18"/>
              </w:rPr>
              <w:t>Août</w:t>
            </w:r>
          </w:p>
        </w:tc>
        <w:tc>
          <w:tcPr>
            <w:tcW w:w="316" w:type="pct"/>
            <w:tcBorders>
              <w:top w:val="single" w:sz="12" w:space="0" w:color="000000" w:themeColor="text1"/>
              <w:bottom w:val="single" w:sz="12" w:space="0" w:color="000000" w:themeColor="text1"/>
            </w:tcBorders>
            <w:shd w:val="clear" w:color="000000" w:fill="C0C0C0"/>
            <w:noWrap/>
            <w:vAlign w:val="center"/>
            <w:hideMark/>
          </w:tcPr>
          <w:p w:rsidR="000F66F0" w:rsidRPr="000F66F0" w:rsidRDefault="000F66F0">
            <w:pPr>
              <w:jc w:val="center"/>
              <w:rPr>
                <w:rFonts w:asciiTheme="majorBidi" w:hAnsiTheme="majorBidi" w:cstheme="majorBidi"/>
                <w:b/>
                <w:bCs/>
                <w:sz w:val="18"/>
                <w:szCs w:val="18"/>
              </w:rPr>
            </w:pPr>
            <w:r w:rsidRPr="000F66F0">
              <w:rPr>
                <w:rFonts w:asciiTheme="majorBidi" w:hAnsiTheme="majorBidi" w:cstheme="majorBidi"/>
                <w:b/>
                <w:bCs/>
                <w:sz w:val="18"/>
                <w:szCs w:val="18"/>
              </w:rPr>
              <w:t>Sep</w:t>
            </w:r>
          </w:p>
        </w:tc>
        <w:tc>
          <w:tcPr>
            <w:tcW w:w="316" w:type="pct"/>
            <w:tcBorders>
              <w:top w:val="single" w:sz="12" w:space="0" w:color="000000" w:themeColor="text1"/>
              <w:bottom w:val="single" w:sz="12" w:space="0" w:color="000000" w:themeColor="text1"/>
            </w:tcBorders>
            <w:shd w:val="clear" w:color="000000" w:fill="C0C0C0"/>
            <w:noWrap/>
            <w:vAlign w:val="center"/>
            <w:hideMark/>
          </w:tcPr>
          <w:p w:rsidR="000F66F0" w:rsidRPr="000F66F0" w:rsidRDefault="000F66F0">
            <w:pPr>
              <w:jc w:val="center"/>
              <w:rPr>
                <w:rFonts w:asciiTheme="majorBidi" w:hAnsiTheme="majorBidi" w:cstheme="majorBidi"/>
                <w:b/>
                <w:bCs/>
                <w:sz w:val="18"/>
                <w:szCs w:val="18"/>
              </w:rPr>
            </w:pPr>
            <w:proofErr w:type="spellStart"/>
            <w:r w:rsidRPr="000F66F0">
              <w:rPr>
                <w:rFonts w:asciiTheme="majorBidi" w:hAnsiTheme="majorBidi" w:cstheme="majorBidi"/>
                <w:b/>
                <w:bCs/>
                <w:sz w:val="18"/>
                <w:szCs w:val="18"/>
              </w:rPr>
              <w:t>Oct</w:t>
            </w:r>
            <w:proofErr w:type="spellEnd"/>
          </w:p>
        </w:tc>
        <w:tc>
          <w:tcPr>
            <w:tcW w:w="316" w:type="pct"/>
            <w:tcBorders>
              <w:top w:val="single" w:sz="12" w:space="0" w:color="000000" w:themeColor="text1"/>
              <w:bottom w:val="single" w:sz="12" w:space="0" w:color="000000" w:themeColor="text1"/>
            </w:tcBorders>
            <w:shd w:val="clear" w:color="000000" w:fill="C0C0C0"/>
            <w:noWrap/>
            <w:vAlign w:val="center"/>
            <w:hideMark/>
          </w:tcPr>
          <w:p w:rsidR="000F66F0" w:rsidRPr="000F66F0" w:rsidRDefault="000F66F0">
            <w:pPr>
              <w:jc w:val="center"/>
              <w:rPr>
                <w:rFonts w:asciiTheme="majorBidi" w:hAnsiTheme="majorBidi" w:cstheme="majorBidi"/>
                <w:b/>
                <w:bCs/>
                <w:sz w:val="18"/>
                <w:szCs w:val="18"/>
              </w:rPr>
            </w:pPr>
            <w:proofErr w:type="spellStart"/>
            <w:r w:rsidRPr="000F66F0">
              <w:rPr>
                <w:rFonts w:asciiTheme="majorBidi" w:hAnsiTheme="majorBidi" w:cstheme="majorBidi"/>
                <w:b/>
                <w:bCs/>
                <w:sz w:val="18"/>
                <w:szCs w:val="18"/>
              </w:rPr>
              <w:t>Nov</w:t>
            </w:r>
            <w:proofErr w:type="spellEnd"/>
          </w:p>
        </w:tc>
        <w:tc>
          <w:tcPr>
            <w:tcW w:w="316" w:type="pct"/>
            <w:tcBorders>
              <w:top w:val="single" w:sz="12" w:space="0" w:color="000000" w:themeColor="text1"/>
              <w:bottom w:val="single" w:sz="12" w:space="0" w:color="000000" w:themeColor="text1"/>
            </w:tcBorders>
            <w:shd w:val="clear" w:color="000000" w:fill="C0C0C0"/>
            <w:noWrap/>
            <w:vAlign w:val="center"/>
            <w:hideMark/>
          </w:tcPr>
          <w:p w:rsidR="000F66F0" w:rsidRPr="000F66F0" w:rsidRDefault="000F66F0">
            <w:pPr>
              <w:jc w:val="center"/>
              <w:rPr>
                <w:rFonts w:asciiTheme="majorBidi" w:hAnsiTheme="majorBidi" w:cstheme="majorBidi"/>
                <w:b/>
                <w:bCs/>
                <w:sz w:val="18"/>
                <w:szCs w:val="18"/>
              </w:rPr>
            </w:pPr>
            <w:proofErr w:type="spellStart"/>
            <w:r w:rsidRPr="000F66F0">
              <w:rPr>
                <w:rFonts w:asciiTheme="majorBidi" w:hAnsiTheme="majorBidi" w:cstheme="majorBidi"/>
                <w:b/>
                <w:bCs/>
                <w:sz w:val="18"/>
                <w:szCs w:val="18"/>
              </w:rPr>
              <w:t>Dec</w:t>
            </w:r>
            <w:proofErr w:type="spellEnd"/>
          </w:p>
        </w:tc>
        <w:tc>
          <w:tcPr>
            <w:tcW w:w="519" w:type="pct"/>
            <w:tcBorders>
              <w:top w:val="single" w:sz="12" w:space="0" w:color="000000" w:themeColor="text1"/>
              <w:bottom w:val="single" w:sz="12" w:space="0" w:color="000000" w:themeColor="text1"/>
            </w:tcBorders>
            <w:shd w:val="clear" w:color="000000" w:fill="C0C0C0"/>
            <w:noWrap/>
            <w:vAlign w:val="center"/>
            <w:hideMark/>
          </w:tcPr>
          <w:p w:rsidR="000F66F0" w:rsidRPr="000F66F0" w:rsidRDefault="000F66F0">
            <w:pPr>
              <w:jc w:val="center"/>
              <w:rPr>
                <w:rFonts w:asciiTheme="majorBidi" w:hAnsiTheme="majorBidi" w:cstheme="majorBidi"/>
                <w:b/>
                <w:bCs/>
                <w:sz w:val="18"/>
                <w:szCs w:val="18"/>
              </w:rPr>
            </w:pPr>
            <w:r w:rsidRPr="000F66F0">
              <w:rPr>
                <w:rFonts w:asciiTheme="majorBidi" w:hAnsiTheme="majorBidi" w:cstheme="majorBidi"/>
                <w:b/>
                <w:bCs/>
                <w:sz w:val="18"/>
                <w:szCs w:val="18"/>
              </w:rPr>
              <w:t>Moyenne</w:t>
            </w:r>
          </w:p>
        </w:tc>
      </w:tr>
      <w:tr w:rsidR="000F66F0" w:rsidRPr="00761596" w:rsidTr="00F51D94">
        <w:trPr>
          <w:trHeight w:val="630"/>
        </w:trPr>
        <w:tc>
          <w:tcPr>
            <w:tcW w:w="578" w:type="pct"/>
            <w:tcBorders>
              <w:top w:val="single" w:sz="12" w:space="0" w:color="000000" w:themeColor="text1"/>
            </w:tcBorders>
            <w:shd w:val="clear" w:color="auto" w:fill="auto"/>
            <w:noWrap/>
            <w:vAlign w:val="center"/>
            <w:hideMark/>
          </w:tcPr>
          <w:p w:rsidR="000F66F0" w:rsidRPr="000F66F0" w:rsidRDefault="000F66F0">
            <w:pPr>
              <w:rPr>
                <w:rFonts w:asciiTheme="majorBidi" w:hAnsiTheme="majorBidi" w:cstheme="majorBidi"/>
                <w:b/>
                <w:bCs/>
                <w:sz w:val="16"/>
                <w:szCs w:val="16"/>
              </w:rPr>
            </w:pPr>
            <w:r w:rsidRPr="000F66F0">
              <w:rPr>
                <w:rFonts w:asciiTheme="majorBidi" w:hAnsiTheme="majorBidi" w:cstheme="majorBidi"/>
                <w:b/>
                <w:bCs/>
                <w:sz w:val="16"/>
                <w:szCs w:val="16"/>
              </w:rPr>
              <w:t>KENITRA</w:t>
            </w:r>
          </w:p>
        </w:tc>
        <w:tc>
          <w:tcPr>
            <w:tcW w:w="424" w:type="pct"/>
            <w:tcBorders>
              <w:top w:val="single" w:sz="12" w:space="0" w:color="000000" w:themeColor="text1"/>
            </w:tcBorders>
            <w:shd w:val="clear" w:color="auto" w:fill="auto"/>
            <w:noWrap/>
            <w:vAlign w:val="bottom"/>
            <w:hideMark/>
          </w:tcPr>
          <w:p w:rsidR="000F66F0" w:rsidRPr="000F66F0" w:rsidRDefault="000F66F0">
            <w:pPr>
              <w:jc w:val="right"/>
              <w:rPr>
                <w:rFonts w:asciiTheme="majorBidi" w:hAnsiTheme="majorBidi" w:cstheme="majorBidi"/>
                <w:b/>
                <w:bCs/>
                <w:sz w:val="18"/>
                <w:szCs w:val="18"/>
              </w:rPr>
            </w:pPr>
            <w:r w:rsidRPr="000F66F0">
              <w:rPr>
                <w:rFonts w:asciiTheme="majorBidi" w:hAnsiTheme="majorBidi" w:cstheme="majorBidi"/>
                <w:b/>
                <w:bCs/>
                <w:sz w:val="18"/>
                <w:szCs w:val="18"/>
              </w:rPr>
              <w:t>118,0</w:t>
            </w:r>
          </w:p>
        </w:tc>
        <w:tc>
          <w:tcPr>
            <w:tcW w:w="315" w:type="pct"/>
            <w:tcBorders>
              <w:top w:val="single" w:sz="12" w:space="0" w:color="000000" w:themeColor="text1"/>
            </w:tcBorders>
            <w:shd w:val="clear" w:color="auto" w:fill="auto"/>
            <w:noWrap/>
            <w:vAlign w:val="bottom"/>
            <w:hideMark/>
          </w:tcPr>
          <w:p w:rsidR="000F66F0" w:rsidRPr="000F66F0" w:rsidRDefault="000F66F0">
            <w:pPr>
              <w:jc w:val="right"/>
              <w:rPr>
                <w:rFonts w:asciiTheme="majorBidi" w:hAnsiTheme="majorBidi" w:cstheme="majorBidi"/>
                <w:b/>
                <w:bCs/>
                <w:sz w:val="18"/>
                <w:szCs w:val="18"/>
              </w:rPr>
            </w:pPr>
            <w:r w:rsidRPr="000F66F0">
              <w:rPr>
                <w:rFonts w:asciiTheme="majorBidi" w:hAnsiTheme="majorBidi" w:cstheme="majorBidi"/>
                <w:b/>
                <w:bCs/>
                <w:sz w:val="18"/>
                <w:szCs w:val="18"/>
              </w:rPr>
              <w:t>118,2</w:t>
            </w:r>
          </w:p>
        </w:tc>
        <w:tc>
          <w:tcPr>
            <w:tcW w:w="319" w:type="pct"/>
            <w:tcBorders>
              <w:top w:val="single" w:sz="12" w:space="0" w:color="000000" w:themeColor="text1"/>
            </w:tcBorders>
            <w:shd w:val="clear" w:color="auto" w:fill="auto"/>
            <w:noWrap/>
            <w:vAlign w:val="bottom"/>
            <w:hideMark/>
          </w:tcPr>
          <w:p w:rsidR="000F66F0" w:rsidRPr="000F66F0" w:rsidRDefault="000F66F0">
            <w:pPr>
              <w:jc w:val="right"/>
              <w:rPr>
                <w:rFonts w:asciiTheme="majorBidi" w:hAnsiTheme="majorBidi" w:cstheme="majorBidi"/>
                <w:b/>
                <w:bCs/>
                <w:sz w:val="18"/>
                <w:szCs w:val="18"/>
              </w:rPr>
            </w:pPr>
            <w:r w:rsidRPr="000F66F0">
              <w:rPr>
                <w:rFonts w:asciiTheme="majorBidi" w:hAnsiTheme="majorBidi" w:cstheme="majorBidi"/>
                <w:b/>
                <w:bCs/>
                <w:sz w:val="18"/>
                <w:szCs w:val="18"/>
              </w:rPr>
              <w:t>118,3</w:t>
            </w:r>
          </w:p>
        </w:tc>
        <w:tc>
          <w:tcPr>
            <w:tcW w:w="316" w:type="pct"/>
            <w:tcBorders>
              <w:top w:val="single" w:sz="12" w:space="0" w:color="000000" w:themeColor="text1"/>
            </w:tcBorders>
            <w:shd w:val="clear" w:color="auto" w:fill="auto"/>
            <w:noWrap/>
            <w:vAlign w:val="bottom"/>
            <w:hideMark/>
          </w:tcPr>
          <w:p w:rsidR="000F66F0" w:rsidRPr="000F66F0" w:rsidRDefault="000F66F0">
            <w:pPr>
              <w:jc w:val="right"/>
              <w:rPr>
                <w:rFonts w:asciiTheme="majorBidi" w:hAnsiTheme="majorBidi" w:cstheme="majorBidi"/>
                <w:b/>
                <w:bCs/>
                <w:sz w:val="18"/>
                <w:szCs w:val="18"/>
              </w:rPr>
            </w:pPr>
            <w:r w:rsidRPr="000F66F0">
              <w:rPr>
                <w:rFonts w:asciiTheme="majorBidi" w:hAnsiTheme="majorBidi" w:cstheme="majorBidi"/>
                <w:b/>
                <w:bCs/>
                <w:sz w:val="18"/>
                <w:szCs w:val="18"/>
              </w:rPr>
              <w:t>118,4</w:t>
            </w:r>
          </w:p>
        </w:tc>
        <w:tc>
          <w:tcPr>
            <w:tcW w:w="316" w:type="pct"/>
            <w:tcBorders>
              <w:top w:val="single" w:sz="12" w:space="0" w:color="000000" w:themeColor="text1"/>
            </w:tcBorders>
            <w:shd w:val="clear" w:color="auto" w:fill="auto"/>
            <w:noWrap/>
            <w:vAlign w:val="bottom"/>
            <w:hideMark/>
          </w:tcPr>
          <w:p w:rsidR="000F66F0" w:rsidRPr="000F66F0" w:rsidRDefault="000F66F0">
            <w:pPr>
              <w:jc w:val="right"/>
              <w:rPr>
                <w:rFonts w:asciiTheme="majorBidi" w:hAnsiTheme="majorBidi" w:cstheme="majorBidi"/>
                <w:b/>
                <w:bCs/>
                <w:sz w:val="18"/>
                <w:szCs w:val="18"/>
              </w:rPr>
            </w:pPr>
            <w:r w:rsidRPr="000F66F0">
              <w:rPr>
                <w:rFonts w:asciiTheme="majorBidi" w:hAnsiTheme="majorBidi" w:cstheme="majorBidi"/>
                <w:b/>
                <w:bCs/>
                <w:sz w:val="18"/>
                <w:szCs w:val="18"/>
              </w:rPr>
              <w:t>120,1</w:t>
            </w:r>
          </w:p>
        </w:tc>
        <w:tc>
          <w:tcPr>
            <w:tcW w:w="316" w:type="pct"/>
            <w:tcBorders>
              <w:top w:val="single" w:sz="12" w:space="0" w:color="000000" w:themeColor="text1"/>
            </w:tcBorders>
            <w:shd w:val="clear" w:color="auto" w:fill="auto"/>
            <w:noWrap/>
            <w:vAlign w:val="bottom"/>
            <w:hideMark/>
          </w:tcPr>
          <w:p w:rsidR="000F66F0" w:rsidRPr="000F66F0" w:rsidRDefault="000F66F0">
            <w:pPr>
              <w:jc w:val="right"/>
              <w:rPr>
                <w:rFonts w:asciiTheme="majorBidi" w:hAnsiTheme="majorBidi" w:cstheme="majorBidi"/>
                <w:b/>
                <w:bCs/>
                <w:sz w:val="18"/>
                <w:szCs w:val="18"/>
              </w:rPr>
            </w:pPr>
            <w:r w:rsidRPr="000F66F0">
              <w:rPr>
                <w:rFonts w:asciiTheme="majorBidi" w:hAnsiTheme="majorBidi" w:cstheme="majorBidi"/>
                <w:b/>
                <w:bCs/>
                <w:sz w:val="18"/>
                <w:szCs w:val="18"/>
              </w:rPr>
              <w:t>119,8</w:t>
            </w:r>
          </w:p>
        </w:tc>
        <w:tc>
          <w:tcPr>
            <w:tcW w:w="316" w:type="pct"/>
            <w:tcBorders>
              <w:top w:val="single" w:sz="12" w:space="0" w:color="000000" w:themeColor="text1"/>
            </w:tcBorders>
            <w:shd w:val="clear" w:color="auto" w:fill="auto"/>
            <w:noWrap/>
            <w:vAlign w:val="bottom"/>
            <w:hideMark/>
          </w:tcPr>
          <w:p w:rsidR="000F66F0" w:rsidRPr="000F66F0" w:rsidRDefault="000F66F0">
            <w:pPr>
              <w:jc w:val="right"/>
              <w:rPr>
                <w:rFonts w:asciiTheme="majorBidi" w:hAnsiTheme="majorBidi" w:cstheme="majorBidi"/>
                <w:b/>
                <w:bCs/>
                <w:sz w:val="18"/>
                <w:szCs w:val="18"/>
              </w:rPr>
            </w:pPr>
            <w:r w:rsidRPr="000F66F0">
              <w:rPr>
                <w:rFonts w:asciiTheme="majorBidi" w:hAnsiTheme="majorBidi" w:cstheme="majorBidi"/>
                <w:b/>
                <w:bCs/>
                <w:sz w:val="18"/>
                <w:szCs w:val="18"/>
              </w:rPr>
              <w:t>118,2</w:t>
            </w:r>
          </w:p>
        </w:tc>
        <w:tc>
          <w:tcPr>
            <w:tcW w:w="316" w:type="pct"/>
            <w:tcBorders>
              <w:top w:val="single" w:sz="12" w:space="0" w:color="000000" w:themeColor="text1"/>
            </w:tcBorders>
            <w:shd w:val="clear" w:color="auto" w:fill="auto"/>
            <w:noWrap/>
            <w:vAlign w:val="bottom"/>
            <w:hideMark/>
          </w:tcPr>
          <w:p w:rsidR="000F66F0" w:rsidRPr="000F66F0" w:rsidRDefault="000F66F0">
            <w:pPr>
              <w:jc w:val="right"/>
              <w:rPr>
                <w:rFonts w:asciiTheme="majorBidi" w:hAnsiTheme="majorBidi" w:cstheme="majorBidi"/>
                <w:b/>
                <w:bCs/>
                <w:sz w:val="18"/>
                <w:szCs w:val="18"/>
              </w:rPr>
            </w:pPr>
            <w:r w:rsidRPr="000F66F0">
              <w:rPr>
                <w:rFonts w:asciiTheme="majorBidi" w:hAnsiTheme="majorBidi" w:cstheme="majorBidi"/>
                <w:b/>
                <w:bCs/>
                <w:sz w:val="18"/>
                <w:szCs w:val="18"/>
              </w:rPr>
              <w:t>118,9</w:t>
            </w:r>
          </w:p>
        </w:tc>
        <w:tc>
          <w:tcPr>
            <w:tcW w:w="316" w:type="pct"/>
            <w:tcBorders>
              <w:top w:val="single" w:sz="12" w:space="0" w:color="000000" w:themeColor="text1"/>
            </w:tcBorders>
            <w:shd w:val="clear" w:color="auto" w:fill="auto"/>
            <w:noWrap/>
            <w:vAlign w:val="bottom"/>
            <w:hideMark/>
          </w:tcPr>
          <w:p w:rsidR="000F66F0" w:rsidRPr="000F66F0" w:rsidRDefault="000F66F0">
            <w:pPr>
              <w:jc w:val="right"/>
              <w:rPr>
                <w:rFonts w:asciiTheme="majorBidi" w:hAnsiTheme="majorBidi" w:cstheme="majorBidi"/>
                <w:b/>
                <w:bCs/>
                <w:sz w:val="18"/>
                <w:szCs w:val="18"/>
              </w:rPr>
            </w:pPr>
            <w:r w:rsidRPr="000F66F0">
              <w:rPr>
                <w:rFonts w:asciiTheme="majorBidi" w:hAnsiTheme="majorBidi" w:cstheme="majorBidi"/>
                <w:b/>
                <w:bCs/>
                <w:sz w:val="18"/>
                <w:szCs w:val="18"/>
              </w:rPr>
              <w:t>118,3</w:t>
            </w:r>
          </w:p>
        </w:tc>
        <w:tc>
          <w:tcPr>
            <w:tcW w:w="316" w:type="pct"/>
            <w:tcBorders>
              <w:top w:val="single" w:sz="12" w:space="0" w:color="000000" w:themeColor="text1"/>
            </w:tcBorders>
            <w:shd w:val="clear" w:color="auto" w:fill="auto"/>
            <w:noWrap/>
            <w:vAlign w:val="bottom"/>
            <w:hideMark/>
          </w:tcPr>
          <w:p w:rsidR="000F66F0" w:rsidRPr="000F66F0" w:rsidRDefault="000F66F0">
            <w:pPr>
              <w:jc w:val="right"/>
              <w:rPr>
                <w:rFonts w:asciiTheme="majorBidi" w:hAnsiTheme="majorBidi" w:cstheme="majorBidi"/>
                <w:b/>
                <w:bCs/>
                <w:sz w:val="18"/>
                <w:szCs w:val="18"/>
              </w:rPr>
            </w:pPr>
            <w:r w:rsidRPr="000F66F0">
              <w:rPr>
                <w:rFonts w:asciiTheme="majorBidi" w:hAnsiTheme="majorBidi" w:cstheme="majorBidi"/>
                <w:b/>
                <w:bCs/>
                <w:sz w:val="18"/>
                <w:szCs w:val="18"/>
              </w:rPr>
              <w:t>118,3</w:t>
            </w:r>
          </w:p>
        </w:tc>
        <w:tc>
          <w:tcPr>
            <w:tcW w:w="316" w:type="pct"/>
            <w:tcBorders>
              <w:top w:val="single" w:sz="12" w:space="0" w:color="000000" w:themeColor="text1"/>
            </w:tcBorders>
            <w:shd w:val="clear" w:color="auto" w:fill="auto"/>
            <w:noWrap/>
            <w:vAlign w:val="bottom"/>
            <w:hideMark/>
          </w:tcPr>
          <w:p w:rsidR="000F66F0" w:rsidRPr="000F66F0" w:rsidRDefault="000F66F0">
            <w:pPr>
              <w:jc w:val="right"/>
              <w:rPr>
                <w:rFonts w:asciiTheme="majorBidi" w:hAnsiTheme="majorBidi" w:cstheme="majorBidi"/>
                <w:b/>
                <w:bCs/>
                <w:sz w:val="18"/>
                <w:szCs w:val="18"/>
              </w:rPr>
            </w:pPr>
            <w:r w:rsidRPr="000F66F0">
              <w:rPr>
                <w:rFonts w:asciiTheme="majorBidi" w:hAnsiTheme="majorBidi" w:cstheme="majorBidi"/>
                <w:b/>
                <w:bCs/>
                <w:sz w:val="18"/>
                <w:szCs w:val="18"/>
              </w:rPr>
              <w:t>119,2</w:t>
            </w:r>
          </w:p>
        </w:tc>
        <w:tc>
          <w:tcPr>
            <w:tcW w:w="316" w:type="pct"/>
            <w:tcBorders>
              <w:top w:val="single" w:sz="12" w:space="0" w:color="000000" w:themeColor="text1"/>
            </w:tcBorders>
            <w:shd w:val="clear" w:color="auto" w:fill="auto"/>
            <w:noWrap/>
            <w:vAlign w:val="bottom"/>
            <w:hideMark/>
          </w:tcPr>
          <w:p w:rsidR="000F66F0" w:rsidRPr="000F66F0" w:rsidRDefault="000F66F0">
            <w:pPr>
              <w:jc w:val="right"/>
              <w:rPr>
                <w:rFonts w:asciiTheme="majorBidi" w:hAnsiTheme="majorBidi" w:cstheme="majorBidi"/>
                <w:b/>
                <w:bCs/>
                <w:sz w:val="18"/>
                <w:szCs w:val="18"/>
              </w:rPr>
            </w:pPr>
            <w:r w:rsidRPr="000F66F0">
              <w:rPr>
                <w:rFonts w:asciiTheme="majorBidi" w:hAnsiTheme="majorBidi" w:cstheme="majorBidi"/>
                <w:b/>
                <w:bCs/>
                <w:sz w:val="18"/>
                <w:szCs w:val="18"/>
              </w:rPr>
              <w:t>119,2</w:t>
            </w:r>
          </w:p>
        </w:tc>
        <w:tc>
          <w:tcPr>
            <w:tcW w:w="519" w:type="pct"/>
            <w:tcBorders>
              <w:top w:val="single" w:sz="12" w:space="0" w:color="000000" w:themeColor="text1"/>
            </w:tcBorders>
            <w:shd w:val="clear" w:color="auto" w:fill="auto"/>
            <w:noWrap/>
            <w:vAlign w:val="bottom"/>
            <w:hideMark/>
          </w:tcPr>
          <w:p w:rsidR="000F66F0" w:rsidRPr="000F66F0" w:rsidRDefault="000F66F0">
            <w:pPr>
              <w:jc w:val="right"/>
              <w:rPr>
                <w:rFonts w:asciiTheme="majorBidi" w:hAnsiTheme="majorBidi" w:cstheme="majorBidi"/>
                <w:b/>
                <w:bCs/>
                <w:sz w:val="18"/>
                <w:szCs w:val="18"/>
              </w:rPr>
            </w:pPr>
            <w:r w:rsidRPr="000F66F0">
              <w:rPr>
                <w:rFonts w:asciiTheme="majorBidi" w:hAnsiTheme="majorBidi" w:cstheme="majorBidi"/>
                <w:b/>
                <w:bCs/>
                <w:sz w:val="18"/>
                <w:szCs w:val="18"/>
              </w:rPr>
              <w:t>118,7</w:t>
            </w:r>
          </w:p>
        </w:tc>
      </w:tr>
      <w:tr w:rsidR="000F66F0" w:rsidRPr="00761596" w:rsidTr="00DF65E2">
        <w:trPr>
          <w:trHeight w:val="405"/>
        </w:trPr>
        <w:tc>
          <w:tcPr>
            <w:tcW w:w="578" w:type="pct"/>
            <w:tcBorders>
              <w:top w:val="nil"/>
              <w:bottom w:val="single" w:sz="12" w:space="0" w:color="000000" w:themeColor="text1"/>
            </w:tcBorders>
            <w:shd w:val="clear" w:color="auto" w:fill="auto"/>
            <w:noWrap/>
            <w:vAlign w:val="center"/>
            <w:hideMark/>
          </w:tcPr>
          <w:p w:rsidR="000F66F0" w:rsidRPr="000F66F0" w:rsidRDefault="000F66F0">
            <w:pPr>
              <w:rPr>
                <w:rFonts w:asciiTheme="majorBidi" w:hAnsiTheme="majorBidi" w:cstheme="majorBidi"/>
                <w:b/>
                <w:bCs/>
                <w:sz w:val="16"/>
                <w:szCs w:val="16"/>
              </w:rPr>
            </w:pPr>
            <w:r w:rsidRPr="000F66F0">
              <w:rPr>
                <w:rFonts w:asciiTheme="majorBidi" w:hAnsiTheme="majorBidi" w:cstheme="majorBidi"/>
                <w:b/>
                <w:bCs/>
                <w:sz w:val="16"/>
                <w:szCs w:val="16"/>
              </w:rPr>
              <w:t>NATIONAL</w:t>
            </w:r>
          </w:p>
        </w:tc>
        <w:tc>
          <w:tcPr>
            <w:tcW w:w="424" w:type="pct"/>
            <w:tcBorders>
              <w:top w:val="nil"/>
              <w:bottom w:val="single" w:sz="12" w:space="0" w:color="000000" w:themeColor="text1"/>
            </w:tcBorders>
            <w:shd w:val="clear" w:color="auto" w:fill="auto"/>
            <w:noWrap/>
            <w:vAlign w:val="center"/>
            <w:hideMark/>
          </w:tcPr>
          <w:p w:rsidR="000F66F0" w:rsidRPr="000F66F0" w:rsidRDefault="000F66F0">
            <w:pPr>
              <w:jc w:val="right"/>
              <w:rPr>
                <w:rFonts w:asciiTheme="majorBidi" w:hAnsiTheme="majorBidi" w:cstheme="majorBidi"/>
                <w:b/>
                <w:bCs/>
                <w:sz w:val="18"/>
                <w:szCs w:val="18"/>
              </w:rPr>
            </w:pPr>
            <w:r w:rsidRPr="000F66F0">
              <w:rPr>
                <w:rFonts w:asciiTheme="majorBidi" w:hAnsiTheme="majorBidi" w:cstheme="majorBidi"/>
                <w:b/>
                <w:bCs/>
                <w:sz w:val="18"/>
                <w:szCs w:val="18"/>
              </w:rPr>
              <w:t>119,5</w:t>
            </w:r>
          </w:p>
        </w:tc>
        <w:tc>
          <w:tcPr>
            <w:tcW w:w="315" w:type="pct"/>
            <w:tcBorders>
              <w:top w:val="nil"/>
              <w:bottom w:val="single" w:sz="12" w:space="0" w:color="000000" w:themeColor="text1"/>
            </w:tcBorders>
            <w:shd w:val="clear" w:color="auto" w:fill="auto"/>
            <w:noWrap/>
            <w:vAlign w:val="center"/>
            <w:hideMark/>
          </w:tcPr>
          <w:p w:rsidR="000F66F0" w:rsidRPr="000F66F0" w:rsidRDefault="000F66F0">
            <w:pPr>
              <w:jc w:val="right"/>
              <w:rPr>
                <w:rFonts w:asciiTheme="majorBidi" w:hAnsiTheme="majorBidi" w:cstheme="majorBidi"/>
                <w:b/>
                <w:bCs/>
                <w:sz w:val="18"/>
                <w:szCs w:val="18"/>
              </w:rPr>
            </w:pPr>
            <w:r w:rsidRPr="000F66F0">
              <w:rPr>
                <w:rFonts w:asciiTheme="majorBidi" w:hAnsiTheme="majorBidi" w:cstheme="majorBidi"/>
                <w:b/>
                <w:bCs/>
                <w:sz w:val="18"/>
                <w:szCs w:val="18"/>
              </w:rPr>
              <w:t>119,5</w:t>
            </w:r>
          </w:p>
        </w:tc>
        <w:tc>
          <w:tcPr>
            <w:tcW w:w="319" w:type="pct"/>
            <w:tcBorders>
              <w:top w:val="nil"/>
              <w:bottom w:val="single" w:sz="12" w:space="0" w:color="000000" w:themeColor="text1"/>
            </w:tcBorders>
            <w:shd w:val="clear" w:color="auto" w:fill="auto"/>
            <w:noWrap/>
            <w:vAlign w:val="center"/>
            <w:hideMark/>
          </w:tcPr>
          <w:p w:rsidR="000F66F0" w:rsidRPr="000F66F0" w:rsidRDefault="000F66F0">
            <w:pPr>
              <w:jc w:val="right"/>
              <w:rPr>
                <w:rFonts w:asciiTheme="majorBidi" w:hAnsiTheme="majorBidi" w:cstheme="majorBidi"/>
                <w:b/>
                <w:bCs/>
                <w:sz w:val="18"/>
                <w:szCs w:val="18"/>
              </w:rPr>
            </w:pPr>
            <w:r w:rsidRPr="000F66F0">
              <w:rPr>
                <w:rFonts w:asciiTheme="majorBidi" w:hAnsiTheme="majorBidi" w:cstheme="majorBidi"/>
                <w:b/>
                <w:bCs/>
                <w:sz w:val="18"/>
                <w:szCs w:val="18"/>
              </w:rPr>
              <w:t>119,5</w:t>
            </w:r>
          </w:p>
        </w:tc>
        <w:tc>
          <w:tcPr>
            <w:tcW w:w="316" w:type="pct"/>
            <w:tcBorders>
              <w:top w:val="nil"/>
              <w:bottom w:val="single" w:sz="12" w:space="0" w:color="000000" w:themeColor="text1"/>
            </w:tcBorders>
            <w:shd w:val="clear" w:color="auto" w:fill="auto"/>
            <w:noWrap/>
            <w:vAlign w:val="center"/>
            <w:hideMark/>
          </w:tcPr>
          <w:p w:rsidR="000F66F0" w:rsidRPr="000F66F0" w:rsidRDefault="000F66F0">
            <w:pPr>
              <w:jc w:val="right"/>
              <w:rPr>
                <w:rFonts w:asciiTheme="majorBidi" w:hAnsiTheme="majorBidi" w:cstheme="majorBidi"/>
                <w:b/>
                <w:bCs/>
                <w:sz w:val="18"/>
                <w:szCs w:val="18"/>
              </w:rPr>
            </w:pPr>
            <w:r w:rsidRPr="000F66F0">
              <w:rPr>
                <w:rFonts w:asciiTheme="majorBidi" w:hAnsiTheme="majorBidi" w:cstheme="majorBidi"/>
                <w:b/>
                <w:bCs/>
                <w:sz w:val="18"/>
                <w:szCs w:val="18"/>
              </w:rPr>
              <w:t>120,2</w:t>
            </w:r>
          </w:p>
        </w:tc>
        <w:tc>
          <w:tcPr>
            <w:tcW w:w="316" w:type="pct"/>
            <w:tcBorders>
              <w:top w:val="nil"/>
              <w:bottom w:val="single" w:sz="12" w:space="0" w:color="000000" w:themeColor="text1"/>
            </w:tcBorders>
            <w:shd w:val="clear" w:color="auto" w:fill="auto"/>
            <w:noWrap/>
            <w:vAlign w:val="center"/>
            <w:hideMark/>
          </w:tcPr>
          <w:p w:rsidR="000F66F0" w:rsidRPr="000F66F0" w:rsidRDefault="000F66F0">
            <w:pPr>
              <w:jc w:val="right"/>
              <w:rPr>
                <w:rFonts w:asciiTheme="majorBidi" w:hAnsiTheme="majorBidi" w:cstheme="majorBidi"/>
                <w:b/>
                <w:bCs/>
                <w:sz w:val="18"/>
                <w:szCs w:val="18"/>
              </w:rPr>
            </w:pPr>
            <w:r w:rsidRPr="000F66F0">
              <w:rPr>
                <w:rFonts w:asciiTheme="majorBidi" w:hAnsiTheme="majorBidi" w:cstheme="majorBidi"/>
                <w:b/>
                <w:bCs/>
                <w:sz w:val="18"/>
                <w:szCs w:val="18"/>
              </w:rPr>
              <w:t>121,0</w:t>
            </w:r>
          </w:p>
        </w:tc>
        <w:tc>
          <w:tcPr>
            <w:tcW w:w="316" w:type="pct"/>
            <w:tcBorders>
              <w:top w:val="nil"/>
              <w:bottom w:val="single" w:sz="12" w:space="0" w:color="000000" w:themeColor="text1"/>
            </w:tcBorders>
            <w:shd w:val="clear" w:color="auto" w:fill="auto"/>
            <w:noWrap/>
            <w:vAlign w:val="center"/>
            <w:hideMark/>
          </w:tcPr>
          <w:p w:rsidR="000F66F0" w:rsidRPr="000F66F0" w:rsidRDefault="000F66F0">
            <w:pPr>
              <w:jc w:val="right"/>
              <w:rPr>
                <w:rFonts w:asciiTheme="majorBidi" w:hAnsiTheme="majorBidi" w:cstheme="majorBidi"/>
                <w:b/>
                <w:bCs/>
                <w:sz w:val="18"/>
                <w:szCs w:val="18"/>
              </w:rPr>
            </w:pPr>
            <w:r w:rsidRPr="000F66F0">
              <w:rPr>
                <w:rFonts w:asciiTheme="majorBidi" w:hAnsiTheme="majorBidi" w:cstheme="majorBidi"/>
                <w:b/>
                <w:bCs/>
                <w:sz w:val="18"/>
                <w:szCs w:val="18"/>
              </w:rPr>
              <w:t>121,2</w:t>
            </w:r>
          </w:p>
        </w:tc>
        <w:tc>
          <w:tcPr>
            <w:tcW w:w="316" w:type="pct"/>
            <w:tcBorders>
              <w:top w:val="nil"/>
              <w:bottom w:val="single" w:sz="12" w:space="0" w:color="000000" w:themeColor="text1"/>
            </w:tcBorders>
            <w:shd w:val="clear" w:color="auto" w:fill="auto"/>
            <w:noWrap/>
            <w:vAlign w:val="center"/>
            <w:hideMark/>
          </w:tcPr>
          <w:p w:rsidR="000F66F0" w:rsidRPr="000F66F0" w:rsidRDefault="000F66F0">
            <w:pPr>
              <w:jc w:val="right"/>
              <w:rPr>
                <w:rFonts w:asciiTheme="majorBidi" w:hAnsiTheme="majorBidi" w:cstheme="majorBidi"/>
                <w:b/>
                <w:bCs/>
                <w:sz w:val="18"/>
                <w:szCs w:val="18"/>
              </w:rPr>
            </w:pPr>
            <w:r w:rsidRPr="000F66F0">
              <w:rPr>
                <w:rFonts w:asciiTheme="majorBidi" w:hAnsiTheme="majorBidi" w:cstheme="majorBidi"/>
                <w:b/>
                <w:bCs/>
                <w:sz w:val="18"/>
                <w:szCs w:val="18"/>
              </w:rPr>
              <w:t>120,2</w:t>
            </w:r>
          </w:p>
        </w:tc>
        <w:tc>
          <w:tcPr>
            <w:tcW w:w="316" w:type="pct"/>
            <w:tcBorders>
              <w:top w:val="nil"/>
              <w:bottom w:val="single" w:sz="12" w:space="0" w:color="000000" w:themeColor="text1"/>
            </w:tcBorders>
            <w:shd w:val="clear" w:color="auto" w:fill="auto"/>
            <w:noWrap/>
            <w:vAlign w:val="center"/>
            <w:hideMark/>
          </w:tcPr>
          <w:p w:rsidR="000F66F0" w:rsidRPr="000F66F0" w:rsidRDefault="000F66F0">
            <w:pPr>
              <w:jc w:val="right"/>
              <w:rPr>
                <w:rFonts w:asciiTheme="majorBidi" w:hAnsiTheme="majorBidi" w:cstheme="majorBidi"/>
                <w:b/>
                <w:bCs/>
                <w:sz w:val="18"/>
                <w:szCs w:val="18"/>
              </w:rPr>
            </w:pPr>
            <w:r w:rsidRPr="000F66F0">
              <w:rPr>
                <w:rFonts w:asciiTheme="majorBidi" w:hAnsiTheme="majorBidi" w:cstheme="majorBidi"/>
                <w:b/>
                <w:bCs/>
                <w:sz w:val="18"/>
                <w:szCs w:val="18"/>
              </w:rPr>
              <w:t>120,6</w:t>
            </w:r>
          </w:p>
        </w:tc>
        <w:tc>
          <w:tcPr>
            <w:tcW w:w="316" w:type="pct"/>
            <w:tcBorders>
              <w:top w:val="nil"/>
              <w:bottom w:val="single" w:sz="12" w:space="0" w:color="000000" w:themeColor="text1"/>
            </w:tcBorders>
            <w:shd w:val="clear" w:color="auto" w:fill="auto"/>
            <w:noWrap/>
            <w:vAlign w:val="center"/>
            <w:hideMark/>
          </w:tcPr>
          <w:p w:rsidR="000F66F0" w:rsidRPr="000F66F0" w:rsidRDefault="000F66F0">
            <w:pPr>
              <w:jc w:val="right"/>
              <w:rPr>
                <w:rFonts w:asciiTheme="majorBidi" w:hAnsiTheme="majorBidi" w:cstheme="majorBidi"/>
                <w:b/>
                <w:bCs/>
                <w:sz w:val="18"/>
                <w:szCs w:val="18"/>
              </w:rPr>
            </w:pPr>
            <w:r w:rsidRPr="000F66F0">
              <w:rPr>
                <w:rFonts w:asciiTheme="majorBidi" w:hAnsiTheme="majorBidi" w:cstheme="majorBidi"/>
                <w:b/>
                <w:bCs/>
                <w:sz w:val="18"/>
                <w:szCs w:val="18"/>
              </w:rPr>
              <w:t>120,3</w:t>
            </w:r>
          </w:p>
        </w:tc>
        <w:tc>
          <w:tcPr>
            <w:tcW w:w="316" w:type="pct"/>
            <w:tcBorders>
              <w:top w:val="nil"/>
              <w:bottom w:val="single" w:sz="12" w:space="0" w:color="000000" w:themeColor="text1"/>
            </w:tcBorders>
            <w:shd w:val="clear" w:color="auto" w:fill="auto"/>
            <w:noWrap/>
            <w:vAlign w:val="center"/>
            <w:hideMark/>
          </w:tcPr>
          <w:p w:rsidR="000F66F0" w:rsidRPr="000F66F0" w:rsidRDefault="000F66F0">
            <w:pPr>
              <w:jc w:val="right"/>
              <w:rPr>
                <w:rFonts w:asciiTheme="majorBidi" w:hAnsiTheme="majorBidi" w:cstheme="majorBidi"/>
                <w:b/>
                <w:bCs/>
                <w:sz w:val="18"/>
                <w:szCs w:val="18"/>
              </w:rPr>
            </w:pPr>
            <w:r w:rsidRPr="000F66F0">
              <w:rPr>
                <w:rFonts w:asciiTheme="majorBidi" w:hAnsiTheme="majorBidi" w:cstheme="majorBidi"/>
                <w:b/>
                <w:bCs/>
                <w:sz w:val="18"/>
                <w:szCs w:val="18"/>
              </w:rPr>
              <w:t>120,7</w:t>
            </w:r>
          </w:p>
        </w:tc>
        <w:tc>
          <w:tcPr>
            <w:tcW w:w="316" w:type="pct"/>
            <w:tcBorders>
              <w:top w:val="nil"/>
              <w:bottom w:val="single" w:sz="12" w:space="0" w:color="000000" w:themeColor="text1"/>
            </w:tcBorders>
            <w:shd w:val="clear" w:color="auto" w:fill="auto"/>
            <w:noWrap/>
            <w:vAlign w:val="center"/>
            <w:hideMark/>
          </w:tcPr>
          <w:p w:rsidR="000F66F0" w:rsidRPr="000F66F0" w:rsidRDefault="000F66F0">
            <w:pPr>
              <w:jc w:val="right"/>
              <w:rPr>
                <w:rFonts w:asciiTheme="majorBidi" w:hAnsiTheme="majorBidi" w:cstheme="majorBidi"/>
                <w:b/>
                <w:bCs/>
                <w:sz w:val="18"/>
                <w:szCs w:val="18"/>
              </w:rPr>
            </w:pPr>
            <w:r w:rsidRPr="000F66F0">
              <w:rPr>
                <w:rFonts w:asciiTheme="majorBidi" w:hAnsiTheme="majorBidi" w:cstheme="majorBidi"/>
                <w:b/>
                <w:bCs/>
                <w:sz w:val="18"/>
                <w:szCs w:val="18"/>
              </w:rPr>
              <w:t>121,2</w:t>
            </w:r>
          </w:p>
        </w:tc>
        <w:tc>
          <w:tcPr>
            <w:tcW w:w="316" w:type="pct"/>
            <w:tcBorders>
              <w:top w:val="nil"/>
              <w:bottom w:val="single" w:sz="12" w:space="0" w:color="000000" w:themeColor="text1"/>
            </w:tcBorders>
            <w:shd w:val="clear" w:color="auto" w:fill="auto"/>
            <w:noWrap/>
            <w:vAlign w:val="center"/>
            <w:hideMark/>
          </w:tcPr>
          <w:p w:rsidR="000F66F0" w:rsidRPr="000F66F0" w:rsidRDefault="000F66F0">
            <w:pPr>
              <w:jc w:val="right"/>
              <w:rPr>
                <w:rFonts w:asciiTheme="majorBidi" w:hAnsiTheme="majorBidi" w:cstheme="majorBidi"/>
                <w:b/>
                <w:bCs/>
                <w:sz w:val="18"/>
                <w:szCs w:val="18"/>
              </w:rPr>
            </w:pPr>
            <w:r w:rsidRPr="000F66F0">
              <w:rPr>
                <w:rFonts w:asciiTheme="majorBidi" w:hAnsiTheme="majorBidi" w:cstheme="majorBidi"/>
                <w:b/>
                <w:bCs/>
                <w:sz w:val="18"/>
                <w:szCs w:val="18"/>
              </w:rPr>
              <w:t>121,2</w:t>
            </w:r>
          </w:p>
        </w:tc>
        <w:tc>
          <w:tcPr>
            <w:tcW w:w="519" w:type="pct"/>
            <w:tcBorders>
              <w:top w:val="nil"/>
              <w:bottom w:val="single" w:sz="12" w:space="0" w:color="000000" w:themeColor="text1"/>
            </w:tcBorders>
            <w:shd w:val="clear" w:color="auto" w:fill="auto"/>
            <w:noWrap/>
            <w:vAlign w:val="center"/>
            <w:hideMark/>
          </w:tcPr>
          <w:p w:rsidR="000F66F0" w:rsidRPr="000F66F0" w:rsidRDefault="000F66F0">
            <w:pPr>
              <w:jc w:val="right"/>
              <w:rPr>
                <w:rFonts w:asciiTheme="majorBidi" w:hAnsiTheme="majorBidi" w:cstheme="majorBidi"/>
                <w:b/>
                <w:bCs/>
                <w:sz w:val="18"/>
                <w:szCs w:val="18"/>
              </w:rPr>
            </w:pPr>
            <w:r w:rsidRPr="000F66F0">
              <w:rPr>
                <w:rFonts w:asciiTheme="majorBidi" w:hAnsiTheme="majorBidi" w:cstheme="majorBidi"/>
                <w:b/>
                <w:bCs/>
                <w:sz w:val="18"/>
                <w:szCs w:val="18"/>
              </w:rPr>
              <w:t>120,4</w:t>
            </w:r>
          </w:p>
        </w:tc>
      </w:tr>
    </w:tbl>
    <w:p w:rsidR="00483003" w:rsidRPr="00483003" w:rsidRDefault="00483003" w:rsidP="000F66F0">
      <w:pPr>
        <w:pStyle w:val="Lgende"/>
        <w:rPr>
          <w:rFonts w:ascii="Times New Roman" w:hAnsi="Times New Roman"/>
          <w:i/>
          <w:iCs/>
          <w:sz w:val="22"/>
        </w:rPr>
      </w:pPr>
      <w:r w:rsidRPr="00483003">
        <w:rPr>
          <w:rFonts w:ascii="Times New Roman" w:hAnsi="Times New Roman"/>
          <w:i/>
          <w:iCs/>
          <w:sz w:val="22"/>
        </w:rPr>
        <w:t>Source : HCP</w:t>
      </w:r>
    </w:p>
    <w:p w:rsidR="00754C35" w:rsidRPr="00DF65E2" w:rsidRDefault="00DF65E2" w:rsidP="000F66F0">
      <w:pPr>
        <w:pStyle w:val="Lgende"/>
        <w:rPr>
          <w:rFonts w:ascii="Times New Roman" w:hAnsi="Times New Roman" w:cstheme="majorBidi"/>
          <w:sz w:val="22"/>
          <w:szCs w:val="24"/>
        </w:rPr>
      </w:pPr>
      <w:r>
        <w:rPr>
          <w:rFonts w:ascii="Times New Roman" w:hAnsi="Times New Roman"/>
          <w:sz w:val="22"/>
        </w:rPr>
        <w:t xml:space="preserve"> </w:t>
      </w:r>
      <w:bookmarkStart w:id="27" w:name="_Toc515274106"/>
      <w:r w:rsidRPr="00DF65E2">
        <w:rPr>
          <w:rFonts w:ascii="Times New Roman" w:hAnsi="Times New Roman"/>
          <w:sz w:val="22"/>
        </w:rPr>
        <w:t xml:space="preserve">Graphique </w:t>
      </w:r>
      <w:r w:rsidR="00DE78CE" w:rsidRPr="00DF65E2">
        <w:rPr>
          <w:rFonts w:ascii="Times New Roman" w:hAnsi="Times New Roman"/>
          <w:sz w:val="22"/>
        </w:rPr>
        <w:fldChar w:fldCharType="begin"/>
      </w:r>
      <w:r w:rsidRPr="00DF65E2">
        <w:rPr>
          <w:rFonts w:ascii="Times New Roman" w:hAnsi="Times New Roman"/>
          <w:sz w:val="22"/>
        </w:rPr>
        <w:instrText xml:space="preserve"> SEQ Graphique \* ARABIC </w:instrText>
      </w:r>
      <w:r w:rsidR="00DE78CE" w:rsidRPr="00DF65E2">
        <w:rPr>
          <w:rFonts w:ascii="Times New Roman" w:hAnsi="Times New Roman"/>
          <w:sz w:val="22"/>
        </w:rPr>
        <w:fldChar w:fldCharType="separate"/>
      </w:r>
      <w:r w:rsidR="00477549">
        <w:rPr>
          <w:rFonts w:ascii="Times New Roman" w:hAnsi="Times New Roman"/>
          <w:noProof/>
          <w:sz w:val="22"/>
        </w:rPr>
        <w:t>3</w:t>
      </w:r>
      <w:r w:rsidR="00DE78CE" w:rsidRPr="00DF65E2">
        <w:rPr>
          <w:rFonts w:ascii="Times New Roman" w:hAnsi="Times New Roman"/>
          <w:sz w:val="22"/>
        </w:rPr>
        <w:fldChar w:fldCharType="end"/>
      </w:r>
      <w:r w:rsidRPr="00DF65E2">
        <w:rPr>
          <w:rFonts w:ascii="Times New Roman" w:hAnsi="Times New Roman"/>
          <w:sz w:val="22"/>
        </w:rPr>
        <w:t xml:space="preserve"> : </w:t>
      </w:r>
      <w:r w:rsidR="004F39E8" w:rsidRPr="00DF65E2">
        <w:rPr>
          <w:rFonts w:ascii="Times New Roman" w:hAnsi="Times New Roman" w:cstheme="majorBidi"/>
          <w:bCs w:val="0"/>
          <w:color w:val="548DD4" w:themeColor="text2" w:themeTint="99"/>
          <w:sz w:val="22"/>
          <w:szCs w:val="24"/>
        </w:rPr>
        <w:t xml:space="preserve">IPC général de la ville de </w:t>
      </w:r>
      <w:proofErr w:type="spellStart"/>
      <w:r w:rsidR="004B1065">
        <w:rPr>
          <w:rFonts w:ascii="Times New Roman" w:hAnsi="Times New Roman" w:cstheme="majorBidi"/>
          <w:bCs w:val="0"/>
          <w:color w:val="548DD4" w:themeColor="text2" w:themeTint="99"/>
          <w:sz w:val="22"/>
          <w:szCs w:val="24"/>
        </w:rPr>
        <w:t>K</w:t>
      </w:r>
      <w:r w:rsidR="004F39E8" w:rsidRPr="00DF65E2">
        <w:rPr>
          <w:rFonts w:ascii="Times New Roman" w:hAnsi="Times New Roman" w:cstheme="majorBidi"/>
          <w:bCs w:val="0"/>
          <w:color w:val="548DD4" w:themeColor="text2" w:themeTint="99"/>
          <w:sz w:val="22"/>
          <w:szCs w:val="24"/>
        </w:rPr>
        <w:t>énitra</w:t>
      </w:r>
      <w:proofErr w:type="spellEnd"/>
      <w:r w:rsidR="004F39E8" w:rsidRPr="00DF65E2">
        <w:rPr>
          <w:rFonts w:ascii="Times New Roman" w:hAnsi="Times New Roman" w:cstheme="majorBidi"/>
          <w:bCs w:val="0"/>
          <w:color w:val="548DD4" w:themeColor="text2" w:themeTint="99"/>
          <w:sz w:val="22"/>
          <w:szCs w:val="24"/>
        </w:rPr>
        <w:t xml:space="preserve"> et du Maroc -Année 201</w:t>
      </w:r>
      <w:r w:rsidR="000F66F0">
        <w:rPr>
          <w:rFonts w:ascii="Times New Roman" w:hAnsi="Times New Roman" w:cstheme="majorBidi"/>
          <w:bCs w:val="0"/>
          <w:color w:val="548DD4" w:themeColor="text2" w:themeTint="99"/>
          <w:sz w:val="22"/>
          <w:szCs w:val="24"/>
        </w:rPr>
        <w:t>9</w:t>
      </w:r>
      <w:r w:rsidR="004F39E8" w:rsidRPr="00DF65E2">
        <w:rPr>
          <w:rFonts w:ascii="Times New Roman" w:hAnsi="Times New Roman" w:cstheme="majorBidi"/>
          <w:bCs w:val="0"/>
          <w:color w:val="548DD4" w:themeColor="text2" w:themeTint="99"/>
          <w:sz w:val="22"/>
          <w:szCs w:val="24"/>
        </w:rPr>
        <w:t>-</w:t>
      </w:r>
      <w:bookmarkEnd w:id="27"/>
      <w:r w:rsidR="004F39E8" w:rsidRPr="00DF65E2">
        <w:rPr>
          <w:rFonts w:ascii="Times New Roman" w:hAnsi="Times New Roman" w:cstheme="majorBidi"/>
          <w:bCs w:val="0"/>
          <w:color w:val="548DD4" w:themeColor="text2" w:themeTint="99"/>
          <w:sz w:val="22"/>
          <w:szCs w:val="24"/>
        </w:rPr>
        <w:t xml:space="preserve"> </w:t>
      </w:r>
    </w:p>
    <w:p w:rsidR="005117CA" w:rsidRDefault="000F66F0" w:rsidP="007E29B6">
      <w:pPr>
        <w:spacing w:before="240" w:after="0" w:line="240" w:lineRule="auto"/>
        <w:jc w:val="both"/>
        <w:rPr>
          <w:rFonts w:asciiTheme="majorBidi" w:hAnsiTheme="majorBidi" w:cstheme="majorBidi"/>
          <w:sz w:val="24"/>
          <w:szCs w:val="24"/>
        </w:rPr>
      </w:pPr>
      <w:r w:rsidRPr="000F66F0">
        <w:rPr>
          <w:rFonts w:asciiTheme="majorBidi" w:hAnsiTheme="majorBidi" w:cstheme="majorBidi"/>
          <w:noProof/>
          <w:sz w:val="24"/>
          <w:szCs w:val="24"/>
          <w:lang w:eastAsia="fr-FR"/>
        </w:rPr>
        <w:drawing>
          <wp:inline distT="0" distB="0" distL="0" distR="0">
            <wp:extent cx="5850890" cy="2352675"/>
            <wp:effectExtent l="19050" t="0" r="16510" b="0"/>
            <wp:docPr id="14"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83003" w:rsidRPr="00483003" w:rsidRDefault="00483003" w:rsidP="00483003">
      <w:pPr>
        <w:pStyle w:val="Lgende"/>
        <w:rPr>
          <w:rFonts w:ascii="Times New Roman" w:hAnsi="Times New Roman"/>
          <w:i/>
          <w:iCs/>
          <w:sz w:val="22"/>
        </w:rPr>
      </w:pPr>
      <w:r w:rsidRPr="00483003">
        <w:rPr>
          <w:rFonts w:ascii="Times New Roman" w:hAnsi="Times New Roman"/>
          <w:i/>
          <w:iCs/>
          <w:sz w:val="22"/>
        </w:rPr>
        <w:t>Source : HCP</w:t>
      </w:r>
    </w:p>
    <w:p w:rsidR="00483003" w:rsidRDefault="00483003" w:rsidP="00FE1193">
      <w:pPr>
        <w:pStyle w:val="Titre3"/>
        <w:rPr>
          <w:rFonts w:asciiTheme="majorBidi" w:hAnsiTheme="majorBidi"/>
          <w:color w:val="0070C0"/>
          <w:sz w:val="24"/>
          <w:szCs w:val="24"/>
        </w:rPr>
      </w:pPr>
      <w:bookmarkStart w:id="28" w:name="_Toc45551150"/>
    </w:p>
    <w:p w:rsidR="006536C2" w:rsidRPr="004F39E8" w:rsidRDefault="006536C2" w:rsidP="00FE1193">
      <w:pPr>
        <w:pStyle w:val="Titre3"/>
        <w:rPr>
          <w:rFonts w:asciiTheme="majorBidi" w:hAnsiTheme="majorBidi"/>
          <w:color w:val="0070C0"/>
          <w:sz w:val="24"/>
          <w:szCs w:val="24"/>
        </w:rPr>
      </w:pPr>
      <w:r w:rsidRPr="004F39E8">
        <w:rPr>
          <w:rFonts w:asciiTheme="majorBidi" w:hAnsiTheme="majorBidi"/>
          <w:color w:val="0070C0"/>
          <w:sz w:val="24"/>
          <w:szCs w:val="24"/>
        </w:rPr>
        <w:t>II</w:t>
      </w:r>
      <w:r w:rsidR="00586B08" w:rsidRPr="004F39E8">
        <w:rPr>
          <w:rFonts w:asciiTheme="majorBidi" w:hAnsiTheme="majorBidi"/>
          <w:color w:val="0070C0"/>
          <w:sz w:val="24"/>
          <w:szCs w:val="24"/>
        </w:rPr>
        <w:t>I</w:t>
      </w:r>
      <w:r w:rsidRPr="004F39E8">
        <w:rPr>
          <w:rFonts w:asciiTheme="majorBidi" w:hAnsiTheme="majorBidi"/>
          <w:color w:val="0070C0"/>
          <w:sz w:val="24"/>
          <w:szCs w:val="24"/>
        </w:rPr>
        <w:t>-2-2 Comparaison entre les indices</w:t>
      </w:r>
      <w:r w:rsidR="004B1065">
        <w:rPr>
          <w:rFonts w:asciiTheme="majorBidi" w:hAnsiTheme="majorBidi"/>
          <w:color w:val="0070C0"/>
          <w:sz w:val="24"/>
          <w:szCs w:val="24"/>
        </w:rPr>
        <w:t> :</w:t>
      </w:r>
      <w:r w:rsidRPr="004F39E8">
        <w:rPr>
          <w:rFonts w:asciiTheme="majorBidi" w:hAnsiTheme="majorBidi"/>
          <w:color w:val="0070C0"/>
          <w:sz w:val="24"/>
          <w:szCs w:val="24"/>
        </w:rPr>
        <w:t xml:space="preserve"> </w:t>
      </w:r>
      <w:r w:rsidR="004B1065">
        <w:rPr>
          <w:rFonts w:asciiTheme="majorBidi" w:hAnsiTheme="majorBidi"/>
          <w:color w:val="0070C0"/>
          <w:sz w:val="24"/>
          <w:szCs w:val="24"/>
        </w:rPr>
        <w:t>g</w:t>
      </w:r>
      <w:r w:rsidRPr="004F39E8">
        <w:rPr>
          <w:rFonts w:asciiTheme="majorBidi" w:hAnsiTheme="majorBidi"/>
          <w:color w:val="0070C0"/>
          <w:sz w:val="24"/>
          <w:szCs w:val="24"/>
        </w:rPr>
        <w:t xml:space="preserve">énéral, </w:t>
      </w:r>
      <w:r w:rsidR="004B1065">
        <w:rPr>
          <w:rFonts w:asciiTheme="majorBidi" w:hAnsiTheme="majorBidi"/>
          <w:color w:val="0070C0"/>
          <w:sz w:val="24"/>
          <w:szCs w:val="24"/>
        </w:rPr>
        <w:t>a</w:t>
      </w:r>
      <w:r w:rsidRPr="004F39E8">
        <w:rPr>
          <w:rFonts w:asciiTheme="majorBidi" w:hAnsiTheme="majorBidi"/>
          <w:color w:val="0070C0"/>
          <w:sz w:val="24"/>
          <w:szCs w:val="24"/>
        </w:rPr>
        <w:t xml:space="preserve">limentaire et </w:t>
      </w:r>
      <w:r w:rsidR="004B1065">
        <w:rPr>
          <w:rFonts w:asciiTheme="majorBidi" w:hAnsiTheme="majorBidi"/>
          <w:color w:val="0070C0"/>
          <w:sz w:val="24"/>
          <w:szCs w:val="24"/>
        </w:rPr>
        <w:t>n</w:t>
      </w:r>
      <w:r w:rsidRPr="004F39E8">
        <w:rPr>
          <w:rFonts w:asciiTheme="majorBidi" w:hAnsiTheme="majorBidi"/>
          <w:color w:val="0070C0"/>
          <w:sz w:val="24"/>
          <w:szCs w:val="24"/>
        </w:rPr>
        <w:t xml:space="preserve">on </w:t>
      </w:r>
      <w:r w:rsidR="004B1065">
        <w:rPr>
          <w:rFonts w:asciiTheme="majorBidi" w:hAnsiTheme="majorBidi"/>
          <w:color w:val="0070C0"/>
          <w:sz w:val="24"/>
          <w:szCs w:val="24"/>
        </w:rPr>
        <w:t>a</w:t>
      </w:r>
      <w:r w:rsidRPr="004F39E8">
        <w:rPr>
          <w:rFonts w:asciiTheme="majorBidi" w:hAnsiTheme="majorBidi"/>
          <w:color w:val="0070C0"/>
          <w:sz w:val="24"/>
          <w:szCs w:val="24"/>
        </w:rPr>
        <w:t xml:space="preserve">limentaire de la ville de </w:t>
      </w:r>
      <w:proofErr w:type="spellStart"/>
      <w:r w:rsidRPr="004F39E8">
        <w:rPr>
          <w:rFonts w:asciiTheme="majorBidi" w:hAnsiTheme="majorBidi"/>
          <w:color w:val="0070C0"/>
          <w:sz w:val="24"/>
          <w:szCs w:val="24"/>
        </w:rPr>
        <w:t>K</w:t>
      </w:r>
      <w:r w:rsidR="00AF6D2F">
        <w:rPr>
          <w:rFonts w:asciiTheme="majorBidi" w:hAnsiTheme="majorBidi"/>
          <w:color w:val="0070C0"/>
          <w:sz w:val="24"/>
          <w:szCs w:val="24"/>
        </w:rPr>
        <w:t>é</w:t>
      </w:r>
      <w:r w:rsidRPr="004F39E8">
        <w:rPr>
          <w:rFonts w:asciiTheme="majorBidi" w:hAnsiTheme="majorBidi"/>
          <w:color w:val="0070C0"/>
          <w:sz w:val="24"/>
          <w:szCs w:val="24"/>
        </w:rPr>
        <w:t>nitra</w:t>
      </w:r>
      <w:proofErr w:type="spellEnd"/>
      <w:r w:rsidR="005B044B" w:rsidRPr="004F39E8">
        <w:rPr>
          <w:rFonts w:asciiTheme="majorBidi" w:hAnsiTheme="majorBidi"/>
          <w:color w:val="0070C0"/>
          <w:sz w:val="24"/>
          <w:szCs w:val="24"/>
        </w:rPr>
        <w:t xml:space="preserve"> en 201</w:t>
      </w:r>
      <w:r w:rsidR="00FE1193">
        <w:rPr>
          <w:rFonts w:asciiTheme="majorBidi" w:hAnsiTheme="majorBidi"/>
          <w:color w:val="0070C0"/>
          <w:sz w:val="24"/>
          <w:szCs w:val="24"/>
        </w:rPr>
        <w:t>9</w:t>
      </w:r>
      <w:bookmarkEnd w:id="28"/>
    </w:p>
    <w:p w:rsidR="006536C2" w:rsidRDefault="00FE1193" w:rsidP="00F84A22">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Etant donné la nature fluctuante des prix des biens et services, l’indice général des prix à la consommation subit des variations cycliques au cours de l’année. Celles-ci </w:t>
      </w:r>
      <w:r w:rsidR="00F84A22">
        <w:rPr>
          <w:rFonts w:asciiTheme="majorBidi" w:hAnsiTheme="majorBidi" w:cstheme="majorBidi"/>
          <w:sz w:val="24"/>
          <w:szCs w:val="24"/>
        </w:rPr>
        <w:t>son</w:t>
      </w:r>
      <w:r>
        <w:rPr>
          <w:rFonts w:asciiTheme="majorBidi" w:hAnsiTheme="majorBidi" w:cstheme="majorBidi"/>
          <w:sz w:val="24"/>
          <w:szCs w:val="24"/>
        </w:rPr>
        <w:t>t tributaires de la conjoncture nationale et mondiale.</w:t>
      </w:r>
    </w:p>
    <w:p w:rsidR="0052758D" w:rsidRDefault="0052758D" w:rsidP="00FE1193">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En 2019, le mois de Mai a enregistré le niveau le plus élevé de toute l’année avec 120,1. Aussi, le 2</w:t>
      </w:r>
      <w:r w:rsidRPr="0052758D">
        <w:rPr>
          <w:rFonts w:asciiTheme="majorBidi" w:hAnsiTheme="majorBidi" w:cstheme="majorBidi"/>
          <w:sz w:val="24"/>
          <w:szCs w:val="24"/>
          <w:vertAlign w:val="superscript"/>
        </w:rPr>
        <w:t>ème</w:t>
      </w:r>
      <w:r>
        <w:rPr>
          <w:rFonts w:asciiTheme="majorBidi" w:hAnsiTheme="majorBidi" w:cstheme="majorBidi"/>
          <w:sz w:val="24"/>
          <w:szCs w:val="24"/>
        </w:rPr>
        <w:t xml:space="preserve"> trimestre a constitué la période la plus chère avec une moyenne de 119,4</w:t>
      </w:r>
      <w:r w:rsidR="005F4314">
        <w:rPr>
          <w:rFonts w:asciiTheme="majorBidi" w:hAnsiTheme="majorBidi" w:cstheme="majorBidi"/>
          <w:sz w:val="24"/>
          <w:szCs w:val="24"/>
        </w:rPr>
        <w:t>,</w:t>
      </w:r>
      <w:r>
        <w:rPr>
          <w:rFonts w:asciiTheme="majorBidi" w:hAnsiTheme="majorBidi" w:cstheme="majorBidi"/>
          <w:sz w:val="24"/>
          <w:szCs w:val="24"/>
        </w:rPr>
        <w:t xml:space="preserve"> suivi du 4</w:t>
      </w:r>
      <w:r w:rsidRPr="0052758D">
        <w:rPr>
          <w:rFonts w:asciiTheme="majorBidi" w:hAnsiTheme="majorBidi" w:cstheme="majorBidi"/>
          <w:sz w:val="24"/>
          <w:szCs w:val="24"/>
          <w:vertAlign w:val="superscript"/>
        </w:rPr>
        <w:t>ème</w:t>
      </w:r>
      <w:r>
        <w:rPr>
          <w:rFonts w:asciiTheme="majorBidi" w:hAnsiTheme="majorBidi" w:cstheme="majorBidi"/>
          <w:sz w:val="24"/>
          <w:szCs w:val="24"/>
        </w:rPr>
        <w:t xml:space="preserve"> trimestre avec 118,9. Le troisième trimestre, quant à lui, a occupé le troisième rang pour laisser la dernière position au 1</w:t>
      </w:r>
      <w:r w:rsidRPr="0052758D">
        <w:rPr>
          <w:rFonts w:asciiTheme="majorBidi" w:hAnsiTheme="majorBidi" w:cstheme="majorBidi"/>
          <w:sz w:val="24"/>
          <w:szCs w:val="24"/>
          <w:vertAlign w:val="superscript"/>
        </w:rPr>
        <w:t>er</w:t>
      </w:r>
      <w:r>
        <w:rPr>
          <w:rFonts w:asciiTheme="majorBidi" w:hAnsiTheme="majorBidi" w:cstheme="majorBidi"/>
          <w:sz w:val="24"/>
          <w:szCs w:val="24"/>
        </w:rPr>
        <w:t xml:space="preserve"> trimestre.</w:t>
      </w:r>
    </w:p>
    <w:p w:rsidR="0052758D" w:rsidRDefault="0052758D" w:rsidP="00FE1193">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Il y a lieu de noter que l’évolution de l’Indice Général est essentiellement impactée par l’Indice Alimentaire</w:t>
      </w:r>
      <w:r w:rsidR="00F84A22">
        <w:rPr>
          <w:rFonts w:asciiTheme="majorBidi" w:hAnsiTheme="majorBidi" w:cstheme="majorBidi"/>
          <w:sz w:val="24"/>
          <w:szCs w:val="24"/>
        </w:rPr>
        <w:t xml:space="preserve"> (IA) </w:t>
      </w:r>
      <w:r>
        <w:rPr>
          <w:rFonts w:asciiTheme="majorBidi" w:hAnsiTheme="majorBidi" w:cstheme="majorBidi"/>
          <w:sz w:val="24"/>
          <w:szCs w:val="24"/>
        </w:rPr>
        <w:t xml:space="preserve"> dont les niveaux sont affectés </w:t>
      </w:r>
      <w:r w:rsidR="00BF48B4">
        <w:rPr>
          <w:rFonts w:asciiTheme="majorBidi" w:hAnsiTheme="majorBidi" w:cstheme="majorBidi"/>
          <w:sz w:val="24"/>
          <w:szCs w:val="24"/>
        </w:rPr>
        <w:t xml:space="preserve">notamment </w:t>
      </w:r>
      <w:r>
        <w:rPr>
          <w:rFonts w:asciiTheme="majorBidi" w:hAnsiTheme="majorBidi" w:cstheme="majorBidi"/>
          <w:sz w:val="24"/>
          <w:szCs w:val="24"/>
        </w:rPr>
        <w:t xml:space="preserve">par </w:t>
      </w:r>
      <w:r w:rsidR="00BF48B4">
        <w:rPr>
          <w:rFonts w:asciiTheme="majorBidi" w:hAnsiTheme="majorBidi" w:cstheme="majorBidi"/>
          <w:sz w:val="24"/>
          <w:szCs w:val="24"/>
        </w:rPr>
        <w:t>le phénomène de saisonnalité et des événements religieux.</w:t>
      </w:r>
    </w:p>
    <w:p w:rsidR="00BF48B4" w:rsidRDefault="00BF48B4" w:rsidP="00FE1193">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Toutefois, en examinant la courbe de l’indice général, on constate que cette dernière est beaucoup plus tirée vers celle de l’Indice Non Alimentaire</w:t>
      </w:r>
      <w:r w:rsidR="00F84A22">
        <w:rPr>
          <w:rFonts w:asciiTheme="majorBidi" w:hAnsiTheme="majorBidi" w:cstheme="majorBidi"/>
          <w:sz w:val="24"/>
          <w:szCs w:val="24"/>
        </w:rPr>
        <w:t xml:space="preserve"> (INA)</w:t>
      </w:r>
      <w:r>
        <w:rPr>
          <w:rFonts w:asciiTheme="majorBidi" w:hAnsiTheme="majorBidi" w:cstheme="majorBidi"/>
          <w:sz w:val="24"/>
          <w:szCs w:val="24"/>
        </w:rPr>
        <w:t>. Ceci peut être expliqué par l’effet de pondération des produits non alimentaires qui constituaient 57,2% des dépenses des ménages marocains en 2014.</w:t>
      </w:r>
    </w:p>
    <w:p w:rsidR="00BF48B4" w:rsidRDefault="00BF48B4" w:rsidP="00FE1193">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 A noter, cependant, que l’INA a affiché une évolution presque linéaire au cours de l’année 2019, caractérisée par une faible tendance haussière et un niveau plus bas que celui</w:t>
      </w:r>
      <w:r w:rsidR="00FB6DAC">
        <w:rPr>
          <w:rFonts w:asciiTheme="majorBidi" w:hAnsiTheme="majorBidi" w:cstheme="majorBidi"/>
          <w:sz w:val="24"/>
          <w:szCs w:val="24"/>
        </w:rPr>
        <w:t xml:space="preserve"> des prix des produits alimentaires, soit 112,9 contre 127,1 respectivement.</w:t>
      </w:r>
    </w:p>
    <w:p w:rsidR="00FB6DAC" w:rsidRDefault="00FB6DAC" w:rsidP="007E29B6">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Quant à l’IA, les oscillations qu’ont connues les prix au cours de l’année</w:t>
      </w:r>
      <w:r w:rsidR="00F84A22">
        <w:rPr>
          <w:rFonts w:asciiTheme="majorBidi" w:hAnsiTheme="majorBidi" w:cstheme="majorBidi"/>
          <w:sz w:val="24"/>
          <w:szCs w:val="24"/>
        </w:rPr>
        <w:t xml:space="preserve"> 2019</w:t>
      </w:r>
      <w:r>
        <w:rPr>
          <w:rFonts w:asciiTheme="majorBidi" w:hAnsiTheme="majorBidi" w:cstheme="majorBidi"/>
          <w:sz w:val="24"/>
          <w:szCs w:val="24"/>
        </w:rPr>
        <w:t xml:space="preserve">, sont beaucoup plus importantes. On cite, notamment, les mois de </w:t>
      </w:r>
      <w:r w:rsidR="007E29B6">
        <w:rPr>
          <w:rFonts w:asciiTheme="majorBidi" w:hAnsiTheme="majorBidi" w:cstheme="majorBidi"/>
          <w:sz w:val="24"/>
          <w:szCs w:val="24"/>
        </w:rPr>
        <w:t>M</w:t>
      </w:r>
      <w:r>
        <w:rPr>
          <w:rFonts w:asciiTheme="majorBidi" w:hAnsiTheme="majorBidi" w:cstheme="majorBidi"/>
          <w:sz w:val="24"/>
          <w:szCs w:val="24"/>
        </w:rPr>
        <w:t xml:space="preserve">ai et de </w:t>
      </w:r>
      <w:r w:rsidR="007E29B6">
        <w:rPr>
          <w:rFonts w:asciiTheme="majorBidi" w:hAnsiTheme="majorBidi" w:cstheme="majorBidi"/>
          <w:sz w:val="24"/>
          <w:szCs w:val="24"/>
        </w:rPr>
        <w:t>J</w:t>
      </w:r>
      <w:r>
        <w:rPr>
          <w:rFonts w:asciiTheme="majorBidi" w:hAnsiTheme="majorBidi" w:cstheme="majorBidi"/>
          <w:sz w:val="24"/>
          <w:szCs w:val="24"/>
        </w:rPr>
        <w:t>uin qui ont coïncidé avec le</w:t>
      </w:r>
      <w:r w:rsidR="007E29B6">
        <w:rPr>
          <w:rFonts w:asciiTheme="majorBidi" w:hAnsiTheme="majorBidi" w:cstheme="majorBidi"/>
          <w:sz w:val="24"/>
          <w:szCs w:val="24"/>
        </w:rPr>
        <w:t>s</w:t>
      </w:r>
      <w:r>
        <w:rPr>
          <w:rFonts w:asciiTheme="majorBidi" w:hAnsiTheme="majorBidi" w:cstheme="majorBidi"/>
          <w:sz w:val="24"/>
          <w:szCs w:val="24"/>
        </w:rPr>
        <w:t xml:space="preserve"> mois de </w:t>
      </w:r>
      <w:r w:rsidR="007E29B6">
        <w:rPr>
          <w:rFonts w:asciiTheme="majorBidi" w:hAnsiTheme="majorBidi" w:cstheme="majorBidi"/>
          <w:sz w:val="24"/>
          <w:szCs w:val="24"/>
        </w:rPr>
        <w:t>R</w:t>
      </w:r>
      <w:r>
        <w:rPr>
          <w:rFonts w:asciiTheme="majorBidi" w:hAnsiTheme="majorBidi" w:cstheme="majorBidi"/>
          <w:sz w:val="24"/>
          <w:szCs w:val="24"/>
        </w:rPr>
        <w:t xml:space="preserve">amadan et </w:t>
      </w:r>
      <w:proofErr w:type="spellStart"/>
      <w:r>
        <w:rPr>
          <w:rFonts w:asciiTheme="majorBidi" w:hAnsiTheme="majorBidi" w:cstheme="majorBidi"/>
          <w:sz w:val="24"/>
          <w:szCs w:val="24"/>
        </w:rPr>
        <w:t>Aid</w:t>
      </w:r>
      <w:proofErr w:type="spellEnd"/>
      <w:r>
        <w:rPr>
          <w:rFonts w:asciiTheme="majorBidi" w:hAnsiTheme="majorBidi" w:cstheme="majorBidi"/>
          <w:sz w:val="24"/>
          <w:szCs w:val="24"/>
        </w:rPr>
        <w:t xml:space="preserve"> </w:t>
      </w:r>
      <w:r w:rsidR="007E29B6">
        <w:rPr>
          <w:rFonts w:asciiTheme="majorBidi" w:hAnsiTheme="majorBidi" w:cstheme="majorBidi"/>
          <w:sz w:val="24"/>
          <w:szCs w:val="24"/>
        </w:rPr>
        <w:t>e</w:t>
      </w:r>
      <w:r>
        <w:rPr>
          <w:rFonts w:asciiTheme="majorBidi" w:hAnsiTheme="majorBidi" w:cstheme="majorBidi"/>
          <w:sz w:val="24"/>
          <w:szCs w:val="24"/>
        </w:rPr>
        <w:t xml:space="preserve">l </w:t>
      </w:r>
      <w:proofErr w:type="spellStart"/>
      <w:r>
        <w:rPr>
          <w:rFonts w:asciiTheme="majorBidi" w:hAnsiTheme="majorBidi" w:cstheme="majorBidi"/>
          <w:sz w:val="24"/>
          <w:szCs w:val="24"/>
        </w:rPr>
        <w:t>Fitr</w:t>
      </w:r>
      <w:proofErr w:type="spellEnd"/>
      <w:r>
        <w:rPr>
          <w:rFonts w:asciiTheme="majorBidi" w:hAnsiTheme="majorBidi" w:cstheme="majorBidi"/>
          <w:sz w:val="24"/>
          <w:szCs w:val="24"/>
        </w:rPr>
        <w:t xml:space="preserve"> où les prix ont atteint leur point culminant.</w:t>
      </w:r>
      <w:r w:rsidR="00B610A1">
        <w:rPr>
          <w:rFonts w:asciiTheme="majorBidi" w:hAnsiTheme="majorBidi" w:cstheme="majorBidi"/>
          <w:sz w:val="24"/>
          <w:szCs w:val="24"/>
        </w:rPr>
        <w:t xml:space="preserve"> La flambée des prix a égalemen</w:t>
      </w:r>
      <w:r w:rsidR="007E29B6">
        <w:rPr>
          <w:rFonts w:asciiTheme="majorBidi" w:hAnsiTheme="majorBidi" w:cstheme="majorBidi"/>
          <w:sz w:val="24"/>
          <w:szCs w:val="24"/>
        </w:rPr>
        <w:t>t touché le mois d’A</w:t>
      </w:r>
      <w:r w:rsidR="00B610A1">
        <w:rPr>
          <w:rFonts w:asciiTheme="majorBidi" w:hAnsiTheme="majorBidi" w:cstheme="majorBidi"/>
          <w:sz w:val="24"/>
          <w:szCs w:val="24"/>
        </w:rPr>
        <w:t>oût où la demande des denrées alimentaires est accentuée par l’arrivée des ressortissants marocains et par la fête du sacrifice.</w:t>
      </w:r>
    </w:p>
    <w:p w:rsidR="00B610A1" w:rsidRDefault="00B610A1" w:rsidP="007E29B6">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La fin de l’année (mois de </w:t>
      </w:r>
      <w:r w:rsidR="007E29B6">
        <w:rPr>
          <w:rFonts w:asciiTheme="majorBidi" w:hAnsiTheme="majorBidi" w:cstheme="majorBidi"/>
          <w:sz w:val="24"/>
          <w:szCs w:val="24"/>
        </w:rPr>
        <w:t>N</w:t>
      </w:r>
      <w:r>
        <w:rPr>
          <w:rFonts w:asciiTheme="majorBidi" w:hAnsiTheme="majorBidi" w:cstheme="majorBidi"/>
          <w:sz w:val="24"/>
          <w:szCs w:val="24"/>
        </w:rPr>
        <w:t xml:space="preserve">ovembre et </w:t>
      </w:r>
      <w:r w:rsidR="007E29B6">
        <w:rPr>
          <w:rFonts w:asciiTheme="majorBidi" w:hAnsiTheme="majorBidi" w:cstheme="majorBidi"/>
          <w:sz w:val="24"/>
          <w:szCs w:val="24"/>
        </w:rPr>
        <w:t>D</w:t>
      </w:r>
      <w:r>
        <w:rPr>
          <w:rFonts w:asciiTheme="majorBidi" w:hAnsiTheme="majorBidi" w:cstheme="majorBidi"/>
          <w:sz w:val="24"/>
          <w:szCs w:val="24"/>
        </w:rPr>
        <w:t xml:space="preserve">écembre) a, également, connu une hausse des prix liée aux conditions climatiques des saisons de l’automne et de l’hiver. </w:t>
      </w:r>
    </w:p>
    <w:tbl>
      <w:tblPr>
        <w:tblW w:w="5000" w:type="pct"/>
        <w:tblCellMar>
          <w:left w:w="70" w:type="dxa"/>
          <w:right w:w="70" w:type="dxa"/>
        </w:tblCellMar>
        <w:tblLook w:val="04A0"/>
      </w:tblPr>
      <w:tblGrid>
        <w:gridCol w:w="2790"/>
        <w:gridCol w:w="545"/>
        <w:gridCol w:w="545"/>
        <w:gridCol w:w="550"/>
        <w:gridCol w:w="545"/>
        <w:gridCol w:w="545"/>
        <w:gridCol w:w="545"/>
        <w:gridCol w:w="545"/>
        <w:gridCol w:w="545"/>
        <w:gridCol w:w="545"/>
        <w:gridCol w:w="545"/>
        <w:gridCol w:w="545"/>
        <w:gridCol w:w="564"/>
      </w:tblGrid>
      <w:tr w:rsidR="00635FC5" w:rsidRPr="00635FC5" w:rsidTr="00635FC5">
        <w:trPr>
          <w:trHeight w:val="330"/>
        </w:trPr>
        <w:tc>
          <w:tcPr>
            <w:tcW w:w="5000" w:type="pct"/>
            <w:gridSpan w:val="13"/>
            <w:tcBorders>
              <w:top w:val="nil"/>
              <w:left w:val="nil"/>
              <w:bottom w:val="single" w:sz="12" w:space="0" w:color="000000" w:themeColor="text1"/>
              <w:right w:val="nil"/>
            </w:tcBorders>
            <w:shd w:val="clear" w:color="auto" w:fill="auto"/>
            <w:noWrap/>
            <w:vAlign w:val="center"/>
            <w:hideMark/>
          </w:tcPr>
          <w:p w:rsidR="00DF65E2" w:rsidRDefault="00DF65E2" w:rsidP="004B1065">
            <w:pPr>
              <w:spacing w:after="0" w:line="240" w:lineRule="auto"/>
              <w:rPr>
                <w:rFonts w:asciiTheme="majorBidi" w:eastAsia="Times New Roman" w:hAnsiTheme="majorBidi" w:cstheme="majorBidi"/>
                <w:b/>
                <w:bCs/>
                <w:color w:val="4F81BD" w:themeColor="accent1"/>
                <w:sz w:val="24"/>
                <w:szCs w:val="24"/>
                <w:lang w:eastAsia="fr-FR"/>
              </w:rPr>
            </w:pPr>
            <w:bookmarkStart w:id="29" w:name="_Toc54261207"/>
            <w:r w:rsidRPr="00DF65E2">
              <w:rPr>
                <w:rFonts w:asciiTheme="majorBidi" w:hAnsiTheme="majorBidi" w:cstheme="majorBidi"/>
                <w:b/>
                <w:bCs/>
                <w:color w:val="4F81BD" w:themeColor="accent1"/>
              </w:rPr>
              <w:t xml:space="preserve">Tableau </w:t>
            </w:r>
            <w:r w:rsidR="00DE78CE" w:rsidRPr="00DF65E2">
              <w:rPr>
                <w:rFonts w:asciiTheme="majorBidi" w:hAnsiTheme="majorBidi" w:cstheme="majorBidi"/>
                <w:b/>
                <w:bCs/>
                <w:color w:val="4F81BD" w:themeColor="accent1"/>
              </w:rPr>
              <w:fldChar w:fldCharType="begin"/>
            </w:r>
            <w:r w:rsidRPr="00DF65E2">
              <w:rPr>
                <w:rFonts w:asciiTheme="majorBidi" w:hAnsiTheme="majorBidi" w:cstheme="majorBidi"/>
                <w:b/>
                <w:bCs/>
                <w:color w:val="4F81BD" w:themeColor="accent1"/>
              </w:rPr>
              <w:instrText xml:space="preserve"> SEQ Tableau \* ARABIC </w:instrText>
            </w:r>
            <w:r w:rsidR="00DE78CE" w:rsidRPr="00DF65E2">
              <w:rPr>
                <w:rFonts w:asciiTheme="majorBidi" w:hAnsiTheme="majorBidi" w:cstheme="majorBidi"/>
                <w:b/>
                <w:bCs/>
                <w:color w:val="4F81BD" w:themeColor="accent1"/>
              </w:rPr>
              <w:fldChar w:fldCharType="separate"/>
            </w:r>
            <w:r w:rsidR="00477549">
              <w:rPr>
                <w:rFonts w:asciiTheme="majorBidi" w:hAnsiTheme="majorBidi" w:cstheme="majorBidi"/>
                <w:b/>
                <w:bCs/>
                <w:noProof/>
                <w:color w:val="4F81BD" w:themeColor="accent1"/>
              </w:rPr>
              <w:t>5</w:t>
            </w:r>
            <w:r w:rsidR="00DE78CE" w:rsidRPr="00DF65E2">
              <w:rPr>
                <w:rFonts w:asciiTheme="majorBidi" w:hAnsiTheme="majorBidi" w:cstheme="majorBidi"/>
                <w:b/>
                <w:bCs/>
                <w:color w:val="4F81BD" w:themeColor="accent1"/>
              </w:rPr>
              <w:fldChar w:fldCharType="end"/>
            </w:r>
            <w:r w:rsidRPr="00DF65E2">
              <w:rPr>
                <w:rFonts w:asciiTheme="majorBidi" w:hAnsiTheme="majorBidi" w:cstheme="majorBidi"/>
                <w:b/>
                <w:bCs/>
                <w:color w:val="4F81BD" w:themeColor="accent1"/>
              </w:rPr>
              <w:t xml:space="preserve"> : </w:t>
            </w:r>
            <w:r w:rsidR="00635FC5" w:rsidRPr="00DF65E2">
              <w:rPr>
                <w:rFonts w:asciiTheme="majorBidi" w:eastAsia="Times New Roman" w:hAnsiTheme="majorBidi" w:cstheme="majorBidi"/>
                <w:b/>
                <w:bCs/>
                <w:color w:val="4F81BD" w:themeColor="accent1"/>
                <w:sz w:val="24"/>
                <w:szCs w:val="24"/>
                <w:lang w:eastAsia="fr-FR"/>
              </w:rPr>
              <w:t>Indices</w:t>
            </w:r>
            <w:r w:rsidR="004B1065">
              <w:rPr>
                <w:rFonts w:asciiTheme="majorBidi" w:eastAsia="Times New Roman" w:hAnsiTheme="majorBidi" w:cstheme="majorBidi"/>
                <w:b/>
                <w:bCs/>
                <w:color w:val="4F81BD" w:themeColor="accent1"/>
                <w:sz w:val="24"/>
                <w:szCs w:val="24"/>
                <w:lang w:eastAsia="fr-FR"/>
              </w:rPr>
              <w:t> :</w:t>
            </w:r>
            <w:r w:rsidR="00635FC5" w:rsidRPr="00DF65E2">
              <w:rPr>
                <w:rFonts w:asciiTheme="majorBidi" w:eastAsia="Times New Roman" w:hAnsiTheme="majorBidi" w:cstheme="majorBidi"/>
                <w:b/>
                <w:bCs/>
                <w:color w:val="4F81BD" w:themeColor="accent1"/>
                <w:sz w:val="24"/>
                <w:szCs w:val="24"/>
                <w:lang w:eastAsia="fr-FR"/>
              </w:rPr>
              <w:t xml:space="preserve"> </w:t>
            </w:r>
            <w:r w:rsidR="004B1065">
              <w:rPr>
                <w:rFonts w:asciiTheme="majorBidi" w:eastAsia="Times New Roman" w:hAnsiTheme="majorBidi" w:cstheme="majorBidi"/>
                <w:b/>
                <w:bCs/>
                <w:color w:val="4F81BD" w:themeColor="accent1"/>
                <w:sz w:val="24"/>
                <w:szCs w:val="24"/>
                <w:lang w:eastAsia="fr-FR"/>
              </w:rPr>
              <w:t>g</w:t>
            </w:r>
            <w:r w:rsidR="00635FC5" w:rsidRPr="00DF65E2">
              <w:rPr>
                <w:rFonts w:asciiTheme="majorBidi" w:eastAsia="Times New Roman" w:hAnsiTheme="majorBidi" w:cstheme="majorBidi"/>
                <w:b/>
                <w:bCs/>
                <w:color w:val="4F81BD" w:themeColor="accent1"/>
                <w:sz w:val="24"/>
                <w:szCs w:val="24"/>
                <w:lang w:eastAsia="fr-FR"/>
              </w:rPr>
              <w:t xml:space="preserve">énéral, alimentaire et non alimentaire de la ville de </w:t>
            </w:r>
            <w:proofErr w:type="spellStart"/>
            <w:r w:rsidR="00635FC5" w:rsidRPr="00DF65E2">
              <w:rPr>
                <w:rFonts w:asciiTheme="majorBidi" w:eastAsia="Times New Roman" w:hAnsiTheme="majorBidi" w:cstheme="majorBidi"/>
                <w:b/>
                <w:bCs/>
                <w:color w:val="4F81BD" w:themeColor="accent1"/>
                <w:sz w:val="24"/>
                <w:szCs w:val="24"/>
                <w:lang w:eastAsia="fr-FR"/>
              </w:rPr>
              <w:t>Kénitra</w:t>
            </w:r>
            <w:bookmarkEnd w:id="29"/>
            <w:proofErr w:type="spellEnd"/>
          </w:p>
          <w:p w:rsidR="00635FC5" w:rsidRPr="00DF65E2" w:rsidRDefault="00DF65E2" w:rsidP="000F66F0">
            <w:pPr>
              <w:spacing w:after="0" w:line="240" w:lineRule="auto"/>
              <w:rPr>
                <w:rFonts w:asciiTheme="majorBidi" w:eastAsia="Times New Roman" w:hAnsiTheme="majorBidi" w:cstheme="majorBidi"/>
                <w:b/>
                <w:bCs/>
                <w:color w:val="4F81BD" w:themeColor="accent1"/>
                <w:sz w:val="24"/>
                <w:szCs w:val="24"/>
                <w:lang w:eastAsia="fr-FR"/>
              </w:rPr>
            </w:pPr>
            <w:r>
              <w:rPr>
                <w:rFonts w:asciiTheme="majorBidi" w:eastAsia="Times New Roman" w:hAnsiTheme="majorBidi" w:cstheme="majorBidi"/>
                <w:b/>
                <w:bCs/>
                <w:color w:val="4F81BD" w:themeColor="accent1"/>
                <w:sz w:val="24"/>
                <w:szCs w:val="24"/>
                <w:lang w:eastAsia="fr-FR"/>
              </w:rPr>
              <w:t xml:space="preserve">                 </w:t>
            </w:r>
            <w:r w:rsidR="00635FC5" w:rsidRPr="00DF65E2">
              <w:rPr>
                <w:rFonts w:asciiTheme="majorBidi" w:eastAsia="Times New Roman" w:hAnsiTheme="majorBidi" w:cstheme="majorBidi"/>
                <w:b/>
                <w:bCs/>
                <w:color w:val="4F81BD" w:themeColor="accent1"/>
                <w:sz w:val="24"/>
                <w:szCs w:val="24"/>
                <w:lang w:eastAsia="fr-FR"/>
              </w:rPr>
              <w:t xml:space="preserve"> - Année 201</w:t>
            </w:r>
            <w:r w:rsidR="000F66F0">
              <w:rPr>
                <w:rFonts w:asciiTheme="majorBidi" w:eastAsia="Times New Roman" w:hAnsiTheme="majorBidi" w:cstheme="majorBidi"/>
                <w:b/>
                <w:bCs/>
                <w:color w:val="4F81BD" w:themeColor="accent1"/>
                <w:sz w:val="24"/>
                <w:szCs w:val="24"/>
                <w:lang w:eastAsia="fr-FR"/>
              </w:rPr>
              <w:t>9</w:t>
            </w:r>
            <w:r w:rsidR="00635FC5" w:rsidRPr="00DF65E2">
              <w:rPr>
                <w:rFonts w:asciiTheme="majorBidi" w:eastAsia="Times New Roman" w:hAnsiTheme="majorBidi" w:cstheme="majorBidi"/>
                <w:b/>
                <w:bCs/>
                <w:color w:val="4F81BD" w:themeColor="accent1"/>
                <w:sz w:val="24"/>
                <w:szCs w:val="24"/>
                <w:lang w:eastAsia="fr-FR"/>
              </w:rPr>
              <w:t xml:space="preserve"> -</w:t>
            </w:r>
          </w:p>
        </w:tc>
      </w:tr>
      <w:tr w:rsidR="00635FC5" w:rsidRPr="00635FC5" w:rsidTr="004A7CCA">
        <w:trPr>
          <w:trHeight w:val="463"/>
        </w:trPr>
        <w:tc>
          <w:tcPr>
            <w:tcW w:w="1493" w:type="pct"/>
            <w:tcBorders>
              <w:top w:val="single" w:sz="12" w:space="0" w:color="000000" w:themeColor="text1"/>
              <w:bottom w:val="single" w:sz="12" w:space="0" w:color="000000" w:themeColor="text1"/>
            </w:tcBorders>
            <w:shd w:val="clear" w:color="000000" w:fill="C0C0C0"/>
            <w:noWrap/>
            <w:vAlign w:val="center"/>
            <w:hideMark/>
          </w:tcPr>
          <w:p w:rsidR="00635FC5" w:rsidRPr="00635FC5" w:rsidRDefault="00635FC5" w:rsidP="00635FC5">
            <w:pPr>
              <w:spacing w:after="0" w:line="240" w:lineRule="auto"/>
              <w:rPr>
                <w:rFonts w:ascii="Times New Roman" w:eastAsia="Times New Roman" w:hAnsi="Times New Roman" w:cs="Times New Roman"/>
                <w:b/>
                <w:bCs/>
                <w:sz w:val="20"/>
                <w:szCs w:val="20"/>
                <w:lang w:eastAsia="fr-FR"/>
              </w:rPr>
            </w:pPr>
            <w:r w:rsidRPr="00635FC5">
              <w:rPr>
                <w:rFonts w:ascii="Times New Roman" w:eastAsia="Times New Roman" w:hAnsi="Times New Roman" w:cs="Times New Roman"/>
                <w:b/>
                <w:bCs/>
                <w:sz w:val="20"/>
                <w:szCs w:val="20"/>
                <w:lang w:eastAsia="fr-FR"/>
              </w:rPr>
              <w:t>GRANDES DIVISIONS</w:t>
            </w:r>
          </w:p>
        </w:tc>
        <w:tc>
          <w:tcPr>
            <w:tcW w:w="291" w:type="pct"/>
            <w:tcBorders>
              <w:top w:val="single" w:sz="12" w:space="0" w:color="000000" w:themeColor="text1"/>
              <w:bottom w:val="single" w:sz="12" w:space="0" w:color="000000" w:themeColor="text1"/>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Jan</w:t>
            </w:r>
          </w:p>
        </w:tc>
        <w:tc>
          <w:tcPr>
            <w:tcW w:w="291" w:type="pct"/>
            <w:tcBorders>
              <w:top w:val="single" w:sz="12" w:space="0" w:color="000000" w:themeColor="text1"/>
              <w:bottom w:val="single" w:sz="12" w:space="0" w:color="000000" w:themeColor="text1"/>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proofErr w:type="spellStart"/>
            <w:r w:rsidRPr="001763A7">
              <w:rPr>
                <w:rFonts w:ascii="Times New Roman" w:eastAsia="Times New Roman" w:hAnsi="Times New Roman" w:cs="Times New Roman"/>
                <w:b/>
                <w:bCs/>
                <w:sz w:val="18"/>
                <w:szCs w:val="18"/>
                <w:lang w:eastAsia="fr-FR"/>
              </w:rPr>
              <w:t>Fev</w:t>
            </w:r>
            <w:proofErr w:type="spellEnd"/>
          </w:p>
        </w:tc>
        <w:tc>
          <w:tcPr>
            <w:tcW w:w="294" w:type="pct"/>
            <w:tcBorders>
              <w:top w:val="single" w:sz="12" w:space="0" w:color="000000" w:themeColor="text1"/>
              <w:bottom w:val="single" w:sz="12" w:space="0" w:color="000000" w:themeColor="text1"/>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Mars</w:t>
            </w:r>
          </w:p>
        </w:tc>
        <w:tc>
          <w:tcPr>
            <w:tcW w:w="291" w:type="pct"/>
            <w:tcBorders>
              <w:top w:val="single" w:sz="12" w:space="0" w:color="000000" w:themeColor="text1"/>
              <w:bottom w:val="single" w:sz="12" w:space="0" w:color="000000" w:themeColor="text1"/>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proofErr w:type="spellStart"/>
            <w:r w:rsidRPr="001763A7">
              <w:rPr>
                <w:rFonts w:ascii="Times New Roman" w:eastAsia="Times New Roman" w:hAnsi="Times New Roman" w:cs="Times New Roman"/>
                <w:b/>
                <w:bCs/>
                <w:sz w:val="18"/>
                <w:szCs w:val="18"/>
                <w:lang w:eastAsia="fr-FR"/>
              </w:rPr>
              <w:t>Avr</w:t>
            </w:r>
            <w:proofErr w:type="spellEnd"/>
          </w:p>
        </w:tc>
        <w:tc>
          <w:tcPr>
            <w:tcW w:w="291" w:type="pct"/>
            <w:tcBorders>
              <w:top w:val="single" w:sz="12" w:space="0" w:color="000000" w:themeColor="text1"/>
              <w:bottom w:val="single" w:sz="12" w:space="0" w:color="000000" w:themeColor="text1"/>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Mai</w:t>
            </w:r>
          </w:p>
        </w:tc>
        <w:tc>
          <w:tcPr>
            <w:tcW w:w="291" w:type="pct"/>
            <w:tcBorders>
              <w:top w:val="single" w:sz="12" w:space="0" w:color="000000" w:themeColor="text1"/>
              <w:bottom w:val="single" w:sz="12" w:space="0" w:color="000000" w:themeColor="text1"/>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Juin</w:t>
            </w:r>
          </w:p>
        </w:tc>
        <w:tc>
          <w:tcPr>
            <w:tcW w:w="291" w:type="pct"/>
            <w:tcBorders>
              <w:top w:val="single" w:sz="12" w:space="0" w:color="000000" w:themeColor="text1"/>
              <w:bottom w:val="single" w:sz="12" w:space="0" w:color="000000" w:themeColor="text1"/>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proofErr w:type="spellStart"/>
            <w:r w:rsidRPr="001763A7">
              <w:rPr>
                <w:rFonts w:ascii="Times New Roman" w:eastAsia="Times New Roman" w:hAnsi="Times New Roman" w:cs="Times New Roman"/>
                <w:b/>
                <w:bCs/>
                <w:sz w:val="18"/>
                <w:szCs w:val="18"/>
                <w:lang w:eastAsia="fr-FR"/>
              </w:rPr>
              <w:t>Jul</w:t>
            </w:r>
            <w:proofErr w:type="spellEnd"/>
          </w:p>
        </w:tc>
        <w:tc>
          <w:tcPr>
            <w:tcW w:w="291" w:type="pct"/>
            <w:tcBorders>
              <w:top w:val="single" w:sz="12" w:space="0" w:color="000000" w:themeColor="text1"/>
              <w:bottom w:val="single" w:sz="12" w:space="0" w:color="000000" w:themeColor="text1"/>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Août</w:t>
            </w:r>
          </w:p>
        </w:tc>
        <w:tc>
          <w:tcPr>
            <w:tcW w:w="291" w:type="pct"/>
            <w:tcBorders>
              <w:top w:val="single" w:sz="12" w:space="0" w:color="000000" w:themeColor="text1"/>
              <w:bottom w:val="single" w:sz="12" w:space="0" w:color="000000" w:themeColor="text1"/>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Sep</w:t>
            </w:r>
          </w:p>
        </w:tc>
        <w:tc>
          <w:tcPr>
            <w:tcW w:w="291" w:type="pct"/>
            <w:tcBorders>
              <w:top w:val="single" w:sz="12" w:space="0" w:color="000000" w:themeColor="text1"/>
              <w:bottom w:val="single" w:sz="12" w:space="0" w:color="000000" w:themeColor="text1"/>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proofErr w:type="spellStart"/>
            <w:r w:rsidRPr="001763A7">
              <w:rPr>
                <w:rFonts w:ascii="Times New Roman" w:eastAsia="Times New Roman" w:hAnsi="Times New Roman" w:cs="Times New Roman"/>
                <w:b/>
                <w:bCs/>
                <w:sz w:val="18"/>
                <w:szCs w:val="18"/>
                <w:lang w:eastAsia="fr-FR"/>
              </w:rPr>
              <w:t>Oct</w:t>
            </w:r>
            <w:proofErr w:type="spellEnd"/>
          </w:p>
        </w:tc>
        <w:tc>
          <w:tcPr>
            <w:tcW w:w="291" w:type="pct"/>
            <w:tcBorders>
              <w:top w:val="single" w:sz="12" w:space="0" w:color="000000" w:themeColor="text1"/>
              <w:bottom w:val="single" w:sz="12" w:space="0" w:color="000000" w:themeColor="text1"/>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proofErr w:type="spellStart"/>
            <w:r w:rsidRPr="001763A7">
              <w:rPr>
                <w:rFonts w:ascii="Times New Roman" w:eastAsia="Times New Roman" w:hAnsi="Times New Roman" w:cs="Times New Roman"/>
                <w:b/>
                <w:bCs/>
                <w:sz w:val="18"/>
                <w:szCs w:val="18"/>
                <w:lang w:eastAsia="fr-FR"/>
              </w:rPr>
              <w:t>Nov</w:t>
            </w:r>
            <w:proofErr w:type="spellEnd"/>
          </w:p>
        </w:tc>
        <w:tc>
          <w:tcPr>
            <w:tcW w:w="299" w:type="pct"/>
            <w:tcBorders>
              <w:top w:val="single" w:sz="12" w:space="0" w:color="000000" w:themeColor="text1"/>
              <w:bottom w:val="single" w:sz="12" w:space="0" w:color="000000" w:themeColor="text1"/>
              <w:right w:val="nil"/>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proofErr w:type="spellStart"/>
            <w:r w:rsidRPr="001763A7">
              <w:rPr>
                <w:rFonts w:ascii="Times New Roman" w:eastAsia="Times New Roman" w:hAnsi="Times New Roman" w:cs="Times New Roman"/>
                <w:b/>
                <w:bCs/>
                <w:sz w:val="18"/>
                <w:szCs w:val="18"/>
                <w:lang w:eastAsia="fr-FR"/>
              </w:rPr>
              <w:t>Dec</w:t>
            </w:r>
            <w:proofErr w:type="spellEnd"/>
          </w:p>
        </w:tc>
      </w:tr>
      <w:tr w:rsidR="0021273B" w:rsidRPr="00635FC5" w:rsidTr="004A7CCA">
        <w:trPr>
          <w:trHeight w:val="465"/>
        </w:trPr>
        <w:tc>
          <w:tcPr>
            <w:tcW w:w="1493" w:type="pct"/>
            <w:tcBorders>
              <w:top w:val="single" w:sz="12" w:space="0" w:color="000000" w:themeColor="text1"/>
            </w:tcBorders>
            <w:shd w:val="clear" w:color="000000" w:fill="FFFFFF"/>
            <w:noWrap/>
            <w:hideMark/>
          </w:tcPr>
          <w:p w:rsidR="0021273B" w:rsidRPr="00635FC5" w:rsidRDefault="0021273B" w:rsidP="008D20A3">
            <w:pPr>
              <w:spacing w:after="0" w:line="240" w:lineRule="auto"/>
              <w:rPr>
                <w:rFonts w:ascii="Times New Roman" w:eastAsia="Times New Roman" w:hAnsi="Times New Roman" w:cs="Times New Roman"/>
                <w:b/>
                <w:bCs/>
                <w:sz w:val="20"/>
                <w:szCs w:val="20"/>
                <w:lang w:eastAsia="fr-FR"/>
              </w:rPr>
            </w:pPr>
            <w:r w:rsidRPr="00635FC5">
              <w:rPr>
                <w:rFonts w:ascii="Times New Roman" w:eastAsia="Times New Roman" w:hAnsi="Times New Roman" w:cs="Times New Roman"/>
                <w:b/>
                <w:bCs/>
                <w:sz w:val="20"/>
                <w:szCs w:val="20"/>
                <w:lang w:eastAsia="fr-FR"/>
              </w:rPr>
              <w:t>I. Produits alimentaires</w:t>
            </w:r>
          </w:p>
        </w:tc>
        <w:tc>
          <w:tcPr>
            <w:tcW w:w="291" w:type="pct"/>
            <w:tcBorders>
              <w:top w:val="single" w:sz="12" w:space="0" w:color="000000" w:themeColor="text1"/>
            </w:tcBorders>
            <w:shd w:val="clear" w:color="auto" w:fill="auto"/>
            <w:noWrap/>
            <w:vAlign w:val="bottom"/>
            <w:hideMark/>
          </w:tcPr>
          <w:p w:rsidR="0021273B" w:rsidRPr="008D20A3" w:rsidRDefault="0021273B" w:rsidP="008D20A3">
            <w:pPr>
              <w:jc w:val="right"/>
              <w:rPr>
                <w:rFonts w:asciiTheme="majorBidi" w:hAnsiTheme="majorBidi" w:cstheme="majorBidi"/>
                <w:b/>
                <w:bCs/>
                <w:sz w:val="18"/>
                <w:szCs w:val="18"/>
              </w:rPr>
            </w:pPr>
            <w:r w:rsidRPr="008D20A3">
              <w:rPr>
                <w:rFonts w:asciiTheme="majorBidi" w:hAnsiTheme="majorBidi" w:cstheme="majorBidi"/>
                <w:b/>
                <w:bCs/>
                <w:sz w:val="18"/>
                <w:szCs w:val="18"/>
              </w:rPr>
              <w:t>126,3</w:t>
            </w:r>
          </w:p>
        </w:tc>
        <w:tc>
          <w:tcPr>
            <w:tcW w:w="291" w:type="pct"/>
            <w:tcBorders>
              <w:top w:val="single" w:sz="12" w:space="0" w:color="000000" w:themeColor="text1"/>
            </w:tcBorders>
            <w:shd w:val="clear" w:color="auto" w:fill="auto"/>
            <w:noWrap/>
            <w:vAlign w:val="bottom"/>
            <w:hideMark/>
          </w:tcPr>
          <w:p w:rsidR="0021273B" w:rsidRPr="008D20A3" w:rsidRDefault="0021273B" w:rsidP="008D20A3">
            <w:pPr>
              <w:jc w:val="right"/>
              <w:rPr>
                <w:rFonts w:asciiTheme="majorBidi" w:hAnsiTheme="majorBidi" w:cstheme="majorBidi"/>
                <w:b/>
                <w:bCs/>
                <w:sz w:val="18"/>
                <w:szCs w:val="18"/>
              </w:rPr>
            </w:pPr>
            <w:r w:rsidRPr="008D20A3">
              <w:rPr>
                <w:rFonts w:asciiTheme="majorBidi" w:hAnsiTheme="majorBidi" w:cstheme="majorBidi"/>
                <w:b/>
                <w:bCs/>
                <w:sz w:val="18"/>
                <w:szCs w:val="18"/>
              </w:rPr>
              <w:t>126,6</w:t>
            </w:r>
          </w:p>
        </w:tc>
        <w:tc>
          <w:tcPr>
            <w:tcW w:w="294" w:type="pct"/>
            <w:tcBorders>
              <w:top w:val="single" w:sz="12" w:space="0" w:color="000000" w:themeColor="text1"/>
            </w:tcBorders>
            <w:shd w:val="clear" w:color="auto" w:fill="auto"/>
            <w:noWrap/>
            <w:vAlign w:val="bottom"/>
            <w:hideMark/>
          </w:tcPr>
          <w:p w:rsidR="0021273B" w:rsidRPr="008D20A3" w:rsidRDefault="0021273B" w:rsidP="008D20A3">
            <w:pPr>
              <w:jc w:val="right"/>
              <w:rPr>
                <w:rFonts w:asciiTheme="majorBidi" w:hAnsiTheme="majorBidi" w:cstheme="majorBidi"/>
                <w:b/>
                <w:bCs/>
                <w:sz w:val="18"/>
                <w:szCs w:val="18"/>
              </w:rPr>
            </w:pPr>
            <w:r w:rsidRPr="008D20A3">
              <w:rPr>
                <w:rFonts w:asciiTheme="majorBidi" w:hAnsiTheme="majorBidi" w:cstheme="majorBidi"/>
                <w:b/>
                <w:bCs/>
                <w:sz w:val="18"/>
                <w:szCs w:val="18"/>
              </w:rPr>
              <w:t>126,6</w:t>
            </w:r>
          </w:p>
        </w:tc>
        <w:tc>
          <w:tcPr>
            <w:tcW w:w="291" w:type="pct"/>
            <w:tcBorders>
              <w:top w:val="single" w:sz="12" w:space="0" w:color="000000" w:themeColor="text1"/>
            </w:tcBorders>
            <w:shd w:val="clear" w:color="auto" w:fill="auto"/>
            <w:noWrap/>
            <w:vAlign w:val="bottom"/>
            <w:hideMark/>
          </w:tcPr>
          <w:p w:rsidR="0021273B" w:rsidRPr="008D20A3" w:rsidRDefault="0021273B" w:rsidP="008D20A3">
            <w:pPr>
              <w:jc w:val="right"/>
              <w:rPr>
                <w:rFonts w:asciiTheme="majorBidi" w:hAnsiTheme="majorBidi" w:cstheme="majorBidi"/>
                <w:b/>
                <w:bCs/>
                <w:sz w:val="18"/>
                <w:szCs w:val="18"/>
              </w:rPr>
            </w:pPr>
            <w:r w:rsidRPr="008D20A3">
              <w:rPr>
                <w:rFonts w:asciiTheme="majorBidi" w:hAnsiTheme="majorBidi" w:cstheme="majorBidi"/>
                <w:b/>
                <w:bCs/>
                <w:sz w:val="18"/>
                <w:szCs w:val="18"/>
              </w:rPr>
              <w:t>126,5</w:t>
            </w:r>
          </w:p>
        </w:tc>
        <w:tc>
          <w:tcPr>
            <w:tcW w:w="291" w:type="pct"/>
            <w:tcBorders>
              <w:top w:val="single" w:sz="12" w:space="0" w:color="000000" w:themeColor="text1"/>
            </w:tcBorders>
            <w:shd w:val="clear" w:color="auto" w:fill="auto"/>
            <w:noWrap/>
            <w:vAlign w:val="bottom"/>
            <w:hideMark/>
          </w:tcPr>
          <w:p w:rsidR="0021273B" w:rsidRPr="008D20A3" w:rsidRDefault="0021273B" w:rsidP="008D20A3">
            <w:pPr>
              <w:jc w:val="right"/>
              <w:rPr>
                <w:rFonts w:asciiTheme="majorBidi" w:hAnsiTheme="majorBidi" w:cstheme="majorBidi"/>
                <w:b/>
                <w:bCs/>
                <w:sz w:val="18"/>
                <w:szCs w:val="18"/>
              </w:rPr>
            </w:pPr>
            <w:r w:rsidRPr="008D20A3">
              <w:rPr>
                <w:rFonts w:asciiTheme="majorBidi" w:hAnsiTheme="majorBidi" w:cstheme="majorBidi"/>
                <w:b/>
                <w:bCs/>
                <w:sz w:val="18"/>
                <w:szCs w:val="18"/>
              </w:rPr>
              <w:t>130,0</w:t>
            </w:r>
          </w:p>
        </w:tc>
        <w:tc>
          <w:tcPr>
            <w:tcW w:w="291" w:type="pct"/>
            <w:tcBorders>
              <w:top w:val="single" w:sz="12" w:space="0" w:color="000000" w:themeColor="text1"/>
            </w:tcBorders>
            <w:shd w:val="clear" w:color="auto" w:fill="auto"/>
            <w:noWrap/>
            <w:vAlign w:val="bottom"/>
            <w:hideMark/>
          </w:tcPr>
          <w:p w:rsidR="0021273B" w:rsidRPr="008D20A3" w:rsidRDefault="0021273B" w:rsidP="008D20A3">
            <w:pPr>
              <w:jc w:val="right"/>
              <w:rPr>
                <w:rFonts w:asciiTheme="majorBidi" w:hAnsiTheme="majorBidi" w:cstheme="majorBidi"/>
                <w:b/>
                <w:bCs/>
                <w:sz w:val="18"/>
                <w:szCs w:val="18"/>
              </w:rPr>
            </w:pPr>
            <w:r w:rsidRPr="008D20A3">
              <w:rPr>
                <w:rFonts w:asciiTheme="majorBidi" w:hAnsiTheme="majorBidi" w:cstheme="majorBidi"/>
                <w:b/>
                <w:bCs/>
                <w:sz w:val="18"/>
                <w:szCs w:val="18"/>
              </w:rPr>
              <w:t>129,2</w:t>
            </w:r>
          </w:p>
        </w:tc>
        <w:tc>
          <w:tcPr>
            <w:tcW w:w="291" w:type="pct"/>
            <w:tcBorders>
              <w:top w:val="single" w:sz="12" w:space="0" w:color="000000" w:themeColor="text1"/>
            </w:tcBorders>
            <w:shd w:val="clear" w:color="auto" w:fill="auto"/>
            <w:noWrap/>
            <w:vAlign w:val="bottom"/>
            <w:hideMark/>
          </w:tcPr>
          <w:p w:rsidR="0021273B" w:rsidRPr="008D20A3" w:rsidRDefault="0021273B" w:rsidP="008D20A3">
            <w:pPr>
              <w:jc w:val="right"/>
              <w:rPr>
                <w:rFonts w:asciiTheme="majorBidi" w:hAnsiTheme="majorBidi" w:cstheme="majorBidi"/>
                <w:b/>
                <w:bCs/>
                <w:sz w:val="18"/>
                <w:szCs w:val="18"/>
              </w:rPr>
            </w:pPr>
            <w:r w:rsidRPr="008D20A3">
              <w:rPr>
                <w:rFonts w:asciiTheme="majorBidi" w:hAnsiTheme="majorBidi" w:cstheme="majorBidi"/>
                <w:b/>
                <w:bCs/>
                <w:sz w:val="18"/>
                <w:szCs w:val="18"/>
              </w:rPr>
              <w:t>125,5</w:t>
            </w:r>
          </w:p>
        </w:tc>
        <w:tc>
          <w:tcPr>
            <w:tcW w:w="291" w:type="pct"/>
            <w:tcBorders>
              <w:top w:val="single" w:sz="12" w:space="0" w:color="000000" w:themeColor="text1"/>
            </w:tcBorders>
            <w:shd w:val="clear" w:color="auto" w:fill="auto"/>
            <w:noWrap/>
            <w:vAlign w:val="bottom"/>
            <w:hideMark/>
          </w:tcPr>
          <w:p w:rsidR="0021273B" w:rsidRPr="008D20A3" w:rsidRDefault="0021273B" w:rsidP="008D20A3">
            <w:pPr>
              <w:jc w:val="right"/>
              <w:rPr>
                <w:rFonts w:asciiTheme="majorBidi" w:hAnsiTheme="majorBidi" w:cstheme="majorBidi"/>
                <w:b/>
                <w:bCs/>
                <w:sz w:val="18"/>
                <w:szCs w:val="18"/>
              </w:rPr>
            </w:pPr>
            <w:r w:rsidRPr="008D20A3">
              <w:rPr>
                <w:rFonts w:asciiTheme="majorBidi" w:hAnsiTheme="majorBidi" w:cstheme="majorBidi"/>
                <w:b/>
                <w:bCs/>
                <w:sz w:val="18"/>
                <w:szCs w:val="18"/>
              </w:rPr>
              <w:t>127,1</w:t>
            </w:r>
          </w:p>
        </w:tc>
        <w:tc>
          <w:tcPr>
            <w:tcW w:w="291" w:type="pct"/>
            <w:tcBorders>
              <w:top w:val="single" w:sz="12" w:space="0" w:color="000000" w:themeColor="text1"/>
            </w:tcBorders>
            <w:shd w:val="clear" w:color="auto" w:fill="auto"/>
            <w:noWrap/>
            <w:vAlign w:val="bottom"/>
            <w:hideMark/>
          </w:tcPr>
          <w:p w:rsidR="0021273B" w:rsidRPr="008D20A3" w:rsidRDefault="0021273B" w:rsidP="008D20A3">
            <w:pPr>
              <w:jc w:val="right"/>
              <w:rPr>
                <w:rFonts w:asciiTheme="majorBidi" w:hAnsiTheme="majorBidi" w:cstheme="majorBidi"/>
                <w:b/>
                <w:bCs/>
                <w:sz w:val="18"/>
                <w:szCs w:val="18"/>
              </w:rPr>
            </w:pPr>
            <w:r w:rsidRPr="008D20A3">
              <w:rPr>
                <w:rFonts w:asciiTheme="majorBidi" w:hAnsiTheme="majorBidi" w:cstheme="majorBidi"/>
                <w:b/>
                <w:bCs/>
                <w:sz w:val="18"/>
                <w:szCs w:val="18"/>
              </w:rPr>
              <w:t>125,8</w:t>
            </w:r>
          </w:p>
        </w:tc>
        <w:tc>
          <w:tcPr>
            <w:tcW w:w="291" w:type="pct"/>
            <w:tcBorders>
              <w:top w:val="single" w:sz="12" w:space="0" w:color="000000" w:themeColor="text1"/>
            </w:tcBorders>
            <w:shd w:val="clear" w:color="auto" w:fill="auto"/>
            <w:noWrap/>
            <w:vAlign w:val="bottom"/>
            <w:hideMark/>
          </w:tcPr>
          <w:p w:rsidR="0021273B" w:rsidRPr="008D20A3" w:rsidRDefault="0021273B" w:rsidP="008D20A3">
            <w:pPr>
              <w:jc w:val="right"/>
              <w:rPr>
                <w:rFonts w:asciiTheme="majorBidi" w:hAnsiTheme="majorBidi" w:cstheme="majorBidi"/>
                <w:b/>
                <w:bCs/>
                <w:sz w:val="18"/>
                <w:szCs w:val="18"/>
              </w:rPr>
            </w:pPr>
            <w:r w:rsidRPr="008D20A3">
              <w:rPr>
                <w:rFonts w:asciiTheme="majorBidi" w:hAnsiTheme="majorBidi" w:cstheme="majorBidi"/>
                <w:b/>
                <w:bCs/>
                <w:sz w:val="18"/>
                <w:szCs w:val="18"/>
              </w:rPr>
              <w:t>125,6</w:t>
            </w:r>
          </w:p>
        </w:tc>
        <w:tc>
          <w:tcPr>
            <w:tcW w:w="291" w:type="pct"/>
            <w:tcBorders>
              <w:top w:val="single" w:sz="12" w:space="0" w:color="000000" w:themeColor="text1"/>
            </w:tcBorders>
            <w:shd w:val="clear" w:color="auto" w:fill="auto"/>
            <w:noWrap/>
            <w:vAlign w:val="bottom"/>
            <w:hideMark/>
          </w:tcPr>
          <w:p w:rsidR="0021273B" w:rsidRPr="008D20A3" w:rsidRDefault="0021273B" w:rsidP="008D20A3">
            <w:pPr>
              <w:jc w:val="right"/>
              <w:rPr>
                <w:rFonts w:asciiTheme="majorBidi" w:hAnsiTheme="majorBidi" w:cstheme="majorBidi"/>
                <w:b/>
                <w:bCs/>
                <w:sz w:val="18"/>
                <w:szCs w:val="18"/>
              </w:rPr>
            </w:pPr>
            <w:r w:rsidRPr="008D20A3">
              <w:rPr>
                <w:rFonts w:asciiTheme="majorBidi" w:hAnsiTheme="majorBidi" w:cstheme="majorBidi"/>
                <w:b/>
                <w:bCs/>
                <w:sz w:val="18"/>
                <w:szCs w:val="18"/>
              </w:rPr>
              <w:t>127,7</w:t>
            </w:r>
          </w:p>
        </w:tc>
        <w:tc>
          <w:tcPr>
            <w:tcW w:w="299" w:type="pct"/>
            <w:tcBorders>
              <w:top w:val="single" w:sz="12" w:space="0" w:color="000000" w:themeColor="text1"/>
            </w:tcBorders>
            <w:shd w:val="clear" w:color="auto" w:fill="auto"/>
            <w:noWrap/>
            <w:vAlign w:val="bottom"/>
            <w:hideMark/>
          </w:tcPr>
          <w:p w:rsidR="0021273B" w:rsidRPr="008D20A3" w:rsidRDefault="0021273B" w:rsidP="008D20A3">
            <w:pPr>
              <w:jc w:val="right"/>
              <w:rPr>
                <w:rFonts w:asciiTheme="majorBidi" w:hAnsiTheme="majorBidi" w:cstheme="majorBidi"/>
                <w:b/>
                <w:bCs/>
                <w:sz w:val="18"/>
                <w:szCs w:val="18"/>
              </w:rPr>
            </w:pPr>
            <w:r w:rsidRPr="008D20A3">
              <w:rPr>
                <w:rFonts w:asciiTheme="majorBidi" w:hAnsiTheme="majorBidi" w:cstheme="majorBidi"/>
                <w:b/>
                <w:bCs/>
                <w:sz w:val="18"/>
                <w:szCs w:val="18"/>
              </w:rPr>
              <w:t>127,7</w:t>
            </w:r>
          </w:p>
        </w:tc>
      </w:tr>
      <w:tr w:rsidR="0021273B" w:rsidRPr="00635FC5" w:rsidTr="004A7CCA">
        <w:trPr>
          <w:trHeight w:val="600"/>
        </w:trPr>
        <w:tc>
          <w:tcPr>
            <w:tcW w:w="1493" w:type="pct"/>
            <w:tcBorders>
              <w:top w:val="nil"/>
              <w:bottom w:val="single" w:sz="12" w:space="0" w:color="auto"/>
            </w:tcBorders>
            <w:shd w:val="clear" w:color="000000" w:fill="FFFFFF"/>
            <w:noWrap/>
            <w:vAlign w:val="center"/>
            <w:hideMark/>
          </w:tcPr>
          <w:p w:rsidR="0021273B" w:rsidRPr="00635FC5" w:rsidRDefault="0021273B" w:rsidP="008D20A3">
            <w:pPr>
              <w:spacing w:after="0" w:line="240" w:lineRule="auto"/>
              <w:rPr>
                <w:rFonts w:ascii="Times New Roman" w:eastAsia="Times New Roman" w:hAnsi="Times New Roman" w:cs="Times New Roman"/>
                <w:b/>
                <w:bCs/>
                <w:sz w:val="20"/>
                <w:szCs w:val="20"/>
                <w:lang w:eastAsia="fr-FR"/>
              </w:rPr>
            </w:pPr>
            <w:r w:rsidRPr="00635FC5">
              <w:rPr>
                <w:rFonts w:ascii="Times New Roman" w:eastAsia="Times New Roman" w:hAnsi="Times New Roman" w:cs="Times New Roman"/>
                <w:b/>
                <w:bCs/>
                <w:sz w:val="20"/>
                <w:szCs w:val="20"/>
                <w:lang w:eastAsia="fr-FR"/>
              </w:rPr>
              <w:t>I. Produits non alimentaires</w:t>
            </w:r>
          </w:p>
        </w:tc>
        <w:tc>
          <w:tcPr>
            <w:tcW w:w="291" w:type="pct"/>
            <w:tcBorders>
              <w:top w:val="nil"/>
              <w:bottom w:val="single" w:sz="12" w:space="0" w:color="auto"/>
            </w:tcBorders>
            <w:shd w:val="clear" w:color="auto" w:fill="auto"/>
            <w:noWrap/>
            <w:vAlign w:val="bottom"/>
            <w:hideMark/>
          </w:tcPr>
          <w:p w:rsidR="0021273B" w:rsidRPr="008D20A3" w:rsidRDefault="0021273B" w:rsidP="008D20A3">
            <w:pPr>
              <w:jc w:val="right"/>
              <w:rPr>
                <w:rFonts w:asciiTheme="majorBidi" w:hAnsiTheme="majorBidi" w:cstheme="majorBidi"/>
                <w:b/>
                <w:bCs/>
                <w:sz w:val="18"/>
                <w:szCs w:val="18"/>
              </w:rPr>
            </w:pPr>
            <w:r w:rsidRPr="008D20A3">
              <w:rPr>
                <w:rFonts w:asciiTheme="majorBidi" w:hAnsiTheme="majorBidi" w:cstheme="majorBidi"/>
                <w:b/>
                <w:bCs/>
                <w:sz w:val="18"/>
                <w:szCs w:val="18"/>
              </w:rPr>
              <w:t>112,2</w:t>
            </w:r>
          </w:p>
        </w:tc>
        <w:tc>
          <w:tcPr>
            <w:tcW w:w="291" w:type="pct"/>
            <w:tcBorders>
              <w:top w:val="nil"/>
              <w:bottom w:val="single" w:sz="12" w:space="0" w:color="auto"/>
            </w:tcBorders>
            <w:shd w:val="clear" w:color="auto" w:fill="auto"/>
            <w:noWrap/>
            <w:vAlign w:val="bottom"/>
            <w:hideMark/>
          </w:tcPr>
          <w:p w:rsidR="0021273B" w:rsidRPr="008D20A3" w:rsidRDefault="0021273B" w:rsidP="008D20A3">
            <w:pPr>
              <w:jc w:val="right"/>
              <w:rPr>
                <w:rFonts w:asciiTheme="majorBidi" w:hAnsiTheme="majorBidi" w:cstheme="majorBidi"/>
                <w:b/>
                <w:bCs/>
                <w:sz w:val="18"/>
                <w:szCs w:val="18"/>
              </w:rPr>
            </w:pPr>
            <w:r w:rsidRPr="008D20A3">
              <w:rPr>
                <w:rFonts w:asciiTheme="majorBidi" w:hAnsiTheme="majorBidi" w:cstheme="majorBidi"/>
                <w:b/>
                <w:bCs/>
                <w:sz w:val="18"/>
                <w:szCs w:val="18"/>
              </w:rPr>
              <w:t>112,3</w:t>
            </w:r>
          </w:p>
        </w:tc>
        <w:tc>
          <w:tcPr>
            <w:tcW w:w="294" w:type="pct"/>
            <w:tcBorders>
              <w:top w:val="nil"/>
              <w:bottom w:val="single" w:sz="12" w:space="0" w:color="auto"/>
            </w:tcBorders>
            <w:shd w:val="clear" w:color="auto" w:fill="auto"/>
            <w:noWrap/>
            <w:vAlign w:val="bottom"/>
            <w:hideMark/>
          </w:tcPr>
          <w:p w:rsidR="0021273B" w:rsidRPr="008D20A3" w:rsidRDefault="0021273B" w:rsidP="008D20A3">
            <w:pPr>
              <w:jc w:val="right"/>
              <w:rPr>
                <w:rFonts w:asciiTheme="majorBidi" w:hAnsiTheme="majorBidi" w:cstheme="majorBidi"/>
                <w:b/>
                <w:bCs/>
                <w:sz w:val="18"/>
                <w:szCs w:val="18"/>
              </w:rPr>
            </w:pPr>
            <w:r w:rsidRPr="008D20A3">
              <w:rPr>
                <w:rFonts w:asciiTheme="majorBidi" w:hAnsiTheme="majorBidi" w:cstheme="majorBidi"/>
                <w:b/>
                <w:bCs/>
                <w:sz w:val="18"/>
                <w:szCs w:val="18"/>
              </w:rPr>
              <w:t>112,5</w:t>
            </w:r>
          </w:p>
        </w:tc>
        <w:tc>
          <w:tcPr>
            <w:tcW w:w="291" w:type="pct"/>
            <w:tcBorders>
              <w:top w:val="nil"/>
              <w:bottom w:val="single" w:sz="12" w:space="0" w:color="auto"/>
            </w:tcBorders>
            <w:shd w:val="clear" w:color="auto" w:fill="auto"/>
            <w:noWrap/>
            <w:vAlign w:val="bottom"/>
            <w:hideMark/>
          </w:tcPr>
          <w:p w:rsidR="0021273B" w:rsidRPr="008D20A3" w:rsidRDefault="0021273B" w:rsidP="008D20A3">
            <w:pPr>
              <w:jc w:val="right"/>
              <w:rPr>
                <w:rFonts w:asciiTheme="majorBidi" w:hAnsiTheme="majorBidi" w:cstheme="majorBidi"/>
                <w:b/>
                <w:bCs/>
                <w:sz w:val="18"/>
                <w:szCs w:val="18"/>
              </w:rPr>
            </w:pPr>
            <w:r w:rsidRPr="008D20A3">
              <w:rPr>
                <w:rFonts w:asciiTheme="majorBidi" w:hAnsiTheme="majorBidi" w:cstheme="majorBidi"/>
                <w:b/>
                <w:bCs/>
                <w:sz w:val="18"/>
                <w:szCs w:val="18"/>
              </w:rPr>
              <w:t>112,7</w:t>
            </w:r>
          </w:p>
        </w:tc>
        <w:tc>
          <w:tcPr>
            <w:tcW w:w="291" w:type="pct"/>
            <w:tcBorders>
              <w:top w:val="nil"/>
              <w:bottom w:val="single" w:sz="12" w:space="0" w:color="auto"/>
            </w:tcBorders>
            <w:shd w:val="clear" w:color="auto" w:fill="auto"/>
            <w:noWrap/>
            <w:vAlign w:val="bottom"/>
            <w:hideMark/>
          </w:tcPr>
          <w:p w:rsidR="0021273B" w:rsidRPr="008D20A3" w:rsidRDefault="0021273B" w:rsidP="008D20A3">
            <w:pPr>
              <w:jc w:val="right"/>
              <w:rPr>
                <w:rFonts w:asciiTheme="majorBidi" w:hAnsiTheme="majorBidi" w:cstheme="majorBidi"/>
                <w:b/>
                <w:bCs/>
                <w:sz w:val="18"/>
                <w:szCs w:val="18"/>
              </w:rPr>
            </w:pPr>
            <w:r w:rsidRPr="008D20A3">
              <w:rPr>
                <w:rFonts w:asciiTheme="majorBidi" w:hAnsiTheme="majorBidi" w:cstheme="majorBidi"/>
                <w:b/>
                <w:bCs/>
                <w:sz w:val="18"/>
                <w:szCs w:val="18"/>
              </w:rPr>
              <w:t>112,9</w:t>
            </w:r>
          </w:p>
        </w:tc>
        <w:tc>
          <w:tcPr>
            <w:tcW w:w="291" w:type="pct"/>
            <w:tcBorders>
              <w:top w:val="nil"/>
              <w:bottom w:val="single" w:sz="12" w:space="0" w:color="auto"/>
            </w:tcBorders>
            <w:shd w:val="clear" w:color="auto" w:fill="auto"/>
            <w:noWrap/>
            <w:vAlign w:val="bottom"/>
            <w:hideMark/>
          </w:tcPr>
          <w:p w:rsidR="0021273B" w:rsidRPr="008D20A3" w:rsidRDefault="0021273B" w:rsidP="008D20A3">
            <w:pPr>
              <w:jc w:val="right"/>
              <w:rPr>
                <w:rFonts w:asciiTheme="majorBidi" w:hAnsiTheme="majorBidi" w:cstheme="majorBidi"/>
                <w:b/>
                <w:bCs/>
                <w:sz w:val="18"/>
                <w:szCs w:val="18"/>
              </w:rPr>
            </w:pPr>
            <w:r w:rsidRPr="008D20A3">
              <w:rPr>
                <w:rFonts w:asciiTheme="majorBidi" w:hAnsiTheme="majorBidi" w:cstheme="majorBidi"/>
                <w:b/>
                <w:bCs/>
                <w:sz w:val="18"/>
                <w:szCs w:val="18"/>
              </w:rPr>
              <w:t>113,0</w:t>
            </w:r>
          </w:p>
        </w:tc>
        <w:tc>
          <w:tcPr>
            <w:tcW w:w="291" w:type="pct"/>
            <w:tcBorders>
              <w:top w:val="nil"/>
              <w:bottom w:val="single" w:sz="12" w:space="0" w:color="auto"/>
            </w:tcBorders>
            <w:shd w:val="clear" w:color="auto" w:fill="auto"/>
            <w:noWrap/>
            <w:vAlign w:val="bottom"/>
            <w:hideMark/>
          </w:tcPr>
          <w:p w:rsidR="0021273B" w:rsidRPr="008D20A3" w:rsidRDefault="0021273B" w:rsidP="008D20A3">
            <w:pPr>
              <w:jc w:val="right"/>
              <w:rPr>
                <w:rFonts w:asciiTheme="majorBidi" w:hAnsiTheme="majorBidi" w:cstheme="majorBidi"/>
                <w:b/>
                <w:bCs/>
                <w:sz w:val="18"/>
                <w:szCs w:val="18"/>
              </w:rPr>
            </w:pPr>
            <w:r w:rsidRPr="008D20A3">
              <w:rPr>
                <w:rFonts w:asciiTheme="majorBidi" w:hAnsiTheme="majorBidi" w:cstheme="majorBidi"/>
                <w:b/>
                <w:bCs/>
                <w:sz w:val="18"/>
                <w:szCs w:val="18"/>
              </w:rPr>
              <w:t>113,2</w:t>
            </w:r>
          </w:p>
        </w:tc>
        <w:tc>
          <w:tcPr>
            <w:tcW w:w="291" w:type="pct"/>
            <w:tcBorders>
              <w:top w:val="nil"/>
              <w:bottom w:val="single" w:sz="12" w:space="0" w:color="auto"/>
            </w:tcBorders>
            <w:shd w:val="clear" w:color="auto" w:fill="auto"/>
            <w:noWrap/>
            <w:vAlign w:val="bottom"/>
            <w:hideMark/>
          </w:tcPr>
          <w:p w:rsidR="0021273B" w:rsidRPr="008D20A3" w:rsidRDefault="0021273B" w:rsidP="008D20A3">
            <w:pPr>
              <w:jc w:val="right"/>
              <w:rPr>
                <w:rFonts w:asciiTheme="majorBidi" w:hAnsiTheme="majorBidi" w:cstheme="majorBidi"/>
                <w:b/>
                <w:bCs/>
                <w:sz w:val="18"/>
                <w:szCs w:val="18"/>
              </w:rPr>
            </w:pPr>
            <w:r w:rsidRPr="008D20A3">
              <w:rPr>
                <w:rFonts w:asciiTheme="majorBidi" w:hAnsiTheme="majorBidi" w:cstheme="majorBidi"/>
                <w:b/>
                <w:bCs/>
                <w:sz w:val="18"/>
                <w:szCs w:val="18"/>
              </w:rPr>
              <w:t>113,2</w:t>
            </w:r>
          </w:p>
        </w:tc>
        <w:tc>
          <w:tcPr>
            <w:tcW w:w="291" w:type="pct"/>
            <w:tcBorders>
              <w:top w:val="nil"/>
              <w:bottom w:val="single" w:sz="12" w:space="0" w:color="auto"/>
            </w:tcBorders>
            <w:shd w:val="clear" w:color="auto" w:fill="auto"/>
            <w:noWrap/>
            <w:vAlign w:val="bottom"/>
            <w:hideMark/>
          </w:tcPr>
          <w:p w:rsidR="0021273B" w:rsidRPr="008D20A3" w:rsidRDefault="0021273B" w:rsidP="008D20A3">
            <w:pPr>
              <w:jc w:val="right"/>
              <w:rPr>
                <w:rFonts w:asciiTheme="majorBidi" w:hAnsiTheme="majorBidi" w:cstheme="majorBidi"/>
                <w:b/>
                <w:bCs/>
                <w:sz w:val="18"/>
                <w:szCs w:val="18"/>
              </w:rPr>
            </w:pPr>
            <w:r w:rsidRPr="008D20A3">
              <w:rPr>
                <w:rFonts w:asciiTheme="majorBidi" w:hAnsiTheme="majorBidi" w:cstheme="majorBidi"/>
                <w:b/>
                <w:bCs/>
                <w:sz w:val="18"/>
                <w:szCs w:val="18"/>
              </w:rPr>
              <w:t>113,1</w:t>
            </w:r>
          </w:p>
        </w:tc>
        <w:tc>
          <w:tcPr>
            <w:tcW w:w="291" w:type="pct"/>
            <w:tcBorders>
              <w:top w:val="nil"/>
              <w:bottom w:val="single" w:sz="12" w:space="0" w:color="auto"/>
            </w:tcBorders>
            <w:shd w:val="clear" w:color="auto" w:fill="auto"/>
            <w:noWrap/>
            <w:vAlign w:val="bottom"/>
            <w:hideMark/>
          </w:tcPr>
          <w:p w:rsidR="0021273B" w:rsidRPr="008D20A3" w:rsidRDefault="0021273B" w:rsidP="008D20A3">
            <w:pPr>
              <w:jc w:val="right"/>
              <w:rPr>
                <w:rFonts w:asciiTheme="majorBidi" w:hAnsiTheme="majorBidi" w:cstheme="majorBidi"/>
                <w:b/>
                <w:bCs/>
                <w:sz w:val="18"/>
                <w:szCs w:val="18"/>
              </w:rPr>
            </w:pPr>
            <w:r w:rsidRPr="008D20A3">
              <w:rPr>
                <w:rFonts w:asciiTheme="majorBidi" w:hAnsiTheme="majorBidi" w:cstheme="majorBidi"/>
                <w:b/>
                <w:bCs/>
                <w:sz w:val="18"/>
                <w:szCs w:val="18"/>
              </w:rPr>
              <w:t>113,3</w:t>
            </w:r>
          </w:p>
        </w:tc>
        <w:tc>
          <w:tcPr>
            <w:tcW w:w="291" w:type="pct"/>
            <w:tcBorders>
              <w:top w:val="nil"/>
              <w:bottom w:val="single" w:sz="12" w:space="0" w:color="auto"/>
            </w:tcBorders>
            <w:shd w:val="clear" w:color="auto" w:fill="auto"/>
            <w:noWrap/>
            <w:vAlign w:val="bottom"/>
            <w:hideMark/>
          </w:tcPr>
          <w:p w:rsidR="0021273B" w:rsidRPr="008D20A3" w:rsidRDefault="0021273B" w:rsidP="008D20A3">
            <w:pPr>
              <w:jc w:val="right"/>
              <w:rPr>
                <w:rFonts w:asciiTheme="majorBidi" w:hAnsiTheme="majorBidi" w:cstheme="majorBidi"/>
                <w:b/>
                <w:bCs/>
                <w:sz w:val="18"/>
                <w:szCs w:val="18"/>
              </w:rPr>
            </w:pPr>
            <w:r w:rsidRPr="008D20A3">
              <w:rPr>
                <w:rFonts w:asciiTheme="majorBidi" w:hAnsiTheme="majorBidi" w:cstheme="majorBidi"/>
                <w:b/>
                <w:bCs/>
                <w:sz w:val="18"/>
                <w:szCs w:val="18"/>
              </w:rPr>
              <w:t>113,3</w:t>
            </w:r>
          </w:p>
        </w:tc>
        <w:tc>
          <w:tcPr>
            <w:tcW w:w="299" w:type="pct"/>
            <w:tcBorders>
              <w:top w:val="nil"/>
              <w:bottom w:val="single" w:sz="12" w:space="0" w:color="auto"/>
            </w:tcBorders>
            <w:shd w:val="clear" w:color="auto" w:fill="auto"/>
            <w:noWrap/>
            <w:vAlign w:val="bottom"/>
            <w:hideMark/>
          </w:tcPr>
          <w:p w:rsidR="0021273B" w:rsidRPr="008D20A3" w:rsidRDefault="0021273B" w:rsidP="008D20A3">
            <w:pPr>
              <w:jc w:val="right"/>
              <w:rPr>
                <w:rFonts w:asciiTheme="majorBidi" w:hAnsiTheme="majorBidi" w:cstheme="majorBidi"/>
                <w:b/>
                <w:bCs/>
                <w:sz w:val="18"/>
                <w:szCs w:val="18"/>
              </w:rPr>
            </w:pPr>
            <w:r w:rsidRPr="008D20A3">
              <w:rPr>
                <w:rFonts w:asciiTheme="majorBidi" w:hAnsiTheme="majorBidi" w:cstheme="majorBidi"/>
                <w:b/>
                <w:bCs/>
                <w:sz w:val="18"/>
                <w:szCs w:val="18"/>
              </w:rPr>
              <w:t>113,3</w:t>
            </w:r>
          </w:p>
        </w:tc>
      </w:tr>
      <w:tr w:rsidR="0021273B" w:rsidRPr="00635FC5" w:rsidTr="004A7CCA">
        <w:trPr>
          <w:trHeight w:val="525"/>
        </w:trPr>
        <w:tc>
          <w:tcPr>
            <w:tcW w:w="1493" w:type="pct"/>
            <w:tcBorders>
              <w:top w:val="single" w:sz="12" w:space="0" w:color="auto"/>
              <w:bottom w:val="single" w:sz="12" w:space="0" w:color="000000" w:themeColor="text1"/>
            </w:tcBorders>
            <w:shd w:val="clear" w:color="000000" w:fill="C0C0C0"/>
            <w:noWrap/>
            <w:vAlign w:val="center"/>
            <w:hideMark/>
          </w:tcPr>
          <w:p w:rsidR="0021273B" w:rsidRPr="00635FC5" w:rsidRDefault="0021273B" w:rsidP="00635FC5">
            <w:pPr>
              <w:spacing w:after="0" w:line="240" w:lineRule="auto"/>
              <w:rPr>
                <w:rFonts w:ascii="Times New Roman" w:eastAsia="Times New Roman" w:hAnsi="Times New Roman" w:cs="Times New Roman"/>
                <w:b/>
                <w:bCs/>
                <w:sz w:val="20"/>
                <w:szCs w:val="20"/>
                <w:lang w:eastAsia="fr-FR"/>
              </w:rPr>
            </w:pPr>
            <w:r w:rsidRPr="00635FC5">
              <w:rPr>
                <w:rFonts w:ascii="Times New Roman" w:eastAsia="Times New Roman" w:hAnsi="Times New Roman" w:cs="Times New Roman"/>
                <w:b/>
                <w:bCs/>
                <w:sz w:val="20"/>
                <w:szCs w:val="20"/>
                <w:lang w:eastAsia="fr-FR"/>
              </w:rPr>
              <w:t>INDICE  GENERAL</w:t>
            </w:r>
          </w:p>
        </w:tc>
        <w:tc>
          <w:tcPr>
            <w:tcW w:w="291" w:type="pct"/>
            <w:tcBorders>
              <w:top w:val="single" w:sz="12" w:space="0" w:color="auto"/>
              <w:bottom w:val="single" w:sz="12" w:space="0" w:color="000000" w:themeColor="text1"/>
            </w:tcBorders>
            <w:shd w:val="clear" w:color="000000" w:fill="C0C0C0"/>
            <w:noWrap/>
            <w:vAlign w:val="bottom"/>
            <w:hideMark/>
          </w:tcPr>
          <w:p w:rsidR="0021273B" w:rsidRPr="0021273B" w:rsidRDefault="0021273B" w:rsidP="008D20A3">
            <w:pPr>
              <w:jc w:val="right"/>
              <w:rPr>
                <w:rFonts w:asciiTheme="majorBidi" w:hAnsiTheme="majorBidi" w:cstheme="majorBidi"/>
                <w:b/>
                <w:bCs/>
                <w:sz w:val="18"/>
                <w:szCs w:val="18"/>
              </w:rPr>
            </w:pPr>
            <w:r w:rsidRPr="0021273B">
              <w:rPr>
                <w:rFonts w:asciiTheme="majorBidi" w:hAnsiTheme="majorBidi" w:cstheme="majorBidi"/>
                <w:b/>
                <w:bCs/>
                <w:sz w:val="18"/>
                <w:szCs w:val="18"/>
              </w:rPr>
              <w:t>118,0</w:t>
            </w:r>
          </w:p>
        </w:tc>
        <w:tc>
          <w:tcPr>
            <w:tcW w:w="291" w:type="pct"/>
            <w:tcBorders>
              <w:top w:val="single" w:sz="12" w:space="0" w:color="auto"/>
              <w:bottom w:val="single" w:sz="12" w:space="0" w:color="000000" w:themeColor="text1"/>
            </w:tcBorders>
            <w:shd w:val="clear" w:color="000000" w:fill="C0C0C0"/>
            <w:noWrap/>
            <w:vAlign w:val="bottom"/>
            <w:hideMark/>
          </w:tcPr>
          <w:p w:rsidR="0021273B" w:rsidRPr="0021273B" w:rsidRDefault="0021273B" w:rsidP="008D20A3">
            <w:pPr>
              <w:jc w:val="right"/>
              <w:rPr>
                <w:rFonts w:asciiTheme="majorBidi" w:hAnsiTheme="majorBidi" w:cstheme="majorBidi"/>
                <w:b/>
                <w:bCs/>
                <w:sz w:val="18"/>
                <w:szCs w:val="18"/>
              </w:rPr>
            </w:pPr>
            <w:r w:rsidRPr="0021273B">
              <w:rPr>
                <w:rFonts w:asciiTheme="majorBidi" w:hAnsiTheme="majorBidi" w:cstheme="majorBidi"/>
                <w:b/>
                <w:bCs/>
                <w:sz w:val="18"/>
                <w:szCs w:val="18"/>
              </w:rPr>
              <w:t>118,2</w:t>
            </w:r>
          </w:p>
        </w:tc>
        <w:tc>
          <w:tcPr>
            <w:tcW w:w="294" w:type="pct"/>
            <w:tcBorders>
              <w:top w:val="single" w:sz="12" w:space="0" w:color="auto"/>
              <w:bottom w:val="single" w:sz="12" w:space="0" w:color="000000" w:themeColor="text1"/>
            </w:tcBorders>
            <w:shd w:val="clear" w:color="000000" w:fill="C0C0C0"/>
            <w:noWrap/>
            <w:vAlign w:val="bottom"/>
            <w:hideMark/>
          </w:tcPr>
          <w:p w:rsidR="0021273B" w:rsidRPr="0021273B" w:rsidRDefault="0021273B" w:rsidP="008D20A3">
            <w:pPr>
              <w:jc w:val="right"/>
              <w:rPr>
                <w:rFonts w:asciiTheme="majorBidi" w:hAnsiTheme="majorBidi" w:cstheme="majorBidi"/>
                <w:b/>
                <w:bCs/>
                <w:sz w:val="18"/>
                <w:szCs w:val="18"/>
              </w:rPr>
            </w:pPr>
            <w:r w:rsidRPr="0021273B">
              <w:rPr>
                <w:rFonts w:asciiTheme="majorBidi" w:hAnsiTheme="majorBidi" w:cstheme="majorBidi"/>
                <w:b/>
                <w:bCs/>
                <w:sz w:val="18"/>
                <w:szCs w:val="18"/>
              </w:rPr>
              <w:t>118,3</w:t>
            </w:r>
          </w:p>
        </w:tc>
        <w:tc>
          <w:tcPr>
            <w:tcW w:w="291" w:type="pct"/>
            <w:tcBorders>
              <w:top w:val="single" w:sz="12" w:space="0" w:color="auto"/>
              <w:bottom w:val="single" w:sz="12" w:space="0" w:color="000000" w:themeColor="text1"/>
            </w:tcBorders>
            <w:shd w:val="clear" w:color="000000" w:fill="C0C0C0"/>
            <w:noWrap/>
            <w:vAlign w:val="bottom"/>
            <w:hideMark/>
          </w:tcPr>
          <w:p w:rsidR="0021273B" w:rsidRPr="0021273B" w:rsidRDefault="0021273B" w:rsidP="008D20A3">
            <w:pPr>
              <w:jc w:val="right"/>
              <w:rPr>
                <w:rFonts w:asciiTheme="majorBidi" w:hAnsiTheme="majorBidi" w:cstheme="majorBidi"/>
                <w:b/>
                <w:bCs/>
                <w:sz w:val="18"/>
                <w:szCs w:val="18"/>
              </w:rPr>
            </w:pPr>
            <w:r w:rsidRPr="0021273B">
              <w:rPr>
                <w:rFonts w:asciiTheme="majorBidi" w:hAnsiTheme="majorBidi" w:cstheme="majorBidi"/>
                <w:b/>
                <w:bCs/>
                <w:sz w:val="18"/>
                <w:szCs w:val="18"/>
              </w:rPr>
              <w:t>118,4</w:t>
            </w:r>
          </w:p>
        </w:tc>
        <w:tc>
          <w:tcPr>
            <w:tcW w:w="291" w:type="pct"/>
            <w:tcBorders>
              <w:top w:val="single" w:sz="12" w:space="0" w:color="auto"/>
              <w:bottom w:val="single" w:sz="12" w:space="0" w:color="000000" w:themeColor="text1"/>
            </w:tcBorders>
            <w:shd w:val="clear" w:color="000000" w:fill="C0C0C0"/>
            <w:noWrap/>
            <w:vAlign w:val="bottom"/>
            <w:hideMark/>
          </w:tcPr>
          <w:p w:rsidR="0021273B" w:rsidRPr="0021273B" w:rsidRDefault="0021273B" w:rsidP="008D20A3">
            <w:pPr>
              <w:jc w:val="right"/>
              <w:rPr>
                <w:rFonts w:asciiTheme="majorBidi" w:hAnsiTheme="majorBidi" w:cstheme="majorBidi"/>
                <w:b/>
                <w:bCs/>
                <w:sz w:val="18"/>
                <w:szCs w:val="18"/>
              </w:rPr>
            </w:pPr>
            <w:r w:rsidRPr="0021273B">
              <w:rPr>
                <w:rFonts w:asciiTheme="majorBidi" w:hAnsiTheme="majorBidi" w:cstheme="majorBidi"/>
                <w:b/>
                <w:bCs/>
                <w:sz w:val="18"/>
                <w:szCs w:val="18"/>
              </w:rPr>
              <w:t>120,1</w:t>
            </w:r>
          </w:p>
        </w:tc>
        <w:tc>
          <w:tcPr>
            <w:tcW w:w="291" w:type="pct"/>
            <w:tcBorders>
              <w:top w:val="single" w:sz="12" w:space="0" w:color="auto"/>
              <w:bottom w:val="single" w:sz="12" w:space="0" w:color="000000" w:themeColor="text1"/>
            </w:tcBorders>
            <w:shd w:val="clear" w:color="000000" w:fill="C0C0C0"/>
            <w:noWrap/>
            <w:vAlign w:val="bottom"/>
            <w:hideMark/>
          </w:tcPr>
          <w:p w:rsidR="0021273B" w:rsidRPr="0021273B" w:rsidRDefault="0021273B" w:rsidP="008D20A3">
            <w:pPr>
              <w:jc w:val="right"/>
              <w:rPr>
                <w:rFonts w:asciiTheme="majorBidi" w:hAnsiTheme="majorBidi" w:cstheme="majorBidi"/>
                <w:b/>
                <w:bCs/>
                <w:sz w:val="18"/>
                <w:szCs w:val="18"/>
              </w:rPr>
            </w:pPr>
            <w:r w:rsidRPr="0021273B">
              <w:rPr>
                <w:rFonts w:asciiTheme="majorBidi" w:hAnsiTheme="majorBidi" w:cstheme="majorBidi"/>
                <w:b/>
                <w:bCs/>
                <w:sz w:val="18"/>
                <w:szCs w:val="18"/>
              </w:rPr>
              <w:t>119,8</w:t>
            </w:r>
          </w:p>
        </w:tc>
        <w:tc>
          <w:tcPr>
            <w:tcW w:w="291" w:type="pct"/>
            <w:tcBorders>
              <w:top w:val="single" w:sz="12" w:space="0" w:color="auto"/>
              <w:bottom w:val="single" w:sz="12" w:space="0" w:color="000000" w:themeColor="text1"/>
            </w:tcBorders>
            <w:shd w:val="clear" w:color="000000" w:fill="C0C0C0"/>
            <w:noWrap/>
            <w:vAlign w:val="bottom"/>
            <w:hideMark/>
          </w:tcPr>
          <w:p w:rsidR="0021273B" w:rsidRPr="0021273B" w:rsidRDefault="0021273B" w:rsidP="008D20A3">
            <w:pPr>
              <w:jc w:val="right"/>
              <w:rPr>
                <w:rFonts w:asciiTheme="majorBidi" w:hAnsiTheme="majorBidi" w:cstheme="majorBidi"/>
                <w:b/>
                <w:bCs/>
                <w:sz w:val="18"/>
                <w:szCs w:val="18"/>
              </w:rPr>
            </w:pPr>
            <w:r w:rsidRPr="0021273B">
              <w:rPr>
                <w:rFonts w:asciiTheme="majorBidi" w:hAnsiTheme="majorBidi" w:cstheme="majorBidi"/>
                <w:b/>
                <w:bCs/>
                <w:sz w:val="18"/>
                <w:szCs w:val="18"/>
              </w:rPr>
              <w:t>118,2</w:t>
            </w:r>
          </w:p>
        </w:tc>
        <w:tc>
          <w:tcPr>
            <w:tcW w:w="291" w:type="pct"/>
            <w:tcBorders>
              <w:top w:val="single" w:sz="12" w:space="0" w:color="auto"/>
              <w:bottom w:val="single" w:sz="12" w:space="0" w:color="000000" w:themeColor="text1"/>
            </w:tcBorders>
            <w:shd w:val="clear" w:color="000000" w:fill="C0C0C0"/>
            <w:noWrap/>
            <w:vAlign w:val="bottom"/>
            <w:hideMark/>
          </w:tcPr>
          <w:p w:rsidR="0021273B" w:rsidRPr="0021273B" w:rsidRDefault="0021273B" w:rsidP="008D20A3">
            <w:pPr>
              <w:jc w:val="right"/>
              <w:rPr>
                <w:rFonts w:asciiTheme="majorBidi" w:hAnsiTheme="majorBidi" w:cstheme="majorBidi"/>
                <w:b/>
                <w:bCs/>
                <w:sz w:val="18"/>
                <w:szCs w:val="18"/>
              </w:rPr>
            </w:pPr>
            <w:r w:rsidRPr="0021273B">
              <w:rPr>
                <w:rFonts w:asciiTheme="majorBidi" w:hAnsiTheme="majorBidi" w:cstheme="majorBidi"/>
                <w:b/>
                <w:bCs/>
                <w:sz w:val="18"/>
                <w:szCs w:val="18"/>
              </w:rPr>
              <w:t>118,9</w:t>
            </w:r>
          </w:p>
        </w:tc>
        <w:tc>
          <w:tcPr>
            <w:tcW w:w="291" w:type="pct"/>
            <w:tcBorders>
              <w:top w:val="single" w:sz="12" w:space="0" w:color="auto"/>
              <w:bottom w:val="single" w:sz="12" w:space="0" w:color="000000" w:themeColor="text1"/>
            </w:tcBorders>
            <w:shd w:val="clear" w:color="000000" w:fill="C0C0C0"/>
            <w:noWrap/>
            <w:vAlign w:val="bottom"/>
            <w:hideMark/>
          </w:tcPr>
          <w:p w:rsidR="0021273B" w:rsidRPr="0021273B" w:rsidRDefault="0021273B" w:rsidP="008D20A3">
            <w:pPr>
              <w:jc w:val="right"/>
              <w:rPr>
                <w:rFonts w:asciiTheme="majorBidi" w:hAnsiTheme="majorBidi" w:cstheme="majorBidi"/>
                <w:b/>
                <w:bCs/>
                <w:sz w:val="18"/>
                <w:szCs w:val="18"/>
              </w:rPr>
            </w:pPr>
            <w:r w:rsidRPr="0021273B">
              <w:rPr>
                <w:rFonts w:asciiTheme="majorBidi" w:hAnsiTheme="majorBidi" w:cstheme="majorBidi"/>
                <w:b/>
                <w:bCs/>
                <w:sz w:val="18"/>
                <w:szCs w:val="18"/>
              </w:rPr>
              <w:t>118,3</w:t>
            </w:r>
          </w:p>
        </w:tc>
        <w:tc>
          <w:tcPr>
            <w:tcW w:w="291" w:type="pct"/>
            <w:tcBorders>
              <w:top w:val="single" w:sz="12" w:space="0" w:color="auto"/>
              <w:bottom w:val="single" w:sz="12" w:space="0" w:color="000000" w:themeColor="text1"/>
            </w:tcBorders>
            <w:shd w:val="clear" w:color="000000" w:fill="C0C0C0"/>
            <w:noWrap/>
            <w:vAlign w:val="bottom"/>
            <w:hideMark/>
          </w:tcPr>
          <w:p w:rsidR="0021273B" w:rsidRPr="0021273B" w:rsidRDefault="0021273B" w:rsidP="008D20A3">
            <w:pPr>
              <w:jc w:val="right"/>
              <w:rPr>
                <w:rFonts w:asciiTheme="majorBidi" w:hAnsiTheme="majorBidi" w:cstheme="majorBidi"/>
                <w:b/>
                <w:bCs/>
                <w:sz w:val="18"/>
                <w:szCs w:val="18"/>
              </w:rPr>
            </w:pPr>
            <w:r w:rsidRPr="0021273B">
              <w:rPr>
                <w:rFonts w:asciiTheme="majorBidi" w:hAnsiTheme="majorBidi" w:cstheme="majorBidi"/>
                <w:b/>
                <w:bCs/>
                <w:sz w:val="18"/>
                <w:szCs w:val="18"/>
              </w:rPr>
              <w:t>118,3</w:t>
            </w:r>
          </w:p>
        </w:tc>
        <w:tc>
          <w:tcPr>
            <w:tcW w:w="291" w:type="pct"/>
            <w:tcBorders>
              <w:top w:val="single" w:sz="12" w:space="0" w:color="auto"/>
              <w:bottom w:val="single" w:sz="12" w:space="0" w:color="000000" w:themeColor="text1"/>
            </w:tcBorders>
            <w:shd w:val="clear" w:color="000000" w:fill="C0C0C0"/>
            <w:noWrap/>
            <w:vAlign w:val="bottom"/>
            <w:hideMark/>
          </w:tcPr>
          <w:p w:rsidR="0021273B" w:rsidRPr="0021273B" w:rsidRDefault="0021273B" w:rsidP="008D20A3">
            <w:pPr>
              <w:jc w:val="right"/>
              <w:rPr>
                <w:rFonts w:asciiTheme="majorBidi" w:hAnsiTheme="majorBidi" w:cstheme="majorBidi"/>
                <w:b/>
                <w:bCs/>
                <w:sz w:val="18"/>
                <w:szCs w:val="18"/>
              </w:rPr>
            </w:pPr>
            <w:r w:rsidRPr="0021273B">
              <w:rPr>
                <w:rFonts w:asciiTheme="majorBidi" w:hAnsiTheme="majorBidi" w:cstheme="majorBidi"/>
                <w:b/>
                <w:bCs/>
                <w:sz w:val="18"/>
                <w:szCs w:val="18"/>
              </w:rPr>
              <w:t>119,2</w:t>
            </w:r>
          </w:p>
        </w:tc>
        <w:tc>
          <w:tcPr>
            <w:tcW w:w="299" w:type="pct"/>
            <w:tcBorders>
              <w:top w:val="single" w:sz="12" w:space="0" w:color="auto"/>
              <w:bottom w:val="single" w:sz="12" w:space="0" w:color="000000" w:themeColor="text1"/>
            </w:tcBorders>
            <w:shd w:val="clear" w:color="000000" w:fill="C0C0C0"/>
            <w:noWrap/>
            <w:vAlign w:val="bottom"/>
            <w:hideMark/>
          </w:tcPr>
          <w:p w:rsidR="0021273B" w:rsidRPr="0021273B" w:rsidRDefault="0021273B" w:rsidP="008D20A3">
            <w:pPr>
              <w:jc w:val="right"/>
              <w:rPr>
                <w:rFonts w:asciiTheme="majorBidi" w:hAnsiTheme="majorBidi" w:cstheme="majorBidi"/>
                <w:b/>
                <w:bCs/>
                <w:sz w:val="18"/>
                <w:szCs w:val="18"/>
              </w:rPr>
            </w:pPr>
            <w:r w:rsidRPr="0021273B">
              <w:rPr>
                <w:rFonts w:asciiTheme="majorBidi" w:hAnsiTheme="majorBidi" w:cstheme="majorBidi"/>
                <w:b/>
                <w:bCs/>
                <w:sz w:val="18"/>
                <w:szCs w:val="18"/>
              </w:rPr>
              <w:t>119,2</w:t>
            </w:r>
          </w:p>
        </w:tc>
      </w:tr>
    </w:tbl>
    <w:p w:rsidR="004A7CCA" w:rsidRPr="00483003" w:rsidRDefault="004A7CCA" w:rsidP="004A7CCA">
      <w:pPr>
        <w:pStyle w:val="Lgende"/>
        <w:rPr>
          <w:rFonts w:ascii="Times New Roman" w:hAnsi="Times New Roman"/>
          <w:i/>
          <w:iCs/>
          <w:sz w:val="22"/>
        </w:rPr>
      </w:pPr>
      <w:r w:rsidRPr="00483003">
        <w:rPr>
          <w:rFonts w:ascii="Times New Roman" w:hAnsi="Times New Roman"/>
          <w:i/>
          <w:iCs/>
          <w:sz w:val="22"/>
        </w:rPr>
        <w:t>Source : HCP</w:t>
      </w:r>
    </w:p>
    <w:p w:rsidR="00DF65E2" w:rsidRDefault="00DF65E2" w:rsidP="00DF65E2">
      <w:pPr>
        <w:pStyle w:val="Lgende"/>
      </w:pPr>
    </w:p>
    <w:p w:rsidR="00635FC5" w:rsidRPr="00DF65E2" w:rsidRDefault="00DF65E2" w:rsidP="009755AE">
      <w:pPr>
        <w:pStyle w:val="Lgende"/>
        <w:rPr>
          <w:rFonts w:ascii="Times New Roman" w:hAnsi="Times New Roman" w:cstheme="majorBidi"/>
          <w:color w:val="548DD4" w:themeColor="text2" w:themeTint="99"/>
          <w:sz w:val="22"/>
          <w:szCs w:val="24"/>
        </w:rPr>
      </w:pPr>
      <w:bookmarkStart w:id="30" w:name="_Toc515274107"/>
      <w:r w:rsidRPr="00DF65E2">
        <w:rPr>
          <w:rFonts w:ascii="Times New Roman" w:hAnsi="Times New Roman"/>
          <w:sz w:val="22"/>
        </w:rPr>
        <w:lastRenderedPageBreak/>
        <w:t xml:space="preserve">Graphique </w:t>
      </w:r>
      <w:r w:rsidR="00DE78CE" w:rsidRPr="00DF65E2">
        <w:rPr>
          <w:rFonts w:ascii="Times New Roman" w:hAnsi="Times New Roman"/>
          <w:sz w:val="22"/>
        </w:rPr>
        <w:fldChar w:fldCharType="begin"/>
      </w:r>
      <w:r w:rsidRPr="00DF65E2">
        <w:rPr>
          <w:rFonts w:ascii="Times New Roman" w:hAnsi="Times New Roman"/>
          <w:sz w:val="22"/>
        </w:rPr>
        <w:instrText xml:space="preserve"> SEQ Graphique \* ARABIC </w:instrText>
      </w:r>
      <w:r w:rsidR="00DE78CE" w:rsidRPr="00DF65E2">
        <w:rPr>
          <w:rFonts w:ascii="Times New Roman" w:hAnsi="Times New Roman"/>
          <w:sz w:val="22"/>
        </w:rPr>
        <w:fldChar w:fldCharType="separate"/>
      </w:r>
      <w:r w:rsidR="00477549">
        <w:rPr>
          <w:rFonts w:ascii="Times New Roman" w:hAnsi="Times New Roman"/>
          <w:noProof/>
          <w:sz w:val="22"/>
        </w:rPr>
        <w:t>4</w:t>
      </w:r>
      <w:r w:rsidR="00DE78CE" w:rsidRPr="00DF65E2">
        <w:rPr>
          <w:rFonts w:ascii="Times New Roman" w:hAnsi="Times New Roman"/>
          <w:sz w:val="22"/>
        </w:rPr>
        <w:fldChar w:fldCharType="end"/>
      </w:r>
      <w:r>
        <w:rPr>
          <w:rFonts w:ascii="Times New Roman" w:hAnsi="Times New Roman"/>
          <w:sz w:val="22"/>
        </w:rPr>
        <w:t xml:space="preserve">: </w:t>
      </w:r>
      <w:r w:rsidR="004F39E8" w:rsidRPr="00DF65E2">
        <w:rPr>
          <w:rFonts w:ascii="Times New Roman" w:hAnsi="Times New Roman" w:cstheme="majorBidi"/>
          <w:bCs w:val="0"/>
          <w:color w:val="548DD4" w:themeColor="text2" w:themeTint="99"/>
          <w:sz w:val="22"/>
          <w:szCs w:val="24"/>
        </w:rPr>
        <w:t>Indices</w:t>
      </w:r>
      <w:r w:rsidR="004B1065">
        <w:rPr>
          <w:rFonts w:ascii="Times New Roman" w:hAnsi="Times New Roman" w:cstheme="majorBidi"/>
          <w:bCs w:val="0"/>
          <w:color w:val="548DD4" w:themeColor="text2" w:themeTint="99"/>
          <w:sz w:val="22"/>
          <w:szCs w:val="24"/>
        </w:rPr>
        <w:t> </w:t>
      </w:r>
      <w:r w:rsidR="009755AE">
        <w:rPr>
          <w:rFonts w:ascii="Times New Roman" w:hAnsi="Times New Roman" w:cstheme="majorBidi"/>
          <w:bCs w:val="0"/>
          <w:color w:val="548DD4" w:themeColor="text2" w:themeTint="99"/>
          <w:sz w:val="22"/>
          <w:szCs w:val="24"/>
        </w:rPr>
        <w:t xml:space="preserve"> G</w:t>
      </w:r>
      <w:r w:rsidR="004F39E8" w:rsidRPr="00DF65E2">
        <w:rPr>
          <w:rFonts w:ascii="Times New Roman" w:hAnsi="Times New Roman" w:cstheme="majorBidi"/>
          <w:bCs w:val="0"/>
          <w:color w:val="548DD4" w:themeColor="text2" w:themeTint="99"/>
          <w:sz w:val="22"/>
          <w:szCs w:val="24"/>
        </w:rPr>
        <w:t xml:space="preserve">énéral, </w:t>
      </w:r>
      <w:r w:rsidR="004B1065">
        <w:rPr>
          <w:rFonts w:ascii="Times New Roman" w:hAnsi="Times New Roman" w:cstheme="majorBidi"/>
          <w:bCs w:val="0"/>
          <w:color w:val="548DD4" w:themeColor="text2" w:themeTint="99"/>
          <w:sz w:val="22"/>
          <w:szCs w:val="24"/>
        </w:rPr>
        <w:t>a</w:t>
      </w:r>
      <w:r w:rsidR="004F39E8" w:rsidRPr="00DF65E2">
        <w:rPr>
          <w:rFonts w:ascii="Times New Roman" w:hAnsi="Times New Roman" w:cstheme="majorBidi"/>
          <w:bCs w:val="0"/>
          <w:color w:val="548DD4" w:themeColor="text2" w:themeTint="99"/>
          <w:sz w:val="22"/>
          <w:szCs w:val="24"/>
        </w:rPr>
        <w:t xml:space="preserve">limentaire et </w:t>
      </w:r>
      <w:r w:rsidR="004B1065">
        <w:rPr>
          <w:rFonts w:ascii="Times New Roman" w:hAnsi="Times New Roman" w:cstheme="majorBidi"/>
          <w:bCs w:val="0"/>
          <w:color w:val="548DD4" w:themeColor="text2" w:themeTint="99"/>
          <w:sz w:val="22"/>
          <w:szCs w:val="24"/>
        </w:rPr>
        <w:t>n</w:t>
      </w:r>
      <w:r w:rsidR="004F39E8" w:rsidRPr="00DF65E2">
        <w:rPr>
          <w:rFonts w:ascii="Times New Roman" w:hAnsi="Times New Roman" w:cstheme="majorBidi"/>
          <w:bCs w:val="0"/>
          <w:color w:val="548DD4" w:themeColor="text2" w:themeTint="99"/>
          <w:sz w:val="22"/>
          <w:szCs w:val="24"/>
        </w:rPr>
        <w:t xml:space="preserve">on alimentaire de la ville de </w:t>
      </w:r>
      <w:proofErr w:type="spellStart"/>
      <w:r w:rsidR="004B1065">
        <w:rPr>
          <w:rFonts w:ascii="Times New Roman" w:hAnsi="Times New Roman" w:cstheme="majorBidi"/>
          <w:bCs w:val="0"/>
          <w:color w:val="548DD4" w:themeColor="text2" w:themeTint="99"/>
          <w:sz w:val="22"/>
          <w:szCs w:val="24"/>
        </w:rPr>
        <w:t>K</w:t>
      </w:r>
      <w:r w:rsidR="004F39E8" w:rsidRPr="00DF65E2">
        <w:rPr>
          <w:rFonts w:ascii="Times New Roman" w:hAnsi="Times New Roman" w:cstheme="majorBidi"/>
          <w:bCs w:val="0"/>
          <w:color w:val="548DD4" w:themeColor="text2" w:themeTint="99"/>
          <w:sz w:val="22"/>
          <w:szCs w:val="24"/>
        </w:rPr>
        <w:t>énitra</w:t>
      </w:r>
      <w:proofErr w:type="spellEnd"/>
      <w:r w:rsidR="004F39E8" w:rsidRPr="00DF65E2">
        <w:rPr>
          <w:rFonts w:ascii="Times New Roman" w:hAnsi="Times New Roman" w:cstheme="majorBidi"/>
          <w:bCs w:val="0"/>
          <w:color w:val="548DD4" w:themeColor="text2" w:themeTint="99"/>
          <w:sz w:val="22"/>
          <w:szCs w:val="24"/>
        </w:rPr>
        <w:t xml:space="preserve"> - Année 201</w:t>
      </w:r>
      <w:r w:rsidR="008D20A3">
        <w:rPr>
          <w:rFonts w:ascii="Times New Roman" w:hAnsi="Times New Roman" w:cstheme="majorBidi"/>
          <w:bCs w:val="0"/>
          <w:color w:val="548DD4" w:themeColor="text2" w:themeTint="99"/>
          <w:sz w:val="22"/>
          <w:szCs w:val="24"/>
        </w:rPr>
        <w:t>9</w:t>
      </w:r>
      <w:r w:rsidR="004F39E8" w:rsidRPr="00DF65E2">
        <w:rPr>
          <w:rFonts w:ascii="Times New Roman" w:hAnsi="Times New Roman" w:cstheme="majorBidi"/>
          <w:bCs w:val="0"/>
          <w:color w:val="548DD4" w:themeColor="text2" w:themeTint="99"/>
          <w:sz w:val="22"/>
          <w:szCs w:val="24"/>
        </w:rPr>
        <w:t>-</w:t>
      </w:r>
      <w:bookmarkEnd w:id="30"/>
    </w:p>
    <w:p w:rsidR="006536C2" w:rsidRPr="007E04CF" w:rsidRDefault="008D20A3" w:rsidP="007E29B6">
      <w:pPr>
        <w:spacing w:before="240" w:after="0" w:line="240" w:lineRule="auto"/>
        <w:jc w:val="both"/>
        <w:rPr>
          <w:rFonts w:asciiTheme="majorBidi" w:hAnsiTheme="majorBidi" w:cstheme="majorBidi"/>
          <w:sz w:val="24"/>
          <w:szCs w:val="24"/>
        </w:rPr>
      </w:pPr>
      <w:r w:rsidRPr="008D20A3">
        <w:rPr>
          <w:rFonts w:asciiTheme="majorBidi" w:hAnsiTheme="majorBidi" w:cstheme="majorBidi"/>
          <w:noProof/>
          <w:sz w:val="24"/>
          <w:szCs w:val="24"/>
          <w:lang w:eastAsia="fr-FR"/>
        </w:rPr>
        <w:drawing>
          <wp:inline distT="0" distB="0" distL="0" distR="0">
            <wp:extent cx="5610226" cy="3895725"/>
            <wp:effectExtent l="19050" t="0" r="28574" b="0"/>
            <wp:docPr id="15"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83003" w:rsidRPr="00483003" w:rsidRDefault="00483003" w:rsidP="00483003">
      <w:pPr>
        <w:pStyle w:val="Lgende"/>
        <w:rPr>
          <w:rFonts w:ascii="Times New Roman" w:hAnsi="Times New Roman"/>
          <w:i/>
          <w:iCs/>
          <w:sz w:val="22"/>
        </w:rPr>
      </w:pPr>
      <w:r w:rsidRPr="00483003">
        <w:rPr>
          <w:rFonts w:ascii="Times New Roman" w:hAnsi="Times New Roman"/>
          <w:i/>
          <w:iCs/>
          <w:sz w:val="22"/>
        </w:rPr>
        <w:t>Source : HCP</w:t>
      </w:r>
    </w:p>
    <w:p w:rsidR="006F61F8" w:rsidRPr="004F39E8" w:rsidRDefault="006536C2" w:rsidP="008D20A3">
      <w:pPr>
        <w:pStyle w:val="Titre2"/>
        <w:rPr>
          <w:rFonts w:asciiTheme="majorBidi" w:hAnsiTheme="majorBidi"/>
          <w:color w:val="0070C0"/>
          <w:sz w:val="24"/>
          <w:szCs w:val="24"/>
        </w:rPr>
      </w:pPr>
      <w:bookmarkStart w:id="31" w:name="_Toc45551151"/>
      <w:r w:rsidRPr="004F39E8">
        <w:rPr>
          <w:rFonts w:asciiTheme="majorBidi" w:hAnsiTheme="majorBidi"/>
          <w:color w:val="0070C0"/>
        </w:rPr>
        <w:t>II</w:t>
      </w:r>
      <w:r w:rsidR="00586B08" w:rsidRPr="004F39E8">
        <w:rPr>
          <w:rFonts w:asciiTheme="majorBidi" w:hAnsiTheme="majorBidi"/>
          <w:color w:val="0070C0"/>
        </w:rPr>
        <w:t>I</w:t>
      </w:r>
      <w:r w:rsidR="006F61F8" w:rsidRPr="004F39E8">
        <w:rPr>
          <w:rFonts w:asciiTheme="majorBidi" w:hAnsiTheme="majorBidi"/>
          <w:color w:val="0070C0"/>
        </w:rPr>
        <w:t>-</w:t>
      </w:r>
      <w:r w:rsidRPr="004F39E8">
        <w:rPr>
          <w:rFonts w:asciiTheme="majorBidi" w:hAnsiTheme="majorBidi"/>
          <w:color w:val="0070C0"/>
        </w:rPr>
        <w:t>3</w:t>
      </w:r>
      <w:r w:rsidR="006F61F8" w:rsidRPr="004F39E8">
        <w:rPr>
          <w:rFonts w:asciiTheme="majorBidi" w:hAnsiTheme="majorBidi"/>
          <w:color w:val="0070C0"/>
        </w:rPr>
        <w:t xml:space="preserve"> Evolution de l’IPC par division, groupe et classe entre 201</w:t>
      </w:r>
      <w:r w:rsidR="008D20A3">
        <w:rPr>
          <w:rFonts w:asciiTheme="majorBidi" w:hAnsiTheme="majorBidi"/>
          <w:color w:val="0070C0"/>
        </w:rPr>
        <w:t>8</w:t>
      </w:r>
      <w:r w:rsidR="006F61F8" w:rsidRPr="004F39E8">
        <w:rPr>
          <w:rFonts w:asciiTheme="majorBidi" w:hAnsiTheme="majorBidi"/>
          <w:color w:val="0070C0"/>
        </w:rPr>
        <w:t xml:space="preserve"> et 201</w:t>
      </w:r>
      <w:r w:rsidR="008D20A3">
        <w:rPr>
          <w:rFonts w:asciiTheme="majorBidi" w:hAnsiTheme="majorBidi"/>
          <w:color w:val="0070C0"/>
        </w:rPr>
        <w:t>9</w:t>
      </w:r>
      <w:bookmarkEnd w:id="31"/>
    </w:p>
    <w:p w:rsidR="00364F79" w:rsidRDefault="00793797" w:rsidP="00BB3687">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Au terme de l’année 201</w:t>
      </w:r>
      <w:r w:rsidR="00BB3687">
        <w:rPr>
          <w:rFonts w:asciiTheme="majorBidi" w:hAnsiTheme="majorBidi" w:cstheme="majorBidi"/>
          <w:sz w:val="24"/>
          <w:szCs w:val="24"/>
        </w:rPr>
        <w:t>9</w:t>
      </w:r>
      <w:r>
        <w:rPr>
          <w:rFonts w:asciiTheme="majorBidi" w:hAnsiTheme="majorBidi" w:cstheme="majorBidi"/>
          <w:sz w:val="24"/>
          <w:szCs w:val="24"/>
        </w:rPr>
        <w:t>,</w:t>
      </w:r>
      <w:r w:rsidR="007E29B6">
        <w:rPr>
          <w:rFonts w:asciiTheme="majorBidi" w:hAnsiTheme="majorBidi" w:cstheme="majorBidi"/>
          <w:sz w:val="24"/>
          <w:szCs w:val="24"/>
        </w:rPr>
        <w:t xml:space="preserve"> l’IPC général de la ville de </w:t>
      </w:r>
      <w:proofErr w:type="spellStart"/>
      <w:r w:rsidR="007E29B6">
        <w:rPr>
          <w:rFonts w:asciiTheme="majorBidi" w:hAnsiTheme="majorBidi" w:cstheme="majorBidi"/>
          <w:sz w:val="24"/>
          <w:szCs w:val="24"/>
        </w:rPr>
        <w:t>Ké</w:t>
      </w:r>
      <w:r>
        <w:rPr>
          <w:rFonts w:asciiTheme="majorBidi" w:hAnsiTheme="majorBidi" w:cstheme="majorBidi"/>
          <w:sz w:val="24"/>
          <w:szCs w:val="24"/>
        </w:rPr>
        <w:t>nitra</w:t>
      </w:r>
      <w:proofErr w:type="spellEnd"/>
      <w:r>
        <w:rPr>
          <w:rFonts w:asciiTheme="majorBidi" w:hAnsiTheme="majorBidi" w:cstheme="majorBidi"/>
          <w:sz w:val="24"/>
          <w:szCs w:val="24"/>
        </w:rPr>
        <w:t xml:space="preserve"> a atteint le niveau</w:t>
      </w:r>
      <w:r w:rsidR="006C0B65">
        <w:rPr>
          <w:rFonts w:asciiTheme="majorBidi" w:hAnsiTheme="majorBidi" w:cstheme="majorBidi"/>
          <w:sz w:val="24"/>
          <w:szCs w:val="24"/>
        </w:rPr>
        <w:t xml:space="preserve"> moyen de </w:t>
      </w:r>
      <w:r>
        <w:rPr>
          <w:rFonts w:asciiTheme="majorBidi" w:hAnsiTheme="majorBidi" w:cstheme="majorBidi"/>
          <w:sz w:val="24"/>
          <w:szCs w:val="24"/>
        </w:rPr>
        <w:t xml:space="preserve"> 1</w:t>
      </w:r>
      <w:r w:rsidR="005131BA">
        <w:rPr>
          <w:rFonts w:asciiTheme="majorBidi" w:hAnsiTheme="majorBidi" w:cstheme="majorBidi"/>
          <w:sz w:val="24"/>
          <w:szCs w:val="24"/>
        </w:rPr>
        <w:t>1</w:t>
      </w:r>
      <w:r w:rsidR="00BB3687">
        <w:rPr>
          <w:rFonts w:asciiTheme="majorBidi" w:hAnsiTheme="majorBidi" w:cstheme="majorBidi"/>
          <w:sz w:val="24"/>
          <w:szCs w:val="24"/>
        </w:rPr>
        <w:t>8,7</w:t>
      </w:r>
      <w:r>
        <w:rPr>
          <w:rFonts w:asciiTheme="majorBidi" w:hAnsiTheme="majorBidi" w:cstheme="majorBidi"/>
          <w:sz w:val="24"/>
          <w:szCs w:val="24"/>
        </w:rPr>
        <w:t xml:space="preserve"> contre </w:t>
      </w:r>
      <w:r w:rsidR="00BB3687">
        <w:rPr>
          <w:rFonts w:asciiTheme="majorBidi" w:hAnsiTheme="majorBidi" w:cstheme="majorBidi"/>
          <w:sz w:val="24"/>
          <w:szCs w:val="24"/>
        </w:rPr>
        <w:t>118</w:t>
      </w:r>
      <w:r w:rsidR="00D02F59">
        <w:rPr>
          <w:rFonts w:asciiTheme="majorBidi" w:hAnsiTheme="majorBidi" w:cstheme="majorBidi"/>
          <w:sz w:val="24"/>
          <w:szCs w:val="24"/>
        </w:rPr>
        <w:t>,</w:t>
      </w:r>
      <w:r w:rsidR="00BB3687">
        <w:rPr>
          <w:rFonts w:asciiTheme="majorBidi" w:hAnsiTheme="majorBidi" w:cstheme="majorBidi"/>
          <w:sz w:val="24"/>
          <w:szCs w:val="24"/>
        </w:rPr>
        <w:t>5</w:t>
      </w:r>
      <w:r w:rsidR="005131BA">
        <w:rPr>
          <w:rFonts w:asciiTheme="majorBidi" w:hAnsiTheme="majorBidi" w:cstheme="majorBidi"/>
          <w:sz w:val="24"/>
          <w:szCs w:val="24"/>
        </w:rPr>
        <w:t xml:space="preserve"> </w:t>
      </w:r>
      <w:r>
        <w:rPr>
          <w:rFonts w:asciiTheme="majorBidi" w:hAnsiTheme="majorBidi" w:cstheme="majorBidi"/>
          <w:sz w:val="24"/>
          <w:szCs w:val="24"/>
        </w:rPr>
        <w:t xml:space="preserve"> en 201</w:t>
      </w:r>
      <w:r w:rsidR="00BB3687">
        <w:rPr>
          <w:rFonts w:asciiTheme="majorBidi" w:hAnsiTheme="majorBidi" w:cstheme="majorBidi"/>
          <w:sz w:val="24"/>
          <w:szCs w:val="24"/>
        </w:rPr>
        <w:t>8</w:t>
      </w:r>
      <w:r>
        <w:rPr>
          <w:rFonts w:asciiTheme="majorBidi" w:hAnsiTheme="majorBidi" w:cstheme="majorBidi"/>
          <w:sz w:val="24"/>
          <w:szCs w:val="24"/>
        </w:rPr>
        <w:t xml:space="preserve">, soit une hausse de </w:t>
      </w:r>
      <w:r w:rsidR="005131BA">
        <w:rPr>
          <w:rFonts w:asciiTheme="majorBidi" w:hAnsiTheme="majorBidi" w:cstheme="majorBidi"/>
          <w:sz w:val="24"/>
          <w:szCs w:val="24"/>
        </w:rPr>
        <w:t>0</w:t>
      </w:r>
      <w:r>
        <w:rPr>
          <w:rFonts w:asciiTheme="majorBidi" w:hAnsiTheme="majorBidi" w:cstheme="majorBidi"/>
          <w:sz w:val="24"/>
          <w:szCs w:val="24"/>
        </w:rPr>
        <w:t>,</w:t>
      </w:r>
      <w:r w:rsidR="00BB3687">
        <w:rPr>
          <w:rFonts w:asciiTheme="majorBidi" w:hAnsiTheme="majorBidi" w:cstheme="majorBidi"/>
          <w:sz w:val="24"/>
          <w:szCs w:val="24"/>
        </w:rPr>
        <w:t>2</w:t>
      </w:r>
      <w:r>
        <w:rPr>
          <w:rFonts w:asciiTheme="majorBidi" w:hAnsiTheme="majorBidi" w:cstheme="majorBidi"/>
          <w:sz w:val="24"/>
          <w:szCs w:val="24"/>
        </w:rPr>
        <w:t xml:space="preserve">% </w:t>
      </w:r>
      <w:r w:rsidR="00B77F31">
        <w:rPr>
          <w:rFonts w:asciiTheme="majorBidi" w:hAnsiTheme="majorBidi" w:cstheme="majorBidi"/>
          <w:sz w:val="24"/>
          <w:szCs w:val="24"/>
        </w:rPr>
        <w:t>contre</w:t>
      </w:r>
      <w:r w:rsidR="005131BA">
        <w:rPr>
          <w:rFonts w:asciiTheme="majorBidi" w:hAnsiTheme="majorBidi" w:cstheme="majorBidi"/>
          <w:sz w:val="24"/>
          <w:szCs w:val="24"/>
        </w:rPr>
        <w:t xml:space="preserve"> </w:t>
      </w:r>
      <w:r>
        <w:rPr>
          <w:rFonts w:asciiTheme="majorBidi" w:hAnsiTheme="majorBidi" w:cstheme="majorBidi"/>
          <w:sz w:val="24"/>
          <w:szCs w:val="24"/>
        </w:rPr>
        <w:t>0,</w:t>
      </w:r>
      <w:r w:rsidR="00BB3687">
        <w:rPr>
          <w:rFonts w:asciiTheme="majorBidi" w:hAnsiTheme="majorBidi" w:cstheme="majorBidi"/>
          <w:sz w:val="24"/>
          <w:szCs w:val="24"/>
        </w:rPr>
        <w:t>3</w:t>
      </w:r>
      <w:r w:rsidR="00B77F31">
        <w:rPr>
          <w:rFonts w:asciiTheme="majorBidi" w:hAnsiTheme="majorBidi" w:cstheme="majorBidi"/>
          <w:sz w:val="24"/>
          <w:szCs w:val="24"/>
        </w:rPr>
        <w:t>% pour  l’indice  national</w:t>
      </w:r>
      <w:r>
        <w:rPr>
          <w:rFonts w:asciiTheme="majorBidi" w:hAnsiTheme="majorBidi" w:cstheme="majorBidi"/>
          <w:sz w:val="24"/>
          <w:szCs w:val="24"/>
        </w:rPr>
        <w:t xml:space="preserve"> entre ces deux dates.</w:t>
      </w:r>
    </w:p>
    <w:p w:rsidR="00731117" w:rsidRDefault="00731117" w:rsidP="00BB3687">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Ce niveau d’inflation se traduit par la </w:t>
      </w:r>
      <w:r w:rsidR="005131BA">
        <w:rPr>
          <w:rFonts w:asciiTheme="majorBidi" w:hAnsiTheme="majorBidi" w:cstheme="majorBidi"/>
          <w:sz w:val="24"/>
          <w:szCs w:val="24"/>
        </w:rPr>
        <w:t>bai</w:t>
      </w:r>
      <w:r>
        <w:rPr>
          <w:rFonts w:asciiTheme="majorBidi" w:hAnsiTheme="majorBidi" w:cstheme="majorBidi"/>
          <w:sz w:val="24"/>
          <w:szCs w:val="24"/>
        </w:rPr>
        <w:t>sse de l’indice des produits alimentaire</w:t>
      </w:r>
      <w:r w:rsidR="00304496">
        <w:rPr>
          <w:rFonts w:asciiTheme="majorBidi" w:hAnsiTheme="majorBidi" w:cstheme="majorBidi"/>
          <w:sz w:val="24"/>
          <w:szCs w:val="24"/>
        </w:rPr>
        <w:t>s</w:t>
      </w:r>
      <w:r>
        <w:rPr>
          <w:rFonts w:asciiTheme="majorBidi" w:hAnsiTheme="majorBidi" w:cstheme="majorBidi"/>
          <w:sz w:val="24"/>
          <w:szCs w:val="24"/>
        </w:rPr>
        <w:t xml:space="preserve"> de </w:t>
      </w:r>
      <w:r w:rsidR="005131BA">
        <w:rPr>
          <w:rFonts w:asciiTheme="majorBidi" w:hAnsiTheme="majorBidi" w:cstheme="majorBidi"/>
          <w:sz w:val="24"/>
          <w:szCs w:val="24"/>
        </w:rPr>
        <w:t>0</w:t>
      </w:r>
      <w:r>
        <w:rPr>
          <w:rFonts w:asciiTheme="majorBidi" w:hAnsiTheme="majorBidi" w:cstheme="majorBidi"/>
          <w:sz w:val="24"/>
          <w:szCs w:val="24"/>
        </w:rPr>
        <w:t>,</w:t>
      </w:r>
      <w:r w:rsidR="00BB3687">
        <w:rPr>
          <w:rFonts w:asciiTheme="majorBidi" w:hAnsiTheme="majorBidi" w:cstheme="majorBidi"/>
          <w:sz w:val="24"/>
          <w:szCs w:val="24"/>
        </w:rPr>
        <w:t>2</w:t>
      </w:r>
      <w:r>
        <w:rPr>
          <w:rFonts w:asciiTheme="majorBidi" w:hAnsiTheme="majorBidi" w:cstheme="majorBidi"/>
          <w:sz w:val="24"/>
          <w:szCs w:val="24"/>
        </w:rPr>
        <w:t xml:space="preserve">% et </w:t>
      </w:r>
      <w:r w:rsidR="005131BA">
        <w:rPr>
          <w:rFonts w:asciiTheme="majorBidi" w:hAnsiTheme="majorBidi" w:cstheme="majorBidi"/>
          <w:sz w:val="24"/>
          <w:szCs w:val="24"/>
        </w:rPr>
        <w:t xml:space="preserve">la hausse de </w:t>
      </w:r>
      <w:r>
        <w:rPr>
          <w:rFonts w:asciiTheme="majorBidi" w:hAnsiTheme="majorBidi" w:cstheme="majorBidi"/>
          <w:sz w:val="24"/>
          <w:szCs w:val="24"/>
        </w:rPr>
        <w:t xml:space="preserve">celui des produits non alimentaires de </w:t>
      </w:r>
      <w:r w:rsidR="00BB3687">
        <w:rPr>
          <w:rFonts w:asciiTheme="majorBidi" w:hAnsiTheme="majorBidi" w:cstheme="majorBidi"/>
          <w:sz w:val="24"/>
          <w:szCs w:val="24"/>
        </w:rPr>
        <w:t>0</w:t>
      </w:r>
      <w:r w:rsidR="005131BA">
        <w:rPr>
          <w:rFonts w:asciiTheme="majorBidi" w:hAnsiTheme="majorBidi" w:cstheme="majorBidi"/>
          <w:sz w:val="24"/>
          <w:szCs w:val="24"/>
        </w:rPr>
        <w:t>,</w:t>
      </w:r>
      <w:r w:rsidR="00BB3687">
        <w:rPr>
          <w:rFonts w:asciiTheme="majorBidi" w:hAnsiTheme="majorBidi" w:cstheme="majorBidi"/>
          <w:sz w:val="24"/>
          <w:szCs w:val="24"/>
        </w:rPr>
        <w:t>5</w:t>
      </w:r>
      <w:r>
        <w:rPr>
          <w:rFonts w:asciiTheme="majorBidi" w:hAnsiTheme="majorBidi" w:cstheme="majorBidi"/>
          <w:sz w:val="24"/>
          <w:szCs w:val="24"/>
        </w:rPr>
        <w:t>%.</w:t>
      </w:r>
    </w:p>
    <w:p w:rsidR="00BB3687" w:rsidRDefault="00BB3687" w:rsidP="007E29B6">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Parmi les douze divisions de l’indice, huit d’entre elles ont connu des hausses de prix entre 2018 et 2019, notamment les </w:t>
      </w:r>
      <w:r w:rsidR="00764ECF">
        <w:rPr>
          <w:rFonts w:asciiTheme="majorBidi" w:hAnsiTheme="majorBidi" w:cstheme="majorBidi"/>
          <w:sz w:val="24"/>
          <w:szCs w:val="24"/>
        </w:rPr>
        <w:t>"B</w:t>
      </w:r>
      <w:r>
        <w:rPr>
          <w:rFonts w:asciiTheme="majorBidi" w:hAnsiTheme="majorBidi" w:cstheme="majorBidi"/>
          <w:sz w:val="24"/>
          <w:szCs w:val="24"/>
        </w:rPr>
        <w:t xml:space="preserve">oissons </w:t>
      </w:r>
      <w:r w:rsidR="007E29B6">
        <w:rPr>
          <w:rFonts w:asciiTheme="majorBidi" w:hAnsiTheme="majorBidi" w:cstheme="majorBidi"/>
          <w:sz w:val="24"/>
          <w:szCs w:val="24"/>
        </w:rPr>
        <w:t>A</w:t>
      </w:r>
      <w:r>
        <w:rPr>
          <w:rFonts w:asciiTheme="majorBidi" w:hAnsiTheme="majorBidi" w:cstheme="majorBidi"/>
          <w:sz w:val="24"/>
          <w:szCs w:val="24"/>
        </w:rPr>
        <w:t xml:space="preserve">lcoolisées, </w:t>
      </w:r>
      <w:r w:rsidR="007E29B6">
        <w:rPr>
          <w:rFonts w:asciiTheme="majorBidi" w:hAnsiTheme="majorBidi" w:cstheme="majorBidi"/>
          <w:sz w:val="24"/>
          <w:szCs w:val="24"/>
        </w:rPr>
        <w:t>T</w:t>
      </w:r>
      <w:r>
        <w:rPr>
          <w:rFonts w:asciiTheme="majorBidi" w:hAnsiTheme="majorBidi" w:cstheme="majorBidi"/>
          <w:sz w:val="24"/>
          <w:szCs w:val="24"/>
        </w:rPr>
        <w:t xml:space="preserve">abac et </w:t>
      </w:r>
      <w:r w:rsidR="007E29B6">
        <w:rPr>
          <w:rFonts w:asciiTheme="majorBidi" w:hAnsiTheme="majorBidi" w:cstheme="majorBidi"/>
          <w:sz w:val="24"/>
          <w:szCs w:val="24"/>
        </w:rPr>
        <w:t>S</w:t>
      </w:r>
      <w:r>
        <w:rPr>
          <w:rFonts w:asciiTheme="majorBidi" w:hAnsiTheme="majorBidi" w:cstheme="majorBidi"/>
          <w:sz w:val="24"/>
          <w:szCs w:val="24"/>
        </w:rPr>
        <w:t>tupéfiants</w:t>
      </w:r>
      <w:r w:rsidR="00764ECF">
        <w:rPr>
          <w:rFonts w:asciiTheme="majorBidi" w:hAnsiTheme="majorBidi" w:cstheme="majorBidi"/>
          <w:sz w:val="24"/>
          <w:szCs w:val="24"/>
        </w:rPr>
        <w:t>"</w:t>
      </w:r>
      <w:r>
        <w:rPr>
          <w:rFonts w:asciiTheme="majorBidi" w:hAnsiTheme="majorBidi" w:cstheme="majorBidi"/>
          <w:sz w:val="24"/>
          <w:szCs w:val="24"/>
        </w:rPr>
        <w:t xml:space="preserve"> avec </w:t>
      </w:r>
      <w:r w:rsidR="00F84A22">
        <w:rPr>
          <w:rFonts w:asciiTheme="majorBidi" w:hAnsiTheme="majorBidi" w:cstheme="majorBidi"/>
          <w:sz w:val="24"/>
          <w:szCs w:val="24"/>
        </w:rPr>
        <w:t xml:space="preserve">une variation de leur indice de l’ordre de </w:t>
      </w:r>
      <w:r>
        <w:rPr>
          <w:rFonts w:asciiTheme="majorBidi" w:hAnsiTheme="majorBidi" w:cstheme="majorBidi"/>
          <w:sz w:val="24"/>
          <w:szCs w:val="24"/>
        </w:rPr>
        <w:t xml:space="preserve">15,2%, les </w:t>
      </w:r>
      <w:r w:rsidR="00764ECF">
        <w:rPr>
          <w:rFonts w:asciiTheme="majorBidi" w:hAnsiTheme="majorBidi" w:cstheme="majorBidi"/>
          <w:sz w:val="24"/>
          <w:szCs w:val="24"/>
        </w:rPr>
        <w:t>"</w:t>
      </w:r>
      <w:r>
        <w:rPr>
          <w:rFonts w:asciiTheme="majorBidi" w:hAnsiTheme="majorBidi" w:cstheme="majorBidi"/>
          <w:sz w:val="24"/>
          <w:szCs w:val="24"/>
        </w:rPr>
        <w:t>Communications</w:t>
      </w:r>
      <w:r w:rsidR="00764ECF">
        <w:rPr>
          <w:rFonts w:asciiTheme="majorBidi" w:hAnsiTheme="majorBidi" w:cstheme="majorBidi"/>
          <w:sz w:val="24"/>
          <w:szCs w:val="24"/>
        </w:rPr>
        <w:t>"</w:t>
      </w:r>
      <w:r>
        <w:rPr>
          <w:rFonts w:asciiTheme="majorBidi" w:hAnsiTheme="majorBidi" w:cstheme="majorBidi"/>
          <w:sz w:val="24"/>
          <w:szCs w:val="24"/>
        </w:rPr>
        <w:t xml:space="preserve"> avec 2,3%, </w:t>
      </w:r>
      <w:r w:rsidR="00764ECF">
        <w:rPr>
          <w:rFonts w:asciiTheme="majorBidi" w:hAnsiTheme="majorBidi" w:cstheme="majorBidi"/>
          <w:sz w:val="24"/>
          <w:szCs w:val="24"/>
        </w:rPr>
        <w:t>"</w:t>
      </w:r>
      <w:r>
        <w:rPr>
          <w:rFonts w:asciiTheme="majorBidi" w:hAnsiTheme="majorBidi" w:cstheme="majorBidi"/>
          <w:sz w:val="24"/>
          <w:szCs w:val="24"/>
        </w:rPr>
        <w:t>l’Enseignement</w:t>
      </w:r>
      <w:r w:rsidR="00764ECF">
        <w:rPr>
          <w:rFonts w:asciiTheme="majorBidi" w:hAnsiTheme="majorBidi" w:cstheme="majorBidi"/>
          <w:sz w:val="24"/>
          <w:szCs w:val="24"/>
        </w:rPr>
        <w:t>"</w:t>
      </w:r>
      <w:r>
        <w:rPr>
          <w:rFonts w:asciiTheme="majorBidi" w:hAnsiTheme="majorBidi" w:cstheme="majorBidi"/>
          <w:sz w:val="24"/>
          <w:szCs w:val="24"/>
        </w:rPr>
        <w:t xml:space="preserve"> avec 2,1% et </w:t>
      </w:r>
      <w:r w:rsidR="00764ECF">
        <w:rPr>
          <w:rFonts w:asciiTheme="majorBidi" w:hAnsiTheme="majorBidi" w:cstheme="majorBidi"/>
          <w:sz w:val="24"/>
          <w:szCs w:val="24"/>
        </w:rPr>
        <w:t>"</w:t>
      </w:r>
      <w:r>
        <w:rPr>
          <w:rFonts w:asciiTheme="majorBidi" w:hAnsiTheme="majorBidi" w:cstheme="majorBidi"/>
          <w:sz w:val="24"/>
          <w:szCs w:val="24"/>
        </w:rPr>
        <w:t>Restaurants et Hôtels</w:t>
      </w:r>
      <w:r w:rsidR="00764ECF">
        <w:rPr>
          <w:rFonts w:asciiTheme="majorBidi" w:hAnsiTheme="majorBidi" w:cstheme="majorBidi"/>
          <w:sz w:val="24"/>
          <w:szCs w:val="24"/>
        </w:rPr>
        <w:t>"</w:t>
      </w:r>
      <w:r>
        <w:rPr>
          <w:rFonts w:asciiTheme="majorBidi" w:hAnsiTheme="majorBidi" w:cstheme="majorBidi"/>
          <w:sz w:val="24"/>
          <w:szCs w:val="24"/>
        </w:rPr>
        <w:t xml:space="preserve"> avec 2%, tandis que les divisions concernées par la baisse sont les </w:t>
      </w:r>
      <w:r w:rsidR="00EB06FB">
        <w:rPr>
          <w:rFonts w:asciiTheme="majorBidi" w:hAnsiTheme="majorBidi" w:cstheme="majorBidi"/>
          <w:sz w:val="24"/>
          <w:szCs w:val="24"/>
        </w:rPr>
        <w:t>"</w:t>
      </w:r>
      <w:r>
        <w:rPr>
          <w:rFonts w:asciiTheme="majorBidi" w:hAnsiTheme="majorBidi" w:cstheme="majorBidi"/>
          <w:sz w:val="24"/>
          <w:szCs w:val="24"/>
        </w:rPr>
        <w:t>Produits alimentaires et Boissons non alcoolisées</w:t>
      </w:r>
      <w:r w:rsidR="00EB06FB">
        <w:rPr>
          <w:rFonts w:asciiTheme="majorBidi" w:hAnsiTheme="majorBidi" w:cstheme="majorBidi"/>
          <w:sz w:val="24"/>
          <w:szCs w:val="24"/>
        </w:rPr>
        <w:t>"</w:t>
      </w:r>
      <w:r>
        <w:rPr>
          <w:rFonts w:asciiTheme="majorBidi" w:hAnsiTheme="majorBidi" w:cstheme="majorBidi"/>
          <w:sz w:val="24"/>
          <w:szCs w:val="24"/>
        </w:rPr>
        <w:t xml:space="preserve"> avec </w:t>
      </w:r>
      <w:r w:rsidR="007E29B6">
        <w:rPr>
          <w:rFonts w:asciiTheme="majorBidi" w:hAnsiTheme="majorBidi" w:cstheme="majorBidi"/>
          <w:sz w:val="24"/>
          <w:szCs w:val="24"/>
        </w:rPr>
        <w:t>(</w:t>
      </w:r>
      <w:r>
        <w:rPr>
          <w:rFonts w:asciiTheme="majorBidi" w:hAnsiTheme="majorBidi" w:cstheme="majorBidi"/>
          <w:sz w:val="24"/>
          <w:szCs w:val="24"/>
        </w:rPr>
        <w:t>-0,9%</w:t>
      </w:r>
      <w:r w:rsidR="007E29B6">
        <w:rPr>
          <w:rFonts w:asciiTheme="majorBidi" w:hAnsiTheme="majorBidi" w:cstheme="majorBidi"/>
          <w:sz w:val="24"/>
          <w:szCs w:val="24"/>
        </w:rPr>
        <w:t>)</w:t>
      </w:r>
      <w:r>
        <w:rPr>
          <w:rFonts w:asciiTheme="majorBidi" w:hAnsiTheme="majorBidi" w:cstheme="majorBidi"/>
          <w:sz w:val="24"/>
          <w:szCs w:val="24"/>
        </w:rPr>
        <w:t xml:space="preserve">, les </w:t>
      </w:r>
      <w:r w:rsidR="00EB06FB">
        <w:rPr>
          <w:rFonts w:asciiTheme="majorBidi" w:hAnsiTheme="majorBidi" w:cstheme="majorBidi"/>
          <w:sz w:val="24"/>
          <w:szCs w:val="24"/>
        </w:rPr>
        <w:t>"</w:t>
      </w:r>
      <w:r>
        <w:rPr>
          <w:rFonts w:asciiTheme="majorBidi" w:hAnsiTheme="majorBidi" w:cstheme="majorBidi"/>
          <w:sz w:val="24"/>
          <w:szCs w:val="24"/>
        </w:rPr>
        <w:t>Meubles et articles de ménage et entretien courant d</w:t>
      </w:r>
      <w:r w:rsidR="00F84A22">
        <w:rPr>
          <w:rFonts w:asciiTheme="majorBidi" w:hAnsiTheme="majorBidi" w:cstheme="majorBidi"/>
          <w:sz w:val="24"/>
          <w:szCs w:val="24"/>
        </w:rPr>
        <w:t>u foyer</w:t>
      </w:r>
      <w:r w:rsidR="00EB06FB">
        <w:rPr>
          <w:rFonts w:asciiTheme="majorBidi" w:hAnsiTheme="majorBidi" w:cstheme="majorBidi"/>
          <w:sz w:val="24"/>
          <w:szCs w:val="24"/>
        </w:rPr>
        <w:t>"</w:t>
      </w:r>
      <w:r w:rsidR="00F84A22">
        <w:rPr>
          <w:rFonts w:asciiTheme="majorBidi" w:hAnsiTheme="majorBidi" w:cstheme="majorBidi"/>
          <w:sz w:val="24"/>
          <w:szCs w:val="24"/>
        </w:rPr>
        <w:t xml:space="preserve"> avec </w:t>
      </w:r>
      <w:r w:rsidR="007E29B6">
        <w:rPr>
          <w:rFonts w:asciiTheme="majorBidi" w:hAnsiTheme="majorBidi" w:cstheme="majorBidi"/>
          <w:sz w:val="24"/>
          <w:szCs w:val="24"/>
        </w:rPr>
        <w:t>(</w:t>
      </w:r>
      <w:r w:rsidR="00875351">
        <w:rPr>
          <w:rFonts w:asciiTheme="majorBidi" w:hAnsiTheme="majorBidi" w:cstheme="majorBidi"/>
          <w:sz w:val="24"/>
          <w:szCs w:val="24"/>
        </w:rPr>
        <w:t>-2,2%</w:t>
      </w:r>
      <w:r w:rsidR="007E29B6">
        <w:rPr>
          <w:rFonts w:asciiTheme="majorBidi" w:hAnsiTheme="majorBidi" w:cstheme="majorBidi"/>
          <w:sz w:val="24"/>
          <w:szCs w:val="24"/>
        </w:rPr>
        <w:t>)</w:t>
      </w:r>
      <w:r w:rsidR="00875351">
        <w:rPr>
          <w:rFonts w:asciiTheme="majorBidi" w:hAnsiTheme="majorBidi" w:cstheme="majorBidi"/>
          <w:sz w:val="24"/>
          <w:szCs w:val="24"/>
        </w:rPr>
        <w:t xml:space="preserve">, la Santé avec </w:t>
      </w:r>
      <w:r w:rsidR="007E29B6">
        <w:rPr>
          <w:rFonts w:asciiTheme="majorBidi" w:hAnsiTheme="majorBidi" w:cstheme="majorBidi"/>
          <w:sz w:val="24"/>
          <w:szCs w:val="24"/>
        </w:rPr>
        <w:t>(</w:t>
      </w:r>
      <w:r w:rsidR="00875351">
        <w:rPr>
          <w:rFonts w:asciiTheme="majorBidi" w:hAnsiTheme="majorBidi" w:cstheme="majorBidi"/>
          <w:sz w:val="24"/>
          <w:szCs w:val="24"/>
        </w:rPr>
        <w:t>-0,1%</w:t>
      </w:r>
      <w:r w:rsidR="007E29B6">
        <w:rPr>
          <w:rFonts w:asciiTheme="majorBidi" w:hAnsiTheme="majorBidi" w:cstheme="majorBidi"/>
          <w:sz w:val="24"/>
          <w:szCs w:val="24"/>
        </w:rPr>
        <w:t>)</w:t>
      </w:r>
      <w:r w:rsidR="00875351">
        <w:rPr>
          <w:rFonts w:asciiTheme="majorBidi" w:hAnsiTheme="majorBidi" w:cstheme="majorBidi"/>
          <w:sz w:val="24"/>
          <w:szCs w:val="24"/>
        </w:rPr>
        <w:t xml:space="preserve"> et les </w:t>
      </w:r>
      <w:r w:rsidR="00EB06FB">
        <w:rPr>
          <w:rFonts w:asciiTheme="majorBidi" w:hAnsiTheme="majorBidi" w:cstheme="majorBidi"/>
          <w:sz w:val="24"/>
          <w:szCs w:val="24"/>
        </w:rPr>
        <w:t>"</w:t>
      </w:r>
      <w:r w:rsidR="00875351">
        <w:rPr>
          <w:rFonts w:asciiTheme="majorBidi" w:hAnsiTheme="majorBidi" w:cstheme="majorBidi"/>
          <w:sz w:val="24"/>
          <w:szCs w:val="24"/>
        </w:rPr>
        <w:t>Transports</w:t>
      </w:r>
      <w:r w:rsidR="00EB06FB">
        <w:rPr>
          <w:rFonts w:asciiTheme="majorBidi" w:hAnsiTheme="majorBidi" w:cstheme="majorBidi"/>
          <w:sz w:val="24"/>
          <w:szCs w:val="24"/>
        </w:rPr>
        <w:t>"</w:t>
      </w:r>
      <w:r w:rsidR="00875351">
        <w:rPr>
          <w:rFonts w:asciiTheme="majorBidi" w:hAnsiTheme="majorBidi" w:cstheme="majorBidi"/>
          <w:sz w:val="24"/>
          <w:szCs w:val="24"/>
        </w:rPr>
        <w:t xml:space="preserve"> avec </w:t>
      </w:r>
      <w:r w:rsidR="00F84A22">
        <w:rPr>
          <w:rFonts w:asciiTheme="majorBidi" w:hAnsiTheme="majorBidi" w:cstheme="majorBidi"/>
          <w:sz w:val="24"/>
          <w:szCs w:val="24"/>
        </w:rPr>
        <w:t xml:space="preserve">   </w:t>
      </w:r>
      <w:r w:rsidR="007E29B6">
        <w:rPr>
          <w:rFonts w:asciiTheme="majorBidi" w:hAnsiTheme="majorBidi" w:cstheme="majorBidi"/>
          <w:sz w:val="24"/>
          <w:szCs w:val="24"/>
        </w:rPr>
        <w:t>(</w:t>
      </w:r>
      <w:r w:rsidR="00F84A22">
        <w:rPr>
          <w:rFonts w:asciiTheme="majorBidi" w:hAnsiTheme="majorBidi" w:cstheme="majorBidi"/>
          <w:sz w:val="24"/>
          <w:szCs w:val="24"/>
        </w:rPr>
        <w:t>-</w:t>
      </w:r>
      <w:r w:rsidR="00875351">
        <w:rPr>
          <w:rFonts w:asciiTheme="majorBidi" w:hAnsiTheme="majorBidi" w:cstheme="majorBidi"/>
          <w:sz w:val="24"/>
          <w:szCs w:val="24"/>
        </w:rPr>
        <w:t>0,3%</w:t>
      </w:r>
      <w:r w:rsidR="007E29B6">
        <w:rPr>
          <w:rFonts w:asciiTheme="majorBidi" w:hAnsiTheme="majorBidi" w:cstheme="majorBidi"/>
          <w:sz w:val="24"/>
          <w:szCs w:val="24"/>
        </w:rPr>
        <w:t>)</w:t>
      </w:r>
      <w:r w:rsidR="00875351">
        <w:rPr>
          <w:rFonts w:asciiTheme="majorBidi" w:hAnsiTheme="majorBidi" w:cstheme="majorBidi"/>
          <w:sz w:val="24"/>
          <w:szCs w:val="24"/>
        </w:rPr>
        <w:t>.</w:t>
      </w:r>
    </w:p>
    <w:p w:rsidR="008B74DA" w:rsidRDefault="008B74DA">
      <w:pPr>
        <w:rPr>
          <w:rFonts w:asciiTheme="majorBidi" w:hAnsiTheme="majorBidi" w:cstheme="majorBidi"/>
          <w:b/>
          <w:bCs/>
          <w:color w:val="4F81BD" w:themeColor="accent1"/>
        </w:rPr>
      </w:pPr>
      <w:r>
        <w:rPr>
          <w:rFonts w:asciiTheme="majorBidi" w:hAnsiTheme="majorBidi" w:cstheme="majorBidi"/>
        </w:rPr>
        <w:br w:type="page"/>
      </w:r>
    </w:p>
    <w:p w:rsidR="007E2973" w:rsidRPr="00181E8D" w:rsidRDefault="00DF65E2" w:rsidP="00FA1553">
      <w:pPr>
        <w:pStyle w:val="Lgende"/>
        <w:rPr>
          <w:rFonts w:asciiTheme="majorBidi" w:eastAsia="Times New Roman" w:hAnsiTheme="majorBidi" w:cstheme="majorBidi"/>
          <w:sz w:val="22"/>
          <w:szCs w:val="22"/>
          <w:lang w:eastAsia="fr-FR"/>
        </w:rPr>
      </w:pPr>
      <w:bookmarkStart w:id="32" w:name="_Toc54261208"/>
      <w:r w:rsidRPr="00181E8D">
        <w:rPr>
          <w:rFonts w:asciiTheme="majorBidi" w:hAnsiTheme="majorBidi" w:cstheme="majorBidi"/>
          <w:sz w:val="22"/>
          <w:szCs w:val="22"/>
        </w:rPr>
        <w:lastRenderedPageBreak/>
        <w:t xml:space="preserve">Tableau </w:t>
      </w:r>
      <w:r w:rsidR="00DE78CE" w:rsidRPr="00181E8D">
        <w:rPr>
          <w:rFonts w:asciiTheme="majorBidi" w:hAnsiTheme="majorBidi" w:cstheme="majorBidi"/>
          <w:sz w:val="22"/>
          <w:szCs w:val="22"/>
        </w:rPr>
        <w:fldChar w:fldCharType="begin"/>
      </w:r>
      <w:r w:rsidRPr="00181E8D">
        <w:rPr>
          <w:rFonts w:asciiTheme="majorBidi" w:hAnsiTheme="majorBidi" w:cstheme="majorBidi"/>
          <w:sz w:val="22"/>
          <w:szCs w:val="22"/>
        </w:rPr>
        <w:instrText xml:space="preserve"> SEQ Tableau \* ARABIC </w:instrText>
      </w:r>
      <w:r w:rsidR="00DE78CE" w:rsidRPr="00181E8D">
        <w:rPr>
          <w:rFonts w:asciiTheme="majorBidi" w:hAnsiTheme="majorBidi" w:cstheme="majorBidi"/>
          <w:sz w:val="22"/>
          <w:szCs w:val="22"/>
        </w:rPr>
        <w:fldChar w:fldCharType="separate"/>
      </w:r>
      <w:r w:rsidR="00477549">
        <w:rPr>
          <w:rFonts w:asciiTheme="majorBidi" w:hAnsiTheme="majorBidi" w:cstheme="majorBidi"/>
          <w:noProof/>
          <w:sz w:val="22"/>
          <w:szCs w:val="22"/>
        </w:rPr>
        <w:t>6</w:t>
      </w:r>
      <w:r w:rsidR="00DE78CE" w:rsidRPr="00181E8D">
        <w:rPr>
          <w:rFonts w:asciiTheme="majorBidi" w:hAnsiTheme="majorBidi" w:cstheme="majorBidi"/>
          <w:sz w:val="22"/>
          <w:szCs w:val="22"/>
        </w:rPr>
        <w:fldChar w:fldCharType="end"/>
      </w:r>
      <w:r w:rsidRPr="00181E8D">
        <w:rPr>
          <w:rFonts w:asciiTheme="majorBidi" w:hAnsiTheme="majorBidi" w:cstheme="majorBidi"/>
          <w:sz w:val="22"/>
          <w:szCs w:val="22"/>
        </w:rPr>
        <w:t xml:space="preserve"> : </w:t>
      </w:r>
      <w:r w:rsidR="007E2973" w:rsidRPr="00181E8D">
        <w:rPr>
          <w:rFonts w:asciiTheme="majorBidi" w:eastAsia="Times New Roman" w:hAnsiTheme="majorBidi" w:cstheme="majorBidi"/>
          <w:sz w:val="22"/>
          <w:szCs w:val="22"/>
          <w:lang w:eastAsia="fr-FR"/>
        </w:rPr>
        <w:t>Evolution de l'IPC (Base 100: 2006) par division entre 201</w:t>
      </w:r>
      <w:r w:rsidR="00FA1553">
        <w:rPr>
          <w:rFonts w:asciiTheme="majorBidi" w:eastAsia="Times New Roman" w:hAnsiTheme="majorBidi" w:cstheme="majorBidi"/>
          <w:sz w:val="22"/>
          <w:szCs w:val="22"/>
          <w:lang w:eastAsia="fr-FR"/>
        </w:rPr>
        <w:t>8</w:t>
      </w:r>
      <w:r w:rsidR="007E2973" w:rsidRPr="00181E8D">
        <w:rPr>
          <w:rFonts w:asciiTheme="majorBidi" w:eastAsia="Times New Roman" w:hAnsiTheme="majorBidi" w:cstheme="majorBidi"/>
          <w:sz w:val="22"/>
          <w:szCs w:val="22"/>
          <w:lang w:eastAsia="fr-FR"/>
        </w:rPr>
        <w:t xml:space="preserve"> et 201</w:t>
      </w:r>
      <w:r w:rsidR="00FA1553">
        <w:rPr>
          <w:rFonts w:asciiTheme="majorBidi" w:eastAsia="Times New Roman" w:hAnsiTheme="majorBidi" w:cstheme="majorBidi"/>
          <w:sz w:val="22"/>
          <w:szCs w:val="22"/>
          <w:lang w:eastAsia="fr-FR"/>
        </w:rPr>
        <w:t>9</w:t>
      </w:r>
      <w:bookmarkEnd w:id="32"/>
    </w:p>
    <w:tbl>
      <w:tblPr>
        <w:tblW w:w="5000" w:type="pct"/>
        <w:tblCellMar>
          <w:left w:w="70" w:type="dxa"/>
          <w:right w:w="70" w:type="dxa"/>
        </w:tblCellMar>
        <w:tblLook w:val="04A0"/>
      </w:tblPr>
      <w:tblGrid>
        <w:gridCol w:w="4339"/>
        <w:gridCol w:w="850"/>
        <w:gridCol w:w="849"/>
        <w:gridCol w:w="954"/>
        <w:gridCol w:w="761"/>
        <w:gridCol w:w="761"/>
        <w:gridCol w:w="840"/>
      </w:tblGrid>
      <w:tr w:rsidR="00654B5D" w:rsidRPr="00654B5D" w:rsidTr="008D20A3">
        <w:trPr>
          <w:trHeight w:val="375"/>
        </w:trPr>
        <w:tc>
          <w:tcPr>
            <w:tcW w:w="2319" w:type="pct"/>
            <w:vMerge w:val="restart"/>
            <w:tcBorders>
              <w:top w:val="single" w:sz="12" w:space="0" w:color="auto"/>
              <w:left w:val="nil"/>
              <w:bottom w:val="single" w:sz="8" w:space="0" w:color="000000"/>
              <w:right w:val="nil"/>
            </w:tcBorders>
            <w:shd w:val="clear" w:color="000000" w:fill="A5A5A5"/>
            <w:noWrap/>
            <w:vAlign w:val="center"/>
            <w:hideMark/>
          </w:tcPr>
          <w:p w:rsidR="00654B5D" w:rsidRPr="00654B5D" w:rsidRDefault="00654B5D" w:rsidP="00654B5D">
            <w:pPr>
              <w:spacing w:after="0" w:line="240" w:lineRule="auto"/>
              <w:jc w:val="center"/>
              <w:rPr>
                <w:rFonts w:ascii="Times New Roman" w:eastAsia="Times New Roman" w:hAnsi="Times New Roman" w:cs="Times New Roman"/>
                <w:b/>
                <w:bCs/>
                <w:lang w:eastAsia="fr-FR"/>
              </w:rPr>
            </w:pPr>
            <w:r w:rsidRPr="00654B5D">
              <w:rPr>
                <w:rFonts w:ascii="Times New Roman" w:eastAsia="Times New Roman" w:hAnsi="Times New Roman" w:cs="Times New Roman"/>
                <w:b/>
                <w:bCs/>
                <w:lang w:eastAsia="fr-FR"/>
              </w:rPr>
              <w:t>INDICE PAR DIVISION</w:t>
            </w:r>
          </w:p>
        </w:tc>
        <w:tc>
          <w:tcPr>
            <w:tcW w:w="1418" w:type="pct"/>
            <w:gridSpan w:val="3"/>
            <w:tcBorders>
              <w:top w:val="single" w:sz="12" w:space="0" w:color="auto"/>
              <w:left w:val="nil"/>
              <w:bottom w:val="single" w:sz="12" w:space="0" w:color="auto"/>
              <w:right w:val="nil"/>
            </w:tcBorders>
            <w:shd w:val="clear" w:color="000000" w:fill="A5A5A5"/>
            <w:noWrap/>
            <w:vAlign w:val="bottom"/>
            <w:hideMark/>
          </w:tcPr>
          <w:p w:rsidR="00654B5D" w:rsidRPr="00654B5D" w:rsidRDefault="00654B5D" w:rsidP="00654B5D">
            <w:pPr>
              <w:spacing w:after="0" w:line="240" w:lineRule="auto"/>
              <w:jc w:val="center"/>
              <w:rPr>
                <w:rFonts w:ascii="Times New Roman" w:eastAsia="Times New Roman" w:hAnsi="Times New Roman" w:cs="Times New Roman"/>
                <w:b/>
                <w:bCs/>
                <w:color w:val="000000"/>
                <w:lang w:eastAsia="fr-FR"/>
              </w:rPr>
            </w:pPr>
            <w:r w:rsidRPr="00654B5D">
              <w:rPr>
                <w:rFonts w:ascii="Times New Roman" w:eastAsia="Times New Roman" w:hAnsi="Times New Roman" w:cs="Times New Roman"/>
                <w:b/>
                <w:bCs/>
                <w:color w:val="000000"/>
                <w:lang w:eastAsia="fr-FR"/>
              </w:rPr>
              <w:t>KENITRA</w:t>
            </w:r>
          </w:p>
        </w:tc>
        <w:tc>
          <w:tcPr>
            <w:tcW w:w="1263" w:type="pct"/>
            <w:gridSpan w:val="3"/>
            <w:tcBorders>
              <w:top w:val="single" w:sz="12" w:space="0" w:color="auto"/>
              <w:left w:val="nil"/>
              <w:bottom w:val="single" w:sz="12" w:space="0" w:color="auto"/>
              <w:right w:val="nil"/>
            </w:tcBorders>
            <w:shd w:val="clear" w:color="000000" w:fill="A5A5A5"/>
            <w:noWrap/>
            <w:vAlign w:val="bottom"/>
            <w:hideMark/>
          </w:tcPr>
          <w:p w:rsidR="00654B5D" w:rsidRPr="00654B5D" w:rsidRDefault="00654B5D" w:rsidP="00654B5D">
            <w:pPr>
              <w:spacing w:after="0" w:line="240" w:lineRule="auto"/>
              <w:jc w:val="center"/>
              <w:rPr>
                <w:rFonts w:ascii="Times New Roman" w:eastAsia="Times New Roman" w:hAnsi="Times New Roman" w:cs="Times New Roman"/>
                <w:b/>
                <w:bCs/>
                <w:color w:val="000000"/>
                <w:lang w:eastAsia="fr-FR"/>
              </w:rPr>
            </w:pPr>
            <w:r w:rsidRPr="00654B5D">
              <w:rPr>
                <w:rFonts w:ascii="Times New Roman" w:eastAsia="Times New Roman" w:hAnsi="Times New Roman" w:cs="Times New Roman"/>
                <w:b/>
                <w:bCs/>
                <w:color w:val="000000"/>
                <w:lang w:eastAsia="fr-FR"/>
              </w:rPr>
              <w:t>MAROC</w:t>
            </w:r>
          </w:p>
        </w:tc>
      </w:tr>
      <w:tr w:rsidR="00654B5D" w:rsidRPr="00654B5D" w:rsidTr="000E1F3F">
        <w:trPr>
          <w:trHeight w:val="585"/>
        </w:trPr>
        <w:tc>
          <w:tcPr>
            <w:tcW w:w="2319" w:type="pct"/>
            <w:vMerge/>
            <w:tcBorders>
              <w:top w:val="single" w:sz="8" w:space="0" w:color="auto"/>
              <w:left w:val="nil"/>
              <w:bottom w:val="single" w:sz="12" w:space="0" w:color="auto"/>
              <w:right w:val="nil"/>
            </w:tcBorders>
            <w:vAlign w:val="center"/>
            <w:hideMark/>
          </w:tcPr>
          <w:p w:rsidR="00654B5D" w:rsidRPr="00654B5D" w:rsidRDefault="00654B5D" w:rsidP="00654B5D">
            <w:pPr>
              <w:spacing w:after="0" w:line="240" w:lineRule="auto"/>
              <w:rPr>
                <w:rFonts w:ascii="Times New Roman" w:eastAsia="Times New Roman" w:hAnsi="Times New Roman" w:cs="Times New Roman"/>
                <w:b/>
                <w:bCs/>
                <w:lang w:eastAsia="fr-FR"/>
              </w:rPr>
            </w:pPr>
          </w:p>
        </w:tc>
        <w:tc>
          <w:tcPr>
            <w:tcW w:w="454" w:type="pct"/>
            <w:tcBorders>
              <w:top w:val="single" w:sz="12" w:space="0" w:color="auto"/>
              <w:left w:val="nil"/>
              <w:bottom w:val="single" w:sz="12" w:space="0" w:color="auto"/>
              <w:right w:val="nil"/>
            </w:tcBorders>
            <w:shd w:val="clear" w:color="000000" w:fill="A5A5A5"/>
            <w:noWrap/>
            <w:vAlign w:val="center"/>
            <w:hideMark/>
          </w:tcPr>
          <w:p w:rsidR="00654B5D" w:rsidRPr="00654B5D" w:rsidRDefault="00FA1553" w:rsidP="00654B5D">
            <w:pPr>
              <w:spacing w:after="0" w:line="240" w:lineRule="auto"/>
              <w:jc w:val="center"/>
              <w:rPr>
                <w:rFonts w:ascii="Times New Roman" w:eastAsia="Times New Roman" w:hAnsi="Times New Roman" w:cs="Times New Roman"/>
                <w:b/>
                <w:bCs/>
                <w:lang w:eastAsia="fr-FR"/>
              </w:rPr>
            </w:pPr>
            <w:r>
              <w:rPr>
                <w:rFonts w:ascii="Times New Roman" w:eastAsia="Times New Roman" w:hAnsi="Times New Roman" w:cs="Times New Roman"/>
                <w:b/>
                <w:bCs/>
                <w:lang w:eastAsia="fr-FR"/>
              </w:rPr>
              <w:t>2018</w:t>
            </w:r>
          </w:p>
        </w:tc>
        <w:tc>
          <w:tcPr>
            <w:tcW w:w="454" w:type="pct"/>
            <w:tcBorders>
              <w:top w:val="single" w:sz="12" w:space="0" w:color="auto"/>
              <w:left w:val="nil"/>
              <w:bottom w:val="single" w:sz="12" w:space="0" w:color="auto"/>
              <w:right w:val="nil"/>
            </w:tcBorders>
            <w:shd w:val="clear" w:color="000000" w:fill="A5A5A5"/>
            <w:noWrap/>
            <w:vAlign w:val="center"/>
            <w:hideMark/>
          </w:tcPr>
          <w:p w:rsidR="00654B5D" w:rsidRPr="00654B5D" w:rsidRDefault="00654B5D" w:rsidP="00FA1553">
            <w:pPr>
              <w:spacing w:after="0" w:line="240" w:lineRule="auto"/>
              <w:jc w:val="center"/>
              <w:rPr>
                <w:rFonts w:ascii="Times New Roman" w:eastAsia="Times New Roman" w:hAnsi="Times New Roman" w:cs="Times New Roman"/>
                <w:b/>
                <w:bCs/>
                <w:lang w:eastAsia="fr-FR"/>
              </w:rPr>
            </w:pPr>
            <w:r w:rsidRPr="00654B5D">
              <w:rPr>
                <w:rFonts w:ascii="Times New Roman" w:eastAsia="Times New Roman" w:hAnsi="Times New Roman" w:cs="Times New Roman"/>
                <w:b/>
                <w:bCs/>
                <w:lang w:eastAsia="fr-FR"/>
              </w:rPr>
              <w:t>201</w:t>
            </w:r>
            <w:r w:rsidR="00FA1553">
              <w:rPr>
                <w:rFonts w:ascii="Times New Roman" w:eastAsia="Times New Roman" w:hAnsi="Times New Roman" w:cs="Times New Roman"/>
                <w:b/>
                <w:bCs/>
                <w:lang w:eastAsia="fr-FR"/>
              </w:rPr>
              <w:t>9</w:t>
            </w:r>
          </w:p>
        </w:tc>
        <w:tc>
          <w:tcPr>
            <w:tcW w:w="510" w:type="pct"/>
            <w:tcBorders>
              <w:top w:val="single" w:sz="12" w:space="0" w:color="auto"/>
              <w:left w:val="nil"/>
              <w:bottom w:val="single" w:sz="12" w:space="0" w:color="auto"/>
              <w:right w:val="nil"/>
            </w:tcBorders>
            <w:shd w:val="clear" w:color="000000" w:fill="A5A5A5"/>
            <w:vAlign w:val="center"/>
            <w:hideMark/>
          </w:tcPr>
          <w:p w:rsidR="00654B5D" w:rsidRPr="00654B5D" w:rsidRDefault="00654B5D" w:rsidP="00654B5D">
            <w:pPr>
              <w:spacing w:after="0" w:line="240" w:lineRule="auto"/>
              <w:jc w:val="center"/>
              <w:rPr>
                <w:rFonts w:ascii="Times New Roman" w:eastAsia="Times New Roman" w:hAnsi="Times New Roman" w:cs="Times New Roman"/>
                <w:b/>
                <w:bCs/>
                <w:lang w:eastAsia="fr-FR"/>
              </w:rPr>
            </w:pPr>
            <w:r w:rsidRPr="00654B5D">
              <w:rPr>
                <w:rFonts w:ascii="Times New Roman" w:eastAsia="Times New Roman" w:hAnsi="Times New Roman" w:cs="Times New Roman"/>
                <w:b/>
                <w:bCs/>
                <w:lang w:eastAsia="fr-FR"/>
              </w:rPr>
              <w:t xml:space="preserve">   var (%)                                                                                   </w:t>
            </w:r>
          </w:p>
        </w:tc>
        <w:tc>
          <w:tcPr>
            <w:tcW w:w="407" w:type="pct"/>
            <w:tcBorders>
              <w:top w:val="single" w:sz="12" w:space="0" w:color="auto"/>
              <w:left w:val="nil"/>
              <w:bottom w:val="single" w:sz="12" w:space="0" w:color="auto"/>
              <w:right w:val="nil"/>
            </w:tcBorders>
            <w:shd w:val="clear" w:color="000000" w:fill="A5A5A5"/>
            <w:noWrap/>
            <w:vAlign w:val="center"/>
            <w:hideMark/>
          </w:tcPr>
          <w:p w:rsidR="00654B5D" w:rsidRPr="00654B5D" w:rsidRDefault="00654B5D" w:rsidP="00FA1553">
            <w:pPr>
              <w:spacing w:after="0" w:line="240" w:lineRule="auto"/>
              <w:jc w:val="center"/>
              <w:rPr>
                <w:rFonts w:ascii="Times New Roman" w:eastAsia="Times New Roman" w:hAnsi="Times New Roman" w:cs="Times New Roman"/>
                <w:b/>
                <w:bCs/>
                <w:lang w:eastAsia="fr-FR"/>
              </w:rPr>
            </w:pPr>
            <w:r w:rsidRPr="00654B5D">
              <w:rPr>
                <w:rFonts w:ascii="Times New Roman" w:eastAsia="Times New Roman" w:hAnsi="Times New Roman" w:cs="Times New Roman"/>
                <w:b/>
                <w:bCs/>
                <w:lang w:eastAsia="fr-FR"/>
              </w:rPr>
              <w:t>201</w:t>
            </w:r>
            <w:r w:rsidR="00FA1553">
              <w:rPr>
                <w:rFonts w:ascii="Times New Roman" w:eastAsia="Times New Roman" w:hAnsi="Times New Roman" w:cs="Times New Roman"/>
                <w:b/>
                <w:bCs/>
                <w:lang w:eastAsia="fr-FR"/>
              </w:rPr>
              <w:t>8</w:t>
            </w:r>
          </w:p>
        </w:tc>
        <w:tc>
          <w:tcPr>
            <w:tcW w:w="407" w:type="pct"/>
            <w:tcBorders>
              <w:top w:val="single" w:sz="12" w:space="0" w:color="auto"/>
              <w:left w:val="nil"/>
              <w:bottom w:val="single" w:sz="12" w:space="0" w:color="auto"/>
              <w:right w:val="nil"/>
            </w:tcBorders>
            <w:shd w:val="clear" w:color="000000" w:fill="A5A5A5"/>
            <w:noWrap/>
            <w:vAlign w:val="center"/>
            <w:hideMark/>
          </w:tcPr>
          <w:p w:rsidR="00654B5D" w:rsidRPr="00654B5D" w:rsidRDefault="00654B5D" w:rsidP="00FA1553">
            <w:pPr>
              <w:spacing w:after="0" w:line="240" w:lineRule="auto"/>
              <w:jc w:val="center"/>
              <w:rPr>
                <w:rFonts w:ascii="Times New Roman" w:eastAsia="Times New Roman" w:hAnsi="Times New Roman" w:cs="Times New Roman"/>
                <w:b/>
                <w:bCs/>
                <w:lang w:eastAsia="fr-FR"/>
              </w:rPr>
            </w:pPr>
            <w:r w:rsidRPr="00654B5D">
              <w:rPr>
                <w:rFonts w:ascii="Times New Roman" w:eastAsia="Times New Roman" w:hAnsi="Times New Roman" w:cs="Times New Roman"/>
                <w:b/>
                <w:bCs/>
                <w:lang w:eastAsia="fr-FR"/>
              </w:rPr>
              <w:t>201</w:t>
            </w:r>
            <w:r w:rsidR="00FA1553">
              <w:rPr>
                <w:rFonts w:ascii="Times New Roman" w:eastAsia="Times New Roman" w:hAnsi="Times New Roman" w:cs="Times New Roman"/>
                <w:b/>
                <w:bCs/>
                <w:lang w:eastAsia="fr-FR"/>
              </w:rPr>
              <w:t>9</w:t>
            </w:r>
          </w:p>
        </w:tc>
        <w:tc>
          <w:tcPr>
            <w:tcW w:w="449" w:type="pct"/>
            <w:tcBorders>
              <w:top w:val="single" w:sz="12" w:space="0" w:color="auto"/>
              <w:left w:val="nil"/>
              <w:bottom w:val="single" w:sz="12" w:space="0" w:color="auto"/>
              <w:right w:val="nil"/>
            </w:tcBorders>
            <w:shd w:val="clear" w:color="000000" w:fill="A5A5A5"/>
            <w:vAlign w:val="center"/>
            <w:hideMark/>
          </w:tcPr>
          <w:p w:rsidR="00654B5D" w:rsidRPr="00654B5D" w:rsidRDefault="00654B5D" w:rsidP="00654B5D">
            <w:pPr>
              <w:spacing w:after="0" w:line="240" w:lineRule="auto"/>
              <w:jc w:val="center"/>
              <w:rPr>
                <w:rFonts w:ascii="Times New Roman" w:eastAsia="Times New Roman" w:hAnsi="Times New Roman" w:cs="Times New Roman"/>
                <w:b/>
                <w:bCs/>
                <w:lang w:eastAsia="fr-FR"/>
              </w:rPr>
            </w:pPr>
            <w:r w:rsidRPr="00654B5D">
              <w:rPr>
                <w:rFonts w:ascii="Times New Roman" w:eastAsia="Times New Roman" w:hAnsi="Times New Roman" w:cs="Times New Roman"/>
                <w:b/>
                <w:bCs/>
                <w:lang w:eastAsia="fr-FR"/>
              </w:rPr>
              <w:t xml:space="preserve">   var (%)                                                                                   </w:t>
            </w:r>
          </w:p>
        </w:tc>
      </w:tr>
      <w:tr w:rsidR="008D20A3" w:rsidRPr="003C5404" w:rsidTr="000E1F3F">
        <w:trPr>
          <w:trHeight w:val="465"/>
        </w:trPr>
        <w:tc>
          <w:tcPr>
            <w:tcW w:w="2319" w:type="pct"/>
            <w:tcBorders>
              <w:top w:val="single" w:sz="12" w:space="0" w:color="auto"/>
              <w:left w:val="nil"/>
              <w:bottom w:val="nil"/>
              <w:right w:val="nil"/>
            </w:tcBorders>
            <w:shd w:val="clear" w:color="auto" w:fill="auto"/>
            <w:vAlign w:val="center"/>
            <w:hideMark/>
          </w:tcPr>
          <w:p w:rsidR="008D20A3" w:rsidRPr="003C5404" w:rsidRDefault="008D20A3" w:rsidP="008E4BB9">
            <w:pPr>
              <w:spacing w:after="0" w:line="240" w:lineRule="auto"/>
              <w:rPr>
                <w:rFonts w:ascii="Times New Roman" w:eastAsia="Times New Roman" w:hAnsi="Times New Roman" w:cs="Times New Roman"/>
                <w:sz w:val="18"/>
                <w:szCs w:val="18"/>
                <w:lang w:eastAsia="fr-FR"/>
              </w:rPr>
            </w:pPr>
            <w:r w:rsidRPr="003C5404">
              <w:rPr>
                <w:rFonts w:ascii="Times New Roman" w:eastAsia="Times New Roman" w:hAnsi="Times New Roman" w:cs="Times New Roman"/>
                <w:sz w:val="18"/>
                <w:szCs w:val="18"/>
                <w:lang w:eastAsia="fr-FR"/>
              </w:rPr>
              <w:t>01. PRODUITS ALIMENTAIRES ET BOISSONS NON ALCOOLISÉES</w:t>
            </w:r>
          </w:p>
        </w:tc>
        <w:tc>
          <w:tcPr>
            <w:tcW w:w="454" w:type="pct"/>
            <w:tcBorders>
              <w:top w:val="single" w:sz="12" w:space="0" w:color="auto"/>
              <w:left w:val="nil"/>
              <w:bottom w:val="nil"/>
              <w:right w:val="nil"/>
            </w:tcBorders>
            <w:shd w:val="clear" w:color="auto" w:fill="auto"/>
            <w:noWrap/>
            <w:vAlign w:val="center"/>
            <w:hideMark/>
          </w:tcPr>
          <w:p w:rsidR="008D20A3" w:rsidRPr="003C5404" w:rsidRDefault="008D20A3">
            <w:pPr>
              <w:jc w:val="right"/>
              <w:rPr>
                <w:rFonts w:asciiTheme="majorBidi" w:hAnsiTheme="majorBidi" w:cstheme="majorBidi"/>
                <w:sz w:val="24"/>
                <w:szCs w:val="24"/>
                <w:vertAlign w:val="subscript"/>
              </w:rPr>
            </w:pPr>
            <w:r w:rsidRPr="003C5404">
              <w:rPr>
                <w:rFonts w:asciiTheme="majorBidi" w:hAnsiTheme="majorBidi" w:cstheme="majorBidi"/>
                <w:sz w:val="24"/>
                <w:szCs w:val="24"/>
                <w:vertAlign w:val="subscript"/>
              </w:rPr>
              <w:t>127,0</w:t>
            </w:r>
          </w:p>
        </w:tc>
        <w:tc>
          <w:tcPr>
            <w:tcW w:w="454" w:type="pct"/>
            <w:tcBorders>
              <w:top w:val="single" w:sz="12" w:space="0" w:color="auto"/>
              <w:left w:val="nil"/>
              <w:bottom w:val="nil"/>
              <w:right w:val="nil"/>
            </w:tcBorders>
            <w:shd w:val="clear" w:color="auto" w:fill="auto"/>
            <w:noWrap/>
            <w:vAlign w:val="center"/>
            <w:hideMark/>
          </w:tcPr>
          <w:p w:rsidR="008D20A3" w:rsidRPr="003C5404" w:rsidRDefault="008D20A3">
            <w:pPr>
              <w:jc w:val="right"/>
              <w:rPr>
                <w:rFonts w:asciiTheme="majorBidi" w:hAnsiTheme="majorBidi" w:cstheme="majorBidi"/>
                <w:sz w:val="24"/>
                <w:szCs w:val="24"/>
                <w:vertAlign w:val="subscript"/>
              </w:rPr>
            </w:pPr>
            <w:r w:rsidRPr="003C5404">
              <w:rPr>
                <w:rFonts w:asciiTheme="majorBidi" w:hAnsiTheme="majorBidi" w:cstheme="majorBidi"/>
                <w:sz w:val="24"/>
                <w:szCs w:val="24"/>
                <w:vertAlign w:val="subscript"/>
              </w:rPr>
              <w:t>125,9</w:t>
            </w:r>
          </w:p>
        </w:tc>
        <w:tc>
          <w:tcPr>
            <w:tcW w:w="510" w:type="pct"/>
            <w:tcBorders>
              <w:top w:val="single" w:sz="12" w:space="0" w:color="auto"/>
              <w:left w:val="nil"/>
              <w:bottom w:val="nil"/>
              <w:right w:val="nil"/>
            </w:tcBorders>
            <w:shd w:val="clear" w:color="auto" w:fill="auto"/>
            <w:noWrap/>
            <w:vAlign w:val="center"/>
            <w:hideMark/>
          </w:tcPr>
          <w:p w:rsidR="008D20A3" w:rsidRPr="003C5404" w:rsidRDefault="008D20A3">
            <w:pPr>
              <w:jc w:val="right"/>
              <w:rPr>
                <w:rFonts w:asciiTheme="majorBidi" w:hAnsiTheme="majorBidi" w:cstheme="majorBidi"/>
                <w:sz w:val="24"/>
                <w:szCs w:val="24"/>
                <w:vertAlign w:val="subscript"/>
              </w:rPr>
            </w:pPr>
            <w:r w:rsidRPr="003C5404">
              <w:rPr>
                <w:rFonts w:asciiTheme="majorBidi" w:hAnsiTheme="majorBidi" w:cstheme="majorBidi"/>
                <w:sz w:val="24"/>
                <w:szCs w:val="24"/>
                <w:vertAlign w:val="subscript"/>
              </w:rPr>
              <w:t>-0,9</w:t>
            </w:r>
          </w:p>
        </w:tc>
        <w:tc>
          <w:tcPr>
            <w:tcW w:w="407" w:type="pct"/>
            <w:tcBorders>
              <w:top w:val="single" w:sz="12" w:space="0" w:color="auto"/>
              <w:left w:val="nil"/>
              <w:bottom w:val="nil"/>
              <w:right w:val="nil"/>
            </w:tcBorders>
            <w:shd w:val="clear" w:color="auto" w:fill="auto"/>
            <w:noWrap/>
            <w:vAlign w:val="center"/>
            <w:hideMark/>
          </w:tcPr>
          <w:p w:rsidR="008D20A3" w:rsidRPr="003C5404" w:rsidRDefault="008D20A3">
            <w:pPr>
              <w:jc w:val="right"/>
              <w:rPr>
                <w:rFonts w:asciiTheme="majorBidi" w:hAnsiTheme="majorBidi" w:cstheme="majorBidi"/>
                <w:sz w:val="24"/>
                <w:szCs w:val="24"/>
                <w:vertAlign w:val="subscript"/>
              </w:rPr>
            </w:pPr>
            <w:r w:rsidRPr="003C5404">
              <w:rPr>
                <w:rFonts w:asciiTheme="majorBidi" w:hAnsiTheme="majorBidi" w:cstheme="majorBidi"/>
                <w:sz w:val="24"/>
                <w:szCs w:val="24"/>
                <w:vertAlign w:val="subscript"/>
              </w:rPr>
              <w:t>128,0</w:t>
            </w:r>
          </w:p>
        </w:tc>
        <w:tc>
          <w:tcPr>
            <w:tcW w:w="407" w:type="pct"/>
            <w:tcBorders>
              <w:top w:val="single" w:sz="12" w:space="0" w:color="auto"/>
              <w:left w:val="nil"/>
              <w:bottom w:val="nil"/>
              <w:right w:val="nil"/>
            </w:tcBorders>
            <w:shd w:val="clear" w:color="auto" w:fill="auto"/>
            <w:noWrap/>
            <w:vAlign w:val="center"/>
            <w:hideMark/>
          </w:tcPr>
          <w:p w:rsidR="008D20A3" w:rsidRPr="003C5404" w:rsidRDefault="008D20A3">
            <w:pPr>
              <w:jc w:val="right"/>
              <w:rPr>
                <w:rFonts w:asciiTheme="majorBidi" w:hAnsiTheme="majorBidi" w:cstheme="majorBidi"/>
                <w:sz w:val="24"/>
                <w:szCs w:val="24"/>
                <w:vertAlign w:val="subscript"/>
              </w:rPr>
            </w:pPr>
            <w:r w:rsidRPr="003C5404">
              <w:rPr>
                <w:rFonts w:asciiTheme="majorBidi" w:hAnsiTheme="majorBidi" w:cstheme="majorBidi"/>
                <w:sz w:val="24"/>
                <w:szCs w:val="24"/>
                <w:vertAlign w:val="subscript"/>
              </w:rPr>
              <w:t>126,4</w:t>
            </w:r>
          </w:p>
        </w:tc>
        <w:tc>
          <w:tcPr>
            <w:tcW w:w="449" w:type="pct"/>
            <w:tcBorders>
              <w:top w:val="single" w:sz="12" w:space="0" w:color="auto"/>
              <w:left w:val="nil"/>
              <w:bottom w:val="nil"/>
              <w:right w:val="nil"/>
            </w:tcBorders>
            <w:shd w:val="clear" w:color="auto" w:fill="auto"/>
            <w:noWrap/>
            <w:vAlign w:val="center"/>
            <w:hideMark/>
          </w:tcPr>
          <w:p w:rsidR="008D20A3" w:rsidRPr="003C5404" w:rsidRDefault="008D20A3">
            <w:pPr>
              <w:jc w:val="right"/>
              <w:rPr>
                <w:rFonts w:asciiTheme="majorBidi" w:hAnsiTheme="majorBidi" w:cstheme="majorBidi"/>
                <w:sz w:val="24"/>
                <w:szCs w:val="24"/>
                <w:vertAlign w:val="subscript"/>
              </w:rPr>
            </w:pPr>
            <w:r w:rsidRPr="003C5404">
              <w:rPr>
                <w:rFonts w:asciiTheme="majorBidi" w:hAnsiTheme="majorBidi" w:cstheme="majorBidi"/>
                <w:sz w:val="24"/>
                <w:szCs w:val="24"/>
                <w:vertAlign w:val="subscript"/>
              </w:rPr>
              <w:t>-1,3</w:t>
            </w:r>
          </w:p>
        </w:tc>
      </w:tr>
      <w:tr w:rsidR="008D20A3" w:rsidRPr="003C5404" w:rsidTr="000E1F3F">
        <w:trPr>
          <w:trHeight w:val="330"/>
        </w:trPr>
        <w:tc>
          <w:tcPr>
            <w:tcW w:w="2319" w:type="pct"/>
            <w:tcBorders>
              <w:top w:val="nil"/>
              <w:left w:val="nil"/>
              <w:bottom w:val="single" w:sz="8" w:space="0" w:color="auto"/>
              <w:right w:val="nil"/>
            </w:tcBorders>
            <w:shd w:val="clear" w:color="auto" w:fill="auto"/>
            <w:vAlign w:val="center"/>
            <w:hideMark/>
          </w:tcPr>
          <w:p w:rsidR="008D20A3" w:rsidRPr="003C5404" w:rsidRDefault="008D20A3" w:rsidP="008E4BB9">
            <w:pPr>
              <w:spacing w:after="0" w:line="240" w:lineRule="auto"/>
              <w:rPr>
                <w:rFonts w:ascii="Times New Roman" w:eastAsia="Times New Roman" w:hAnsi="Times New Roman" w:cs="Times New Roman"/>
                <w:sz w:val="18"/>
                <w:szCs w:val="18"/>
                <w:lang w:eastAsia="fr-FR"/>
              </w:rPr>
            </w:pPr>
            <w:r w:rsidRPr="003C5404">
              <w:rPr>
                <w:rFonts w:ascii="Times New Roman" w:eastAsia="Times New Roman" w:hAnsi="Times New Roman" w:cs="Times New Roman"/>
                <w:sz w:val="18"/>
                <w:szCs w:val="18"/>
                <w:lang w:eastAsia="fr-FR"/>
              </w:rPr>
              <w:t>02. BOISSONS ALCOOLISÉES, TABAC ET STUPÉFIANTS</w:t>
            </w:r>
          </w:p>
        </w:tc>
        <w:tc>
          <w:tcPr>
            <w:tcW w:w="454" w:type="pct"/>
            <w:tcBorders>
              <w:top w:val="nil"/>
              <w:left w:val="nil"/>
              <w:bottom w:val="single" w:sz="8" w:space="0" w:color="auto"/>
              <w:right w:val="nil"/>
            </w:tcBorders>
            <w:shd w:val="clear" w:color="auto" w:fill="auto"/>
            <w:noWrap/>
            <w:vAlign w:val="center"/>
            <w:hideMark/>
          </w:tcPr>
          <w:p w:rsidR="008D20A3" w:rsidRPr="003C5404" w:rsidRDefault="008D20A3">
            <w:pPr>
              <w:jc w:val="right"/>
              <w:rPr>
                <w:rFonts w:asciiTheme="majorBidi" w:hAnsiTheme="majorBidi" w:cstheme="majorBidi"/>
                <w:color w:val="000000"/>
                <w:sz w:val="24"/>
                <w:szCs w:val="24"/>
                <w:vertAlign w:val="subscript"/>
              </w:rPr>
            </w:pPr>
            <w:r w:rsidRPr="003C5404">
              <w:rPr>
                <w:rFonts w:asciiTheme="majorBidi" w:hAnsiTheme="majorBidi" w:cstheme="majorBidi"/>
                <w:color w:val="000000"/>
                <w:sz w:val="24"/>
                <w:szCs w:val="24"/>
                <w:vertAlign w:val="subscript"/>
              </w:rPr>
              <w:t>137,9</w:t>
            </w:r>
          </w:p>
        </w:tc>
        <w:tc>
          <w:tcPr>
            <w:tcW w:w="454" w:type="pct"/>
            <w:tcBorders>
              <w:top w:val="nil"/>
              <w:left w:val="nil"/>
              <w:bottom w:val="single" w:sz="8" w:space="0" w:color="auto"/>
              <w:right w:val="nil"/>
            </w:tcBorders>
            <w:shd w:val="clear" w:color="auto" w:fill="auto"/>
            <w:noWrap/>
            <w:vAlign w:val="center"/>
            <w:hideMark/>
          </w:tcPr>
          <w:p w:rsidR="008D20A3" w:rsidRPr="003C5404" w:rsidRDefault="008D20A3">
            <w:pPr>
              <w:jc w:val="right"/>
              <w:rPr>
                <w:rFonts w:asciiTheme="majorBidi" w:hAnsiTheme="majorBidi" w:cstheme="majorBidi"/>
                <w:color w:val="000000"/>
                <w:sz w:val="24"/>
                <w:szCs w:val="24"/>
                <w:vertAlign w:val="subscript"/>
              </w:rPr>
            </w:pPr>
            <w:r w:rsidRPr="003C5404">
              <w:rPr>
                <w:rFonts w:asciiTheme="majorBidi" w:hAnsiTheme="majorBidi" w:cstheme="majorBidi"/>
                <w:color w:val="000000"/>
                <w:sz w:val="24"/>
                <w:szCs w:val="24"/>
                <w:vertAlign w:val="subscript"/>
              </w:rPr>
              <w:t>158,8</w:t>
            </w:r>
          </w:p>
        </w:tc>
        <w:tc>
          <w:tcPr>
            <w:tcW w:w="510" w:type="pct"/>
            <w:tcBorders>
              <w:top w:val="nil"/>
              <w:left w:val="nil"/>
              <w:bottom w:val="single" w:sz="8" w:space="0" w:color="auto"/>
              <w:right w:val="nil"/>
            </w:tcBorders>
            <w:shd w:val="clear" w:color="auto" w:fill="auto"/>
            <w:noWrap/>
            <w:vAlign w:val="center"/>
            <w:hideMark/>
          </w:tcPr>
          <w:p w:rsidR="008D20A3" w:rsidRPr="003C5404" w:rsidRDefault="008D20A3">
            <w:pPr>
              <w:jc w:val="right"/>
              <w:rPr>
                <w:rFonts w:asciiTheme="majorBidi" w:hAnsiTheme="majorBidi" w:cstheme="majorBidi"/>
                <w:color w:val="000000"/>
                <w:sz w:val="24"/>
                <w:szCs w:val="24"/>
                <w:vertAlign w:val="subscript"/>
              </w:rPr>
            </w:pPr>
            <w:r w:rsidRPr="003C5404">
              <w:rPr>
                <w:rFonts w:asciiTheme="majorBidi" w:hAnsiTheme="majorBidi" w:cstheme="majorBidi"/>
                <w:color w:val="000000"/>
                <w:sz w:val="24"/>
                <w:szCs w:val="24"/>
                <w:vertAlign w:val="subscript"/>
              </w:rPr>
              <w:t>15,2</w:t>
            </w:r>
          </w:p>
        </w:tc>
        <w:tc>
          <w:tcPr>
            <w:tcW w:w="407" w:type="pct"/>
            <w:tcBorders>
              <w:top w:val="nil"/>
              <w:left w:val="nil"/>
              <w:bottom w:val="single" w:sz="8" w:space="0" w:color="auto"/>
              <w:right w:val="nil"/>
            </w:tcBorders>
            <w:shd w:val="clear" w:color="auto" w:fill="auto"/>
            <w:noWrap/>
            <w:vAlign w:val="center"/>
            <w:hideMark/>
          </w:tcPr>
          <w:p w:rsidR="008D20A3" w:rsidRPr="003C5404" w:rsidRDefault="008D20A3">
            <w:pPr>
              <w:jc w:val="right"/>
              <w:rPr>
                <w:rFonts w:asciiTheme="majorBidi" w:hAnsiTheme="majorBidi" w:cstheme="majorBidi"/>
                <w:color w:val="000000"/>
                <w:sz w:val="24"/>
                <w:szCs w:val="24"/>
                <w:vertAlign w:val="subscript"/>
              </w:rPr>
            </w:pPr>
            <w:r w:rsidRPr="003C5404">
              <w:rPr>
                <w:rFonts w:asciiTheme="majorBidi" w:hAnsiTheme="majorBidi" w:cstheme="majorBidi"/>
                <w:color w:val="000000"/>
                <w:sz w:val="24"/>
                <w:szCs w:val="24"/>
                <w:vertAlign w:val="subscript"/>
              </w:rPr>
              <w:t>138,5</w:t>
            </w:r>
          </w:p>
        </w:tc>
        <w:tc>
          <w:tcPr>
            <w:tcW w:w="407" w:type="pct"/>
            <w:tcBorders>
              <w:top w:val="nil"/>
              <w:left w:val="nil"/>
              <w:bottom w:val="single" w:sz="8" w:space="0" w:color="auto"/>
              <w:right w:val="nil"/>
            </w:tcBorders>
            <w:shd w:val="clear" w:color="auto" w:fill="auto"/>
            <w:noWrap/>
            <w:vAlign w:val="center"/>
            <w:hideMark/>
          </w:tcPr>
          <w:p w:rsidR="008D20A3" w:rsidRPr="003C5404" w:rsidRDefault="008D20A3">
            <w:pPr>
              <w:jc w:val="right"/>
              <w:rPr>
                <w:rFonts w:asciiTheme="majorBidi" w:hAnsiTheme="majorBidi" w:cstheme="majorBidi"/>
                <w:color w:val="000000"/>
                <w:sz w:val="24"/>
                <w:szCs w:val="24"/>
                <w:vertAlign w:val="subscript"/>
              </w:rPr>
            </w:pPr>
            <w:r w:rsidRPr="003C5404">
              <w:rPr>
                <w:rFonts w:asciiTheme="majorBidi" w:hAnsiTheme="majorBidi" w:cstheme="majorBidi"/>
                <w:color w:val="000000"/>
                <w:sz w:val="24"/>
                <w:szCs w:val="24"/>
                <w:vertAlign w:val="subscript"/>
              </w:rPr>
              <w:t>159,4</w:t>
            </w:r>
          </w:p>
        </w:tc>
        <w:tc>
          <w:tcPr>
            <w:tcW w:w="449" w:type="pct"/>
            <w:tcBorders>
              <w:top w:val="nil"/>
              <w:left w:val="nil"/>
              <w:bottom w:val="single" w:sz="8" w:space="0" w:color="auto"/>
              <w:right w:val="nil"/>
            </w:tcBorders>
            <w:shd w:val="clear" w:color="auto" w:fill="auto"/>
            <w:noWrap/>
            <w:vAlign w:val="center"/>
            <w:hideMark/>
          </w:tcPr>
          <w:p w:rsidR="008D20A3" w:rsidRPr="003C5404" w:rsidRDefault="008D20A3">
            <w:pPr>
              <w:jc w:val="right"/>
              <w:rPr>
                <w:rFonts w:asciiTheme="majorBidi" w:hAnsiTheme="majorBidi" w:cstheme="majorBidi"/>
                <w:color w:val="000000"/>
                <w:sz w:val="24"/>
                <w:szCs w:val="24"/>
                <w:vertAlign w:val="subscript"/>
              </w:rPr>
            </w:pPr>
            <w:r w:rsidRPr="003C5404">
              <w:rPr>
                <w:rFonts w:asciiTheme="majorBidi" w:hAnsiTheme="majorBidi" w:cstheme="majorBidi"/>
                <w:color w:val="000000"/>
                <w:sz w:val="24"/>
                <w:szCs w:val="24"/>
                <w:vertAlign w:val="subscript"/>
              </w:rPr>
              <w:t>15,1</w:t>
            </w:r>
          </w:p>
        </w:tc>
      </w:tr>
      <w:tr w:rsidR="008D20A3" w:rsidRPr="00654B5D" w:rsidTr="008D20A3">
        <w:trPr>
          <w:trHeight w:val="330"/>
        </w:trPr>
        <w:tc>
          <w:tcPr>
            <w:tcW w:w="2319" w:type="pct"/>
            <w:tcBorders>
              <w:top w:val="single" w:sz="8" w:space="0" w:color="auto"/>
              <w:bottom w:val="single" w:sz="8" w:space="0" w:color="auto"/>
              <w:right w:val="nil"/>
            </w:tcBorders>
            <w:shd w:val="clear" w:color="000000" w:fill="FFFFFF"/>
            <w:vAlign w:val="center"/>
            <w:hideMark/>
          </w:tcPr>
          <w:p w:rsidR="008D20A3" w:rsidRPr="00654B5D" w:rsidRDefault="008D20A3" w:rsidP="008E4BB9">
            <w:pPr>
              <w:spacing w:after="0" w:line="240" w:lineRule="auto"/>
              <w:rPr>
                <w:rFonts w:ascii="Times New Roman" w:eastAsia="Times New Roman" w:hAnsi="Times New Roman" w:cs="Times New Roman"/>
                <w:b/>
                <w:bCs/>
                <w:sz w:val="24"/>
                <w:szCs w:val="24"/>
                <w:lang w:eastAsia="fr-FR"/>
              </w:rPr>
            </w:pPr>
            <w:r w:rsidRPr="00654B5D">
              <w:rPr>
                <w:rFonts w:ascii="Times New Roman" w:eastAsia="Times New Roman" w:hAnsi="Times New Roman" w:cs="Times New Roman"/>
                <w:b/>
                <w:bCs/>
                <w:sz w:val="24"/>
                <w:szCs w:val="24"/>
                <w:lang w:eastAsia="fr-FR"/>
              </w:rPr>
              <w:t>Indices des Produits alimentaires</w:t>
            </w:r>
          </w:p>
        </w:tc>
        <w:tc>
          <w:tcPr>
            <w:tcW w:w="454" w:type="pct"/>
            <w:tcBorders>
              <w:top w:val="single" w:sz="8" w:space="0" w:color="auto"/>
              <w:left w:val="nil"/>
              <w:bottom w:val="single" w:sz="8" w:space="0" w:color="auto"/>
              <w:right w:val="nil"/>
            </w:tcBorders>
            <w:shd w:val="clear" w:color="auto" w:fill="auto"/>
            <w:noWrap/>
            <w:vAlign w:val="bottom"/>
            <w:hideMark/>
          </w:tcPr>
          <w:p w:rsidR="008D20A3" w:rsidRPr="008D20A3" w:rsidRDefault="008D20A3" w:rsidP="008D20A3">
            <w:pPr>
              <w:jc w:val="right"/>
              <w:rPr>
                <w:rFonts w:asciiTheme="majorBidi" w:hAnsiTheme="majorBidi" w:cstheme="majorBidi"/>
                <w:b/>
                <w:bCs/>
                <w:color w:val="000000"/>
              </w:rPr>
            </w:pPr>
            <w:r w:rsidRPr="008D20A3">
              <w:rPr>
                <w:rFonts w:asciiTheme="majorBidi" w:hAnsiTheme="majorBidi" w:cstheme="majorBidi"/>
                <w:b/>
                <w:bCs/>
                <w:color w:val="000000"/>
              </w:rPr>
              <w:t>127,4</w:t>
            </w:r>
          </w:p>
        </w:tc>
        <w:tc>
          <w:tcPr>
            <w:tcW w:w="454" w:type="pct"/>
            <w:tcBorders>
              <w:top w:val="single" w:sz="8" w:space="0" w:color="auto"/>
              <w:left w:val="nil"/>
              <w:bottom w:val="single" w:sz="8" w:space="0" w:color="auto"/>
              <w:right w:val="nil"/>
            </w:tcBorders>
            <w:shd w:val="clear" w:color="auto" w:fill="auto"/>
            <w:noWrap/>
            <w:vAlign w:val="bottom"/>
            <w:hideMark/>
          </w:tcPr>
          <w:p w:rsidR="008D20A3" w:rsidRPr="008D20A3" w:rsidRDefault="008D20A3" w:rsidP="008D20A3">
            <w:pPr>
              <w:jc w:val="right"/>
              <w:rPr>
                <w:rFonts w:asciiTheme="majorBidi" w:hAnsiTheme="majorBidi" w:cstheme="majorBidi"/>
                <w:b/>
                <w:bCs/>
                <w:color w:val="000000"/>
              </w:rPr>
            </w:pPr>
            <w:r w:rsidRPr="008D20A3">
              <w:rPr>
                <w:rFonts w:asciiTheme="majorBidi" w:hAnsiTheme="majorBidi" w:cstheme="majorBidi"/>
                <w:b/>
                <w:bCs/>
                <w:color w:val="000000"/>
              </w:rPr>
              <w:t>127,1</w:t>
            </w:r>
          </w:p>
        </w:tc>
        <w:tc>
          <w:tcPr>
            <w:tcW w:w="510" w:type="pct"/>
            <w:tcBorders>
              <w:top w:val="single" w:sz="8" w:space="0" w:color="auto"/>
              <w:left w:val="nil"/>
              <w:bottom w:val="single" w:sz="8" w:space="0" w:color="auto"/>
              <w:right w:val="nil"/>
            </w:tcBorders>
            <w:shd w:val="clear" w:color="auto" w:fill="auto"/>
            <w:noWrap/>
            <w:vAlign w:val="bottom"/>
            <w:hideMark/>
          </w:tcPr>
          <w:p w:rsidR="008D20A3" w:rsidRPr="008D20A3" w:rsidRDefault="008D20A3" w:rsidP="008D20A3">
            <w:pPr>
              <w:jc w:val="right"/>
              <w:rPr>
                <w:rFonts w:asciiTheme="majorBidi" w:hAnsiTheme="majorBidi" w:cstheme="majorBidi"/>
                <w:b/>
                <w:bCs/>
                <w:color w:val="000000"/>
              </w:rPr>
            </w:pPr>
            <w:r w:rsidRPr="008D20A3">
              <w:rPr>
                <w:rFonts w:asciiTheme="majorBidi" w:hAnsiTheme="majorBidi" w:cstheme="majorBidi"/>
                <w:b/>
                <w:bCs/>
                <w:color w:val="000000"/>
              </w:rPr>
              <w:t>-0,2</w:t>
            </w:r>
          </w:p>
        </w:tc>
        <w:tc>
          <w:tcPr>
            <w:tcW w:w="407" w:type="pct"/>
            <w:tcBorders>
              <w:top w:val="single" w:sz="8" w:space="0" w:color="auto"/>
              <w:left w:val="nil"/>
              <w:bottom w:val="single" w:sz="8" w:space="0" w:color="auto"/>
              <w:right w:val="nil"/>
            </w:tcBorders>
            <w:shd w:val="clear" w:color="auto" w:fill="auto"/>
            <w:noWrap/>
            <w:vAlign w:val="bottom"/>
            <w:hideMark/>
          </w:tcPr>
          <w:p w:rsidR="008D20A3" w:rsidRPr="008D20A3" w:rsidRDefault="008D20A3" w:rsidP="008D20A3">
            <w:pPr>
              <w:jc w:val="right"/>
              <w:rPr>
                <w:rFonts w:asciiTheme="majorBidi" w:hAnsiTheme="majorBidi" w:cstheme="majorBidi"/>
                <w:b/>
                <w:bCs/>
                <w:color w:val="000000"/>
              </w:rPr>
            </w:pPr>
            <w:r w:rsidRPr="008D20A3">
              <w:rPr>
                <w:rFonts w:asciiTheme="majorBidi" w:hAnsiTheme="majorBidi" w:cstheme="majorBidi"/>
                <w:b/>
                <w:bCs/>
                <w:color w:val="000000"/>
              </w:rPr>
              <w:t>128,3</w:t>
            </w:r>
          </w:p>
        </w:tc>
        <w:tc>
          <w:tcPr>
            <w:tcW w:w="407" w:type="pct"/>
            <w:tcBorders>
              <w:top w:val="single" w:sz="8" w:space="0" w:color="auto"/>
              <w:left w:val="nil"/>
              <w:bottom w:val="single" w:sz="8" w:space="0" w:color="auto"/>
              <w:right w:val="nil"/>
            </w:tcBorders>
            <w:shd w:val="clear" w:color="auto" w:fill="auto"/>
            <w:noWrap/>
            <w:vAlign w:val="bottom"/>
            <w:hideMark/>
          </w:tcPr>
          <w:p w:rsidR="008D20A3" w:rsidRPr="008D20A3" w:rsidRDefault="008D20A3" w:rsidP="008D20A3">
            <w:pPr>
              <w:jc w:val="right"/>
              <w:rPr>
                <w:rFonts w:asciiTheme="majorBidi" w:hAnsiTheme="majorBidi" w:cstheme="majorBidi"/>
                <w:b/>
                <w:bCs/>
                <w:color w:val="000000"/>
              </w:rPr>
            </w:pPr>
            <w:r w:rsidRPr="008D20A3">
              <w:rPr>
                <w:rFonts w:asciiTheme="majorBidi" w:hAnsiTheme="majorBidi" w:cstheme="majorBidi"/>
                <w:b/>
                <w:bCs/>
                <w:color w:val="000000"/>
              </w:rPr>
              <w:t>127,6</w:t>
            </w:r>
          </w:p>
        </w:tc>
        <w:tc>
          <w:tcPr>
            <w:tcW w:w="449" w:type="pct"/>
            <w:tcBorders>
              <w:top w:val="single" w:sz="8" w:space="0" w:color="auto"/>
              <w:left w:val="nil"/>
              <w:bottom w:val="single" w:sz="8" w:space="0" w:color="auto"/>
              <w:right w:val="nil"/>
            </w:tcBorders>
            <w:shd w:val="clear" w:color="auto" w:fill="auto"/>
            <w:noWrap/>
            <w:vAlign w:val="bottom"/>
            <w:hideMark/>
          </w:tcPr>
          <w:p w:rsidR="008D20A3" w:rsidRPr="008D20A3" w:rsidRDefault="008D20A3" w:rsidP="008D20A3">
            <w:pPr>
              <w:jc w:val="right"/>
              <w:rPr>
                <w:rFonts w:asciiTheme="majorBidi" w:hAnsiTheme="majorBidi" w:cstheme="majorBidi"/>
                <w:b/>
                <w:bCs/>
                <w:color w:val="000000"/>
              </w:rPr>
            </w:pPr>
            <w:r w:rsidRPr="008D20A3">
              <w:rPr>
                <w:rFonts w:asciiTheme="majorBidi" w:hAnsiTheme="majorBidi" w:cstheme="majorBidi"/>
                <w:b/>
                <w:bCs/>
                <w:color w:val="000000"/>
              </w:rPr>
              <w:t>-0,5</w:t>
            </w:r>
          </w:p>
        </w:tc>
      </w:tr>
      <w:tr w:rsidR="008D20A3" w:rsidRPr="00654B5D" w:rsidTr="000E1F3F">
        <w:trPr>
          <w:trHeight w:val="315"/>
        </w:trPr>
        <w:tc>
          <w:tcPr>
            <w:tcW w:w="2319" w:type="pct"/>
            <w:tcBorders>
              <w:top w:val="single" w:sz="8" w:space="0" w:color="auto"/>
              <w:left w:val="nil"/>
              <w:bottom w:val="nil"/>
              <w:right w:val="nil"/>
            </w:tcBorders>
            <w:shd w:val="clear" w:color="auto" w:fill="auto"/>
            <w:vAlign w:val="center"/>
            <w:hideMark/>
          </w:tcPr>
          <w:p w:rsidR="008D20A3" w:rsidRPr="003C5404" w:rsidRDefault="008D20A3" w:rsidP="008E4BB9">
            <w:pPr>
              <w:spacing w:after="0" w:line="240" w:lineRule="auto"/>
              <w:rPr>
                <w:rFonts w:ascii="Times New Roman" w:eastAsia="Times New Roman" w:hAnsi="Times New Roman" w:cs="Times New Roman"/>
                <w:sz w:val="18"/>
                <w:szCs w:val="18"/>
                <w:lang w:eastAsia="fr-FR"/>
              </w:rPr>
            </w:pPr>
            <w:r w:rsidRPr="003C5404">
              <w:rPr>
                <w:rFonts w:ascii="Times New Roman" w:eastAsia="Times New Roman" w:hAnsi="Times New Roman" w:cs="Times New Roman"/>
                <w:sz w:val="18"/>
                <w:szCs w:val="18"/>
                <w:lang w:eastAsia="fr-FR"/>
              </w:rPr>
              <w:t>03. ARTICLES D'HABILLEMENT ET CHAUSSURES</w:t>
            </w:r>
          </w:p>
        </w:tc>
        <w:tc>
          <w:tcPr>
            <w:tcW w:w="454" w:type="pct"/>
            <w:tcBorders>
              <w:top w:val="single" w:sz="8" w:space="0" w:color="auto"/>
              <w:left w:val="nil"/>
              <w:bottom w:val="nil"/>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112,6</w:t>
            </w:r>
          </w:p>
        </w:tc>
        <w:tc>
          <w:tcPr>
            <w:tcW w:w="454" w:type="pct"/>
            <w:tcBorders>
              <w:top w:val="single" w:sz="8" w:space="0" w:color="auto"/>
              <w:left w:val="nil"/>
              <w:bottom w:val="nil"/>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114,5</w:t>
            </w:r>
          </w:p>
        </w:tc>
        <w:tc>
          <w:tcPr>
            <w:tcW w:w="510" w:type="pct"/>
            <w:tcBorders>
              <w:top w:val="single" w:sz="8" w:space="0" w:color="auto"/>
              <w:left w:val="nil"/>
              <w:bottom w:val="nil"/>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1,7</w:t>
            </w:r>
          </w:p>
        </w:tc>
        <w:tc>
          <w:tcPr>
            <w:tcW w:w="407" w:type="pct"/>
            <w:tcBorders>
              <w:top w:val="single" w:sz="8" w:space="0" w:color="auto"/>
              <w:left w:val="nil"/>
              <w:bottom w:val="nil"/>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116,8</w:t>
            </w:r>
          </w:p>
        </w:tc>
        <w:tc>
          <w:tcPr>
            <w:tcW w:w="407" w:type="pct"/>
            <w:tcBorders>
              <w:top w:val="single" w:sz="8" w:space="0" w:color="auto"/>
              <w:left w:val="nil"/>
              <w:bottom w:val="nil"/>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118,0</w:t>
            </w:r>
          </w:p>
        </w:tc>
        <w:tc>
          <w:tcPr>
            <w:tcW w:w="449" w:type="pct"/>
            <w:tcBorders>
              <w:top w:val="single" w:sz="8" w:space="0" w:color="auto"/>
              <w:left w:val="nil"/>
              <w:bottom w:val="nil"/>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1,0</w:t>
            </w:r>
          </w:p>
        </w:tc>
      </w:tr>
      <w:tr w:rsidR="008D20A3" w:rsidRPr="00654B5D" w:rsidTr="000E1F3F">
        <w:trPr>
          <w:trHeight w:val="465"/>
        </w:trPr>
        <w:tc>
          <w:tcPr>
            <w:tcW w:w="2319" w:type="pct"/>
            <w:tcBorders>
              <w:top w:val="nil"/>
              <w:left w:val="nil"/>
              <w:bottom w:val="nil"/>
              <w:right w:val="nil"/>
            </w:tcBorders>
            <w:shd w:val="clear" w:color="auto" w:fill="auto"/>
            <w:vAlign w:val="center"/>
            <w:hideMark/>
          </w:tcPr>
          <w:p w:rsidR="008D20A3" w:rsidRPr="003C5404" w:rsidRDefault="008D20A3" w:rsidP="008E4BB9">
            <w:pPr>
              <w:spacing w:after="0" w:line="240" w:lineRule="auto"/>
              <w:rPr>
                <w:rFonts w:ascii="Times New Roman" w:eastAsia="Times New Roman" w:hAnsi="Times New Roman" w:cs="Times New Roman"/>
                <w:sz w:val="18"/>
                <w:szCs w:val="18"/>
                <w:lang w:eastAsia="fr-FR"/>
              </w:rPr>
            </w:pPr>
            <w:r w:rsidRPr="003C5404">
              <w:rPr>
                <w:rFonts w:ascii="Times New Roman" w:eastAsia="Times New Roman" w:hAnsi="Times New Roman" w:cs="Times New Roman"/>
                <w:sz w:val="18"/>
                <w:szCs w:val="18"/>
                <w:lang w:eastAsia="fr-FR"/>
              </w:rPr>
              <w:t>04. LOGEMENT, EAU, GAZ, ELECTRICITE ET AUTRES COMBUSTIBLES</w:t>
            </w:r>
          </w:p>
        </w:tc>
        <w:tc>
          <w:tcPr>
            <w:tcW w:w="454" w:type="pct"/>
            <w:tcBorders>
              <w:top w:val="nil"/>
              <w:left w:val="nil"/>
              <w:bottom w:val="nil"/>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108,6</w:t>
            </w:r>
          </w:p>
        </w:tc>
        <w:tc>
          <w:tcPr>
            <w:tcW w:w="454" w:type="pct"/>
            <w:tcBorders>
              <w:top w:val="nil"/>
              <w:left w:val="nil"/>
              <w:bottom w:val="nil"/>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109,7</w:t>
            </w:r>
          </w:p>
        </w:tc>
        <w:tc>
          <w:tcPr>
            <w:tcW w:w="510" w:type="pct"/>
            <w:tcBorders>
              <w:top w:val="nil"/>
              <w:left w:val="nil"/>
              <w:bottom w:val="nil"/>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1,0</w:t>
            </w:r>
          </w:p>
        </w:tc>
        <w:tc>
          <w:tcPr>
            <w:tcW w:w="407" w:type="pct"/>
            <w:tcBorders>
              <w:top w:val="nil"/>
              <w:left w:val="nil"/>
              <w:bottom w:val="nil"/>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116,3</w:t>
            </w:r>
          </w:p>
        </w:tc>
        <w:tc>
          <w:tcPr>
            <w:tcW w:w="407" w:type="pct"/>
            <w:tcBorders>
              <w:top w:val="nil"/>
              <w:left w:val="nil"/>
              <w:bottom w:val="nil"/>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117,3</w:t>
            </w:r>
          </w:p>
        </w:tc>
        <w:tc>
          <w:tcPr>
            <w:tcW w:w="449" w:type="pct"/>
            <w:tcBorders>
              <w:top w:val="nil"/>
              <w:left w:val="nil"/>
              <w:bottom w:val="nil"/>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0,9</w:t>
            </w:r>
          </w:p>
        </w:tc>
      </w:tr>
      <w:tr w:rsidR="008D20A3" w:rsidRPr="00654B5D" w:rsidTr="000E1F3F">
        <w:trPr>
          <w:trHeight w:val="465"/>
        </w:trPr>
        <w:tc>
          <w:tcPr>
            <w:tcW w:w="2319" w:type="pct"/>
            <w:tcBorders>
              <w:top w:val="nil"/>
              <w:left w:val="nil"/>
              <w:bottom w:val="nil"/>
              <w:right w:val="nil"/>
            </w:tcBorders>
            <w:shd w:val="clear" w:color="auto" w:fill="auto"/>
            <w:vAlign w:val="center"/>
            <w:hideMark/>
          </w:tcPr>
          <w:p w:rsidR="008D20A3" w:rsidRPr="003C5404" w:rsidRDefault="008D20A3" w:rsidP="008E4BB9">
            <w:pPr>
              <w:spacing w:after="0" w:line="240" w:lineRule="auto"/>
              <w:rPr>
                <w:rFonts w:ascii="Times New Roman" w:eastAsia="Times New Roman" w:hAnsi="Times New Roman" w:cs="Times New Roman"/>
                <w:sz w:val="18"/>
                <w:szCs w:val="18"/>
                <w:lang w:eastAsia="fr-FR"/>
              </w:rPr>
            </w:pPr>
            <w:r w:rsidRPr="003C5404">
              <w:rPr>
                <w:rFonts w:ascii="Times New Roman" w:eastAsia="Times New Roman" w:hAnsi="Times New Roman" w:cs="Times New Roman"/>
                <w:sz w:val="18"/>
                <w:szCs w:val="18"/>
                <w:lang w:eastAsia="fr-FR"/>
              </w:rPr>
              <w:t>05. MEUBLES, ARTICLES DE MENAGE ET ENTRETIEN COURANT DU FOYER</w:t>
            </w:r>
          </w:p>
        </w:tc>
        <w:tc>
          <w:tcPr>
            <w:tcW w:w="454" w:type="pct"/>
            <w:tcBorders>
              <w:top w:val="nil"/>
              <w:left w:val="nil"/>
              <w:bottom w:val="nil"/>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107,8</w:t>
            </w:r>
          </w:p>
        </w:tc>
        <w:tc>
          <w:tcPr>
            <w:tcW w:w="454" w:type="pct"/>
            <w:tcBorders>
              <w:top w:val="nil"/>
              <w:left w:val="nil"/>
              <w:bottom w:val="nil"/>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105,4</w:t>
            </w:r>
          </w:p>
        </w:tc>
        <w:tc>
          <w:tcPr>
            <w:tcW w:w="510" w:type="pct"/>
            <w:tcBorders>
              <w:top w:val="nil"/>
              <w:left w:val="nil"/>
              <w:bottom w:val="nil"/>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-2,2</w:t>
            </w:r>
          </w:p>
        </w:tc>
        <w:tc>
          <w:tcPr>
            <w:tcW w:w="407" w:type="pct"/>
            <w:tcBorders>
              <w:top w:val="nil"/>
              <w:left w:val="nil"/>
              <w:bottom w:val="nil"/>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110,9</w:t>
            </w:r>
          </w:p>
        </w:tc>
        <w:tc>
          <w:tcPr>
            <w:tcW w:w="407" w:type="pct"/>
            <w:tcBorders>
              <w:top w:val="nil"/>
              <w:left w:val="nil"/>
              <w:bottom w:val="nil"/>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112,3</w:t>
            </w:r>
          </w:p>
        </w:tc>
        <w:tc>
          <w:tcPr>
            <w:tcW w:w="449" w:type="pct"/>
            <w:tcBorders>
              <w:top w:val="nil"/>
              <w:left w:val="nil"/>
              <w:bottom w:val="nil"/>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1,3</w:t>
            </w:r>
          </w:p>
        </w:tc>
      </w:tr>
      <w:tr w:rsidR="008D20A3" w:rsidRPr="00654B5D" w:rsidTr="000E1F3F">
        <w:trPr>
          <w:trHeight w:val="315"/>
        </w:trPr>
        <w:tc>
          <w:tcPr>
            <w:tcW w:w="2319" w:type="pct"/>
            <w:tcBorders>
              <w:top w:val="nil"/>
              <w:left w:val="nil"/>
              <w:bottom w:val="nil"/>
              <w:right w:val="nil"/>
            </w:tcBorders>
            <w:shd w:val="clear" w:color="auto" w:fill="auto"/>
            <w:vAlign w:val="center"/>
            <w:hideMark/>
          </w:tcPr>
          <w:p w:rsidR="008D20A3" w:rsidRPr="003C5404" w:rsidRDefault="008D20A3" w:rsidP="008E4BB9">
            <w:pPr>
              <w:spacing w:after="0" w:line="240" w:lineRule="auto"/>
              <w:rPr>
                <w:rFonts w:ascii="Times New Roman" w:eastAsia="Times New Roman" w:hAnsi="Times New Roman" w:cs="Times New Roman"/>
                <w:sz w:val="18"/>
                <w:szCs w:val="18"/>
                <w:lang w:eastAsia="fr-FR"/>
              </w:rPr>
            </w:pPr>
            <w:r w:rsidRPr="003C5404">
              <w:rPr>
                <w:rFonts w:ascii="Times New Roman" w:eastAsia="Times New Roman" w:hAnsi="Times New Roman" w:cs="Times New Roman"/>
                <w:sz w:val="18"/>
                <w:szCs w:val="18"/>
                <w:lang w:eastAsia="fr-FR"/>
              </w:rPr>
              <w:t>06. SANTÉ</w:t>
            </w:r>
          </w:p>
        </w:tc>
        <w:tc>
          <w:tcPr>
            <w:tcW w:w="454" w:type="pct"/>
            <w:tcBorders>
              <w:top w:val="nil"/>
              <w:left w:val="nil"/>
              <w:bottom w:val="nil"/>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112,8</w:t>
            </w:r>
          </w:p>
        </w:tc>
        <w:tc>
          <w:tcPr>
            <w:tcW w:w="454" w:type="pct"/>
            <w:tcBorders>
              <w:top w:val="nil"/>
              <w:left w:val="nil"/>
              <w:bottom w:val="nil"/>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112,7</w:t>
            </w:r>
          </w:p>
        </w:tc>
        <w:tc>
          <w:tcPr>
            <w:tcW w:w="510" w:type="pct"/>
            <w:tcBorders>
              <w:top w:val="nil"/>
              <w:left w:val="nil"/>
              <w:bottom w:val="nil"/>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-0,1</w:t>
            </w:r>
          </w:p>
        </w:tc>
        <w:tc>
          <w:tcPr>
            <w:tcW w:w="407" w:type="pct"/>
            <w:tcBorders>
              <w:top w:val="nil"/>
              <w:left w:val="nil"/>
              <w:bottom w:val="nil"/>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105,7</w:t>
            </w:r>
          </w:p>
        </w:tc>
        <w:tc>
          <w:tcPr>
            <w:tcW w:w="407" w:type="pct"/>
            <w:tcBorders>
              <w:top w:val="nil"/>
              <w:left w:val="nil"/>
              <w:bottom w:val="nil"/>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106,9</w:t>
            </w:r>
          </w:p>
        </w:tc>
        <w:tc>
          <w:tcPr>
            <w:tcW w:w="449" w:type="pct"/>
            <w:tcBorders>
              <w:top w:val="nil"/>
              <w:left w:val="nil"/>
              <w:bottom w:val="nil"/>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1,1</w:t>
            </w:r>
          </w:p>
        </w:tc>
      </w:tr>
      <w:tr w:rsidR="008D20A3" w:rsidRPr="00654B5D" w:rsidTr="000E1F3F">
        <w:trPr>
          <w:trHeight w:val="315"/>
        </w:trPr>
        <w:tc>
          <w:tcPr>
            <w:tcW w:w="2319" w:type="pct"/>
            <w:tcBorders>
              <w:top w:val="nil"/>
              <w:left w:val="nil"/>
              <w:bottom w:val="nil"/>
              <w:right w:val="nil"/>
            </w:tcBorders>
            <w:shd w:val="clear" w:color="auto" w:fill="auto"/>
            <w:vAlign w:val="center"/>
            <w:hideMark/>
          </w:tcPr>
          <w:p w:rsidR="008D20A3" w:rsidRPr="003C5404" w:rsidRDefault="008D20A3" w:rsidP="008E4BB9">
            <w:pPr>
              <w:spacing w:after="0" w:line="240" w:lineRule="auto"/>
              <w:rPr>
                <w:rFonts w:ascii="Times New Roman" w:eastAsia="Times New Roman" w:hAnsi="Times New Roman" w:cs="Times New Roman"/>
                <w:sz w:val="18"/>
                <w:szCs w:val="18"/>
                <w:lang w:eastAsia="fr-FR"/>
              </w:rPr>
            </w:pPr>
            <w:r w:rsidRPr="003C5404">
              <w:rPr>
                <w:rFonts w:ascii="Times New Roman" w:eastAsia="Times New Roman" w:hAnsi="Times New Roman" w:cs="Times New Roman"/>
                <w:sz w:val="18"/>
                <w:szCs w:val="18"/>
                <w:lang w:eastAsia="fr-FR"/>
              </w:rPr>
              <w:t>07. TRANSPORTS</w:t>
            </w:r>
          </w:p>
        </w:tc>
        <w:tc>
          <w:tcPr>
            <w:tcW w:w="454" w:type="pct"/>
            <w:tcBorders>
              <w:top w:val="nil"/>
              <w:left w:val="nil"/>
              <w:bottom w:val="nil"/>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114,2</w:t>
            </w:r>
          </w:p>
        </w:tc>
        <w:tc>
          <w:tcPr>
            <w:tcW w:w="454" w:type="pct"/>
            <w:tcBorders>
              <w:top w:val="nil"/>
              <w:left w:val="nil"/>
              <w:bottom w:val="nil"/>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113,9</w:t>
            </w:r>
          </w:p>
        </w:tc>
        <w:tc>
          <w:tcPr>
            <w:tcW w:w="510" w:type="pct"/>
            <w:tcBorders>
              <w:top w:val="nil"/>
              <w:left w:val="nil"/>
              <w:bottom w:val="nil"/>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-0,3</w:t>
            </w:r>
          </w:p>
        </w:tc>
        <w:tc>
          <w:tcPr>
            <w:tcW w:w="407" w:type="pct"/>
            <w:tcBorders>
              <w:top w:val="nil"/>
              <w:left w:val="nil"/>
              <w:bottom w:val="nil"/>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112,2</w:t>
            </w:r>
          </w:p>
        </w:tc>
        <w:tc>
          <w:tcPr>
            <w:tcW w:w="407" w:type="pct"/>
            <w:tcBorders>
              <w:top w:val="nil"/>
              <w:left w:val="nil"/>
              <w:bottom w:val="nil"/>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112,2</w:t>
            </w:r>
          </w:p>
        </w:tc>
        <w:tc>
          <w:tcPr>
            <w:tcW w:w="449" w:type="pct"/>
            <w:tcBorders>
              <w:top w:val="nil"/>
              <w:left w:val="nil"/>
              <w:bottom w:val="nil"/>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0,0</w:t>
            </w:r>
          </w:p>
        </w:tc>
      </w:tr>
      <w:tr w:rsidR="008D20A3" w:rsidRPr="00654B5D" w:rsidTr="000E1F3F">
        <w:trPr>
          <w:trHeight w:val="315"/>
        </w:trPr>
        <w:tc>
          <w:tcPr>
            <w:tcW w:w="2319" w:type="pct"/>
            <w:tcBorders>
              <w:top w:val="nil"/>
              <w:left w:val="nil"/>
              <w:bottom w:val="nil"/>
              <w:right w:val="nil"/>
            </w:tcBorders>
            <w:shd w:val="clear" w:color="auto" w:fill="auto"/>
            <w:vAlign w:val="center"/>
            <w:hideMark/>
          </w:tcPr>
          <w:p w:rsidR="008D20A3" w:rsidRPr="003C5404" w:rsidRDefault="008D20A3" w:rsidP="008E4BB9">
            <w:pPr>
              <w:spacing w:after="0" w:line="240" w:lineRule="auto"/>
              <w:rPr>
                <w:rFonts w:ascii="Times New Roman" w:eastAsia="Times New Roman" w:hAnsi="Times New Roman" w:cs="Times New Roman"/>
                <w:sz w:val="18"/>
                <w:szCs w:val="18"/>
                <w:lang w:eastAsia="fr-FR"/>
              </w:rPr>
            </w:pPr>
            <w:r w:rsidRPr="003C5404">
              <w:rPr>
                <w:rFonts w:ascii="Times New Roman" w:eastAsia="Times New Roman" w:hAnsi="Times New Roman" w:cs="Times New Roman"/>
                <w:sz w:val="18"/>
                <w:szCs w:val="18"/>
                <w:lang w:eastAsia="fr-FR"/>
              </w:rPr>
              <w:t>08. COMMUNICATIONS</w:t>
            </w:r>
          </w:p>
        </w:tc>
        <w:tc>
          <w:tcPr>
            <w:tcW w:w="454" w:type="pct"/>
            <w:tcBorders>
              <w:top w:val="nil"/>
              <w:left w:val="nil"/>
              <w:bottom w:val="nil"/>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58,7</w:t>
            </w:r>
          </w:p>
        </w:tc>
        <w:tc>
          <w:tcPr>
            <w:tcW w:w="454" w:type="pct"/>
            <w:tcBorders>
              <w:top w:val="nil"/>
              <w:left w:val="nil"/>
              <w:bottom w:val="nil"/>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60,1</w:t>
            </w:r>
          </w:p>
        </w:tc>
        <w:tc>
          <w:tcPr>
            <w:tcW w:w="510" w:type="pct"/>
            <w:tcBorders>
              <w:top w:val="nil"/>
              <w:left w:val="nil"/>
              <w:bottom w:val="nil"/>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2,3</w:t>
            </w:r>
          </w:p>
        </w:tc>
        <w:tc>
          <w:tcPr>
            <w:tcW w:w="407" w:type="pct"/>
            <w:tcBorders>
              <w:top w:val="nil"/>
              <w:left w:val="nil"/>
              <w:bottom w:val="nil"/>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59,4</w:t>
            </w:r>
          </w:p>
        </w:tc>
        <w:tc>
          <w:tcPr>
            <w:tcW w:w="407" w:type="pct"/>
            <w:tcBorders>
              <w:top w:val="nil"/>
              <w:left w:val="nil"/>
              <w:bottom w:val="nil"/>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59,6</w:t>
            </w:r>
          </w:p>
        </w:tc>
        <w:tc>
          <w:tcPr>
            <w:tcW w:w="449" w:type="pct"/>
            <w:tcBorders>
              <w:top w:val="nil"/>
              <w:left w:val="nil"/>
              <w:bottom w:val="nil"/>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0,4</w:t>
            </w:r>
          </w:p>
        </w:tc>
      </w:tr>
      <w:tr w:rsidR="008D20A3" w:rsidRPr="00654B5D" w:rsidTr="000E1F3F">
        <w:trPr>
          <w:trHeight w:val="315"/>
        </w:trPr>
        <w:tc>
          <w:tcPr>
            <w:tcW w:w="2319" w:type="pct"/>
            <w:tcBorders>
              <w:top w:val="nil"/>
              <w:left w:val="nil"/>
              <w:bottom w:val="nil"/>
              <w:right w:val="nil"/>
            </w:tcBorders>
            <w:shd w:val="clear" w:color="auto" w:fill="auto"/>
            <w:vAlign w:val="center"/>
            <w:hideMark/>
          </w:tcPr>
          <w:p w:rsidR="008D20A3" w:rsidRPr="003C5404" w:rsidRDefault="008D20A3" w:rsidP="008E4BB9">
            <w:pPr>
              <w:spacing w:after="0" w:line="240" w:lineRule="auto"/>
              <w:rPr>
                <w:rFonts w:ascii="Times New Roman" w:eastAsia="Times New Roman" w:hAnsi="Times New Roman" w:cs="Times New Roman"/>
                <w:sz w:val="18"/>
                <w:szCs w:val="18"/>
                <w:lang w:eastAsia="fr-FR"/>
              </w:rPr>
            </w:pPr>
            <w:r w:rsidRPr="003C5404">
              <w:rPr>
                <w:rFonts w:ascii="Times New Roman" w:eastAsia="Times New Roman" w:hAnsi="Times New Roman" w:cs="Times New Roman"/>
                <w:sz w:val="18"/>
                <w:szCs w:val="18"/>
                <w:lang w:eastAsia="fr-FR"/>
              </w:rPr>
              <w:t>09. LOISIRS ET CULTURE</w:t>
            </w:r>
          </w:p>
        </w:tc>
        <w:tc>
          <w:tcPr>
            <w:tcW w:w="454" w:type="pct"/>
            <w:tcBorders>
              <w:top w:val="nil"/>
              <w:left w:val="nil"/>
              <w:bottom w:val="nil"/>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101,6</w:t>
            </w:r>
          </w:p>
        </w:tc>
        <w:tc>
          <w:tcPr>
            <w:tcW w:w="454" w:type="pct"/>
            <w:tcBorders>
              <w:top w:val="nil"/>
              <w:left w:val="nil"/>
              <w:bottom w:val="nil"/>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102,5</w:t>
            </w:r>
          </w:p>
        </w:tc>
        <w:tc>
          <w:tcPr>
            <w:tcW w:w="510" w:type="pct"/>
            <w:tcBorders>
              <w:top w:val="nil"/>
              <w:left w:val="nil"/>
              <w:bottom w:val="nil"/>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0,9</w:t>
            </w:r>
          </w:p>
        </w:tc>
        <w:tc>
          <w:tcPr>
            <w:tcW w:w="407" w:type="pct"/>
            <w:tcBorders>
              <w:top w:val="nil"/>
              <w:left w:val="nil"/>
              <w:bottom w:val="nil"/>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99,5</w:t>
            </w:r>
          </w:p>
        </w:tc>
        <w:tc>
          <w:tcPr>
            <w:tcW w:w="407" w:type="pct"/>
            <w:tcBorders>
              <w:top w:val="nil"/>
              <w:left w:val="nil"/>
              <w:bottom w:val="nil"/>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101,0</w:t>
            </w:r>
          </w:p>
        </w:tc>
        <w:tc>
          <w:tcPr>
            <w:tcW w:w="449" w:type="pct"/>
            <w:tcBorders>
              <w:top w:val="nil"/>
              <w:left w:val="nil"/>
              <w:bottom w:val="nil"/>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1,5</w:t>
            </w:r>
          </w:p>
        </w:tc>
      </w:tr>
      <w:tr w:rsidR="008D20A3" w:rsidRPr="00654B5D" w:rsidTr="000E1F3F">
        <w:trPr>
          <w:trHeight w:val="315"/>
        </w:trPr>
        <w:tc>
          <w:tcPr>
            <w:tcW w:w="2319" w:type="pct"/>
            <w:tcBorders>
              <w:top w:val="nil"/>
              <w:left w:val="nil"/>
              <w:bottom w:val="nil"/>
              <w:right w:val="nil"/>
            </w:tcBorders>
            <w:shd w:val="clear" w:color="auto" w:fill="auto"/>
            <w:vAlign w:val="center"/>
            <w:hideMark/>
          </w:tcPr>
          <w:p w:rsidR="008D20A3" w:rsidRPr="003C5404" w:rsidRDefault="008D20A3" w:rsidP="008E4BB9">
            <w:pPr>
              <w:spacing w:after="0" w:line="240" w:lineRule="auto"/>
              <w:rPr>
                <w:rFonts w:ascii="Times New Roman" w:eastAsia="Times New Roman" w:hAnsi="Times New Roman" w:cs="Times New Roman"/>
                <w:sz w:val="18"/>
                <w:szCs w:val="18"/>
                <w:lang w:eastAsia="fr-FR"/>
              </w:rPr>
            </w:pPr>
            <w:r w:rsidRPr="003C5404">
              <w:rPr>
                <w:rFonts w:ascii="Times New Roman" w:eastAsia="Times New Roman" w:hAnsi="Times New Roman" w:cs="Times New Roman"/>
                <w:sz w:val="18"/>
                <w:szCs w:val="18"/>
                <w:lang w:eastAsia="fr-FR"/>
              </w:rPr>
              <w:t>10. ENSEIGNEMENT</w:t>
            </w:r>
          </w:p>
        </w:tc>
        <w:tc>
          <w:tcPr>
            <w:tcW w:w="454" w:type="pct"/>
            <w:tcBorders>
              <w:top w:val="nil"/>
              <w:left w:val="nil"/>
              <w:bottom w:val="nil"/>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117,3</w:t>
            </w:r>
          </w:p>
        </w:tc>
        <w:tc>
          <w:tcPr>
            <w:tcW w:w="454" w:type="pct"/>
            <w:tcBorders>
              <w:top w:val="nil"/>
              <w:left w:val="nil"/>
              <w:bottom w:val="nil"/>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119,8</w:t>
            </w:r>
          </w:p>
        </w:tc>
        <w:tc>
          <w:tcPr>
            <w:tcW w:w="510" w:type="pct"/>
            <w:tcBorders>
              <w:top w:val="nil"/>
              <w:left w:val="nil"/>
              <w:bottom w:val="nil"/>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2,1</w:t>
            </w:r>
          </w:p>
        </w:tc>
        <w:tc>
          <w:tcPr>
            <w:tcW w:w="407" w:type="pct"/>
            <w:tcBorders>
              <w:top w:val="nil"/>
              <w:left w:val="nil"/>
              <w:bottom w:val="nil"/>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150,1</w:t>
            </w:r>
          </w:p>
        </w:tc>
        <w:tc>
          <w:tcPr>
            <w:tcW w:w="407" w:type="pct"/>
            <w:tcBorders>
              <w:top w:val="nil"/>
              <w:left w:val="nil"/>
              <w:bottom w:val="nil"/>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154,7</w:t>
            </w:r>
          </w:p>
        </w:tc>
        <w:tc>
          <w:tcPr>
            <w:tcW w:w="449" w:type="pct"/>
            <w:tcBorders>
              <w:top w:val="nil"/>
              <w:left w:val="nil"/>
              <w:bottom w:val="nil"/>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3,1</w:t>
            </w:r>
          </w:p>
        </w:tc>
      </w:tr>
      <w:tr w:rsidR="008D20A3" w:rsidRPr="00654B5D" w:rsidTr="000E1F3F">
        <w:trPr>
          <w:trHeight w:val="315"/>
        </w:trPr>
        <w:tc>
          <w:tcPr>
            <w:tcW w:w="2319" w:type="pct"/>
            <w:tcBorders>
              <w:top w:val="nil"/>
              <w:left w:val="nil"/>
              <w:bottom w:val="nil"/>
              <w:right w:val="nil"/>
            </w:tcBorders>
            <w:shd w:val="clear" w:color="auto" w:fill="auto"/>
            <w:vAlign w:val="center"/>
            <w:hideMark/>
          </w:tcPr>
          <w:p w:rsidR="008D20A3" w:rsidRPr="003C5404" w:rsidRDefault="008D20A3" w:rsidP="008E4BB9">
            <w:pPr>
              <w:spacing w:after="0" w:line="240" w:lineRule="auto"/>
              <w:rPr>
                <w:rFonts w:ascii="Times New Roman" w:eastAsia="Times New Roman" w:hAnsi="Times New Roman" w:cs="Times New Roman"/>
                <w:sz w:val="18"/>
                <w:szCs w:val="18"/>
                <w:lang w:eastAsia="fr-FR"/>
              </w:rPr>
            </w:pPr>
            <w:r w:rsidRPr="003C5404">
              <w:rPr>
                <w:rFonts w:ascii="Times New Roman" w:eastAsia="Times New Roman" w:hAnsi="Times New Roman" w:cs="Times New Roman"/>
                <w:sz w:val="18"/>
                <w:szCs w:val="18"/>
                <w:lang w:eastAsia="fr-FR"/>
              </w:rPr>
              <w:t>11. RESTAURANTS ET HÔTELS</w:t>
            </w:r>
          </w:p>
        </w:tc>
        <w:tc>
          <w:tcPr>
            <w:tcW w:w="454" w:type="pct"/>
            <w:tcBorders>
              <w:top w:val="nil"/>
              <w:left w:val="nil"/>
              <w:bottom w:val="nil"/>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160,1</w:t>
            </w:r>
          </w:p>
        </w:tc>
        <w:tc>
          <w:tcPr>
            <w:tcW w:w="454" w:type="pct"/>
            <w:tcBorders>
              <w:top w:val="nil"/>
              <w:left w:val="nil"/>
              <w:bottom w:val="nil"/>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163,3</w:t>
            </w:r>
          </w:p>
        </w:tc>
        <w:tc>
          <w:tcPr>
            <w:tcW w:w="510" w:type="pct"/>
            <w:tcBorders>
              <w:top w:val="nil"/>
              <w:left w:val="nil"/>
              <w:bottom w:val="nil"/>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2,0</w:t>
            </w:r>
          </w:p>
        </w:tc>
        <w:tc>
          <w:tcPr>
            <w:tcW w:w="407" w:type="pct"/>
            <w:tcBorders>
              <w:top w:val="nil"/>
              <w:left w:val="nil"/>
              <w:bottom w:val="nil"/>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132,0</w:t>
            </w:r>
          </w:p>
        </w:tc>
        <w:tc>
          <w:tcPr>
            <w:tcW w:w="407" w:type="pct"/>
            <w:tcBorders>
              <w:top w:val="nil"/>
              <w:left w:val="nil"/>
              <w:bottom w:val="nil"/>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133,7</w:t>
            </w:r>
          </w:p>
        </w:tc>
        <w:tc>
          <w:tcPr>
            <w:tcW w:w="449" w:type="pct"/>
            <w:tcBorders>
              <w:top w:val="nil"/>
              <w:left w:val="nil"/>
              <w:bottom w:val="nil"/>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1,2</w:t>
            </w:r>
          </w:p>
        </w:tc>
      </w:tr>
      <w:tr w:rsidR="008D20A3" w:rsidRPr="00654B5D" w:rsidTr="000E1F3F">
        <w:trPr>
          <w:trHeight w:val="225"/>
        </w:trPr>
        <w:tc>
          <w:tcPr>
            <w:tcW w:w="2319" w:type="pct"/>
            <w:tcBorders>
              <w:top w:val="nil"/>
              <w:left w:val="nil"/>
              <w:bottom w:val="single" w:sz="8" w:space="0" w:color="auto"/>
              <w:right w:val="nil"/>
            </w:tcBorders>
            <w:shd w:val="clear" w:color="auto" w:fill="auto"/>
            <w:vAlign w:val="center"/>
            <w:hideMark/>
          </w:tcPr>
          <w:p w:rsidR="008D20A3" w:rsidRPr="003C5404" w:rsidRDefault="008D20A3" w:rsidP="008E4BB9">
            <w:pPr>
              <w:spacing w:after="0" w:line="240" w:lineRule="auto"/>
              <w:rPr>
                <w:rFonts w:ascii="Times New Roman" w:eastAsia="Times New Roman" w:hAnsi="Times New Roman" w:cs="Times New Roman"/>
                <w:sz w:val="18"/>
                <w:szCs w:val="18"/>
                <w:lang w:eastAsia="fr-FR"/>
              </w:rPr>
            </w:pPr>
            <w:r w:rsidRPr="003C5404">
              <w:rPr>
                <w:rFonts w:ascii="Times New Roman" w:eastAsia="Times New Roman" w:hAnsi="Times New Roman" w:cs="Times New Roman"/>
                <w:sz w:val="18"/>
                <w:szCs w:val="18"/>
                <w:lang w:eastAsia="fr-FR"/>
              </w:rPr>
              <w:t>12. BIENS ET SERVICES DIVERS</w:t>
            </w:r>
          </w:p>
        </w:tc>
        <w:tc>
          <w:tcPr>
            <w:tcW w:w="454" w:type="pct"/>
            <w:tcBorders>
              <w:top w:val="nil"/>
              <w:left w:val="nil"/>
              <w:bottom w:val="single" w:sz="8" w:space="0" w:color="auto"/>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131,2</w:t>
            </w:r>
          </w:p>
        </w:tc>
        <w:tc>
          <w:tcPr>
            <w:tcW w:w="454" w:type="pct"/>
            <w:tcBorders>
              <w:top w:val="nil"/>
              <w:left w:val="nil"/>
              <w:bottom w:val="single" w:sz="8" w:space="0" w:color="auto"/>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131,5</w:t>
            </w:r>
          </w:p>
        </w:tc>
        <w:tc>
          <w:tcPr>
            <w:tcW w:w="510" w:type="pct"/>
            <w:tcBorders>
              <w:top w:val="nil"/>
              <w:left w:val="nil"/>
              <w:bottom w:val="single" w:sz="8" w:space="0" w:color="auto"/>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0,3</w:t>
            </w:r>
          </w:p>
        </w:tc>
        <w:tc>
          <w:tcPr>
            <w:tcW w:w="407" w:type="pct"/>
            <w:tcBorders>
              <w:top w:val="nil"/>
              <w:left w:val="nil"/>
              <w:bottom w:val="single" w:sz="8" w:space="0" w:color="auto"/>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122,7</w:t>
            </w:r>
          </w:p>
        </w:tc>
        <w:tc>
          <w:tcPr>
            <w:tcW w:w="407" w:type="pct"/>
            <w:tcBorders>
              <w:top w:val="nil"/>
              <w:left w:val="nil"/>
              <w:bottom w:val="single" w:sz="8" w:space="0" w:color="auto"/>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123,4</w:t>
            </w:r>
          </w:p>
        </w:tc>
        <w:tc>
          <w:tcPr>
            <w:tcW w:w="449" w:type="pct"/>
            <w:tcBorders>
              <w:top w:val="nil"/>
              <w:left w:val="nil"/>
              <w:bottom w:val="single" w:sz="8" w:space="0" w:color="auto"/>
              <w:right w:val="nil"/>
            </w:tcBorders>
            <w:shd w:val="clear" w:color="auto" w:fill="auto"/>
            <w:noWrap/>
            <w:vAlign w:val="center"/>
            <w:hideMark/>
          </w:tcPr>
          <w:p w:rsidR="008D20A3" w:rsidRPr="008D20A3" w:rsidRDefault="008D20A3">
            <w:pPr>
              <w:jc w:val="right"/>
              <w:rPr>
                <w:rFonts w:asciiTheme="majorBidi" w:hAnsiTheme="majorBidi" w:cstheme="majorBidi"/>
                <w:color w:val="000000"/>
                <w:sz w:val="20"/>
                <w:szCs w:val="20"/>
              </w:rPr>
            </w:pPr>
            <w:r w:rsidRPr="008D20A3">
              <w:rPr>
                <w:rFonts w:asciiTheme="majorBidi" w:hAnsiTheme="majorBidi" w:cstheme="majorBidi"/>
                <w:color w:val="000000"/>
                <w:sz w:val="20"/>
                <w:szCs w:val="20"/>
              </w:rPr>
              <w:t>0,6</w:t>
            </w:r>
          </w:p>
        </w:tc>
      </w:tr>
      <w:tr w:rsidR="008D20A3" w:rsidRPr="00654B5D" w:rsidTr="000E1F3F">
        <w:trPr>
          <w:trHeight w:val="420"/>
        </w:trPr>
        <w:tc>
          <w:tcPr>
            <w:tcW w:w="2319" w:type="pct"/>
            <w:tcBorders>
              <w:top w:val="single" w:sz="8" w:space="0" w:color="auto"/>
              <w:left w:val="nil"/>
              <w:bottom w:val="single" w:sz="12" w:space="0" w:color="auto"/>
              <w:right w:val="nil"/>
            </w:tcBorders>
            <w:shd w:val="clear" w:color="auto" w:fill="auto"/>
            <w:vAlign w:val="center"/>
            <w:hideMark/>
          </w:tcPr>
          <w:p w:rsidR="008D20A3" w:rsidRPr="00654B5D" w:rsidRDefault="008D20A3" w:rsidP="000E1F3F">
            <w:pPr>
              <w:spacing w:after="0" w:line="240" w:lineRule="auto"/>
              <w:jc w:val="center"/>
              <w:rPr>
                <w:rFonts w:ascii="Times New Roman" w:eastAsia="Times New Roman" w:hAnsi="Times New Roman" w:cs="Times New Roman"/>
                <w:sz w:val="16"/>
                <w:szCs w:val="16"/>
                <w:lang w:eastAsia="fr-FR"/>
              </w:rPr>
            </w:pPr>
            <w:r w:rsidRPr="00654B5D">
              <w:rPr>
                <w:rFonts w:ascii="Times New Roman" w:eastAsia="Times New Roman" w:hAnsi="Times New Roman" w:cs="Times New Roman"/>
                <w:b/>
                <w:bCs/>
                <w:sz w:val="24"/>
                <w:szCs w:val="24"/>
                <w:lang w:eastAsia="fr-FR"/>
              </w:rPr>
              <w:t>Indices des Produits non alimentaires</w:t>
            </w:r>
          </w:p>
        </w:tc>
        <w:tc>
          <w:tcPr>
            <w:tcW w:w="454" w:type="pct"/>
            <w:tcBorders>
              <w:top w:val="single" w:sz="8" w:space="0" w:color="auto"/>
              <w:left w:val="nil"/>
              <w:bottom w:val="single" w:sz="12" w:space="0" w:color="auto"/>
              <w:right w:val="nil"/>
            </w:tcBorders>
            <w:shd w:val="clear" w:color="auto" w:fill="auto"/>
            <w:noWrap/>
            <w:vAlign w:val="center"/>
            <w:hideMark/>
          </w:tcPr>
          <w:p w:rsidR="008D20A3" w:rsidRPr="008D20A3" w:rsidRDefault="008D20A3">
            <w:pPr>
              <w:jc w:val="right"/>
              <w:rPr>
                <w:rFonts w:asciiTheme="majorBidi" w:hAnsiTheme="majorBidi" w:cstheme="majorBidi"/>
                <w:b/>
                <w:bCs/>
                <w:color w:val="000000"/>
                <w:sz w:val="20"/>
                <w:szCs w:val="20"/>
              </w:rPr>
            </w:pPr>
            <w:r w:rsidRPr="008D20A3">
              <w:rPr>
                <w:rFonts w:asciiTheme="majorBidi" w:hAnsiTheme="majorBidi" w:cstheme="majorBidi"/>
                <w:b/>
                <w:bCs/>
                <w:color w:val="000000"/>
                <w:sz w:val="20"/>
                <w:szCs w:val="20"/>
              </w:rPr>
              <w:t>112,3</w:t>
            </w:r>
          </w:p>
        </w:tc>
        <w:tc>
          <w:tcPr>
            <w:tcW w:w="454" w:type="pct"/>
            <w:tcBorders>
              <w:top w:val="single" w:sz="8" w:space="0" w:color="auto"/>
              <w:left w:val="nil"/>
              <w:bottom w:val="single" w:sz="12" w:space="0" w:color="auto"/>
              <w:right w:val="nil"/>
            </w:tcBorders>
            <w:shd w:val="clear" w:color="auto" w:fill="auto"/>
            <w:noWrap/>
            <w:vAlign w:val="center"/>
            <w:hideMark/>
          </w:tcPr>
          <w:p w:rsidR="008D20A3" w:rsidRPr="008D20A3" w:rsidRDefault="008D20A3">
            <w:pPr>
              <w:jc w:val="right"/>
              <w:rPr>
                <w:rFonts w:asciiTheme="majorBidi" w:hAnsiTheme="majorBidi" w:cstheme="majorBidi"/>
                <w:b/>
                <w:bCs/>
                <w:color w:val="000000"/>
                <w:sz w:val="20"/>
                <w:szCs w:val="20"/>
              </w:rPr>
            </w:pPr>
            <w:r w:rsidRPr="008D20A3">
              <w:rPr>
                <w:rFonts w:asciiTheme="majorBidi" w:hAnsiTheme="majorBidi" w:cstheme="majorBidi"/>
                <w:b/>
                <w:bCs/>
                <w:color w:val="000000"/>
                <w:sz w:val="20"/>
                <w:szCs w:val="20"/>
              </w:rPr>
              <w:t>112,9</w:t>
            </w:r>
          </w:p>
        </w:tc>
        <w:tc>
          <w:tcPr>
            <w:tcW w:w="510" w:type="pct"/>
            <w:tcBorders>
              <w:top w:val="single" w:sz="8" w:space="0" w:color="auto"/>
              <w:left w:val="nil"/>
              <w:bottom w:val="single" w:sz="12" w:space="0" w:color="auto"/>
              <w:right w:val="nil"/>
            </w:tcBorders>
            <w:shd w:val="clear" w:color="auto" w:fill="auto"/>
            <w:noWrap/>
            <w:vAlign w:val="center"/>
            <w:hideMark/>
          </w:tcPr>
          <w:p w:rsidR="008D20A3" w:rsidRPr="008D20A3" w:rsidRDefault="008D20A3">
            <w:pPr>
              <w:jc w:val="right"/>
              <w:rPr>
                <w:rFonts w:asciiTheme="majorBidi" w:hAnsiTheme="majorBidi" w:cstheme="majorBidi"/>
                <w:b/>
                <w:bCs/>
                <w:color w:val="000000"/>
                <w:sz w:val="20"/>
                <w:szCs w:val="20"/>
              </w:rPr>
            </w:pPr>
            <w:r w:rsidRPr="008D20A3">
              <w:rPr>
                <w:rFonts w:asciiTheme="majorBidi" w:hAnsiTheme="majorBidi" w:cstheme="majorBidi"/>
                <w:b/>
                <w:bCs/>
                <w:color w:val="000000"/>
                <w:sz w:val="20"/>
                <w:szCs w:val="20"/>
              </w:rPr>
              <w:t>0,5</w:t>
            </w:r>
          </w:p>
        </w:tc>
        <w:tc>
          <w:tcPr>
            <w:tcW w:w="407" w:type="pct"/>
            <w:tcBorders>
              <w:top w:val="single" w:sz="8" w:space="0" w:color="auto"/>
              <w:left w:val="nil"/>
              <w:bottom w:val="single" w:sz="12" w:space="0" w:color="auto"/>
              <w:right w:val="nil"/>
            </w:tcBorders>
            <w:shd w:val="clear" w:color="auto" w:fill="auto"/>
            <w:noWrap/>
            <w:vAlign w:val="center"/>
            <w:hideMark/>
          </w:tcPr>
          <w:p w:rsidR="008D20A3" w:rsidRPr="008D20A3" w:rsidRDefault="008D20A3">
            <w:pPr>
              <w:jc w:val="right"/>
              <w:rPr>
                <w:rFonts w:asciiTheme="majorBidi" w:hAnsiTheme="majorBidi" w:cstheme="majorBidi"/>
                <w:b/>
                <w:bCs/>
                <w:color w:val="000000"/>
                <w:sz w:val="20"/>
                <w:szCs w:val="20"/>
              </w:rPr>
            </w:pPr>
            <w:r w:rsidRPr="008D20A3">
              <w:rPr>
                <w:rFonts w:asciiTheme="majorBidi" w:hAnsiTheme="majorBidi" w:cstheme="majorBidi"/>
                <w:b/>
                <w:bCs/>
                <w:color w:val="000000"/>
                <w:sz w:val="20"/>
                <w:szCs w:val="20"/>
              </w:rPr>
              <w:t>113,8</w:t>
            </w:r>
          </w:p>
        </w:tc>
        <w:tc>
          <w:tcPr>
            <w:tcW w:w="407" w:type="pct"/>
            <w:tcBorders>
              <w:top w:val="single" w:sz="8" w:space="0" w:color="auto"/>
              <w:left w:val="nil"/>
              <w:bottom w:val="single" w:sz="12" w:space="0" w:color="auto"/>
              <w:right w:val="nil"/>
            </w:tcBorders>
            <w:shd w:val="clear" w:color="auto" w:fill="auto"/>
            <w:noWrap/>
            <w:vAlign w:val="center"/>
            <w:hideMark/>
          </w:tcPr>
          <w:p w:rsidR="008D20A3" w:rsidRPr="008D20A3" w:rsidRDefault="008D20A3">
            <w:pPr>
              <w:jc w:val="right"/>
              <w:rPr>
                <w:rFonts w:asciiTheme="majorBidi" w:hAnsiTheme="majorBidi" w:cstheme="majorBidi"/>
                <w:b/>
                <w:bCs/>
                <w:color w:val="000000"/>
                <w:sz w:val="20"/>
                <w:szCs w:val="20"/>
              </w:rPr>
            </w:pPr>
            <w:r w:rsidRPr="008D20A3">
              <w:rPr>
                <w:rFonts w:asciiTheme="majorBidi" w:hAnsiTheme="majorBidi" w:cstheme="majorBidi"/>
                <w:b/>
                <w:bCs/>
                <w:color w:val="000000"/>
                <w:sz w:val="20"/>
                <w:szCs w:val="20"/>
              </w:rPr>
              <w:t>114,8</w:t>
            </w:r>
          </w:p>
        </w:tc>
        <w:tc>
          <w:tcPr>
            <w:tcW w:w="449" w:type="pct"/>
            <w:tcBorders>
              <w:top w:val="single" w:sz="8" w:space="0" w:color="auto"/>
              <w:left w:val="nil"/>
              <w:bottom w:val="single" w:sz="12" w:space="0" w:color="auto"/>
              <w:right w:val="nil"/>
            </w:tcBorders>
            <w:shd w:val="clear" w:color="auto" w:fill="auto"/>
            <w:noWrap/>
            <w:vAlign w:val="center"/>
            <w:hideMark/>
          </w:tcPr>
          <w:p w:rsidR="008D20A3" w:rsidRPr="008D20A3" w:rsidRDefault="008D20A3">
            <w:pPr>
              <w:jc w:val="right"/>
              <w:rPr>
                <w:rFonts w:asciiTheme="majorBidi" w:hAnsiTheme="majorBidi" w:cstheme="majorBidi"/>
                <w:b/>
                <w:bCs/>
                <w:color w:val="000000"/>
                <w:sz w:val="20"/>
                <w:szCs w:val="20"/>
              </w:rPr>
            </w:pPr>
            <w:r w:rsidRPr="008D20A3">
              <w:rPr>
                <w:rFonts w:asciiTheme="majorBidi" w:hAnsiTheme="majorBidi" w:cstheme="majorBidi"/>
                <w:b/>
                <w:bCs/>
                <w:color w:val="000000"/>
                <w:sz w:val="20"/>
                <w:szCs w:val="20"/>
              </w:rPr>
              <w:t>0,8</w:t>
            </w:r>
          </w:p>
        </w:tc>
      </w:tr>
      <w:tr w:rsidR="008D20A3" w:rsidRPr="008D20A3" w:rsidTr="003C5404">
        <w:trPr>
          <w:trHeight w:val="330"/>
        </w:trPr>
        <w:tc>
          <w:tcPr>
            <w:tcW w:w="2319" w:type="pct"/>
            <w:tcBorders>
              <w:top w:val="single" w:sz="12" w:space="0" w:color="auto"/>
              <w:left w:val="nil"/>
              <w:bottom w:val="single" w:sz="12" w:space="0" w:color="auto"/>
              <w:right w:val="nil"/>
            </w:tcBorders>
            <w:shd w:val="clear" w:color="000000" w:fill="A5A5A5"/>
            <w:noWrap/>
            <w:vAlign w:val="center"/>
            <w:hideMark/>
          </w:tcPr>
          <w:p w:rsidR="008D20A3" w:rsidRPr="00654B5D" w:rsidRDefault="008D20A3" w:rsidP="000E1F3F">
            <w:pPr>
              <w:spacing w:after="0" w:line="240" w:lineRule="auto"/>
              <w:rPr>
                <w:rFonts w:ascii="Times New Roman" w:eastAsia="Times New Roman" w:hAnsi="Times New Roman" w:cs="Times New Roman"/>
                <w:b/>
                <w:bCs/>
                <w:lang w:eastAsia="fr-FR"/>
              </w:rPr>
            </w:pPr>
            <w:r w:rsidRPr="00654B5D">
              <w:rPr>
                <w:rFonts w:ascii="Times New Roman" w:eastAsia="Times New Roman" w:hAnsi="Times New Roman" w:cs="Times New Roman"/>
                <w:b/>
                <w:bCs/>
                <w:lang w:eastAsia="fr-FR"/>
              </w:rPr>
              <w:t xml:space="preserve">  INDICE  GENERAL    </w:t>
            </w:r>
          </w:p>
        </w:tc>
        <w:tc>
          <w:tcPr>
            <w:tcW w:w="454" w:type="pct"/>
            <w:tcBorders>
              <w:top w:val="single" w:sz="12" w:space="0" w:color="auto"/>
              <w:left w:val="nil"/>
              <w:bottom w:val="single" w:sz="12" w:space="0" w:color="auto"/>
              <w:right w:val="nil"/>
            </w:tcBorders>
            <w:shd w:val="clear" w:color="000000" w:fill="A5A5A5"/>
            <w:noWrap/>
            <w:vAlign w:val="center"/>
            <w:hideMark/>
          </w:tcPr>
          <w:p w:rsidR="008D20A3" w:rsidRPr="003C5404" w:rsidRDefault="008D20A3" w:rsidP="003C5404">
            <w:pPr>
              <w:spacing w:after="0" w:line="240" w:lineRule="auto"/>
              <w:jc w:val="right"/>
              <w:rPr>
                <w:rFonts w:ascii="Times New Roman" w:eastAsia="Times New Roman" w:hAnsi="Times New Roman" w:cs="Times New Roman"/>
                <w:b/>
                <w:bCs/>
                <w:lang w:eastAsia="fr-FR"/>
              </w:rPr>
            </w:pPr>
            <w:r w:rsidRPr="003C5404">
              <w:rPr>
                <w:rFonts w:ascii="Times New Roman" w:eastAsia="Times New Roman" w:hAnsi="Times New Roman" w:cs="Times New Roman"/>
                <w:b/>
                <w:bCs/>
                <w:lang w:eastAsia="fr-FR"/>
              </w:rPr>
              <w:t>118,5</w:t>
            </w:r>
          </w:p>
        </w:tc>
        <w:tc>
          <w:tcPr>
            <w:tcW w:w="454" w:type="pct"/>
            <w:tcBorders>
              <w:top w:val="single" w:sz="12" w:space="0" w:color="auto"/>
              <w:left w:val="nil"/>
              <w:bottom w:val="single" w:sz="12" w:space="0" w:color="auto"/>
              <w:right w:val="nil"/>
            </w:tcBorders>
            <w:shd w:val="clear" w:color="000000" w:fill="A5A5A5"/>
            <w:noWrap/>
            <w:vAlign w:val="center"/>
            <w:hideMark/>
          </w:tcPr>
          <w:p w:rsidR="008D20A3" w:rsidRPr="003C5404" w:rsidRDefault="008D20A3" w:rsidP="003C5404">
            <w:pPr>
              <w:spacing w:after="0" w:line="240" w:lineRule="auto"/>
              <w:jc w:val="right"/>
              <w:rPr>
                <w:rFonts w:ascii="Times New Roman" w:eastAsia="Times New Roman" w:hAnsi="Times New Roman" w:cs="Times New Roman"/>
                <w:b/>
                <w:bCs/>
                <w:lang w:eastAsia="fr-FR"/>
              </w:rPr>
            </w:pPr>
            <w:r w:rsidRPr="003C5404">
              <w:rPr>
                <w:rFonts w:ascii="Times New Roman" w:eastAsia="Times New Roman" w:hAnsi="Times New Roman" w:cs="Times New Roman"/>
                <w:b/>
                <w:bCs/>
                <w:lang w:eastAsia="fr-FR"/>
              </w:rPr>
              <w:t>118,7</w:t>
            </w:r>
          </w:p>
        </w:tc>
        <w:tc>
          <w:tcPr>
            <w:tcW w:w="510" w:type="pct"/>
            <w:tcBorders>
              <w:top w:val="single" w:sz="12" w:space="0" w:color="auto"/>
              <w:left w:val="nil"/>
              <w:bottom w:val="single" w:sz="12" w:space="0" w:color="auto"/>
              <w:right w:val="nil"/>
            </w:tcBorders>
            <w:shd w:val="clear" w:color="000000" w:fill="A5A5A5"/>
            <w:noWrap/>
            <w:vAlign w:val="center"/>
            <w:hideMark/>
          </w:tcPr>
          <w:p w:rsidR="008D20A3" w:rsidRPr="003C5404" w:rsidRDefault="008D20A3" w:rsidP="003C5404">
            <w:pPr>
              <w:spacing w:after="0" w:line="240" w:lineRule="auto"/>
              <w:jc w:val="right"/>
              <w:rPr>
                <w:rFonts w:ascii="Times New Roman" w:eastAsia="Times New Roman" w:hAnsi="Times New Roman" w:cs="Times New Roman"/>
                <w:b/>
                <w:bCs/>
                <w:lang w:eastAsia="fr-FR"/>
              </w:rPr>
            </w:pPr>
            <w:r w:rsidRPr="003C5404">
              <w:rPr>
                <w:rFonts w:ascii="Times New Roman" w:eastAsia="Times New Roman" w:hAnsi="Times New Roman" w:cs="Times New Roman"/>
                <w:b/>
                <w:bCs/>
                <w:lang w:eastAsia="fr-FR"/>
              </w:rPr>
              <w:t>0,2</w:t>
            </w:r>
          </w:p>
        </w:tc>
        <w:tc>
          <w:tcPr>
            <w:tcW w:w="407" w:type="pct"/>
            <w:tcBorders>
              <w:top w:val="single" w:sz="12" w:space="0" w:color="auto"/>
              <w:left w:val="nil"/>
              <w:bottom w:val="single" w:sz="12" w:space="0" w:color="auto"/>
              <w:right w:val="nil"/>
            </w:tcBorders>
            <w:shd w:val="clear" w:color="000000" w:fill="A5A5A5"/>
            <w:noWrap/>
            <w:vAlign w:val="center"/>
            <w:hideMark/>
          </w:tcPr>
          <w:p w:rsidR="008D20A3" w:rsidRPr="003C5404" w:rsidRDefault="008D20A3" w:rsidP="003C5404">
            <w:pPr>
              <w:spacing w:after="0" w:line="240" w:lineRule="auto"/>
              <w:jc w:val="right"/>
              <w:rPr>
                <w:rFonts w:ascii="Times New Roman" w:eastAsia="Times New Roman" w:hAnsi="Times New Roman" w:cs="Times New Roman"/>
                <w:b/>
                <w:bCs/>
                <w:lang w:eastAsia="fr-FR"/>
              </w:rPr>
            </w:pPr>
            <w:r w:rsidRPr="003C5404">
              <w:rPr>
                <w:rFonts w:ascii="Times New Roman" w:eastAsia="Times New Roman" w:hAnsi="Times New Roman" w:cs="Times New Roman"/>
                <w:b/>
                <w:bCs/>
                <w:lang w:eastAsia="fr-FR"/>
              </w:rPr>
              <w:t>120,1</w:t>
            </w:r>
          </w:p>
        </w:tc>
        <w:tc>
          <w:tcPr>
            <w:tcW w:w="407" w:type="pct"/>
            <w:tcBorders>
              <w:top w:val="single" w:sz="12" w:space="0" w:color="auto"/>
              <w:left w:val="nil"/>
              <w:bottom w:val="single" w:sz="12" w:space="0" w:color="auto"/>
              <w:right w:val="nil"/>
            </w:tcBorders>
            <w:shd w:val="clear" w:color="000000" w:fill="A5A5A5"/>
            <w:noWrap/>
            <w:vAlign w:val="center"/>
            <w:hideMark/>
          </w:tcPr>
          <w:p w:rsidR="008D20A3" w:rsidRPr="003C5404" w:rsidRDefault="008D20A3" w:rsidP="003C5404">
            <w:pPr>
              <w:spacing w:after="0" w:line="240" w:lineRule="auto"/>
              <w:jc w:val="right"/>
              <w:rPr>
                <w:rFonts w:ascii="Times New Roman" w:eastAsia="Times New Roman" w:hAnsi="Times New Roman" w:cs="Times New Roman"/>
                <w:b/>
                <w:bCs/>
                <w:lang w:eastAsia="fr-FR"/>
              </w:rPr>
            </w:pPr>
            <w:r w:rsidRPr="003C5404">
              <w:rPr>
                <w:rFonts w:ascii="Times New Roman" w:eastAsia="Times New Roman" w:hAnsi="Times New Roman" w:cs="Times New Roman"/>
                <w:b/>
                <w:bCs/>
                <w:lang w:eastAsia="fr-FR"/>
              </w:rPr>
              <w:t>120,4</w:t>
            </w:r>
          </w:p>
        </w:tc>
        <w:tc>
          <w:tcPr>
            <w:tcW w:w="449" w:type="pct"/>
            <w:tcBorders>
              <w:top w:val="single" w:sz="12" w:space="0" w:color="auto"/>
              <w:left w:val="nil"/>
              <w:bottom w:val="single" w:sz="12" w:space="0" w:color="auto"/>
              <w:right w:val="nil"/>
            </w:tcBorders>
            <w:shd w:val="clear" w:color="000000" w:fill="A5A5A5"/>
            <w:noWrap/>
            <w:vAlign w:val="center"/>
            <w:hideMark/>
          </w:tcPr>
          <w:p w:rsidR="008D20A3" w:rsidRPr="003C5404" w:rsidRDefault="008D20A3" w:rsidP="003C5404">
            <w:pPr>
              <w:spacing w:after="0" w:line="240" w:lineRule="auto"/>
              <w:jc w:val="right"/>
              <w:rPr>
                <w:rFonts w:ascii="Times New Roman" w:eastAsia="Times New Roman" w:hAnsi="Times New Roman" w:cs="Times New Roman"/>
                <w:b/>
                <w:bCs/>
                <w:lang w:eastAsia="fr-FR"/>
              </w:rPr>
            </w:pPr>
            <w:r w:rsidRPr="003C5404">
              <w:rPr>
                <w:rFonts w:ascii="Times New Roman" w:eastAsia="Times New Roman" w:hAnsi="Times New Roman" w:cs="Times New Roman"/>
                <w:b/>
                <w:bCs/>
                <w:lang w:eastAsia="fr-FR"/>
              </w:rPr>
              <w:t>0,3</w:t>
            </w:r>
          </w:p>
        </w:tc>
      </w:tr>
    </w:tbl>
    <w:p w:rsidR="00801A7A" w:rsidRPr="00483003" w:rsidRDefault="00801A7A" w:rsidP="00801A7A">
      <w:pPr>
        <w:pStyle w:val="Lgende"/>
        <w:rPr>
          <w:rFonts w:ascii="Times New Roman" w:hAnsi="Times New Roman"/>
          <w:i/>
          <w:iCs/>
          <w:sz w:val="22"/>
        </w:rPr>
      </w:pPr>
      <w:r w:rsidRPr="00483003">
        <w:rPr>
          <w:rFonts w:ascii="Times New Roman" w:hAnsi="Times New Roman"/>
          <w:i/>
          <w:iCs/>
          <w:sz w:val="22"/>
        </w:rPr>
        <w:t>Source : HCP</w:t>
      </w:r>
    </w:p>
    <w:p w:rsidR="007E2973" w:rsidRDefault="006C0B65" w:rsidP="00F853F1">
      <w:pPr>
        <w:spacing w:before="240" w:after="240" w:line="240" w:lineRule="auto"/>
        <w:jc w:val="both"/>
        <w:rPr>
          <w:rFonts w:asciiTheme="majorBidi" w:hAnsiTheme="majorBidi" w:cstheme="majorBidi"/>
          <w:sz w:val="24"/>
          <w:szCs w:val="24"/>
        </w:rPr>
      </w:pPr>
      <w:r w:rsidRPr="006C0B65">
        <w:rPr>
          <w:rFonts w:asciiTheme="majorBidi" w:hAnsiTheme="majorBidi" w:cstheme="majorBidi"/>
          <w:sz w:val="24"/>
          <w:szCs w:val="24"/>
        </w:rPr>
        <w:t>La</w:t>
      </w:r>
      <w:r>
        <w:rPr>
          <w:rFonts w:asciiTheme="majorBidi" w:hAnsiTheme="majorBidi" w:cstheme="majorBidi"/>
          <w:sz w:val="24"/>
          <w:szCs w:val="24"/>
        </w:rPr>
        <w:t xml:space="preserve"> baisse du niveau général des prix entre 2018 et 2019 pour la 1</w:t>
      </w:r>
      <w:r w:rsidRPr="006C0B65">
        <w:rPr>
          <w:rFonts w:asciiTheme="majorBidi" w:hAnsiTheme="majorBidi" w:cstheme="majorBidi"/>
          <w:sz w:val="24"/>
          <w:szCs w:val="24"/>
          <w:vertAlign w:val="superscript"/>
        </w:rPr>
        <w:t>ère</w:t>
      </w:r>
      <w:r>
        <w:rPr>
          <w:rFonts w:asciiTheme="majorBidi" w:hAnsiTheme="majorBidi" w:cstheme="majorBidi"/>
          <w:sz w:val="24"/>
          <w:szCs w:val="24"/>
        </w:rPr>
        <w:t xml:space="preserve"> division, est la résultante de la récession de l’indice du groupe « produits alimentaire » de 1% et la croissance de celui des « Boissons non alcoolisées» de 0,4%. En ce qui concerne le 1</w:t>
      </w:r>
      <w:r w:rsidRPr="006C0B65">
        <w:rPr>
          <w:rFonts w:asciiTheme="majorBidi" w:hAnsiTheme="majorBidi" w:cstheme="majorBidi"/>
          <w:sz w:val="24"/>
          <w:szCs w:val="24"/>
          <w:vertAlign w:val="superscript"/>
        </w:rPr>
        <w:t>er</w:t>
      </w:r>
      <w:r>
        <w:rPr>
          <w:rFonts w:asciiTheme="majorBidi" w:hAnsiTheme="majorBidi" w:cstheme="majorBidi"/>
          <w:sz w:val="24"/>
          <w:szCs w:val="24"/>
        </w:rPr>
        <w:t xml:space="preserve"> groupe, les fortes hausses ont été enregistrées pour la</w:t>
      </w:r>
      <w:r w:rsidR="00F853F1">
        <w:rPr>
          <w:rFonts w:asciiTheme="majorBidi" w:hAnsiTheme="majorBidi" w:cstheme="majorBidi"/>
          <w:sz w:val="24"/>
          <w:szCs w:val="24"/>
        </w:rPr>
        <w:t xml:space="preserve"> V</w:t>
      </w:r>
      <w:r>
        <w:rPr>
          <w:rFonts w:asciiTheme="majorBidi" w:hAnsiTheme="majorBidi" w:cstheme="majorBidi"/>
          <w:sz w:val="24"/>
          <w:szCs w:val="24"/>
        </w:rPr>
        <w:t xml:space="preserve">iande avec 4%, le Sucre, </w:t>
      </w:r>
      <w:r w:rsidR="00F853F1">
        <w:rPr>
          <w:rFonts w:asciiTheme="majorBidi" w:hAnsiTheme="majorBidi" w:cstheme="majorBidi"/>
          <w:sz w:val="24"/>
          <w:szCs w:val="24"/>
        </w:rPr>
        <w:t>C</w:t>
      </w:r>
      <w:r>
        <w:rPr>
          <w:rFonts w:asciiTheme="majorBidi" w:hAnsiTheme="majorBidi" w:cstheme="majorBidi"/>
          <w:sz w:val="24"/>
          <w:szCs w:val="24"/>
        </w:rPr>
        <w:t xml:space="preserve">onfiture, </w:t>
      </w:r>
      <w:r w:rsidR="00F853F1">
        <w:rPr>
          <w:rFonts w:asciiTheme="majorBidi" w:hAnsiTheme="majorBidi" w:cstheme="majorBidi"/>
          <w:sz w:val="24"/>
          <w:szCs w:val="24"/>
        </w:rPr>
        <w:t>M</w:t>
      </w:r>
      <w:r>
        <w:rPr>
          <w:rFonts w:asciiTheme="majorBidi" w:hAnsiTheme="majorBidi" w:cstheme="majorBidi"/>
          <w:sz w:val="24"/>
          <w:szCs w:val="24"/>
        </w:rPr>
        <w:t xml:space="preserve">iel, </w:t>
      </w:r>
      <w:r w:rsidR="00F853F1">
        <w:rPr>
          <w:rFonts w:asciiTheme="majorBidi" w:hAnsiTheme="majorBidi" w:cstheme="majorBidi"/>
          <w:sz w:val="24"/>
          <w:szCs w:val="24"/>
        </w:rPr>
        <w:t>C</w:t>
      </w:r>
      <w:r>
        <w:rPr>
          <w:rFonts w:asciiTheme="majorBidi" w:hAnsiTheme="majorBidi" w:cstheme="majorBidi"/>
          <w:sz w:val="24"/>
          <w:szCs w:val="24"/>
        </w:rPr>
        <w:t xml:space="preserve">hocolat et </w:t>
      </w:r>
      <w:r w:rsidR="00F853F1">
        <w:rPr>
          <w:rFonts w:asciiTheme="majorBidi" w:hAnsiTheme="majorBidi" w:cstheme="majorBidi"/>
          <w:sz w:val="24"/>
          <w:szCs w:val="24"/>
        </w:rPr>
        <w:t>Confiserie avec 0,8% et les L</w:t>
      </w:r>
      <w:r>
        <w:rPr>
          <w:rFonts w:asciiTheme="majorBidi" w:hAnsiTheme="majorBidi" w:cstheme="majorBidi"/>
          <w:sz w:val="24"/>
          <w:szCs w:val="24"/>
        </w:rPr>
        <w:t>égumes avec 0,</w:t>
      </w:r>
      <w:r w:rsidR="00444E17">
        <w:rPr>
          <w:rFonts w:asciiTheme="majorBidi" w:hAnsiTheme="majorBidi" w:cstheme="majorBidi"/>
          <w:sz w:val="24"/>
          <w:szCs w:val="24"/>
        </w:rPr>
        <w:t>6</w:t>
      </w:r>
      <w:r>
        <w:rPr>
          <w:rFonts w:asciiTheme="majorBidi" w:hAnsiTheme="majorBidi" w:cstheme="majorBidi"/>
          <w:sz w:val="24"/>
          <w:szCs w:val="24"/>
        </w:rPr>
        <w:t>%. Quant aux classes touchées par la baisse au sein du 1</w:t>
      </w:r>
      <w:r w:rsidRPr="006C0B65">
        <w:rPr>
          <w:rFonts w:asciiTheme="majorBidi" w:hAnsiTheme="majorBidi" w:cstheme="majorBidi"/>
          <w:sz w:val="24"/>
          <w:szCs w:val="24"/>
          <w:vertAlign w:val="superscript"/>
        </w:rPr>
        <w:t>er</w:t>
      </w:r>
      <w:r>
        <w:rPr>
          <w:rFonts w:asciiTheme="majorBidi" w:hAnsiTheme="majorBidi" w:cstheme="majorBidi"/>
          <w:sz w:val="24"/>
          <w:szCs w:val="24"/>
        </w:rPr>
        <w:t xml:space="preserve"> groupe, on cite : les Poissons et </w:t>
      </w:r>
      <w:r w:rsidR="00F853F1">
        <w:rPr>
          <w:rFonts w:asciiTheme="majorBidi" w:hAnsiTheme="majorBidi" w:cstheme="majorBidi"/>
          <w:sz w:val="24"/>
          <w:szCs w:val="24"/>
        </w:rPr>
        <w:t>F</w:t>
      </w:r>
      <w:r>
        <w:rPr>
          <w:rFonts w:asciiTheme="majorBidi" w:hAnsiTheme="majorBidi" w:cstheme="majorBidi"/>
          <w:sz w:val="24"/>
          <w:szCs w:val="24"/>
        </w:rPr>
        <w:t xml:space="preserve">ruits de mer avec </w:t>
      </w:r>
      <w:r w:rsidR="00F853F1">
        <w:rPr>
          <w:rFonts w:asciiTheme="majorBidi" w:hAnsiTheme="majorBidi" w:cstheme="majorBidi"/>
          <w:sz w:val="24"/>
          <w:szCs w:val="24"/>
        </w:rPr>
        <w:t>(</w:t>
      </w:r>
      <w:r>
        <w:rPr>
          <w:rFonts w:asciiTheme="majorBidi" w:hAnsiTheme="majorBidi" w:cstheme="majorBidi"/>
          <w:sz w:val="24"/>
          <w:szCs w:val="24"/>
        </w:rPr>
        <w:t>-5,1%</w:t>
      </w:r>
      <w:r w:rsidR="00F853F1">
        <w:rPr>
          <w:rFonts w:asciiTheme="majorBidi" w:hAnsiTheme="majorBidi" w:cstheme="majorBidi"/>
          <w:sz w:val="24"/>
          <w:szCs w:val="24"/>
        </w:rPr>
        <w:t>)</w:t>
      </w:r>
      <w:r>
        <w:rPr>
          <w:rFonts w:asciiTheme="majorBidi" w:hAnsiTheme="majorBidi" w:cstheme="majorBidi"/>
          <w:sz w:val="24"/>
          <w:szCs w:val="24"/>
        </w:rPr>
        <w:t xml:space="preserve">, les Huiles et Graisses avec </w:t>
      </w:r>
      <w:r w:rsidR="00F853F1">
        <w:rPr>
          <w:rFonts w:asciiTheme="majorBidi" w:hAnsiTheme="majorBidi" w:cstheme="majorBidi"/>
          <w:sz w:val="24"/>
          <w:szCs w:val="24"/>
        </w:rPr>
        <w:t>(</w:t>
      </w:r>
      <w:r>
        <w:rPr>
          <w:rFonts w:asciiTheme="majorBidi" w:hAnsiTheme="majorBidi" w:cstheme="majorBidi"/>
          <w:sz w:val="24"/>
          <w:szCs w:val="24"/>
        </w:rPr>
        <w:t>-4,5%</w:t>
      </w:r>
      <w:r w:rsidR="00F853F1">
        <w:rPr>
          <w:rFonts w:asciiTheme="majorBidi" w:hAnsiTheme="majorBidi" w:cstheme="majorBidi"/>
          <w:sz w:val="24"/>
          <w:szCs w:val="24"/>
        </w:rPr>
        <w:t>)</w:t>
      </w:r>
      <w:r>
        <w:rPr>
          <w:rFonts w:asciiTheme="majorBidi" w:hAnsiTheme="majorBidi" w:cstheme="majorBidi"/>
          <w:sz w:val="24"/>
          <w:szCs w:val="24"/>
        </w:rPr>
        <w:t xml:space="preserve">, les Fruits avec </w:t>
      </w:r>
      <w:r w:rsidR="00F853F1">
        <w:rPr>
          <w:rFonts w:asciiTheme="majorBidi" w:hAnsiTheme="majorBidi" w:cstheme="majorBidi"/>
          <w:sz w:val="24"/>
          <w:szCs w:val="24"/>
        </w:rPr>
        <w:t>(</w:t>
      </w:r>
      <w:r>
        <w:rPr>
          <w:rFonts w:asciiTheme="majorBidi" w:hAnsiTheme="majorBidi" w:cstheme="majorBidi"/>
          <w:sz w:val="24"/>
          <w:szCs w:val="24"/>
        </w:rPr>
        <w:t>-3,4%</w:t>
      </w:r>
      <w:r w:rsidR="00F853F1">
        <w:rPr>
          <w:rFonts w:asciiTheme="majorBidi" w:hAnsiTheme="majorBidi" w:cstheme="majorBidi"/>
          <w:sz w:val="24"/>
          <w:szCs w:val="24"/>
        </w:rPr>
        <w:t>) et le Lait, F</w:t>
      </w:r>
      <w:r>
        <w:rPr>
          <w:rFonts w:asciiTheme="majorBidi" w:hAnsiTheme="majorBidi" w:cstheme="majorBidi"/>
          <w:sz w:val="24"/>
          <w:szCs w:val="24"/>
        </w:rPr>
        <w:t xml:space="preserve">romage et </w:t>
      </w:r>
      <w:r w:rsidR="00F853F1">
        <w:rPr>
          <w:rFonts w:asciiTheme="majorBidi" w:hAnsiTheme="majorBidi" w:cstheme="majorBidi"/>
          <w:sz w:val="24"/>
          <w:szCs w:val="24"/>
        </w:rPr>
        <w:t>Œufs</w:t>
      </w:r>
      <w:r>
        <w:rPr>
          <w:rFonts w:asciiTheme="majorBidi" w:hAnsiTheme="majorBidi" w:cstheme="majorBidi"/>
          <w:sz w:val="24"/>
          <w:szCs w:val="24"/>
        </w:rPr>
        <w:t xml:space="preserve"> avec </w:t>
      </w:r>
      <w:r w:rsidR="00F853F1">
        <w:rPr>
          <w:rFonts w:asciiTheme="majorBidi" w:hAnsiTheme="majorBidi" w:cstheme="majorBidi"/>
          <w:sz w:val="24"/>
          <w:szCs w:val="24"/>
        </w:rPr>
        <w:t>(</w:t>
      </w:r>
      <w:r>
        <w:rPr>
          <w:rFonts w:asciiTheme="majorBidi" w:hAnsiTheme="majorBidi" w:cstheme="majorBidi"/>
          <w:sz w:val="24"/>
          <w:szCs w:val="24"/>
        </w:rPr>
        <w:t>-2,2%</w:t>
      </w:r>
      <w:r w:rsidR="00F853F1">
        <w:rPr>
          <w:rFonts w:asciiTheme="majorBidi" w:hAnsiTheme="majorBidi" w:cstheme="majorBidi"/>
          <w:sz w:val="24"/>
          <w:szCs w:val="24"/>
        </w:rPr>
        <w:t>)</w:t>
      </w:r>
      <w:r w:rsidR="00444E17">
        <w:rPr>
          <w:rFonts w:asciiTheme="majorBidi" w:hAnsiTheme="majorBidi" w:cstheme="majorBidi"/>
          <w:sz w:val="24"/>
          <w:szCs w:val="24"/>
        </w:rPr>
        <w:t>.</w:t>
      </w:r>
    </w:p>
    <w:p w:rsidR="00444E17" w:rsidRDefault="00444E17" w:rsidP="00F853F1">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Pour ce qui est du groupe Boissons non </w:t>
      </w:r>
      <w:r w:rsidR="00F853F1">
        <w:rPr>
          <w:rFonts w:asciiTheme="majorBidi" w:hAnsiTheme="majorBidi" w:cstheme="majorBidi"/>
          <w:sz w:val="24"/>
          <w:szCs w:val="24"/>
        </w:rPr>
        <w:t>alcoolisées, l’indice du Café, T</w:t>
      </w:r>
      <w:r>
        <w:rPr>
          <w:rFonts w:asciiTheme="majorBidi" w:hAnsiTheme="majorBidi" w:cstheme="majorBidi"/>
          <w:sz w:val="24"/>
          <w:szCs w:val="24"/>
        </w:rPr>
        <w:t xml:space="preserve">hé et </w:t>
      </w:r>
      <w:r w:rsidR="00F853F1">
        <w:rPr>
          <w:rFonts w:asciiTheme="majorBidi" w:hAnsiTheme="majorBidi" w:cstheme="majorBidi"/>
          <w:sz w:val="24"/>
          <w:szCs w:val="24"/>
        </w:rPr>
        <w:t>C</w:t>
      </w:r>
      <w:r>
        <w:rPr>
          <w:rFonts w:asciiTheme="majorBidi" w:hAnsiTheme="majorBidi" w:cstheme="majorBidi"/>
          <w:sz w:val="24"/>
          <w:szCs w:val="24"/>
        </w:rPr>
        <w:t xml:space="preserve">acao a crû de 1,4%, tandis que celui des Eaux minérales, </w:t>
      </w:r>
      <w:r w:rsidR="00F853F1">
        <w:rPr>
          <w:rFonts w:asciiTheme="majorBidi" w:hAnsiTheme="majorBidi" w:cstheme="majorBidi"/>
          <w:sz w:val="24"/>
          <w:szCs w:val="24"/>
        </w:rPr>
        <w:t>B</w:t>
      </w:r>
      <w:r>
        <w:rPr>
          <w:rFonts w:asciiTheme="majorBidi" w:hAnsiTheme="majorBidi" w:cstheme="majorBidi"/>
          <w:sz w:val="24"/>
          <w:szCs w:val="24"/>
        </w:rPr>
        <w:t xml:space="preserve">oissons rafraîchissantes et </w:t>
      </w:r>
      <w:r w:rsidR="00F853F1">
        <w:rPr>
          <w:rFonts w:asciiTheme="majorBidi" w:hAnsiTheme="majorBidi" w:cstheme="majorBidi"/>
          <w:sz w:val="24"/>
          <w:szCs w:val="24"/>
        </w:rPr>
        <w:t>J</w:t>
      </w:r>
      <w:r>
        <w:rPr>
          <w:rFonts w:asciiTheme="majorBidi" w:hAnsiTheme="majorBidi" w:cstheme="majorBidi"/>
          <w:sz w:val="24"/>
          <w:szCs w:val="24"/>
        </w:rPr>
        <w:t>us de fruits et de légumes a reculé de 4%.</w:t>
      </w:r>
    </w:p>
    <w:p w:rsidR="00444E17" w:rsidRDefault="00444E17" w:rsidP="00F853F1">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A noter que la 2</w:t>
      </w:r>
      <w:r w:rsidRPr="00444E17">
        <w:rPr>
          <w:rFonts w:asciiTheme="majorBidi" w:hAnsiTheme="majorBidi" w:cstheme="majorBidi"/>
          <w:sz w:val="24"/>
          <w:szCs w:val="24"/>
          <w:vertAlign w:val="superscript"/>
        </w:rPr>
        <w:t>ème</w:t>
      </w:r>
      <w:r>
        <w:rPr>
          <w:rFonts w:asciiTheme="majorBidi" w:hAnsiTheme="majorBidi" w:cstheme="majorBidi"/>
          <w:sz w:val="24"/>
          <w:szCs w:val="24"/>
        </w:rPr>
        <w:t xml:space="preserve"> division </w:t>
      </w:r>
      <w:r w:rsidR="00EB06FB">
        <w:rPr>
          <w:rFonts w:asciiTheme="majorBidi" w:hAnsiTheme="majorBidi" w:cstheme="majorBidi"/>
          <w:sz w:val="24"/>
          <w:szCs w:val="24"/>
        </w:rPr>
        <w:t>"</w:t>
      </w:r>
      <w:r>
        <w:rPr>
          <w:rFonts w:asciiTheme="majorBidi" w:hAnsiTheme="majorBidi" w:cstheme="majorBidi"/>
          <w:sz w:val="24"/>
          <w:szCs w:val="24"/>
        </w:rPr>
        <w:t xml:space="preserve">Boissons </w:t>
      </w:r>
      <w:r w:rsidR="00F853F1">
        <w:rPr>
          <w:rFonts w:asciiTheme="majorBidi" w:hAnsiTheme="majorBidi" w:cstheme="majorBidi"/>
          <w:sz w:val="24"/>
          <w:szCs w:val="24"/>
        </w:rPr>
        <w:t>Alcoolisées, T</w:t>
      </w:r>
      <w:r>
        <w:rPr>
          <w:rFonts w:asciiTheme="majorBidi" w:hAnsiTheme="majorBidi" w:cstheme="majorBidi"/>
          <w:sz w:val="24"/>
          <w:szCs w:val="24"/>
        </w:rPr>
        <w:t xml:space="preserve">abac et </w:t>
      </w:r>
      <w:r w:rsidR="00F853F1">
        <w:rPr>
          <w:rFonts w:asciiTheme="majorBidi" w:hAnsiTheme="majorBidi" w:cstheme="majorBidi"/>
          <w:sz w:val="24"/>
          <w:szCs w:val="24"/>
        </w:rPr>
        <w:t>S</w:t>
      </w:r>
      <w:r>
        <w:rPr>
          <w:rFonts w:asciiTheme="majorBidi" w:hAnsiTheme="majorBidi" w:cstheme="majorBidi"/>
          <w:sz w:val="24"/>
          <w:szCs w:val="24"/>
        </w:rPr>
        <w:t>tupéfiants</w:t>
      </w:r>
      <w:r w:rsidR="00EB06FB">
        <w:rPr>
          <w:rFonts w:asciiTheme="majorBidi" w:hAnsiTheme="majorBidi" w:cstheme="majorBidi"/>
          <w:sz w:val="24"/>
          <w:szCs w:val="24"/>
        </w:rPr>
        <w:t>"</w:t>
      </w:r>
      <w:r>
        <w:rPr>
          <w:rFonts w:asciiTheme="majorBidi" w:hAnsiTheme="majorBidi" w:cstheme="majorBidi"/>
          <w:sz w:val="24"/>
          <w:szCs w:val="24"/>
        </w:rPr>
        <w:t xml:space="preserve"> a connu une hausse significative de son indice suite à l’augmentation des prix du Tabac de 15,4%.</w:t>
      </w:r>
    </w:p>
    <w:p w:rsidR="00444E17" w:rsidRDefault="00444E17" w:rsidP="00C83E05">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lastRenderedPageBreak/>
        <w:t>Concernant les produits non alimentaires qui ont observé une baisse de prix entre 2018 et 2019, on cite, essentiellement, pour la 5</w:t>
      </w:r>
      <w:r w:rsidRPr="00444E17">
        <w:rPr>
          <w:rFonts w:asciiTheme="majorBidi" w:hAnsiTheme="majorBidi" w:cstheme="majorBidi"/>
          <w:sz w:val="24"/>
          <w:szCs w:val="24"/>
          <w:vertAlign w:val="superscript"/>
        </w:rPr>
        <w:t>ème</w:t>
      </w:r>
      <w:r>
        <w:rPr>
          <w:rFonts w:asciiTheme="majorBidi" w:hAnsiTheme="majorBidi" w:cstheme="majorBidi"/>
          <w:sz w:val="24"/>
          <w:szCs w:val="24"/>
        </w:rPr>
        <w:t xml:space="preserve"> division les classes suivantes : les </w:t>
      </w:r>
      <w:r w:rsidR="00BF12CD">
        <w:rPr>
          <w:rFonts w:asciiTheme="majorBidi" w:hAnsiTheme="majorBidi" w:cstheme="majorBidi"/>
          <w:sz w:val="24"/>
          <w:szCs w:val="24"/>
        </w:rPr>
        <w:t>"</w:t>
      </w:r>
      <w:r>
        <w:rPr>
          <w:rFonts w:asciiTheme="majorBidi" w:hAnsiTheme="majorBidi" w:cstheme="majorBidi"/>
          <w:sz w:val="24"/>
          <w:szCs w:val="24"/>
        </w:rPr>
        <w:t>Tapis et revêtements de sol divers</w:t>
      </w:r>
      <w:r w:rsidR="00BF12CD">
        <w:rPr>
          <w:rFonts w:asciiTheme="majorBidi" w:hAnsiTheme="majorBidi" w:cstheme="majorBidi"/>
          <w:sz w:val="24"/>
          <w:szCs w:val="24"/>
        </w:rPr>
        <w:t>"</w:t>
      </w:r>
      <w:r>
        <w:rPr>
          <w:rFonts w:asciiTheme="majorBidi" w:hAnsiTheme="majorBidi" w:cstheme="majorBidi"/>
          <w:sz w:val="24"/>
          <w:szCs w:val="24"/>
        </w:rPr>
        <w:t xml:space="preserve"> avec </w:t>
      </w:r>
      <w:r w:rsidR="00F853F1">
        <w:rPr>
          <w:rFonts w:asciiTheme="majorBidi" w:hAnsiTheme="majorBidi" w:cstheme="majorBidi"/>
          <w:sz w:val="24"/>
          <w:szCs w:val="24"/>
        </w:rPr>
        <w:t>(</w:t>
      </w:r>
      <w:r>
        <w:rPr>
          <w:rFonts w:asciiTheme="majorBidi" w:hAnsiTheme="majorBidi" w:cstheme="majorBidi"/>
          <w:sz w:val="24"/>
          <w:szCs w:val="24"/>
        </w:rPr>
        <w:t>-1%</w:t>
      </w:r>
      <w:r w:rsidR="00F853F1">
        <w:rPr>
          <w:rFonts w:asciiTheme="majorBidi" w:hAnsiTheme="majorBidi" w:cstheme="majorBidi"/>
          <w:sz w:val="24"/>
          <w:szCs w:val="24"/>
        </w:rPr>
        <w:t>)</w:t>
      </w:r>
      <w:r>
        <w:rPr>
          <w:rFonts w:asciiTheme="majorBidi" w:hAnsiTheme="majorBidi" w:cstheme="majorBidi"/>
          <w:sz w:val="24"/>
          <w:szCs w:val="24"/>
        </w:rPr>
        <w:t xml:space="preserve">, les </w:t>
      </w:r>
      <w:r w:rsidR="00BF12CD">
        <w:rPr>
          <w:rFonts w:asciiTheme="majorBidi" w:hAnsiTheme="majorBidi" w:cstheme="majorBidi"/>
          <w:sz w:val="24"/>
          <w:szCs w:val="24"/>
        </w:rPr>
        <w:t>"</w:t>
      </w:r>
      <w:r>
        <w:rPr>
          <w:rFonts w:asciiTheme="majorBidi" w:hAnsiTheme="majorBidi" w:cstheme="majorBidi"/>
          <w:sz w:val="24"/>
          <w:szCs w:val="24"/>
        </w:rPr>
        <w:t>Gros appareils ménagers électriques ou non</w:t>
      </w:r>
      <w:r w:rsidR="00BF12CD">
        <w:rPr>
          <w:rFonts w:asciiTheme="majorBidi" w:hAnsiTheme="majorBidi" w:cstheme="majorBidi"/>
          <w:sz w:val="24"/>
          <w:szCs w:val="24"/>
        </w:rPr>
        <w:t>"</w:t>
      </w:r>
      <w:r>
        <w:rPr>
          <w:rFonts w:asciiTheme="majorBidi" w:hAnsiTheme="majorBidi" w:cstheme="majorBidi"/>
          <w:sz w:val="24"/>
          <w:szCs w:val="24"/>
        </w:rPr>
        <w:t xml:space="preserve"> avec </w:t>
      </w:r>
      <w:r w:rsidR="00F853F1">
        <w:rPr>
          <w:rFonts w:asciiTheme="majorBidi" w:hAnsiTheme="majorBidi" w:cstheme="majorBidi"/>
          <w:sz w:val="24"/>
          <w:szCs w:val="24"/>
        </w:rPr>
        <w:t>(</w:t>
      </w:r>
      <w:r>
        <w:rPr>
          <w:rFonts w:asciiTheme="majorBidi" w:hAnsiTheme="majorBidi" w:cstheme="majorBidi"/>
          <w:sz w:val="24"/>
          <w:szCs w:val="24"/>
        </w:rPr>
        <w:t>-3,3%</w:t>
      </w:r>
      <w:r w:rsidR="00F853F1">
        <w:rPr>
          <w:rFonts w:asciiTheme="majorBidi" w:hAnsiTheme="majorBidi" w:cstheme="majorBidi"/>
          <w:sz w:val="24"/>
          <w:szCs w:val="24"/>
        </w:rPr>
        <w:t>)</w:t>
      </w:r>
      <w:r>
        <w:rPr>
          <w:rFonts w:asciiTheme="majorBidi" w:hAnsiTheme="majorBidi" w:cstheme="majorBidi"/>
          <w:sz w:val="24"/>
          <w:szCs w:val="24"/>
        </w:rPr>
        <w:t xml:space="preserve"> et les </w:t>
      </w:r>
      <w:r w:rsidR="00BF12CD">
        <w:rPr>
          <w:rFonts w:asciiTheme="majorBidi" w:hAnsiTheme="majorBidi" w:cstheme="majorBidi"/>
          <w:sz w:val="24"/>
          <w:szCs w:val="24"/>
        </w:rPr>
        <w:t>"</w:t>
      </w:r>
      <w:r>
        <w:rPr>
          <w:rFonts w:asciiTheme="majorBidi" w:hAnsiTheme="majorBidi" w:cstheme="majorBidi"/>
          <w:sz w:val="24"/>
          <w:szCs w:val="24"/>
        </w:rPr>
        <w:t>Biens d’équipement ménagers non durables</w:t>
      </w:r>
      <w:r w:rsidR="00BF12CD">
        <w:rPr>
          <w:rFonts w:asciiTheme="majorBidi" w:hAnsiTheme="majorBidi" w:cstheme="majorBidi"/>
          <w:sz w:val="24"/>
          <w:szCs w:val="24"/>
        </w:rPr>
        <w:t>"</w:t>
      </w:r>
      <w:r>
        <w:rPr>
          <w:rFonts w:asciiTheme="majorBidi" w:hAnsiTheme="majorBidi" w:cstheme="majorBidi"/>
          <w:sz w:val="24"/>
          <w:szCs w:val="24"/>
        </w:rPr>
        <w:t xml:space="preserve"> avec</w:t>
      </w:r>
      <w:r w:rsidR="00C83E05">
        <w:rPr>
          <w:rFonts w:asciiTheme="majorBidi" w:hAnsiTheme="majorBidi" w:cstheme="majorBidi"/>
          <w:sz w:val="24"/>
          <w:szCs w:val="24"/>
        </w:rPr>
        <w:t xml:space="preserve"> </w:t>
      </w:r>
      <w:r w:rsidR="00F853F1">
        <w:rPr>
          <w:rFonts w:asciiTheme="majorBidi" w:hAnsiTheme="majorBidi" w:cstheme="majorBidi"/>
          <w:sz w:val="24"/>
          <w:szCs w:val="24"/>
        </w:rPr>
        <w:t>(</w:t>
      </w:r>
      <w:r w:rsidR="00C83E05">
        <w:rPr>
          <w:rFonts w:asciiTheme="majorBidi" w:hAnsiTheme="majorBidi" w:cstheme="majorBidi"/>
          <w:sz w:val="24"/>
          <w:szCs w:val="24"/>
        </w:rPr>
        <w:t>-5,6%</w:t>
      </w:r>
      <w:r w:rsidR="00F853F1">
        <w:rPr>
          <w:rFonts w:asciiTheme="majorBidi" w:hAnsiTheme="majorBidi" w:cstheme="majorBidi"/>
          <w:sz w:val="24"/>
          <w:szCs w:val="24"/>
        </w:rPr>
        <w:t>)</w:t>
      </w:r>
      <w:r w:rsidR="00C83E05">
        <w:rPr>
          <w:rFonts w:asciiTheme="majorBidi" w:hAnsiTheme="majorBidi" w:cstheme="majorBidi"/>
          <w:sz w:val="24"/>
          <w:szCs w:val="24"/>
        </w:rPr>
        <w:t>.</w:t>
      </w:r>
    </w:p>
    <w:p w:rsidR="00C83E05" w:rsidRDefault="00C83E05" w:rsidP="00C83E05">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La </w:t>
      </w:r>
      <w:r w:rsidR="00BF12CD">
        <w:rPr>
          <w:rFonts w:asciiTheme="majorBidi" w:hAnsiTheme="majorBidi" w:cstheme="majorBidi"/>
          <w:sz w:val="24"/>
          <w:szCs w:val="24"/>
        </w:rPr>
        <w:t>"</w:t>
      </w:r>
      <w:r>
        <w:rPr>
          <w:rFonts w:asciiTheme="majorBidi" w:hAnsiTheme="majorBidi" w:cstheme="majorBidi"/>
          <w:sz w:val="24"/>
          <w:szCs w:val="24"/>
        </w:rPr>
        <w:t>Santé</w:t>
      </w:r>
      <w:r w:rsidR="00BF12CD">
        <w:rPr>
          <w:rFonts w:asciiTheme="majorBidi" w:hAnsiTheme="majorBidi" w:cstheme="majorBidi"/>
          <w:sz w:val="24"/>
          <w:szCs w:val="24"/>
        </w:rPr>
        <w:t>"</w:t>
      </w:r>
      <w:r>
        <w:rPr>
          <w:rFonts w:asciiTheme="majorBidi" w:hAnsiTheme="majorBidi" w:cstheme="majorBidi"/>
          <w:sz w:val="24"/>
          <w:szCs w:val="24"/>
        </w:rPr>
        <w:t xml:space="preserve">, quant à elle, a vu les prix des </w:t>
      </w:r>
      <w:r w:rsidR="00BF12CD">
        <w:rPr>
          <w:rFonts w:asciiTheme="majorBidi" w:hAnsiTheme="majorBidi" w:cstheme="majorBidi"/>
          <w:sz w:val="24"/>
          <w:szCs w:val="24"/>
        </w:rPr>
        <w:t>"</w:t>
      </w:r>
      <w:r>
        <w:rPr>
          <w:rFonts w:asciiTheme="majorBidi" w:hAnsiTheme="majorBidi" w:cstheme="majorBidi"/>
          <w:sz w:val="24"/>
          <w:szCs w:val="24"/>
        </w:rPr>
        <w:t>Appareils et matériel thérapeutique</w:t>
      </w:r>
      <w:r w:rsidR="00BF12CD">
        <w:rPr>
          <w:rFonts w:asciiTheme="majorBidi" w:hAnsiTheme="majorBidi" w:cstheme="majorBidi"/>
          <w:sz w:val="24"/>
          <w:szCs w:val="24"/>
        </w:rPr>
        <w:t>"</w:t>
      </w:r>
      <w:r>
        <w:rPr>
          <w:rFonts w:asciiTheme="majorBidi" w:hAnsiTheme="majorBidi" w:cstheme="majorBidi"/>
          <w:sz w:val="24"/>
          <w:szCs w:val="24"/>
        </w:rPr>
        <w:t xml:space="preserve"> chuter de 5,6%.</w:t>
      </w:r>
    </w:p>
    <w:p w:rsidR="00C83E05" w:rsidRDefault="00C83E05" w:rsidP="00D478B4">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La baisse de l’indice des </w:t>
      </w:r>
      <w:r w:rsidR="00BF12CD">
        <w:rPr>
          <w:rFonts w:asciiTheme="majorBidi" w:hAnsiTheme="majorBidi" w:cstheme="majorBidi"/>
          <w:sz w:val="24"/>
          <w:szCs w:val="24"/>
        </w:rPr>
        <w:t>"</w:t>
      </w:r>
      <w:r>
        <w:rPr>
          <w:rFonts w:asciiTheme="majorBidi" w:hAnsiTheme="majorBidi" w:cstheme="majorBidi"/>
          <w:sz w:val="24"/>
          <w:szCs w:val="24"/>
        </w:rPr>
        <w:t>Transports</w:t>
      </w:r>
      <w:r w:rsidR="00BF12CD">
        <w:rPr>
          <w:rFonts w:asciiTheme="majorBidi" w:hAnsiTheme="majorBidi" w:cstheme="majorBidi"/>
          <w:sz w:val="24"/>
          <w:szCs w:val="24"/>
        </w:rPr>
        <w:t>"</w:t>
      </w:r>
      <w:r>
        <w:rPr>
          <w:rFonts w:asciiTheme="majorBidi" w:hAnsiTheme="majorBidi" w:cstheme="majorBidi"/>
          <w:sz w:val="24"/>
          <w:szCs w:val="24"/>
        </w:rPr>
        <w:t xml:space="preserve"> est le fait combiné de la hausse des prix des véhicules de 1,5% et du recul des indices des </w:t>
      </w:r>
      <w:r w:rsidR="00BF12CD">
        <w:rPr>
          <w:rFonts w:asciiTheme="majorBidi" w:hAnsiTheme="majorBidi" w:cstheme="majorBidi"/>
          <w:sz w:val="24"/>
          <w:szCs w:val="24"/>
        </w:rPr>
        <w:t>"</w:t>
      </w:r>
      <w:r>
        <w:rPr>
          <w:rFonts w:asciiTheme="majorBidi" w:hAnsiTheme="majorBidi" w:cstheme="majorBidi"/>
          <w:sz w:val="24"/>
          <w:szCs w:val="24"/>
        </w:rPr>
        <w:t xml:space="preserve">Dépenses d’utilisation des véhicules et des </w:t>
      </w:r>
      <w:r w:rsidR="00D478B4">
        <w:rPr>
          <w:rFonts w:asciiTheme="majorBidi" w:hAnsiTheme="majorBidi" w:cstheme="majorBidi"/>
          <w:sz w:val="24"/>
          <w:szCs w:val="24"/>
        </w:rPr>
        <w:t>s</w:t>
      </w:r>
      <w:r>
        <w:rPr>
          <w:rFonts w:asciiTheme="majorBidi" w:hAnsiTheme="majorBidi" w:cstheme="majorBidi"/>
          <w:sz w:val="24"/>
          <w:szCs w:val="24"/>
        </w:rPr>
        <w:t>ervices de transport</w:t>
      </w:r>
      <w:r w:rsidR="00BF12CD">
        <w:rPr>
          <w:rFonts w:asciiTheme="majorBidi" w:hAnsiTheme="majorBidi" w:cstheme="majorBidi"/>
          <w:sz w:val="24"/>
          <w:szCs w:val="24"/>
        </w:rPr>
        <w:t>"</w:t>
      </w:r>
      <w:r>
        <w:rPr>
          <w:rFonts w:asciiTheme="majorBidi" w:hAnsiTheme="majorBidi" w:cstheme="majorBidi"/>
          <w:sz w:val="24"/>
          <w:szCs w:val="24"/>
        </w:rPr>
        <w:t xml:space="preserve"> de 1,7% et de 0,7% respectivement.</w:t>
      </w:r>
    </w:p>
    <w:p w:rsidR="00C83E05" w:rsidRDefault="00C83E05" w:rsidP="00F853F1">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En ce qui concerne les produits non alimentaires, on signale le cas des Communications dont l’indice du Matériel de téléphonie et de télécopie  a crû de 9,5%.</w:t>
      </w:r>
    </w:p>
    <w:p w:rsidR="00C83E05" w:rsidRDefault="00C83E05" w:rsidP="00C83E05">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Aussi, l’Enseignement a été touché par la hausse des prix de l’Enseignement </w:t>
      </w:r>
      <w:r w:rsidR="00823463">
        <w:rPr>
          <w:rFonts w:asciiTheme="majorBidi" w:hAnsiTheme="majorBidi" w:cstheme="majorBidi"/>
          <w:sz w:val="24"/>
          <w:szCs w:val="24"/>
        </w:rPr>
        <w:t>préélémentaire et primaire de 5,9% et celui de l’Enseignement postsecondaire non supérieur de 4,1%.</w:t>
      </w:r>
    </w:p>
    <w:p w:rsidR="00823463" w:rsidRPr="006C0B65" w:rsidRDefault="00823463" w:rsidP="00823463">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Enfin, les Services de restauration ainsi que les Services d’hébergement ont connu des augmentations respectives de 1,8% et 7,9%.</w:t>
      </w:r>
    </w:p>
    <w:p w:rsidR="00252B2A" w:rsidRPr="004F39E8" w:rsidRDefault="004D65AF" w:rsidP="00F853F1">
      <w:pPr>
        <w:pStyle w:val="Titre2"/>
        <w:rPr>
          <w:rFonts w:asciiTheme="majorBidi" w:hAnsiTheme="majorBidi"/>
        </w:rPr>
      </w:pPr>
      <w:r w:rsidRPr="00511678">
        <w:rPr>
          <w:rFonts w:asciiTheme="majorBidi" w:hAnsiTheme="majorBidi"/>
          <w:b w:val="0"/>
          <w:bCs w:val="0"/>
        </w:rPr>
        <w:tab/>
      </w:r>
      <w:bookmarkStart w:id="33" w:name="_Toc45551152"/>
      <w:r w:rsidRPr="004F39E8">
        <w:rPr>
          <w:rFonts w:asciiTheme="majorBidi" w:hAnsiTheme="majorBidi"/>
        </w:rPr>
        <w:t>II</w:t>
      </w:r>
      <w:r w:rsidR="00586B08" w:rsidRPr="004F39E8">
        <w:rPr>
          <w:rFonts w:asciiTheme="majorBidi" w:hAnsiTheme="majorBidi"/>
        </w:rPr>
        <w:t>I</w:t>
      </w:r>
      <w:r w:rsidRPr="004F39E8">
        <w:rPr>
          <w:rFonts w:asciiTheme="majorBidi" w:hAnsiTheme="majorBidi"/>
        </w:rPr>
        <w:t>-</w:t>
      </w:r>
      <w:r w:rsidR="0096274A" w:rsidRPr="004F39E8">
        <w:rPr>
          <w:rFonts w:asciiTheme="majorBidi" w:hAnsiTheme="majorBidi"/>
        </w:rPr>
        <w:t>4</w:t>
      </w:r>
      <w:r w:rsidRPr="004F39E8">
        <w:rPr>
          <w:rFonts w:asciiTheme="majorBidi" w:hAnsiTheme="majorBidi"/>
        </w:rPr>
        <w:t xml:space="preserve"> Evolution de l’IPC général de la ville de </w:t>
      </w:r>
      <w:proofErr w:type="spellStart"/>
      <w:r w:rsidRPr="004F39E8">
        <w:rPr>
          <w:rFonts w:asciiTheme="majorBidi" w:hAnsiTheme="majorBidi"/>
        </w:rPr>
        <w:t>K</w:t>
      </w:r>
      <w:r w:rsidR="00F853F1">
        <w:rPr>
          <w:rFonts w:asciiTheme="majorBidi" w:hAnsiTheme="majorBidi"/>
        </w:rPr>
        <w:t>é</w:t>
      </w:r>
      <w:r w:rsidRPr="004F39E8">
        <w:rPr>
          <w:rFonts w:asciiTheme="majorBidi" w:hAnsiTheme="majorBidi"/>
        </w:rPr>
        <w:t>nitra</w:t>
      </w:r>
      <w:proofErr w:type="spellEnd"/>
      <w:r w:rsidRPr="004F39E8">
        <w:rPr>
          <w:rFonts w:asciiTheme="majorBidi" w:hAnsiTheme="majorBidi"/>
        </w:rPr>
        <w:t xml:space="preserve"> entre 2007 et 201</w:t>
      </w:r>
      <w:r w:rsidR="0007624A">
        <w:rPr>
          <w:rFonts w:asciiTheme="majorBidi" w:hAnsiTheme="majorBidi"/>
        </w:rPr>
        <w:t>9</w:t>
      </w:r>
      <w:bookmarkEnd w:id="33"/>
    </w:p>
    <w:p w:rsidR="00342BBE" w:rsidRPr="004F39E8" w:rsidRDefault="00342BBE" w:rsidP="003D21FB">
      <w:pPr>
        <w:pStyle w:val="Titre3"/>
        <w:rPr>
          <w:rFonts w:asciiTheme="majorBidi" w:hAnsiTheme="majorBidi"/>
          <w:sz w:val="24"/>
          <w:szCs w:val="24"/>
        </w:rPr>
      </w:pPr>
      <w:r w:rsidRPr="004F39E8">
        <w:rPr>
          <w:rFonts w:asciiTheme="majorBidi" w:hAnsiTheme="majorBidi"/>
          <w:sz w:val="24"/>
          <w:szCs w:val="24"/>
        </w:rPr>
        <w:tab/>
      </w:r>
      <w:r w:rsidRPr="004F39E8">
        <w:rPr>
          <w:rFonts w:asciiTheme="majorBidi" w:hAnsiTheme="majorBidi"/>
          <w:sz w:val="24"/>
          <w:szCs w:val="24"/>
        </w:rPr>
        <w:tab/>
      </w:r>
      <w:bookmarkStart w:id="34" w:name="_Toc45551153"/>
      <w:r w:rsidR="00002361">
        <w:rPr>
          <w:rFonts w:asciiTheme="majorBidi" w:hAnsiTheme="majorBidi"/>
          <w:sz w:val="24"/>
          <w:szCs w:val="24"/>
        </w:rPr>
        <w:t>I</w:t>
      </w:r>
      <w:r w:rsidRPr="004F39E8">
        <w:rPr>
          <w:rFonts w:asciiTheme="majorBidi" w:hAnsiTheme="majorBidi"/>
          <w:sz w:val="24"/>
          <w:szCs w:val="24"/>
        </w:rPr>
        <w:t>II-</w:t>
      </w:r>
      <w:r w:rsidR="0096274A" w:rsidRPr="004F39E8">
        <w:rPr>
          <w:rFonts w:asciiTheme="majorBidi" w:hAnsiTheme="majorBidi"/>
          <w:sz w:val="24"/>
          <w:szCs w:val="24"/>
        </w:rPr>
        <w:t>4</w:t>
      </w:r>
      <w:r w:rsidRPr="004F39E8">
        <w:rPr>
          <w:rFonts w:asciiTheme="majorBidi" w:hAnsiTheme="majorBidi"/>
          <w:sz w:val="24"/>
          <w:szCs w:val="24"/>
        </w:rPr>
        <w:t>-1 Evolution mensuelle de l’IPC</w:t>
      </w:r>
      <w:bookmarkEnd w:id="34"/>
      <w:r w:rsidRPr="004F39E8">
        <w:rPr>
          <w:rFonts w:asciiTheme="majorBidi" w:hAnsiTheme="majorBidi"/>
          <w:sz w:val="24"/>
          <w:szCs w:val="24"/>
        </w:rPr>
        <w:t xml:space="preserve"> </w:t>
      </w:r>
    </w:p>
    <w:p w:rsidR="00066B5A" w:rsidRDefault="00066B5A" w:rsidP="00F853F1">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Un an après l’année de base 2006, l’indice des prix à la consommation a atteint un niveau moyen de </w:t>
      </w:r>
      <w:r w:rsidR="00F853F1">
        <w:rPr>
          <w:rFonts w:asciiTheme="majorBidi" w:hAnsiTheme="majorBidi" w:cstheme="majorBidi"/>
          <w:sz w:val="24"/>
          <w:szCs w:val="24"/>
        </w:rPr>
        <w:t>(</w:t>
      </w:r>
      <w:r>
        <w:rPr>
          <w:rFonts w:asciiTheme="majorBidi" w:hAnsiTheme="majorBidi" w:cstheme="majorBidi"/>
          <w:sz w:val="24"/>
          <w:szCs w:val="24"/>
        </w:rPr>
        <w:t>101,8</w:t>
      </w:r>
      <w:r w:rsidR="00F853F1">
        <w:rPr>
          <w:rFonts w:asciiTheme="majorBidi" w:hAnsiTheme="majorBidi" w:cstheme="majorBidi"/>
          <w:sz w:val="24"/>
          <w:szCs w:val="24"/>
        </w:rPr>
        <w:t>)</w:t>
      </w:r>
      <w:r>
        <w:rPr>
          <w:rFonts w:asciiTheme="majorBidi" w:hAnsiTheme="majorBidi" w:cstheme="majorBidi"/>
          <w:sz w:val="24"/>
          <w:szCs w:val="24"/>
        </w:rPr>
        <w:t>, soit une hausse de 1,8% en 2007. Répartie sur l’année, cette augmentation a affiché un rythme croissant allant de 0,5% au 1</w:t>
      </w:r>
      <w:r w:rsidRPr="00066B5A">
        <w:rPr>
          <w:rFonts w:asciiTheme="majorBidi" w:hAnsiTheme="majorBidi" w:cstheme="majorBidi"/>
          <w:sz w:val="24"/>
          <w:szCs w:val="24"/>
          <w:vertAlign w:val="superscript"/>
        </w:rPr>
        <w:t>er</w:t>
      </w:r>
      <w:r>
        <w:rPr>
          <w:rFonts w:asciiTheme="majorBidi" w:hAnsiTheme="majorBidi" w:cstheme="majorBidi"/>
          <w:sz w:val="24"/>
          <w:szCs w:val="24"/>
        </w:rPr>
        <w:t xml:space="preserve"> trimest</w:t>
      </w:r>
      <w:r w:rsidR="00F853F1">
        <w:rPr>
          <w:rFonts w:asciiTheme="majorBidi" w:hAnsiTheme="majorBidi" w:cstheme="majorBidi"/>
          <w:sz w:val="24"/>
          <w:szCs w:val="24"/>
        </w:rPr>
        <w:t>re,</w:t>
      </w:r>
      <w:r>
        <w:rPr>
          <w:rFonts w:asciiTheme="majorBidi" w:hAnsiTheme="majorBidi" w:cstheme="majorBidi"/>
          <w:sz w:val="24"/>
          <w:szCs w:val="24"/>
        </w:rPr>
        <w:t xml:space="preserve"> à 1,2% au 2</w:t>
      </w:r>
      <w:r w:rsidRPr="00066B5A">
        <w:rPr>
          <w:rFonts w:asciiTheme="majorBidi" w:hAnsiTheme="majorBidi" w:cstheme="majorBidi"/>
          <w:sz w:val="24"/>
          <w:szCs w:val="24"/>
          <w:vertAlign w:val="superscript"/>
        </w:rPr>
        <w:t>ème</w:t>
      </w:r>
      <w:r w:rsidR="00F853F1">
        <w:rPr>
          <w:rFonts w:asciiTheme="majorBidi" w:hAnsiTheme="majorBidi" w:cstheme="majorBidi"/>
          <w:sz w:val="24"/>
          <w:szCs w:val="24"/>
        </w:rPr>
        <w:t xml:space="preserve"> trimestre, </w:t>
      </w:r>
      <w:r>
        <w:rPr>
          <w:rFonts w:asciiTheme="majorBidi" w:hAnsiTheme="majorBidi" w:cstheme="majorBidi"/>
          <w:sz w:val="24"/>
          <w:szCs w:val="24"/>
        </w:rPr>
        <w:t>à 2,4% au 3</w:t>
      </w:r>
      <w:r w:rsidRPr="00066B5A">
        <w:rPr>
          <w:rFonts w:asciiTheme="majorBidi" w:hAnsiTheme="majorBidi" w:cstheme="majorBidi"/>
          <w:sz w:val="24"/>
          <w:szCs w:val="24"/>
          <w:vertAlign w:val="superscript"/>
        </w:rPr>
        <w:t>ème</w:t>
      </w:r>
      <w:r>
        <w:rPr>
          <w:rFonts w:asciiTheme="majorBidi" w:hAnsiTheme="majorBidi" w:cstheme="majorBidi"/>
          <w:sz w:val="24"/>
          <w:szCs w:val="24"/>
        </w:rPr>
        <w:t xml:space="preserve"> trimestre et enfin à 3,2% au 4</w:t>
      </w:r>
      <w:r w:rsidRPr="00066B5A">
        <w:rPr>
          <w:rFonts w:asciiTheme="majorBidi" w:hAnsiTheme="majorBidi" w:cstheme="majorBidi"/>
          <w:sz w:val="24"/>
          <w:szCs w:val="24"/>
          <w:vertAlign w:val="superscript"/>
        </w:rPr>
        <w:t>ème</w:t>
      </w:r>
      <w:r>
        <w:rPr>
          <w:rFonts w:asciiTheme="majorBidi" w:hAnsiTheme="majorBidi" w:cstheme="majorBidi"/>
          <w:sz w:val="24"/>
          <w:szCs w:val="24"/>
        </w:rPr>
        <w:t xml:space="preserve"> trimestre dont le mois d’octobre a constitué le point culminant de cette hausse avec 3,7% par rapport au même mois de l’année de base.</w:t>
      </w:r>
    </w:p>
    <w:p w:rsidR="006F4290" w:rsidRDefault="00066B5A" w:rsidP="00066B5A">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Dix ans après, </w:t>
      </w:r>
      <w:r w:rsidR="006F4290" w:rsidRPr="006F4290">
        <w:rPr>
          <w:rFonts w:asciiTheme="majorBidi" w:hAnsiTheme="majorBidi" w:cstheme="majorBidi"/>
          <w:sz w:val="24"/>
          <w:szCs w:val="24"/>
        </w:rPr>
        <w:t>les conditions climatiques favorables combinées à un repli des produits énergétiques au niveau international, ont agi positivement sur les prix</w:t>
      </w:r>
      <w:r>
        <w:rPr>
          <w:rFonts w:asciiTheme="majorBidi" w:hAnsiTheme="majorBidi" w:cstheme="majorBidi"/>
          <w:sz w:val="24"/>
          <w:szCs w:val="24"/>
        </w:rPr>
        <w:t xml:space="preserve"> en 2017</w:t>
      </w:r>
      <w:r w:rsidR="006F4290" w:rsidRPr="006F4290">
        <w:rPr>
          <w:rFonts w:asciiTheme="majorBidi" w:hAnsiTheme="majorBidi" w:cstheme="majorBidi"/>
          <w:sz w:val="24"/>
          <w:szCs w:val="24"/>
        </w:rPr>
        <w:t>, d’où une augmentation modérée de l’indice entre janvier et août. Cependant, à partir de septembre, le niveau de l’indice s’est élevé suite à l’impact de la maladie qui a touché la viande ovine.</w:t>
      </w:r>
    </w:p>
    <w:p w:rsidR="00066B5A" w:rsidRDefault="00066B5A" w:rsidP="00F853F1">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En 2018, le niveau général des prix à la consommation a marqué une hausse notable par rapport à l’année précédente, soit une moyenne de 1,8%</w:t>
      </w:r>
      <w:r w:rsidR="005A6C4D">
        <w:rPr>
          <w:rFonts w:asciiTheme="majorBidi" w:hAnsiTheme="majorBidi" w:cstheme="majorBidi"/>
          <w:sz w:val="24"/>
          <w:szCs w:val="24"/>
        </w:rPr>
        <w:t xml:space="preserve"> </w:t>
      </w:r>
      <w:r>
        <w:rPr>
          <w:rFonts w:asciiTheme="majorBidi" w:hAnsiTheme="majorBidi" w:cstheme="majorBidi"/>
          <w:sz w:val="24"/>
          <w:szCs w:val="24"/>
        </w:rPr>
        <w:t>dont l’écart le plus important a été enregistré au cours du 2</w:t>
      </w:r>
      <w:r w:rsidRPr="00066B5A">
        <w:rPr>
          <w:rFonts w:asciiTheme="majorBidi" w:hAnsiTheme="majorBidi" w:cstheme="majorBidi"/>
          <w:sz w:val="24"/>
          <w:szCs w:val="24"/>
          <w:vertAlign w:val="superscript"/>
        </w:rPr>
        <w:t>ème</w:t>
      </w:r>
      <w:r w:rsidR="00F853F1">
        <w:rPr>
          <w:rFonts w:asciiTheme="majorBidi" w:hAnsiTheme="majorBidi" w:cstheme="majorBidi"/>
          <w:sz w:val="24"/>
          <w:szCs w:val="24"/>
        </w:rPr>
        <w:t xml:space="preserve"> trimestre avec 2,8%,</w:t>
      </w:r>
      <w:r>
        <w:rPr>
          <w:rFonts w:asciiTheme="majorBidi" w:hAnsiTheme="majorBidi" w:cstheme="majorBidi"/>
          <w:sz w:val="24"/>
          <w:szCs w:val="24"/>
        </w:rPr>
        <w:t xml:space="preserve"> notamment au cours du mois de juin (3,6%).</w:t>
      </w:r>
    </w:p>
    <w:p w:rsidR="00066B5A" w:rsidRDefault="00066B5A" w:rsidP="00D172E5">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Cette évolution résulte principalement de l’accroissement des prix des produits alimentaires à prix volatils</w:t>
      </w:r>
      <w:r w:rsidR="00D665A6">
        <w:rPr>
          <w:rFonts w:asciiTheme="majorBidi" w:hAnsiTheme="majorBidi" w:cstheme="majorBidi"/>
          <w:sz w:val="24"/>
          <w:szCs w:val="24"/>
        </w:rPr>
        <w:t xml:space="preserve"> et du relèvement de la TIC</w:t>
      </w:r>
      <w:r w:rsidR="00D172E5">
        <w:rPr>
          <w:rFonts w:asciiTheme="majorBidi" w:hAnsiTheme="majorBidi" w:cstheme="majorBidi"/>
          <w:sz w:val="24"/>
          <w:szCs w:val="24"/>
        </w:rPr>
        <w:t xml:space="preserve"> (Taxe Intérieure sur la Consommation) sur les tabacs bruns et des droits de timbre.</w:t>
      </w:r>
    </w:p>
    <w:p w:rsidR="00D172E5" w:rsidRDefault="00D172E5" w:rsidP="00D6737D">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L’ensemble de ces évolutions intègre l’effet de la mise à jour</w:t>
      </w:r>
      <w:r w:rsidR="00F93EA8">
        <w:rPr>
          <w:rFonts w:asciiTheme="majorBidi" w:hAnsiTheme="majorBidi" w:cstheme="majorBidi"/>
          <w:sz w:val="24"/>
          <w:szCs w:val="24"/>
        </w:rPr>
        <w:t xml:space="preserve"> </w:t>
      </w:r>
      <w:r>
        <w:rPr>
          <w:rFonts w:asciiTheme="majorBidi" w:hAnsiTheme="majorBidi" w:cstheme="majorBidi"/>
          <w:sz w:val="24"/>
          <w:szCs w:val="24"/>
        </w:rPr>
        <w:t>de la structure du panier de référence de l’IPC</w:t>
      </w:r>
      <w:r w:rsidR="00F93EA8">
        <w:rPr>
          <w:rFonts w:asciiTheme="majorBidi" w:hAnsiTheme="majorBidi" w:cstheme="majorBidi"/>
          <w:sz w:val="24"/>
          <w:szCs w:val="24"/>
        </w:rPr>
        <w:t xml:space="preserve">  par le HCP en mars 2018.</w:t>
      </w:r>
      <w:r>
        <w:rPr>
          <w:rFonts w:asciiTheme="majorBidi" w:hAnsiTheme="majorBidi" w:cstheme="majorBidi"/>
          <w:sz w:val="24"/>
          <w:szCs w:val="24"/>
        </w:rPr>
        <w:t xml:space="preserve"> </w:t>
      </w:r>
      <w:r w:rsidR="00F93EA8">
        <w:rPr>
          <w:rFonts w:asciiTheme="majorBidi" w:hAnsiTheme="majorBidi" w:cstheme="majorBidi"/>
          <w:sz w:val="24"/>
          <w:szCs w:val="24"/>
        </w:rPr>
        <w:t>C</w:t>
      </w:r>
      <w:r>
        <w:rPr>
          <w:rFonts w:asciiTheme="majorBidi" w:hAnsiTheme="majorBidi" w:cstheme="majorBidi"/>
          <w:sz w:val="24"/>
          <w:szCs w:val="24"/>
        </w:rPr>
        <w:t xml:space="preserve">et ajustement qui a été appliqué d’une manière rétrospective à partir de janvier 2018, retient comme base intermédiaire le mois de </w:t>
      </w:r>
      <w:r w:rsidR="00D6737D">
        <w:rPr>
          <w:rFonts w:asciiTheme="majorBidi" w:hAnsiTheme="majorBidi" w:cstheme="majorBidi"/>
          <w:sz w:val="24"/>
          <w:szCs w:val="24"/>
        </w:rPr>
        <w:t>D</w:t>
      </w:r>
      <w:r>
        <w:rPr>
          <w:rFonts w:asciiTheme="majorBidi" w:hAnsiTheme="majorBidi" w:cstheme="majorBidi"/>
          <w:sz w:val="24"/>
          <w:szCs w:val="24"/>
        </w:rPr>
        <w:t>écembre 2017. Toutefois, 2006 demeure l’année de base de cet indice.</w:t>
      </w:r>
    </w:p>
    <w:p w:rsidR="00D172E5" w:rsidRPr="006F4290" w:rsidRDefault="00D172E5" w:rsidP="00D172E5">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Malgré une hausse de 0,2% de l’IPC en 2019 par rapport à l’année précédente, le niveau général des prix dans la ville de </w:t>
      </w:r>
      <w:proofErr w:type="spellStart"/>
      <w:r w:rsidR="00D6737D">
        <w:rPr>
          <w:rFonts w:asciiTheme="majorBidi" w:hAnsiTheme="majorBidi" w:cstheme="majorBidi"/>
          <w:sz w:val="24"/>
          <w:szCs w:val="24"/>
        </w:rPr>
        <w:t>Kénitra</w:t>
      </w:r>
      <w:proofErr w:type="spellEnd"/>
      <w:r>
        <w:rPr>
          <w:rFonts w:asciiTheme="majorBidi" w:hAnsiTheme="majorBidi" w:cstheme="majorBidi"/>
          <w:sz w:val="24"/>
          <w:szCs w:val="24"/>
        </w:rPr>
        <w:t xml:space="preserve"> comme pour l’ensemble du pays, a été affecté par le </w:t>
      </w:r>
      <w:r>
        <w:rPr>
          <w:rFonts w:asciiTheme="majorBidi" w:hAnsiTheme="majorBidi" w:cstheme="majorBidi"/>
          <w:sz w:val="24"/>
          <w:szCs w:val="24"/>
        </w:rPr>
        <w:lastRenderedPageBreak/>
        <w:t>ralentissement de l’économie</w:t>
      </w:r>
      <w:r w:rsidR="009E6687">
        <w:rPr>
          <w:rFonts w:asciiTheme="majorBidi" w:hAnsiTheme="majorBidi" w:cstheme="majorBidi"/>
          <w:sz w:val="24"/>
          <w:szCs w:val="24"/>
        </w:rPr>
        <w:t xml:space="preserve"> mondiale suite au reflux des cours internationaux des produits pétroliers et au repli des produits alimentaires à prix volatils.</w:t>
      </w:r>
      <w:r>
        <w:rPr>
          <w:rFonts w:asciiTheme="majorBidi" w:hAnsiTheme="majorBidi" w:cstheme="majorBidi"/>
          <w:sz w:val="24"/>
          <w:szCs w:val="24"/>
        </w:rPr>
        <w:t xml:space="preserve"> </w:t>
      </w:r>
    </w:p>
    <w:p w:rsidR="004D65AF" w:rsidRDefault="003042FE" w:rsidP="004A7CCA">
      <w:pPr>
        <w:spacing w:before="240" w:after="0"/>
        <w:jc w:val="both"/>
        <w:rPr>
          <w:rFonts w:ascii="Times New Roman" w:hAnsi="Times New Roman" w:cstheme="majorBidi"/>
          <w:b/>
          <w:bCs/>
          <w:color w:val="548DD4" w:themeColor="text2" w:themeTint="99"/>
        </w:rPr>
      </w:pPr>
      <w:r w:rsidRPr="001A6800">
        <w:rPr>
          <w:rFonts w:asciiTheme="majorBidi" w:hAnsiTheme="majorBidi" w:cstheme="majorBidi"/>
          <w:b/>
          <w:bCs/>
          <w:color w:val="548DD4" w:themeColor="text2" w:themeTint="99"/>
          <w:sz w:val="24"/>
          <w:szCs w:val="24"/>
        </w:rPr>
        <w:t xml:space="preserve"> </w:t>
      </w:r>
      <w:bookmarkStart w:id="35" w:name="_Toc515274108"/>
      <w:r w:rsidR="00462F63" w:rsidRPr="001A6800">
        <w:rPr>
          <w:rFonts w:ascii="Times New Roman" w:hAnsi="Times New Roman"/>
          <w:b/>
          <w:bCs/>
        </w:rPr>
        <w:t xml:space="preserve">Graphique </w:t>
      </w:r>
      <w:r w:rsidR="00DE78CE" w:rsidRPr="001A6800">
        <w:rPr>
          <w:rFonts w:ascii="Times New Roman" w:hAnsi="Times New Roman"/>
          <w:b/>
          <w:bCs/>
        </w:rPr>
        <w:fldChar w:fldCharType="begin"/>
      </w:r>
      <w:r w:rsidR="00462F63" w:rsidRPr="001A6800">
        <w:rPr>
          <w:rFonts w:ascii="Times New Roman" w:hAnsi="Times New Roman"/>
          <w:b/>
          <w:bCs/>
        </w:rPr>
        <w:instrText xml:space="preserve"> SEQ Graphique \* ARABIC </w:instrText>
      </w:r>
      <w:r w:rsidR="00DE78CE" w:rsidRPr="001A6800">
        <w:rPr>
          <w:rFonts w:ascii="Times New Roman" w:hAnsi="Times New Roman"/>
          <w:b/>
          <w:bCs/>
        </w:rPr>
        <w:fldChar w:fldCharType="separate"/>
      </w:r>
      <w:r w:rsidR="00477549">
        <w:rPr>
          <w:rFonts w:ascii="Times New Roman" w:hAnsi="Times New Roman"/>
          <w:b/>
          <w:bCs/>
          <w:noProof/>
        </w:rPr>
        <w:t>5</w:t>
      </w:r>
      <w:r w:rsidR="00DE78CE" w:rsidRPr="001A6800">
        <w:rPr>
          <w:rFonts w:ascii="Times New Roman" w:hAnsi="Times New Roman"/>
          <w:b/>
          <w:bCs/>
        </w:rPr>
        <w:fldChar w:fldCharType="end"/>
      </w:r>
      <w:r w:rsidR="00462F63" w:rsidRPr="001A6800">
        <w:rPr>
          <w:rFonts w:ascii="Times New Roman" w:hAnsi="Times New Roman"/>
          <w:b/>
          <w:bCs/>
        </w:rPr>
        <w:t xml:space="preserve"> : </w:t>
      </w:r>
      <w:r w:rsidR="004F39E8" w:rsidRPr="001A6800">
        <w:rPr>
          <w:rFonts w:ascii="Times New Roman" w:hAnsi="Times New Roman" w:cstheme="majorBidi"/>
          <w:b/>
          <w:bCs/>
          <w:color w:val="548DD4" w:themeColor="text2" w:themeTint="99"/>
        </w:rPr>
        <w:t>Evolution de l'IPC de la ville de Kenitra entre 2007 et 201</w:t>
      </w:r>
      <w:bookmarkEnd w:id="35"/>
      <w:r w:rsidR="00F51D94" w:rsidRPr="001A6800">
        <w:rPr>
          <w:rFonts w:ascii="Times New Roman" w:hAnsi="Times New Roman" w:cstheme="majorBidi"/>
          <w:b/>
          <w:bCs/>
          <w:color w:val="548DD4" w:themeColor="text2" w:themeTint="99"/>
        </w:rPr>
        <w:t>9</w:t>
      </w:r>
      <w:r w:rsidR="001A6800" w:rsidRPr="001A6800">
        <w:rPr>
          <w:rFonts w:asciiTheme="majorBidi" w:hAnsiTheme="majorBidi" w:cstheme="majorBidi"/>
          <w:noProof/>
          <w:sz w:val="24"/>
          <w:szCs w:val="24"/>
          <w:lang w:eastAsia="fr-FR"/>
        </w:rPr>
        <w:drawing>
          <wp:inline distT="0" distB="0" distL="0" distR="0">
            <wp:extent cx="5850890" cy="4093632"/>
            <wp:effectExtent l="19050" t="0" r="16510" b="2118"/>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01A7A" w:rsidRPr="00483003" w:rsidRDefault="00801A7A" w:rsidP="00801A7A">
      <w:pPr>
        <w:pStyle w:val="Lgende"/>
        <w:rPr>
          <w:rFonts w:ascii="Times New Roman" w:hAnsi="Times New Roman"/>
          <w:i/>
          <w:iCs/>
          <w:sz w:val="22"/>
        </w:rPr>
      </w:pPr>
      <w:r w:rsidRPr="00483003">
        <w:rPr>
          <w:rFonts w:ascii="Times New Roman" w:hAnsi="Times New Roman"/>
          <w:i/>
          <w:iCs/>
          <w:sz w:val="22"/>
        </w:rPr>
        <w:t>Source : HCP</w:t>
      </w:r>
    </w:p>
    <w:p w:rsidR="004A7CCA" w:rsidRDefault="004A7CCA" w:rsidP="003D21FB">
      <w:pPr>
        <w:pStyle w:val="Titre3"/>
        <w:rPr>
          <w:rFonts w:asciiTheme="majorBidi" w:hAnsiTheme="majorBidi"/>
          <w:sz w:val="24"/>
          <w:szCs w:val="24"/>
        </w:rPr>
      </w:pPr>
      <w:bookmarkStart w:id="36" w:name="_Toc45551154"/>
    </w:p>
    <w:p w:rsidR="004D65AF" w:rsidRPr="004F39E8" w:rsidRDefault="00342BBE" w:rsidP="003D21FB">
      <w:pPr>
        <w:pStyle w:val="Titre3"/>
        <w:rPr>
          <w:rFonts w:asciiTheme="majorBidi" w:hAnsiTheme="majorBidi"/>
          <w:sz w:val="24"/>
          <w:szCs w:val="24"/>
        </w:rPr>
      </w:pPr>
      <w:r w:rsidRPr="004F39E8">
        <w:rPr>
          <w:rFonts w:asciiTheme="majorBidi" w:hAnsiTheme="majorBidi"/>
          <w:sz w:val="24"/>
          <w:szCs w:val="24"/>
        </w:rPr>
        <w:t>II</w:t>
      </w:r>
      <w:r w:rsidR="00586B08" w:rsidRPr="004F39E8">
        <w:rPr>
          <w:rFonts w:asciiTheme="majorBidi" w:hAnsiTheme="majorBidi"/>
          <w:sz w:val="24"/>
          <w:szCs w:val="24"/>
        </w:rPr>
        <w:t>I</w:t>
      </w:r>
      <w:r w:rsidRPr="004F39E8">
        <w:rPr>
          <w:rFonts w:asciiTheme="majorBidi" w:hAnsiTheme="majorBidi"/>
          <w:sz w:val="24"/>
          <w:szCs w:val="24"/>
        </w:rPr>
        <w:t>-</w:t>
      </w:r>
      <w:r w:rsidR="0096274A" w:rsidRPr="004F39E8">
        <w:rPr>
          <w:rFonts w:asciiTheme="majorBidi" w:hAnsiTheme="majorBidi"/>
          <w:sz w:val="24"/>
          <w:szCs w:val="24"/>
        </w:rPr>
        <w:t>4</w:t>
      </w:r>
      <w:r w:rsidRPr="004F39E8">
        <w:rPr>
          <w:rFonts w:asciiTheme="majorBidi" w:hAnsiTheme="majorBidi"/>
          <w:sz w:val="24"/>
          <w:szCs w:val="24"/>
        </w:rPr>
        <w:t xml:space="preserve">-2 Evolution annuelle </w:t>
      </w:r>
      <w:r w:rsidR="003D21FB" w:rsidRPr="004F39E8">
        <w:rPr>
          <w:rFonts w:asciiTheme="majorBidi" w:hAnsiTheme="majorBidi"/>
          <w:sz w:val="24"/>
          <w:szCs w:val="24"/>
        </w:rPr>
        <w:t>de l’IPC</w:t>
      </w:r>
      <w:bookmarkEnd w:id="36"/>
    </w:p>
    <w:p w:rsidR="00662B97" w:rsidRPr="004F39E8" w:rsidRDefault="00662B97" w:rsidP="004F39E8">
      <w:pPr>
        <w:pStyle w:val="Titre4"/>
        <w:spacing w:before="100" w:beforeAutospacing="1"/>
        <w:rPr>
          <w:rFonts w:asciiTheme="majorBidi" w:hAnsiTheme="majorBidi"/>
          <w:sz w:val="24"/>
          <w:szCs w:val="24"/>
        </w:rPr>
      </w:pPr>
      <w:bookmarkStart w:id="37" w:name="_Toc45551155"/>
      <w:r w:rsidRPr="004F39E8">
        <w:rPr>
          <w:rFonts w:asciiTheme="majorBidi" w:hAnsiTheme="majorBidi"/>
          <w:sz w:val="24"/>
          <w:szCs w:val="24"/>
        </w:rPr>
        <w:t>II</w:t>
      </w:r>
      <w:r w:rsidR="00586B08" w:rsidRPr="004F39E8">
        <w:rPr>
          <w:rFonts w:asciiTheme="majorBidi" w:hAnsiTheme="majorBidi"/>
          <w:sz w:val="24"/>
          <w:szCs w:val="24"/>
        </w:rPr>
        <w:t>I</w:t>
      </w:r>
      <w:r w:rsidRPr="004F39E8">
        <w:rPr>
          <w:rFonts w:asciiTheme="majorBidi" w:hAnsiTheme="majorBidi"/>
          <w:sz w:val="24"/>
          <w:szCs w:val="24"/>
        </w:rPr>
        <w:t xml:space="preserve">-4-2-1  Evolution annuelle </w:t>
      </w:r>
      <w:r w:rsidR="003D21FB" w:rsidRPr="004F39E8">
        <w:rPr>
          <w:rFonts w:asciiTheme="majorBidi" w:hAnsiTheme="majorBidi"/>
          <w:sz w:val="24"/>
          <w:szCs w:val="24"/>
        </w:rPr>
        <w:t xml:space="preserve">des indices généraux de </w:t>
      </w:r>
      <w:proofErr w:type="spellStart"/>
      <w:r w:rsidR="003D21FB" w:rsidRPr="004F39E8">
        <w:rPr>
          <w:rFonts w:asciiTheme="majorBidi" w:hAnsiTheme="majorBidi"/>
          <w:sz w:val="24"/>
          <w:szCs w:val="24"/>
        </w:rPr>
        <w:t>Kénitra</w:t>
      </w:r>
      <w:proofErr w:type="spellEnd"/>
      <w:r w:rsidR="003D21FB" w:rsidRPr="004F39E8">
        <w:rPr>
          <w:rFonts w:asciiTheme="majorBidi" w:hAnsiTheme="majorBidi"/>
          <w:sz w:val="24"/>
          <w:szCs w:val="24"/>
        </w:rPr>
        <w:t xml:space="preserve"> et du Maroc</w:t>
      </w:r>
      <w:bookmarkEnd w:id="37"/>
    </w:p>
    <w:p w:rsidR="00626DB8" w:rsidRDefault="00626DB8" w:rsidP="005A6C4D">
      <w:pPr>
        <w:spacing w:before="100" w:beforeAutospacing="1"/>
        <w:jc w:val="both"/>
        <w:rPr>
          <w:rFonts w:asciiTheme="majorBidi" w:hAnsiTheme="majorBidi" w:cstheme="majorBidi"/>
          <w:sz w:val="24"/>
          <w:szCs w:val="24"/>
        </w:rPr>
      </w:pPr>
      <w:r>
        <w:rPr>
          <w:rFonts w:asciiTheme="majorBidi" w:hAnsiTheme="majorBidi" w:cstheme="majorBidi"/>
          <w:sz w:val="24"/>
          <w:szCs w:val="24"/>
        </w:rPr>
        <w:t>En observant</w:t>
      </w:r>
      <w:r w:rsidR="004119FD" w:rsidRPr="004119FD">
        <w:rPr>
          <w:rFonts w:asciiTheme="majorBidi" w:hAnsiTheme="majorBidi" w:cstheme="majorBidi"/>
          <w:sz w:val="24"/>
          <w:szCs w:val="24"/>
        </w:rPr>
        <w:t xml:space="preserve"> </w:t>
      </w:r>
      <w:r w:rsidR="004119FD">
        <w:rPr>
          <w:rFonts w:asciiTheme="majorBidi" w:hAnsiTheme="majorBidi" w:cstheme="majorBidi"/>
          <w:sz w:val="24"/>
          <w:szCs w:val="24"/>
        </w:rPr>
        <w:t xml:space="preserve">l’évolution de </w:t>
      </w:r>
      <w:r>
        <w:rPr>
          <w:rFonts w:asciiTheme="majorBidi" w:hAnsiTheme="majorBidi" w:cstheme="majorBidi"/>
          <w:sz w:val="24"/>
          <w:szCs w:val="24"/>
        </w:rPr>
        <w:t>l’IPC général</w:t>
      </w:r>
      <w:r w:rsidR="004119FD">
        <w:rPr>
          <w:rFonts w:asciiTheme="majorBidi" w:hAnsiTheme="majorBidi" w:cstheme="majorBidi"/>
          <w:sz w:val="24"/>
          <w:szCs w:val="24"/>
        </w:rPr>
        <w:t xml:space="preserve">, </w:t>
      </w:r>
      <w:r w:rsidR="00176713">
        <w:rPr>
          <w:rFonts w:asciiTheme="majorBidi" w:hAnsiTheme="majorBidi" w:cstheme="majorBidi"/>
          <w:sz w:val="24"/>
          <w:szCs w:val="24"/>
        </w:rPr>
        <w:t xml:space="preserve">aussi bien de la ville de </w:t>
      </w:r>
      <w:proofErr w:type="spellStart"/>
      <w:r w:rsidR="00176713">
        <w:rPr>
          <w:rFonts w:asciiTheme="majorBidi" w:hAnsiTheme="majorBidi" w:cstheme="majorBidi"/>
          <w:sz w:val="24"/>
          <w:szCs w:val="24"/>
        </w:rPr>
        <w:t>K</w:t>
      </w:r>
      <w:r>
        <w:rPr>
          <w:rFonts w:asciiTheme="majorBidi" w:hAnsiTheme="majorBidi" w:cstheme="majorBidi"/>
          <w:sz w:val="24"/>
          <w:szCs w:val="24"/>
        </w:rPr>
        <w:t>énitra</w:t>
      </w:r>
      <w:proofErr w:type="spellEnd"/>
      <w:r>
        <w:rPr>
          <w:rFonts w:asciiTheme="majorBidi" w:hAnsiTheme="majorBidi" w:cstheme="majorBidi"/>
          <w:sz w:val="24"/>
          <w:szCs w:val="24"/>
        </w:rPr>
        <w:t xml:space="preserve"> que celui national entre 2007 et 2019, on note bien la tendance haussière des deux indices durant ces </w:t>
      </w:r>
      <w:r w:rsidR="005A6C4D">
        <w:rPr>
          <w:rFonts w:asciiTheme="majorBidi" w:hAnsiTheme="majorBidi" w:cstheme="majorBidi"/>
          <w:sz w:val="24"/>
          <w:szCs w:val="24"/>
        </w:rPr>
        <w:t>trei</w:t>
      </w:r>
      <w:r>
        <w:rPr>
          <w:rFonts w:asciiTheme="majorBidi" w:hAnsiTheme="majorBidi" w:cstheme="majorBidi"/>
          <w:sz w:val="24"/>
          <w:szCs w:val="24"/>
        </w:rPr>
        <w:t>ze dernières années.</w:t>
      </w:r>
    </w:p>
    <w:p w:rsidR="00F46CAF" w:rsidRDefault="00626DB8" w:rsidP="00626DB8">
      <w:pPr>
        <w:spacing w:before="100" w:beforeAutospacing="1"/>
        <w:jc w:val="both"/>
        <w:rPr>
          <w:rFonts w:asciiTheme="majorBidi" w:hAnsiTheme="majorBidi" w:cstheme="majorBidi"/>
          <w:sz w:val="24"/>
          <w:szCs w:val="24"/>
        </w:rPr>
      </w:pPr>
      <w:r>
        <w:rPr>
          <w:rFonts w:asciiTheme="majorBidi" w:hAnsiTheme="majorBidi" w:cstheme="majorBidi"/>
          <w:sz w:val="24"/>
          <w:szCs w:val="24"/>
        </w:rPr>
        <w:t>Malgré leurs allures très rapprochées, les deux courbes de l’IPC général, représentées dans le graphique ci-dessous, montre</w:t>
      </w:r>
      <w:r w:rsidR="00035FE6">
        <w:rPr>
          <w:rFonts w:asciiTheme="majorBidi" w:hAnsiTheme="majorBidi" w:cstheme="majorBidi"/>
          <w:sz w:val="24"/>
          <w:szCs w:val="24"/>
        </w:rPr>
        <w:t>nt</w:t>
      </w:r>
      <w:r>
        <w:rPr>
          <w:rFonts w:asciiTheme="majorBidi" w:hAnsiTheme="majorBidi" w:cstheme="majorBidi"/>
          <w:sz w:val="24"/>
          <w:szCs w:val="24"/>
        </w:rPr>
        <w:t xml:space="preserve"> que le</w:t>
      </w:r>
      <w:r w:rsidR="00CA6B51">
        <w:rPr>
          <w:rFonts w:asciiTheme="majorBidi" w:hAnsiTheme="majorBidi" w:cstheme="majorBidi"/>
          <w:sz w:val="24"/>
          <w:szCs w:val="24"/>
        </w:rPr>
        <w:t xml:space="preserve"> niveau général des prix</w:t>
      </w:r>
      <w:r w:rsidR="004119FD">
        <w:rPr>
          <w:rFonts w:asciiTheme="majorBidi" w:hAnsiTheme="majorBidi" w:cstheme="majorBidi"/>
          <w:sz w:val="24"/>
          <w:szCs w:val="24"/>
        </w:rPr>
        <w:t xml:space="preserve"> </w:t>
      </w:r>
      <w:r>
        <w:rPr>
          <w:rFonts w:asciiTheme="majorBidi" w:hAnsiTheme="majorBidi" w:cstheme="majorBidi"/>
          <w:sz w:val="24"/>
          <w:szCs w:val="24"/>
        </w:rPr>
        <w:t>dans</w:t>
      </w:r>
      <w:r w:rsidR="004119FD">
        <w:rPr>
          <w:rFonts w:asciiTheme="majorBidi" w:hAnsiTheme="majorBidi" w:cstheme="majorBidi"/>
          <w:sz w:val="24"/>
          <w:szCs w:val="24"/>
        </w:rPr>
        <w:t xml:space="preserve"> la ville de </w:t>
      </w:r>
      <w:proofErr w:type="spellStart"/>
      <w:r w:rsidR="004119FD">
        <w:rPr>
          <w:rFonts w:asciiTheme="majorBidi" w:hAnsiTheme="majorBidi" w:cstheme="majorBidi"/>
          <w:sz w:val="24"/>
          <w:szCs w:val="24"/>
        </w:rPr>
        <w:t>Kénitra</w:t>
      </w:r>
      <w:proofErr w:type="spellEnd"/>
      <w:r w:rsidR="004119FD">
        <w:rPr>
          <w:rFonts w:asciiTheme="majorBidi" w:hAnsiTheme="majorBidi" w:cstheme="majorBidi"/>
          <w:sz w:val="24"/>
          <w:szCs w:val="24"/>
        </w:rPr>
        <w:t xml:space="preserve"> </w:t>
      </w:r>
      <w:r>
        <w:rPr>
          <w:rFonts w:asciiTheme="majorBidi" w:hAnsiTheme="majorBidi" w:cstheme="majorBidi"/>
          <w:sz w:val="24"/>
          <w:szCs w:val="24"/>
        </w:rPr>
        <w:t>est inférieur</w:t>
      </w:r>
      <w:r w:rsidR="004119FD">
        <w:rPr>
          <w:rFonts w:asciiTheme="majorBidi" w:hAnsiTheme="majorBidi" w:cstheme="majorBidi"/>
          <w:sz w:val="24"/>
          <w:szCs w:val="24"/>
        </w:rPr>
        <w:t xml:space="preserve"> à </w:t>
      </w:r>
      <w:r>
        <w:rPr>
          <w:rFonts w:asciiTheme="majorBidi" w:hAnsiTheme="majorBidi" w:cstheme="majorBidi"/>
          <w:sz w:val="24"/>
          <w:szCs w:val="24"/>
        </w:rPr>
        <w:t xml:space="preserve">celui de </w:t>
      </w:r>
      <w:r w:rsidR="00CA6B51">
        <w:rPr>
          <w:rFonts w:asciiTheme="majorBidi" w:hAnsiTheme="majorBidi" w:cstheme="majorBidi"/>
          <w:sz w:val="24"/>
          <w:szCs w:val="24"/>
        </w:rPr>
        <w:t>la moyenne nationale</w:t>
      </w:r>
      <w:r w:rsidR="004119FD">
        <w:rPr>
          <w:rFonts w:asciiTheme="majorBidi" w:hAnsiTheme="majorBidi" w:cstheme="majorBidi"/>
          <w:sz w:val="24"/>
          <w:szCs w:val="24"/>
        </w:rPr>
        <w:t xml:space="preserve">. </w:t>
      </w:r>
    </w:p>
    <w:p w:rsidR="00E22F4D" w:rsidRDefault="00E22F4D" w:rsidP="007E1D21">
      <w:pPr>
        <w:pStyle w:val="Lgende"/>
        <w:rPr>
          <w:rFonts w:ascii="Times New Roman" w:hAnsi="Times New Roman"/>
          <w:sz w:val="22"/>
        </w:rPr>
      </w:pPr>
      <w:bookmarkStart w:id="38" w:name="_Toc515274109"/>
    </w:p>
    <w:p w:rsidR="00176713" w:rsidRDefault="00176713" w:rsidP="007E1D21">
      <w:pPr>
        <w:pStyle w:val="Lgende"/>
        <w:rPr>
          <w:rFonts w:ascii="Times New Roman" w:hAnsi="Times New Roman"/>
          <w:sz w:val="22"/>
        </w:rPr>
      </w:pPr>
    </w:p>
    <w:p w:rsidR="00176713" w:rsidRDefault="00176713" w:rsidP="007E1D21">
      <w:pPr>
        <w:pStyle w:val="Lgende"/>
        <w:rPr>
          <w:rFonts w:ascii="Times New Roman" w:hAnsi="Times New Roman"/>
          <w:sz w:val="22"/>
        </w:rPr>
      </w:pPr>
    </w:p>
    <w:p w:rsidR="006749E7" w:rsidRPr="00462F63" w:rsidRDefault="00462F63" w:rsidP="007E1D21">
      <w:pPr>
        <w:pStyle w:val="Lgende"/>
        <w:rPr>
          <w:rFonts w:ascii="Times New Roman" w:hAnsi="Times New Roman" w:cstheme="majorBidi"/>
          <w:bCs w:val="0"/>
          <w:color w:val="548DD4" w:themeColor="text2" w:themeTint="99"/>
          <w:sz w:val="22"/>
          <w:szCs w:val="24"/>
        </w:rPr>
      </w:pPr>
      <w:r w:rsidRPr="00462F63">
        <w:rPr>
          <w:rFonts w:ascii="Times New Roman" w:hAnsi="Times New Roman"/>
          <w:sz w:val="22"/>
        </w:rPr>
        <w:lastRenderedPageBreak/>
        <w:t xml:space="preserve">Graphique </w:t>
      </w:r>
      <w:r w:rsidR="00DE78CE" w:rsidRPr="00462F63">
        <w:rPr>
          <w:rFonts w:ascii="Times New Roman" w:hAnsi="Times New Roman"/>
          <w:sz w:val="22"/>
        </w:rPr>
        <w:fldChar w:fldCharType="begin"/>
      </w:r>
      <w:r w:rsidRPr="00462F63">
        <w:rPr>
          <w:rFonts w:ascii="Times New Roman" w:hAnsi="Times New Roman"/>
          <w:sz w:val="22"/>
        </w:rPr>
        <w:instrText xml:space="preserve"> SEQ Graphique \* ARABIC </w:instrText>
      </w:r>
      <w:r w:rsidR="00DE78CE" w:rsidRPr="00462F63">
        <w:rPr>
          <w:rFonts w:ascii="Times New Roman" w:hAnsi="Times New Roman"/>
          <w:sz w:val="22"/>
        </w:rPr>
        <w:fldChar w:fldCharType="separate"/>
      </w:r>
      <w:r w:rsidR="00477549">
        <w:rPr>
          <w:rFonts w:ascii="Times New Roman" w:hAnsi="Times New Roman"/>
          <w:noProof/>
          <w:sz w:val="22"/>
        </w:rPr>
        <w:t>6</w:t>
      </w:r>
      <w:r w:rsidR="00DE78CE" w:rsidRPr="00462F63">
        <w:rPr>
          <w:rFonts w:ascii="Times New Roman" w:hAnsi="Times New Roman"/>
          <w:sz w:val="22"/>
        </w:rPr>
        <w:fldChar w:fldCharType="end"/>
      </w:r>
      <w:r w:rsidRPr="00462F63">
        <w:rPr>
          <w:rFonts w:ascii="Times New Roman" w:hAnsi="Times New Roman"/>
          <w:sz w:val="22"/>
        </w:rPr>
        <w:t xml:space="preserve"> : </w:t>
      </w:r>
      <w:r w:rsidR="004F39E8" w:rsidRPr="00462F63">
        <w:rPr>
          <w:rFonts w:ascii="Times New Roman" w:hAnsi="Times New Roman" w:cstheme="majorBidi"/>
          <w:bCs w:val="0"/>
          <w:color w:val="548DD4" w:themeColor="text2" w:themeTint="99"/>
          <w:sz w:val="22"/>
          <w:szCs w:val="24"/>
        </w:rPr>
        <w:t xml:space="preserve">Evolution de l'IPC  général de la ville de  </w:t>
      </w:r>
      <w:proofErr w:type="spellStart"/>
      <w:r>
        <w:rPr>
          <w:rFonts w:ascii="Times New Roman" w:hAnsi="Times New Roman" w:cstheme="majorBidi"/>
          <w:bCs w:val="0"/>
          <w:color w:val="548DD4" w:themeColor="text2" w:themeTint="99"/>
          <w:sz w:val="22"/>
          <w:szCs w:val="24"/>
        </w:rPr>
        <w:t>K</w:t>
      </w:r>
      <w:r w:rsidR="004F39E8" w:rsidRPr="00462F63">
        <w:rPr>
          <w:rFonts w:ascii="Times New Roman" w:hAnsi="Times New Roman" w:cstheme="majorBidi"/>
          <w:bCs w:val="0"/>
          <w:color w:val="548DD4" w:themeColor="text2" w:themeTint="99"/>
          <w:sz w:val="22"/>
          <w:szCs w:val="24"/>
        </w:rPr>
        <w:t>énitra</w:t>
      </w:r>
      <w:proofErr w:type="spellEnd"/>
      <w:r w:rsidR="004F39E8" w:rsidRPr="00462F63">
        <w:rPr>
          <w:rFonts w:ascii="Times New Roman" w:hAnsi="Times New Roman" w:cstheme="majorBidi"/>
          <w:bCs w:val="0"/>
          <w:color w:val="548DD4" w:themeColor="text2" w:themeTint="99"/>
          <w:sz w:val="22"/>
          <w:szCs w:val="24"/>
        </w:rPr>
        <w:t xml:space="preserve"> et du Maroc entre 2007 et 201</w:t>
      </w:r>
      <w:bookmarkEnd w:id="38"/>
      <w:r w:rsidR="007E1D21">
        <w:rPr>
          <w:rFonts w:ascii="Times New Roman" w:hAnsi="Times New Roman" w:cstheme="majorBidi"/>
          <w:bCs w:val="0"/>
          <w:color w:val="548DD4" w:themeColor="text2" w:themeTint="99"/>
          <w:sz w:val="22"/>
          <w:szCs w:val="24"/>
        </w:rPr>
        <w:t>9</w:t>
      </w:r>
    </w:p>
    <w:p w:rsidR="00662B97" w:rsidRDefault="007E1D21" w:rsidP="004A7CCA">
      <w:pPr>
        <w:spacing w:before="240" w:after="0" w:line="240" w:lineRule="auto"/>
        <w:jc w:val="both"/>
        <w:rPr>
          <w:rFonts w:asciiTheme="majorBidi" w:hAnsiTheme="majorBidi" w:cstheme="majorBidi"/>
          <w:b/>
          <w:bCs/>
          <w:color w:val="4F81BD" w:themeColor="accent1"/>
          <w:sz w:val="24"/>
          <w:szCs w:val="24"/>
        </w:rPr>
      </w:pPr>
      <w:r w:rsidRPr="007E1D21">
        <w:rPr>
          <w:rFonts w:asciiTheme="majorBidi" w:hAnsiTheme="majorBidi" w:cstheme="majorBidi"/>
          <w:b/>
          <w:bCs/>
          <w:noProof/>
          <w:color w:val="4F81BD" w:themeColor="accent1"/>
          <w:sz w:val="24"/>
          <w:szCs w:val="24"/>
          <w:lang w:eastAsia="fr-FR"/>
        </w:rPr>
        <w:drawing>
          <wp:inline distT="0" distB="0" distL="0" distR="0">
            <wp:extent cx="5772150" cy="4267200"/>
            <wp:effectExtent l="19050" t="0" r="19050" b="0"/>
            <wp:docPr id="5"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01A7A" w:rsidRPr="00483003" w:rsidRDefault="00801A7A" w:rsidP="00801A7A">
      <w:pPr>
        <w:pStyle w:val="Lgende"/>
        <w:rPr>
          <w:rFonts w:ascii="Times New Roman" w:hAnsi="Times New Roman"/>
          <w:i/>
          <w:iCs/>
          <w:sz w:val="22"/>
        </w:rPr>
      </w:pPr>
      <w:r w:rsidRPr="00483003">
        <w:rPr>
          <w:rFonts w:ascii="Times New Roman" w:hAnsi="Times New Roman"/>
          <w:i/>
          <w:iCs/>
          <w:sz w:val="22"/>
        </w:rPr>
        <w:t>Source : HCP</w:t>
      </w:r>
    </w:p>
    <w:p w:rsidR="004A7CCA" w:rsidRDefault="004A7CCA" w:rsidP="004B1065">
      <w:pPr>
        <w:pStyle w:val="Titre4"/>
        <w:rPr>
          <w:rFonts w:asciiTheme="majorBidi" w:hAnsiTheme="majorBidi"/>
          <w:sz w:val="24"/>
          <w:szCs w:val="24"/>
        </w:rPr>
      </w:pPr>
      <w:bookmarkStart w:id="39" w:name="_Toc45551156"/>
    </w:p>
    <w:p w:rsidR="00662B97" w:rsidRPr="004F39E8" w:rsidRDefault="003D21FB" w:rsidP="004B1065">
      <w:pPr>
        <w:pStyle w:val="Titre4"/>
        <w:rPr>
          <w:rFonts w:asciiTheme="majorBidi" w:hAnsiTheme="majorBidi"/>
          <w:sz w:val="24"/>
          <w:szCs w:val="24"/>
        </w:rPr>
      </w:pPr>
      <w:r w:rsidRPr="004F39E8">
        <w:rPr>
          <w:rFonts w:asciiTheme="majorBidi" w:hAnsiTheme="majorBidi"/>
          <w:sz w:val="24"/>
          <w:szCs w:val="24"/>
        </w:rPr>
        <w:t>III-4-2-2 Evolution annuelle des indices</w:t>
      </w:r>
      <w:r w:rsidR="004B1065">
        <w:rPr>
          <w:rFonts w:asciiTheme="majorBidi" w:hAnsiTheme="majorBidi"/>
          <w:sz w:val="24"/>
          <w:szCs w:val="24"/>
        </w:rPr>
        <w:t> :</w:t>
      </w:r>
      <w:r w:rsidRPr="004F39E8">
        <w:rPr>
          <w:rFonts w:asciiTheme="majorBidi" w:hAnsiTheme="majorBidi"/>
          <w:sz w:val="24"/>
          <w:szCs w:val="24"/>
        </w:rPr>
        <w:t xml:space="preserve"> </w:t>
      </w:r>
      <w:r w:rsidR="004B1065">
        <w:rPr>
          <w:rFonts w:asciiTheme="majorBidi" w:hAnsiTheme="majorBidi"/>
          <w:sz w:val="24"/>
          <w:szCs w:val="24"/>
        </w:rPr>
        <w:t>g</w:t>
      </w:r>
      <w:r w:rsidRPr="004F39E8">
        <w:rPr>
          <w:rFonts w:asciiTheme="majorBidi" w:hAnsiTheme="majorBidi"/>
          <w:sz w:val="24"/>
          <w:szCs w:val="24"/>
        </w:rPr>
        <w:t xml:space="preserve">énéral, </w:t>
      </w:r>
      <w:r w:rsidR="004B1065">
        <w:rPr>
          <w:rFonts w:asciiTheme="majorBidi" w:hAnsiTheme="majorBidi"/>
          <w:sz w:val="24"/>
          <w:szCs w:val="24"/>
        </w:rPr>
        <w:t>a</w:t>
      </w:r>
      <w:r w:rsidRPr="004F39E8">
        <w:rPr>
          <w:rFonts w:asciiTheme="majorBidi" w:hAnsiTheme="majorBidi"/>
          <w:sz w:val="24"/>
          <w:szCs w:val="24"/>
        </w:rPr>
        <w:t>limentaire et</w:t>
      </w:r>
      <w:r w:rsidR="004B1065">
        <w:rPr>
          <w:rFonts w:asciiTheme="majorBidi" w:hAnsiTheme="majorBidi"/>
          <w:sz w:val="24"/>
          <w:szCs w:val="24"/>
        </w:rPr>
        <w:t xml:space="preserve"> n</w:t>
      </w:r>
      <w:r w:rsidRPr="004F39E8">
        <w:rPr>
          <w:rFonts w:asciiTheme="majorBidi" w:hAnsiTheme="majorBidi"/>
          <w:sz w:val="24"/>
          <w:szCs w:val="24"/>
        </w:rPr>
        <w:t xml:space="preserve">on </w:t>
      </w:r>
      <w:r w:rsidR="004B1065">
        <w:rPr>
          <w:rFonts w:asciiTheme="majorBidi" w:hAnsiTheme="majorBidi"/>
          <w:sz w:val="24"/>
          <w:szCs w:val="24"/>
        </w:rPr>
        <w:t>a</w:t>
      </w:r>
      <w:r w:rsidRPr="004F39E8">
        <w:rPr>
          <w:rFonts w:asciiTheme="majorBidi" w:hAnsiTheme="majorBidi"/>
          <w:sz w:val="24"/>
          <w:szCs w:val="24"/>
        </w:rPr>
        <w:t>limentaire</w:t>
      </w:r>
      <w:r w:rsidR="00D4044E" w:rsidRPr="004F39E8">
        <w:rPr>
          <w:rFonts w:asciiTheme="majorBidi" w:hAnsiTheme="majorBidi"/>
          <w:sz w:val="24"/>
          <w:szCs w:val="24"/>
        </w:rPr>
        <w:t xml:space="preserve"> de la ville de </w:t>
      </w:r>
      <w:proofErr w:type="spellStart"/>
      <w:r w:rsidR="00D4044E" w:rsidRPr="004F39E8">
        <w:rPr>
          <w:rFonts w:asciiTheme="majorBidi" w:hAnsiTheme="majorBidi"/>
          <w:sz w:val="24"/>
          <w:szCs w:val="24"/>
        </w:rPr>
        <w:t>Kénitra</w:t>
      </w:r>
      <w:bookmarkEnd w:id="39"/>
      <w:proofErr w:type="spellEnd"/>
    </w:p>
    <w:p w:rsidR="00B03E8F" w:rsidRDefault="00B03E8F" w:rsidP="005A6C4D">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En analysant le graphique ci-dessous, on constate que l’allure qu</w:t>
      </w:r>
      <w:r w:rsidR="00780A7D">
        <w:rPr>
          <w:rFonts w:asciiTheme="majorBidi" w:hAnsiTheme="majorBidi" w:cstheme="majorBidi"/>
          <w:sz w:val="24"/>
          <w:szCs w:val="24"/>
        </w:rPr>
        <w:t xml:space="preserve">’a </w:t>
      </w:r>
      <w:r w:rsidR="00C83E05">
        <w:rPr>
          <w:rFonts w:asciiTheme="majorBidi" w:hAnsiTheme="majorBidi" w:cstheme="majorBidi"/>
          <w:sz w:val="24"/>
          <w:szCs w:val="24"/>
        </w:rPr>
        <w:t>prise</w:t>
      </w:r>
      <w:r w:rsidR="00780A7D">
        <w:rPr>
          <w:rFonts w:asciiTheme="majorBidi" w:hAnsiTheme="majorBidi" w:cstheme="majorBidi"/>
          <w:sz w:val="24"/>
          <w:szCs w:val="24"/>
        </w:rPr>
        <w:t xml:space="preserve"> </w:t>
      </w:r>
      <w:r>
        <w:rPr>
          <w:rFonts w:asciiTheme="majorBidi" w:hAnsiTheme="majorBidi" w:cstheme="majorBidi"/>
          <w:sz w:val="24"/>
          <w:szCs w:val="24"/>
        </w:rPr>
        <w:t xml:space="preserve"> la courbe de l’indice général des prix à la consommation, durant ces </w:t>
      </w:r>
      <w:r w:rsidR="005A6C4D">
        <w:rPr>
          <w:rFonts w:asciiTheme="majorBidi" w:hAnsiTheme="majorBidi" w:cstheme="majorBidi"/>
          <w:sz w:val="24"/>
          <w:szCs w:val="24"/>
        </w:rPr>
        <w:t>trei</w:t>
      </w:r>
      <w:r>
        <w:rPr>
          <w:rFonts w:asciiTheme="majorBidi" w:hAnsiTheme="majorBidi" w:cstheme="majorBidi"/>
          <w:sz w:val="24"/>
          <w:szCs w:val="24"/>
        </w:rPr>
        <w:t>ze der</w:t>
      </w:r>
      <w:r w:rsidR="00176713">
        <w:rPr>
          <w:rFonts w:asciiTheme="majorBidi" w:hAnsiTheme="majorBidi" w:cstheme="majorBidi"/>
          <w:sz w:val="24"/>
          <w:szCs w:val="24"/>
        </w:rPr>
        <w:t xml:space="preserve">nières années dans la ville de </w:t>
      </w:r>
      <w:proofErr w:type="spellStart"/>
      <w:r w:rsidR="00176713">
        <w:rPr>
          <w:rFonts w:asciiTheme="majorBidi" w:hAnsiTheme="majorBidi" w:cstheme="majorBidi"/>
          <w:sz w:val="24"/>
          <w:szCs w:val="24"/>
        </w:rPr>
        <w:t>K</w:t>
      </w:r>
      <w:r>
        <w:rPr>
          <w:rFonts w:asciiTheme="majorBidi" w:hAnsiTheme="majorBidi" w:cstheme="majorBidi"/>
          <w:sz w:val="24"/>
          <w:szCs w:val="24"/>
        </w:rPr>
        <w:t>énitra</w:t>
      </w:r>
      <w:proofErr w:type="spellEnd"/>
      <w:r>
        <w:rPr>
          <w:rFonts w:asciiTheme="majorBidi" w:hAnsiTheme="majorBidi" w:cstheme="majorBidi"/>
          <w:sz w:val="24"/>
          <w:szCs w:val="24"/>
        </w:rPr>
        <w:t>, est l’effet conjugué de l’évolution des indices alimentaire et non alimentaire. Toutefois, l’impact de l’évolution des prix des PNA pèse beaucoup plus sur l’indice général du fait que les coefficients de pondération sont de 57,2% pour ces derniers contre 42,8% pour les produits alimentaires.</w:t>
      </w:r>
    </w:p>
    <w:p w:rsidR="006A3751" w:rsidRDefault="00B03E8F" w:rsidP="00B03E8F">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Quant à la courbe de l’IA, on note que son évolution a été sujette à plusieurs fluctuations entre 2007 et 2019 à cause des prix volatils des produits frais. </w:t>
      </w:r>
    </w:p>
    <w:p w:rsidR="00801A7A" w:rsidRDefault="00801A7A" w:rsidP="007E1D21">
      <w:pPr>
        <w:pStyle w:val="Lgende"/>
        <w:rPr>
          <w:rFonts w:ascii="Times New Roman" w:hAnsi="Times New Roman"/>
          <w:sz w:val="22"/>
        </w:rPr>
      </w:pPr>
      <w:bookmarkStart w:id="40" w:name="_Toc515274110"/>
    </w:p>
    <w:p w:rsidR="00801A7A" w:rsidRDefault="00801A7A" w:rsidP="007E1D21">
      <w:pPr>
        <w:pStyle w:val="Lgende"/>
        <w:rPr>
          <w:rFonts w:ascii="Times New Roman" w:hAnsi="Times New Roman"/>
          <w:sz w:val="22"/>
        </w:rPr>
      </w:pPr>
    </w:p>
    <w:p w:rsidR="00801A7A" w:rsidRDefault="00801A7A" w:rsidP="007E1D21">
      <w:pPr>
        <w:pStyle w:val="Lgende"/>
        <w:rPr>
          <w:rFonts w:ascii="Times New Roman" w:hAnsi="Times New Roman"/>
          <w:sz w:val="22"/>
        </w:rPr>
      </w:pPr>
    </w:p>
    <w:p w:rsidR="00D6737D" w:rsidRDefault="00D6737D" w:rsidP="007E1D21">
      <w:pPr>
        <w:pStyle w:val="Lgende"/>
        <w:rPr>
          <w:rFonts w:ascii="Times New Roman" w:hAnsi="Times New Roman"/>
          <w:sz w:val="22"/>
        </w:rPr>
      </w:pPr>
    </w:p>
    <w:p w:rsidR="00D6737D" w:rsidRDefault="00D6737D" w:rsidP="007E1D21">
      <w:pPr>
        <w:pStyle w:val="Lgende"/>
        <w:rPr>
          <w:rFonts w:ascii="Times New Roman" w:hAnsi="Times New Roman"/>
          <w:sz w:val="22"/>
        </w:rPr>
      </w:pPr>
    </w:p>
    <w:p w:rsidR="004F39E8" w:rsidRPr="00462F63" w:rsidRDefault="00462F63" w:rsidP="007E1D21">
      <w:pPr>
        <w:pStyle w:val="Lgende"/>
        <w:rPr>
          <w:rFonts w:ascii="Times New Roman" w:hAnsi="Times New Roman" w:cstheme="majorBidi"/>
          <w:bCs w:val="0"/>
          <w:color w:val="548DD4" w:themeColor="text2" w:themeTint="99"/>
          <w:sz w:val="22"/>
          <w:szCs w:val="24"/>
        </w:rPr>
      </w:pPr>
      <w:r w:rsidRPr="00462F63">
        <w:rPr>
          <w:rFonts w:ascii="Times New Roman" w:hAnsi="Times New Roman"/>
          <w:sz w:val="22"/>
        </w:rPr>
        <w:t xml:space="preserve">Graphique </w:t>
      </w:r>
      <w:r w:rsidR="00DE78CE" w:rsidRPr="00462F63">
        <w:rPr>
          <w:rFonts w:ascii="Times New Roman" w:hAnsi="Times New Roman"/>
          <w:sz w:val="22"/>
        </w:rPr>
        <w:fldChar w:fldCharType="begin"/>
      </w:r>
      <w:r w:rsidRPr="00462F63">
        <w:rPr>
          <w:rFonts w:ascii="Times New Roman" w:hAnsi="Times New Roman"/>
          <w:sz w:val="22"/>
        </w:rPr>
        <w:instrText xml:space="preserve"> SEQ Graphique \* ARABIC </w:instrText>
      </w:r>
      <w:r w:rsidR="00DE78CE" w:rsidRPr="00462F63">
        <w:rPr>
          <w:rFonts w:ascii="Times New Roman" w:hAnsi="Times New Roman"/>
          <w:sz w:val="22"/>
        </w:rPr>
        <w:fldChar w:fldCharType="separate"/>
      </w:r>
      <w:r w:rsidR="00477549">
        <w:rPr>
          <w:rFonts w:ascii="Times New Roman" w:hAnsi="Times New Roman"/>
          <w:noProof/>
          <w:sz w:val="22"/>
        </w:rPr>
        <w:t>7</w:t>
      </w:r>
      <w:r w:rsidR="00DE78CE" w:rsidRPr="00462F63">
        <w:rPr>
          <w:rFonts w:ascii="Times New Roman" w:hAnsi="Times New Roman"/>
          <w:sz w:val="22"/>
        </w:rPr>
        <w:fldChar w:fldCharType="end"/>
      </w:r>
      <w:r w:rsidRPr="00462F63">
        <w:rPr>
          <w:rFonts w:ascii="Times New Roman" w:hAnsi="Times New Roman"/>
          <w:sz w:val="22"/>
        </w:rPr>
        <w:t xml:space="preserve"> : </w:t>
      </w:r>
      <w:r w:rsidR="004F39E8" w:rsidRPr="00462F63">
        <w:rPr>
          <w:rFonts w:ascii="Times New Roman" w:hAnsi="Times New Roman" w:cstheme="majorBidi"/>
          <w:bCs w:val="0"/>
          <w:color w:val="548DD4" w:themeColor="text2" w:themeTint="99"/>
          <w:sz w:val="22"/>
          <w:szCs w:val="24"/>
        </w:rPr>
        <w:t>Evolution des indices alimentaire, non alimentaire et général entre 2007 et 201</w:t>
      </w:r>
      <w:r w:rsidR="007E1D21">
        <w:rPr>
          <w:rFonts w:ascii="Times New Roman" w:hAnsi="Times New Roman" w:cstheme="majorBidi"/>
          <w:bCs w:val="0"/>
          <w:color w:val="548DD4" w:themeColor="text2" w:themeTint="99"/>
          <w:sz w:val="22"/>
          <w:szCs w:val="24"/>
        </w:rPr>
        <w:t>9</w:t>
      </w:r>
      <w:bookmarkEnd w:id="40"/>
    </w:p>
    <w:p w:rsidR="004F39E8" w:rsidRPr="004F39E8" w:rsidRDefault="007E1D21" w:rsidP="007E1D21">
      <w:pPr>
        <w:spacing w:after="0" w:line="240" w:lineRule="auto"/>
        <w:jc w:val="center"/>
        <w:rPr>
          <w:rFonts w:asciiTheme="majorBidi" w:hAnsiTheme="majorBidi" w:cstheme="majorBidi"/>
          <w:color w:val="548DD4" w:themeColor="text2" w:themeTint="99"/>
          <w:sz w:val="24"/>
          <w:szCs w:val="24"/>
        </w:rPr>
      </w:pPr>
      <w:r>
        <w:rPr>
          <w:rFonts w:asciiTheme="majorBidi" w:hAnsiTheme="majorBidi" w:cstheme="majorBidi"/>
          <w:b/>
          <w:bCs/>
          <w:color w:val="548DD4" w:themeColor="text2" w:themeTint="99"/>
          <w:sz w:val="24"/>
          <w:szCs w:val="24"/>
        </w:rPr>
        <w:t>-</w:t>
      </w:r>
      <w:r w:rsidR="004F39E8" w:rsidRPr="004F39E8">
        <w:rPr>
          <w:rFonts w:asciiTheme="majorBidi" w:hAnsiTheme="majorBidi" w:cstheme="majorBidi"/>
          <w:b/>
          <w:bCs/>
          <w:color w:val="548DD4" w:themeColor="text2" w:themeTint="99"/>
          <w:sz w:val="24"/>
          <w:szCs w:val="24"/>
        </w:rPr>
        <w:t xml:space="preserve">Ville de </w:t>
      </w:r>
      <w:proofErr w:type="spellStart"/>
      <w:r w:rsidR="004F39E8" w:rsidRPr="004F39E8">
        <w:rPr>
          <w:rFonts w:asciiTheme="majorBidi" w:hAnsiTheme="majorBidi" w:cstheme="majorBidi"/>
          <w:b/>
          <w:bCs/>
          <w:color w:val="548DD4" w:themeColor="text2" w:themeTint="99"/>
          <w:sz w:val="24"/>
          <w:szCs w:val="24"/>
        </w:rPr>
        <w:t>Kénitra</w:t>
      </w:r>
      <w:proofErr w:type="spellEnd"/>
      <w:r>
        <w:rPr>
          <w:rFonts w:asciiTheme="majorBidi" w:hAnsiTheme="majorBidi" w:cstheme="majorBidi"/>
          <w:b/>
          <w:bCs/>
          <w:color w:val="548DD4" w:themeColor="text2" w:themeTint="99"/>
          <w:sz w:val="24"/>
          <w:szCs w:val="24"/>
        </w:rPr>
        <w:t>-</w:t>
      </w:r>
    </w:p>
    <w:p w:rsidR="00252B2A" w:rsidRDefault="007E1D21" w:rsidP="004A7CCA">
      <w:pPr>
        <w:spacing w:before="240" w:after="0" w:line="240" w:lineRule="auto"/>
        <w:jc w:val="both"/>
        <w:rPr>
          <w:rFonts w:asciiTheme="majorBidi" w:hAnsiTheme="majorBidi" w:cstheme="majorBidi"/>
          <w:sz w:val="24"/>
          <w:szCs w:val="24"/>
        </w:rPr>
      </w:pPr>
      <w:r w:rsidRPr="007E1D21">
        <w:rPr>
          <w:rFonts w:asciiTheme="majorBidi" w:hAnsiTheme="majorBidi" w:cstheme="majorBidi"/>
          <w:noProof/>
          <w:sz w:val="24"/>
          <w:szCs w:val="24"/>
          <w:lang w:eastAsia="fr-FR"/>
        </w:rPr>
        <w:drawing>
          <wp:inline distT="0" distB="0" distL="0" distR="0">
            <wp:extent cx="5867400" cy="3886200"/>
            <wp:effectExtent l="19050" t="0" r="19050" b="0"/>
            <wp:docPr id="6"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01A7A" w:rsidRPr="00483003" w:rsidRDefault="00801A7A" w:rsidP="00801A7A">
      <w:pPr>
        <w:pStyle w:val="Lgende"/>
        <w:rPr>
          <w:rFonts w:ascii="Times New Roman" w:hAnsi="Times New Roman"/>
          <w:i/>
          <w:iCs/>
          <w:sz w:val="22"/>
        </w:rPr>
      </w:pPr>
      <w:bookmarkStart w:id="41" w:name="_Toc45551157"/>
      <w:r w:rsidRPr="00483003">
        <w:rPr>
          <w:rFonts w:ascii="Times New Roman" w:hAnsi="Times New Roman"/>
          <w:i/>
          <w:iCs/>
          <w:sz w:val="22"/>
        </w:rPr>
        <w:t>Source : HCP</w:t>
      </w:r>
    </w:p>
    <w:p w:rsidR="004A7CCA" w:rsidRDefault="004A7CCA" w:rsidP="00AF5C86">
      <w:pPr>
        <w:pStyle w:val="Titre3"/>
        <w:rPr>
          <w:rFonts w:asciiTheme="majorBidi" w:hAnsiTheme="majorBidi"/>
          <w:sz w:val="24"/>
          <w:szCs w:val="24"/>
        </w:rPr>
      </w:pPr>
    </w:p>
    <w:p w:rsidR="00252B2A" w:rsidRPr="00AF5C86" w:rsidRDefault="006A3751" w:rsidP="00AF5C86">
      <w:pPr>
        <w:pStyle w:val="Titre3"/>
        <w:rPr>
          <w:rFonts w:asciiTheme="majorBidi" w:hAnsiTheme="majorBidi"/>
          <w:sz w:val="24"/>
          <w:szCs w:val="24"/>
        </w:rPr>
      </w:pPr>
      <w:r w:rsidRPr="00AF5C86">
        <w:rPr>
          <w:rFonts w:asciiTheme="majorBidi" w:hAnsiTheme="majorBidi"/>
          <w:sz w:val="24"/>
          <w:szCs w:val="24"/>
        </w:rPr>
        <w:t>II</w:t>
      </w:r>
      <w:r w:rsidR="00586B08" w:rsidRPr="00AF5C86">
        <w:rPr>
          <w:rFonts w:asciiTheme="majorBidi" w:hAnsiTheme="majorBidi"/>
          <w:sz w:val="24"/>
          <w:szCs w:val="24"/>
        </w:rPr>
        <w:t>I</w:t>
      </w:r>
      <w:r w:rsidRPr="00AF5C86">
        <w:rPr>
          <w:rFonts w:asciiTheme="majorBidi" w:hAnsiTheme="majorBidi"/>
          <w:sz w:val="24"/>
          <w:szCs w:val="24"/>
        </w:rPr>
        <w:t>-</w:t>
      </w:r>
      <w:r w:rsidR="0096274A" w:rsidRPr="00AF5C86">
        <w:rPr>
          <w:rFonts w:asciiTheme="majorBidi" w:hAnsiTheme="majorBidi"/>
          <w:sz w:val="24"/>
          <w:szCs w:val="24"/>
        </w:rPr>
        <w:t>4</w:t>
      </w:r>
      <w:r w:rsidRPr="00AF5C86">
        <w:rPr>
          <w:rFonts w:asciiTheme="majorBidi" w:hAnsiTheme="majorBidi"/>
          <w:sz w:val="24"/>
          <w:szCs w:val="24"/>
        </w:rPr>
        <w:t>-3 Evolution de l’inflation générale</w:t>
      </w:r>
      <w:bookmarkEnd w:id="41"/>
    </w:p>
    <w:p w:rsidR="00AF5C86" w:rsidRPr="004B1065" w:rsidRDefault="00AF5C86" w:rsidP="00AF5C86">
      <w:pPr>
        <w:pStyle w:val="Titre4"/>
        <w:rPr>
          <w:rFonts w:asciiTheme="majorBidi" w:hAnsiTheme="majorBidi"/>
          <w:i w:val="0"/>
          <w:iCs w:val="0"/>
        </w:rPr>
      </w:pPr>
      <w:bookmarkStart w:id="42" w:name="_Toc45551158"/>
      <w:r w:rsidRPr="004B1065">
        <w:rPr>
          <w:rFonts w:asciiTheme="majorBidi" w:hAnsiTheme="majorBidi"/>
          <w:i w:val="0"/>
          <w:iCs w:val="0"/>
        </w:rPr>
        <w:t>III-4-3-1 Evolution annuelle de l’inflation</w:t>
      </w:r>
      <w:bookmarkEnd w:id="42"/>
    </w:p>
    <w:p w:rsidR="00723A2E" w:rsidRDefault="006A1838" w:rsidP="00E22F4D">
      <w:pPr>
        <w:spacing w:before="240" w:after="240" w:line="240" w:lineRule="auto"/>
        <w:jc w:val="both"/>
        <w:rPr>
          <w:rFonts w:asciiTheme="majorBidi" w:hAnsiTheme="majorBidi" w:cstheme="majorBidi"/>
          <w:sz w:val="24"/>
          <w:szCs w:val="24"/>
        </w:rPr>
      </w:pPr>
      <w:r w:rsidRPr="006A1838">
        <w:rPr>
          <w:rFonts w:asciiTheme="majorBidi" w:hAnsiTheme="majorBidi" w:cstheme="majorBidi"/>
          <w:sz w:val="24"/>
          <w:szCs w:val="24"/>
        </w:rPr>
        <w:t>Entre 2007 et 20</w:t>
      </w:r>
      <w:r w:rsidR="0007624A">
        <w:rPr>
          <w:rFonts w:asciiTheme="majorBidi" w:hAnsiTheme="majorBidi" w:cstheme="majorBidi"/>
          <w:sz w:val="24"/>
          <w:szCs w:val="24"/>
        </w:rPr>
        <w:t>19</w:t>
      </w:r>
      <w:r w:rsidRPr="006A1838">
        <w:rPr>
          <w:rFonts w:asciiTheme="majorBidi" w:hAnsiTheme="majorBidi" w:cstheme="majorBidi"/>
          <w:sz w:val="24"/>
          <w:szCs w:val="24"/>
        </w:rPr>
        <w:t>, l’inflation</w:t>
      </w:r>
      <w:r>
        <w:rPr>
          <w:rFonts w:asciiTheme="majorBidi" w:hAnsiTheme="majorBidi" w:cstheme="majorBidi"/>
          <w:sz w:val="24"/>
          <w:szCs w:val="24"/>
        </w:rPr>
        <w:t xml:space="preserve"> générale </w:t>
      </w:r>
      <w:r w:rsidR="003256C9">
        <w:rPr>
          <w:rFonts w:asciiTheme="majorBidi" w:hAnsiTheme="majorBidi" w:cstheme="majorBidi"/>
          <w:sz w:val="24"/>
          <w:szCs w:val="24"/>
        </w:rPr>
        <w:t xml:space="preserve">dans la ville de </w:t>
      </w:r>
      <w:proofErr w:type="spellStart"/>
      <w:r w:rsidR="003256C9">
        <w:rPr>
          <w:rFonts w:asciiTheme="majorBidi" w:hAnsiTheme="majorBidi" w:cstheme="majorBidi"/>
          <w:sz w:val="24"/>
          <w:szCs w:val="24"/>
        </w:rPr>
        <w:t>Kénitra</w:t>
      </w:r>
      <w:proofErr w:type="spellEnd"/>
      <w:r w:rsidR="003256C9">
        <w:rPr>
          <w:rFonts w:asciiTheme="majorBidi" w:hAnsiTheme="majorBidi" w:cstheme="majorBidi"/>
          <w:sz w:val="24"/>
          <w:szCs w:val="24"/>
        </w:rPr>
        <w:t>, a marqué cinq rebonds dont le plus important est celui enregistré en 2008, année coïncidant avec la crise économique mondiale. Depuis cette date, l’inflation n’a guère dépassé 1,8%, taux atteint en 2013 et 2018.</w:t>
      </w:r>
    </w:p>
    <w:p w:rsidR="003256C9" w:rsidRDefault="003256C9" w:rsidP="003256C9">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Il est à signaler que le niveau le plus bas qu’a connu l’inflation générale au cours de cette période est celui des années 2010 et 2019, soit 0,2%.</w:t>
      </w:r>
    </w:p>
    <w:p w:rsidR="003256C9" w:rsidRDefault="003256C9" w:rsidP="00D6737D">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Comparée au niveau national, la ville de </w:t>
      </w:r>
      <w:proofErr w:type="spellStart"/>
      <w:r w:rsidR="00D6737D">
        <w:rPr>
          <w:rFonts w:asciiTheme="majorBidi" w:hAnsiTheme="majorBidi" w:cstheme="majorBidi"/>
          <w:sz w:val="24"/>
          <w:szCs w:val="24"/>
        </w:rPr>
        <w:t>K</w:t>
      </w:r>
      <w:r>
        <w:rPr>
          <w:rFonts w:asciiTheme="majorBidi" w:hAnsiTheme="majorBidi" w:cstheme="majorBidi"/>
          <w:sz w:val="24"/>
          <w:szCs w:val="24"/>
        </w:rPr>
        <w:t>énitra</w:t>
      </w:r>
      <w:proofErr w:type="spellEnd"/>
      <w:r>
        <w:rPr>
          <w:rFonts w:asciiTheme="majorBidi" w:hAnsiTheme="majorBidi" w:cstheme="majorBidi"/>
          <w:sz w:val="24"/>
          <w:szCs w:val="24"/>
        </w:rPr>
        <w:t xml:space="preserve"> est considérée comme moins chère puisque tous les taux d’inflation qu’elle a enregistrés se situent en dessous de la moyenne nationale, sauf pour l’année 2011 où c’est l’inverse</w:t>
      </w:r>
      <w:r w:rsidR="00D6737D">
        <w:rPr>
          <w:rFonts w:asciiTheme="majorBidi" w:hAnsiTheme="majorBidi" w:cstheme="majorBidi"/>
          <w:sz w:val="24"/>
          <w:szCs w:val="24"/>
        </w:rPr>
        <w:t xml:space="preserve"> qui s’est produit</w:t>
      </w:r>
      <w:r>
        <w:rPr>
          <w:rFonts w:asciiTheme="majorBidi" w:hAnsiTheme="majorBidi" w:cstheme="majorBidi"/>
          <w:sz w:val="24"/>
          <w:szCs w:val="24"/>
        </w:rPr>
        <w:t>, soit un écart de 0,8 point.</w:t>
      </w:r>
    </w:p>
    <w:p w:rsidR="004F39E8" w:rsidRDefault="004F39E8" w:rsidP="004F39E8">
      <w:pPr>
        <w:spacing w:before="240" w:after="240" w:line="240" w:lineRule="auto"/>
        <w:jc w:val="both"/>
        <w:rPr>
          <w:rFonts w:asciiTheme="majorBidi" w:hAnsiTheme="majorBidi" w:cstheme="majorBidi"/>
          <w:b/>
          <w:bCs/>
          <w:color w:val="548DD4" w:themeColor="text2" w:themeTint="99"/>
          <w:sz w:val="24"/>
          <w:szCs w:val="24"/>
        </w:rPr>
      </w:pPr>
    </w:p>
    <w:p w:rsidR="004F39E8" w:rsidRDefault="004F39E8" w:rsidP="004F39E8">
      <w:pPr>
        <w:spacing w:before="240" w:after="240" w:line="240" w:lineRule="auto"/>
        <w:jc w:val="both"/>
        <w:rPr>
          <w:rFonts w:asciiTheme="majorBidi" w:hAnsiTheme="majorBidi" w:cstheme="majorBidi"/>
          <w:b/>
          <w:bCs/>
          <w:color w:val="548DD4" w:themeColor="text2" w:themeTint="99"/>
          <w:sz w:val="24"/>
          <w:szCs w:val="24"/>
        </w:rPr>
      </w:pPr>
    </w:p>
    <w:p w:rsidR="004F39E8" w:rsidRDefault="004F39E8" w:rsidP="004F39E8">
      <w:pPr>
        <w:spacing w:before="240" w:after="240" w:line="240" w:lineRule="auto"/>
        <w:jc w:val="both"/>
        <w:rPr>
          <w:rFonts w:asciiTheme="majorBidi" w:hAnsiTheme="majorBidi" w:cstheme="majorBidi"/>
          <w:b/>
          <w:bCs/>
          <w:color w:val="548DD4" w:themeColor="text2" w:themeTint="99"/>
          <w:sz w:val="24"/>
          <w:szCs w:val="24"/>
        </w:rPr>
      </w:pPr>
    </w:p>
    <w:p w:rsidR="004F39E8" w:rsidRDefault="004F39E8" w:rsidP="004F39E8">
      <w:pPr>
        <w:spacing w:before="240" w:after="240" w:line="240" w:lineRule="auto"/>
        <w:jc w:val="both"/>
        <w:rPr>
          <w:rFonts w:asciiTheme="majorBidi" w:hAnsiTheme="majorBidi" w:cstheme="majorBidi"/>
          <w:b/>
          <w:bCs/>
          <w:color w:val="548DD4" w:themeColor="text2" w:themeTint="99"/>
          <w:sz w:val="24"/>
          <w:szCs w:val="24"/>
        </w:rPr>
      </w:pPr>
    </w:p>
    <w:p w:rsidR="004F39E8" w:rsidRPr="00462F63" w:rsidRDefault="00462F63" w:rsidP="007E1D21">
      <w:pPr>
        <w:pStyle w:val="Lgende"/>
        <w:rPr>
          <w:rFonts w:ascii="Times New Roman" w:hAnsi="Times New Roman" w:cstheme="majorBidi"/>
          <w:color w:val="548DD4" w:themeColor="text2" w:themeTint="99"/>
          <w:sz w:val="22"/>
          <w:szCs w:val="24"/>
        </w:rPr>
      </w:pPr>
      <w:bookmarkStart w:id="43" w:name="_Toc515274111"/>
      <w:r w:rsidRPr="00462F63">
        <w:rPr>
          <w:rFonts w:ascii="Times New Roman" w:hAnsi="Times New Roman"/>
          <w:sz w:val="22"/>
        </w:rPr>
        <w:t xml:space="preserve">Graphique </w:t>
      </w:r>
      <w:r w:rsidR="00DE78CE" w:rsidRPr="00462F63">
        <w:rPr>
          <w:rFonts w:ascii="Times New Roman" w:hAnsi="Times New Roman"/>
          <w:sz w:val="22"/>
        </w:rPr>
        <w:fldChar w:fldCharType="begin"/>
      </w:r>
      <w:r w:rsidRPr="00462F63">
        <w:rPr>
          <w:rFonts w:ascii="Times New Roman" w:hAnsi="Times New Roman"/>
          <w:sz w:val="22"/>
        </w:rPr>
        <w:instrText xml:space="preserve"> SEQ Graphique \* ARABIC </w:instrText>
      </w:r>
      <w:r w:rsidR="00DE78CE" w:rsidRPr="00462F63">
        <w:rPr>
          <w:rFonts w:ascii="Times New Roman" w:hAnsi="Times New Roman"/>
          <w:sz w:val="22"/>
        </w:rPr>
        <w:fldChar w:fldCharType="separate"/>
      </w:r>
      <w:r w:rsidR="00477549">
        <w:rPr>
          <w:rFonts w:ascii="Times New Roman" w:hAnsi="Times New Roman"/>
          <w:noProof/>
          <w:sz w:val="22"/>
        </w:rPr>
        <w:t>8</w:t>
      </w:r>
      <w:r w:rsidR="00DE78CE" w:rsidRPr="00462F63">
        <w:rPr>
          <w:rFonts w:ascii="Times New Roman" w:hAnsi="Times New Roman"/>
          <w:sz w:val="22"/>
        </w:rPr>
        <w:fldChar w:fldCharType="end"/>
      </w:r>
      <w:r w:rsidRPr="00462F63">
        <w:rPr>
          <w:rFonts w:ascii="Times New Roman" w:hAnsi="Times New Roman"/>
          <w:sz w:val="22"/>
        </w:rPr>
        <w:t xml:space="preserve"> : </w:t>
      </w:r>
      <w:r w:rsidR="004F39E8" w:rsidRPr="00462F63">
        <w:rPr>
          <w:rFonts w:ascii="Times New Roman" w:hAnsi="Times New Roman" w:cstheme="majorBidi"/>
          <w:bCs w:val="0"/>
          <w:color w:val="548DD4" w:themeColor="text2" w:themeTint="99"/>
          <w:sz w:val="22"/>
          <w:szCs w:val="24"/>
        </w:rPr>
        <w:t>Evolution de l'inflation générale entre 2007 et 201</w:t>
      </w:r>
      <w:bookmarkEnd w:id="43"/>
      <w:r w:rsidR="007E1D21">
        <w:rPr>
          <w:rFonts w:ascii="Times New Roman" w:hAnsi="Times New Roman" w:cstheme="majorBidi"/>
          <w:bCs w:val="0"/>
          <w:color w:val="548DD4" w:themeColor="text2" w:themeTint="99"/>
          <w:sz w:val="22"/>
          <w:szCs w:val="24"/>
        </w:rPr>
        <w:t>9</w:t>
      </w:r>
    </w:p>
    <w:p w:rsidR="006A3751" w:rsidRDefault="00E10768" w:rsidP="004A7CCA">
      <w:pPr>
        <w:spacing w:before="240" w:after="0" w:line="240" w:lineRule="auto"/>
        <w:jc w:val="both"/>
        <w:rPr>
          <w:rFonts w:asciiTheme="majorBidi" w:hAnsiTheme="majorBidi" w:cstheme="majorBidi"/>
          <w:sz w:val="24"/>
          <w:szCs w:val="24"/>
        </w:rPr>
      </w:pPr>
      <w:r w:rsidRPr="00E10768">
        <w:rPr>
          <w:rFonts w:asciiTheme="majorBidi" w:hAnsiTheme="majorBidi" w:cstheme="majorBidi"/>
          <w:noProof/>
          <w:sz w:val="24"/>
          <w:szCs w:val="24"/>
          <w:lang w:eastAsia="fr-FR"/>
        </w:rPr>
        <w:drawing>
          <wp:inline distT="0" distB="0" distL="0" distR="0">
            <wp:extent cx="5867400" cy="4191000"/>
            <wp:effectExtent l="19050" t="0" r="19050" b="0"/>
            <wp:docPr id="8"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01A7A" w:rsidRPr="00483003" w:rsidRDefault="00801A7A" w:rsidP="00801A7A">
      <w:pPr>
        <w:pStyle w:val="Lgende"/>
        <w:rPr>
          <w:rFonts w:ascii="Times New Roman" w:hAnsi="Times New Roman"/>
          <w:i/>
          <w:iCs/>
          <w:sz w:val="22"/>
        </w:rPr>
      </w:pPr>
      <w:r w:rsidRPr="00483003">
        <w:rPr>
          <w:rFonts w:ascii="Times New Roman" w:hAnsi="Times New Roman"/>
          <w:i/>
          <w:iCs/>
          <w:sz w:val="22"/>
        </w:rPr>
        <w:t>Source : HCP</w:t>
      </w:r>
    </w:p>
    <w:p w:rsidR="004A7CCA" w:rsidRDefault="004A7CCA" w:rsidP="00985540">
      <w:pPr>
        <w:pStyle w:val="Titre4"/>
        <w:rPr>
          <w:rFonts w:asciiTheme="majorBidi" w:hAnsiTheme="majorBidi"/>
          <w:i w:val="0"/>
          <w:iCs w:val="0"/>
        </w:rPr>
      </w:pPr>
      <w:bookmarkStart w:id="44" w:name="_Toc45551159"/>
    </w:p>
    <w:p w:rsidR="00985540" w:rsidRPr="00985540" w:rsidRDefault="00985540" w:rsidP="00985540">
      <w:pPr>
        <w:pStyle w:val="Titre4"/>
        <w:rPr>
          <w:rFonts w:asciiTheme="majorBidi" w:hAnsiTheme="majorBidi"/>
          <w:i w:val="0"/>
          <w:iCs w:val="0"/>
        </w:rPr>
      </w:pPr>
      <w:r w:rsidRPr="00985540">
        <w:rPr>
          <w:rFonts w:asciiTheme="majorBidi" w:hAnsiTheme="majorBidi"/>
          <w:i w:val="0"/>
          <w:iCs w:val="0"/>
        </w:rPr>
        <w:t>III-4-3-2 Glissement</w:t>
      </w:r>
      <w:r>
        <w:rPr>
          <w:rFonts w:asciiTheme="majorBidi" w:hAnsiTheme="majorBidi"/>
          <w:i w:val="0"/>
          <w:iCs w:val="0"/>
        </w:rPr>
        <w:t>s</w:t>
      </w:r>
      <w:r w:rsidRPr="00985540">
        <w:rPr>
          <w:rFonts w:asciiTheme="majorBidi" w:hAnsiTheme="majorBidi"/>
          <w:i w:val="0"/>
          <w:iCs w:val="0"/>
        </w:rPr>
        <w:t xml:space="preserve"> annuel</w:t>
      </w:r>
      <w:r>
        <w:rPr>
          <w:rFonts w:asciiTheme="majorBidi" w:hAnsiTheme="majorBidi"/>
          <w:i w:val="0"/>
          <w:iCs w:val="0"/>
        </w:rPr>
        <w:t>s</w:t>
      </w:r>
      <w:bookmarkEnd w:id="44"/>
    </w:p>
    <w:p w:rsidR="007D21C9" w:rsidRDefault="0040187C" w:rsidP="0040187C">
      <w:pPr>
        <w:spacing w:before="240" w:after="240" w:line="240" w:lineRule="auto"/>
        <w:jc w:val="both"/>
        <w:rPr>
          <w:rFonts w:asciiTheme="majorBidi" w:hAnsiTheme="majorBidi" w:cstheme="majorBidi"/>
        </w:rPr>
      </w:pPr>
      <w:r>
        <w:rPr>
          <w:rFonts w:asciiTheme="majorBidi" w:hAnsiTheme="majorBidi" w:cstheme="majorBidi"/>
        </w:rPr>
        <w:t>L’évolution de l’inflation en glissements annuels vient confirmer les pics représentés par le graphique précédent. On observe également, sur la courbe, ci-dessous, les hausses enregistrées en 2008, 2011, 2013,2015 et 2018 dont la plus significative est celle de 2008.</w:t>
      </w:r>
    </w:p>
    <w:p w:rsidR="0040187C" w:rsidRDefault="0040187C" w:rsidP="00176713">
      <w:pPr>
        <w:spacing w:before="240" w:after="240" w:line="240" w:lineRule="auto"/>
        <w:jc w:val="both"/>
        <w:rPr>
          <w:rFonts w:asciiTheme="majorBidi" w:hAnsiTheme="majorBidi" w:cstheme="majorBidi"/>
        </w:rPr>
      </w:pPr>
      <w:r>
        <w:rPr>
          <w:rFonts w:asciiTheme="majorBidi" w:hAnsiTheme="majorBidi" w:cstheme="majorBidi"/>
        </w:rPr>
        <w:t xml:space="preserve">A noter que l’attitude de la variation de l’inflation entre un mois d’une année et son homologue dans l’année précédente, est similaire pour la ville de </w:t>
      </w:r>
      <w:proofErr w:type="spellStart"/>
      <w:r w:rsidR="00176713">
        <w:rPr>
          <w:rFonts w:asciiTheme="majorBidi" w:hAnsiTheme="majorBidi" w:cstheme="majorBidi"/>
        </w:rPr>
        <w:t>K</w:t>
      </w:r>
      <w:r>
        <w:rPr>
          <w:rFonts w:asciiTheme="majorBidi" w:hAnsiTheme="majorBidi" w:cstheme="majorBidi"/>
        </w:rPr>
        <w:t>énitra</w:t>
      </w:r>
      <w:proofErr w:type="spellEnd"/>
      <w:r>
        <w:rPr>
          <w:rFonts w:asciiTheme="majorBidi" w:hAnsiTheme="majorBidi" w:cstheme="majorBidi"/>
        </w:rPr>
        <w:t xml:space="preserve"> comme pour l’ensemble du pays.</w:t>
      </w:r>
    </w:p>
    <w:p w:rsidR="007D21C9" w:rsidRDefault="007D21C9" w:rsidP="002C2ACF">
      <w:pPr>
        <w:spacing w:before="240" w:after="240" w:line="240" w:lineRule="auto"/>
        <w:jc w:val="both"/>
        <w:rPr>
          <w:rFonts w:asciiTheme="majorBidi" w:hAnsiTheme="majorBidi" w:cstheme="majorBidi"/>
        </w:rPr>
      </w:pPr>
      <w:r>
        <w:rPr>
          <w:rFonts w:asciiTheme="majorBidi" w:hAnsiTheme="majorBidi" w:cstheme="majorBidi"/>
        </w:rPr>
        <w:t>Quant aux fluctuations cycliques en dents de scie, illustrées par le graphique</w:t>
      </w:r>
      <w:r w:rsidR="002C2ACF">
        <w:rPr>
          <w:rFonts w:asciiTheme="majorBidi" w:hAnsiTheme="majorBidi" w:cstheme="majorBidi"/>
        </w:rPr>
        <w:t xml:space="preserve"> en bas</w:t>
      </w:r>
      <w:r w:rsidR="006E71A6">
        <w:rPr>
          <w:rFonts w:asciiTheme="majorBidi" w:hAnsiTheme="majorBidi" w:cstheme="majorBidi"/>
        </w:rPr>
        <w:t>,</w:t>
      </w:r>
      <w:r w:rsidR="002C2ACF">
        <w:rPr>
          <w:rFonts w:asciiTheme="majorBidi" w:hAnsiTheme="majorBidi" w:cstheme="majorBidi"/>
        </w:rPr>
        <w:t xml:space="preserve"> </w:t>
      </w:r>
      <w:r>
        <w:rPr>
          <w:rFonts w:asciiTheme="majorBidi" w:hAnsiTheme="majorBidi" w:cstheme="majorBidi"/>
        </w:rPr>
        <w:t>elles font apparaître l’effet de saisonnalité que subissent les prix des produits de consommation d’un</w:t>
      </w:r>
      <w:r w:rsidR="002C2ACF">
        <w:rPr>
          <w:rFonts w:asciiTheme="majorBidi" w:hAnsiTheme="majorBidi" w:cstheme="majorBidi"/>
        </w:rPr>
        <w:t>e saison</w:t>
      </w:r>
      <w:r>
        <w:rPr>
          <w:rFonts w:asciiTheme="majorBidi" w:hAnsiTheme="majorBidi" w:cstheme="majorBidi"/>
        </w:rPr>
        <w:t xml:space="preserve"> à l’autre. </w:t>
      </w:r>
      <w:r w:rsidR="002C2ACF">
        <w:rPr>
          <w:rFonts w:asciiTheme="majorBidi" w:hAnsiTheme="majorBidi" w:cstheme="majorBidi"/>
        </w:rPr>
        <w:t>A noter que ces fluctuations se répètent, à peu près de la même manière d’une année à l’autre.</w:t>
      </w:r>
    </w:p>
    <w:p w:rsidR="004F39E8" w:rsidRDefault="004F39E8" w:rsidP="004F39E8">
      <w:pPr>
        <w:spacing w:before="240" w:after="240" w:line="240" w:lineRule="auto"/>
        <w:jc w:val="both"/>
        <w:rPr>
          <w:rFonts w:asciiTheme="majorBidi" w:hAnsiTheme="majorBidi" w:cstheme="majorBidi"/>
          <w:b/>
          <w:bCs/>
          <w:color w:val="548DD4" w:themeColor="text2" w:themeTint="99"/>
        </w:rPr>
      </w:pPr>
    </w:p>
    <w:p w:rsidR="004F39E8" w:rsidRDefault="004F39E8" w:rsidP="004F39E8">
      <w:pPr>
        <w:spacing w:before="240" w:after="240" w:line="240" w:lineRule="auto"/>
        <w:jc w:val="both"/>
        <w:rPr>
          <w:rFonts w:asciiTheme="majorBidi" w:hAnsiTheme="majorBidi" w:cstheme="majorBidi"/>
          <w:b/>
          <w:bCs/>
          <w:color w:val="548DD4" w:themeColor="text2" w:themeTint="99"/>
        </w:rPr>
      </w:pPr>
    </w:p>
    <w:p w:rsidR="004F39E8" w:rsidRDefault="004F39E8" w:rsidP="004F39E8">
      <w:pPr>
        <w:spacing w:before="240" w:after="240" w:line="240" w:lineRule="auto"/>
        <w:jc w:val="both"/>
        <w:rPr>
          <w:rFonts w:asciiTheme="majorBidi" w:hAnsiTheme="majorBidi" w:cstheme="majorBidi"/>
          <w:b/>
          <w:bCs/>
          <w:color w:val="548DD4" w:themeColor="text2" w:themeTint="99"/>
        </w:rPr>
      </w:pPr>
    </w:p>
    <w:p w:rsidR="00E22F4D" w:rsidRDefault="00E22F4D" w:rsidP="003F2793">
      <w:pPr>
        <w:pStyle w:val="Lgende"/>
        <w:rPr>
          <w:rFonts w:asciiTheme="majorBidi" w:hAnsiTheme="majorBidi" w:cstheme="majorBidi"/>
          <w:sz w:val="22"/>
          <w:szCs w:val="22"/>
        </w:rPr>
      </w:pPr>
      <w:bookmarkStart w:id="45" w:name="_Toc515274112"/>
    </w:p>
    <w:p w:rsidR="004F39E8" w:rsidRPr="00462F63" w:rsidRDefault="00462F63" w:rsidP="003F2793">
      <w:pPr>
        <w:pStyle w:val="Lgende"/>
        <w:rPr>
          <w:rFonts w:asciiTheme="majorBidi" w:hAnsiTheme="majorBidi" w:cstheme="majorBidi"/>
          <w:color w:val="548DD4" w:themeColor="text2" w:themeTint="99"/>
          <w:sz w:val="22"/>
          <w:szCs w:val="22"/>
        </w:rPr>
      </w:pPr>
      <w:r w:rsidRPr="00462F63">
        <w:rPr>
          <w:rFonts w:asciiTheme="majorBidi" w:hAnsiTheme="majorBidi" w:cstheme="majorBidi"/>
          <w:sz w:val="22"/>
          <w:szCs w:val="22"/>
        </w:rPr>
        <w:t xml:space="preserve">Graphique </w:t>
      </w:r>
      <w:r w:rsidR="00DE78CE" w:rsidRPr="00462F63">
        <w:rPr>
          <w:rFonts w:asciiTheme="majorBidi" w:hAnsiTheme="majorBidi" w:cstheme="majorBidi"/>
          <w:sz w:val="22"/>
          <w:szCs w:val="22"/>
        </w:rPr>
        <w:fldChar w:fldCharType="begin"/>
      </w:r>
      <w:r w:rsidRPr="00462F63">
        <w:rPr>
          <w:rFonts w:asciiTheme="majorBidi" w:hAnsiTheme="majorBidi" w:cstheme="majorBidi"/>
          <w:sz w:val="22"/>
          <w:szCs w:val="22"/>
        </w:rPr>
        <w:instrText xml:space="preserve"> SEQ Graphique \* ARABIC </w:instrText>
      </w:r>
      <w:r w:rsidR="00DE78CE" w:rsidRPr="00462F63">
        <w:rPr>
          <w:rFonts w:asciiTheme="majorBidi" w:hAnsiTheme="majorBidi" w:cstheme="majorBidi"/>
          <w:sz w:val="22"/>
          <w:szCs w:val="22"/>
        </w:rPr>
        <w:fldChar w:fldCharType="separate"/>
      </w:r>
      <w:r w:rsidR="00477549">
        <w:rPr>
          <w:rFonts w:asciiTheme="majorBidi" w:hAnsiTheme="majorBidi" w:cstheme="majorBidi"/>
          <w:noProof/>
          <w:sz w:val="22"/>
          <w:szCs w:val="22"/>
        </w:rPr>
        <w:t>9</w:t>
      </w:r>
      <w:r w:rsidR="00DE78CE" w:rsidRPr="00462F63">
        <w:rPr>
          <w:rFonts w:asciiTheme="majorBidi" w:hAnsiTheme="majorBidi" w:cstheme="majorBidi"/>
          <w:sz w:val="22"/>
          <w:szCs w:val="22"/>
        </w:rPr>
        <w:fldChar w:fldCharType="end"/>
      </w:r>
      <w:r w:rsidRPr="00462F63">
        <w:rPr>
          <w:rFonts w:asciiTheme="majorBidi" w:hAnsiTheme="majorBidi" w:cstheme="majorBidi"/>
          <w:sz w:val="22"/>
          <w:szCs w:val="22"/>
        </w:rPr>
        <w:t xml:space="preserve"> : </w:t>
      </w:r>
      <w:r w:rsidR="004F39E8" w:rsidRPr="00462F63">
        <w:rPr>
          <w:rFonts w:asciiTheme="majorBidi" w:hAnsiTheme="majorBidi" w:cstheme="majorBidi"/>
          <w:color w:val="548DD4" w:themeColor="text2" w:themeTint="99"/>
          <w:sz w:val="22"/>
          <w:szCs w:val="22"/>
        </w:rPr>
        <w:t xml:space="preserve">IPC de la ville de </w:t>
      </w:r>
      <w:proofErr w:type="spellStart"/>
      <w:r w:rsidR="004F39E8" w:rsidRPr="00462F63">
        <w:rPr>
          <w:rFonts w:asciiTheme="majorBidi" w:hAnsiTheme="majorBidi" w:cstheme="majorBidi"/>
          <w:color w:val="548DD4" w:themeColor="text2" w:themeTint="99"/>
          <w:sz w:val="22"/>
          <w:szCs w:val="22"/>
        </w:rPr>
        <w:t>Kénitra</w:t>
      </w:r>
      <w:proofErr w:type="spellEnd"/>
      <w:r w:rsidR="004F39E8" w:rsidRPr="00462F63">
        <w:rPr>
          <w:rFonts w:asciiTheme="majorBidi" w:hAnsiTheme="majorBidi" w:cstheme="majorBidi"/>
          <w:color w:val="548DD4" w:themeColor="text2" w:themeTint="99"/>
          <w:sz w:val="22"/>
          <w:szCs w:val="22"/>
        </w:rPr>
        <w:t xml:space="preserve"> et du Maroc : glissements annuels entre 2007 et 201</w:t>
      </w:r>
      <w:bookmarkEnd w:id="45"/>
      <w:r w:rsidR="003F2793">
        <w:rPr>
          <w:rFonts w:asciiTheme="majorBidi" w:hAnsiTheme="majorBidi" w:cstheme="majorBidi"/>
          <w:color w:val="548DD4" w:themeColor="text2" w:themeTint="99"/>
          <w:sz w:val="22"/>
          <w:szCs w:val="22"/>
        </w:rPr>
        <w:t>9</w:t>
      </w:r>
      <w:r w:rsidR="004F39E8" w:rsidRPr="00462F63">
        <w:rPr>
          <w:rFonts w:asciiTheme="majorBidi" w:hAnsiTheme="majorBidi" w:cstheme="majorBidi"/>
          <w:color w:val="548DD4" w:themeColor="text2" w:themeTint="99"/>
          <w:sz w:val="22"/>
          <w:szCs w:val="22"/>
        </w:rPr>
        <w:t xml:space="preserve"> </w:t>
      </w:r>
    </w:p>
    <w:p w:rsidR="00925A91" w:rsidRDefault="003F2793" w:rsidP="00187FB8">
      <w:pPr>
        <w:spacing w:before="240" w:after="0" w:line="240" w:lineRule="auto"/>
        <w:jc w:val="both"/>
        <w:rPr>
          <w:rFonts w:asciiTheme="majorBidi" w:hAnsiTheme="majorBidi" w:cstheme="majorBidi"/>
        </w:rPr>
      </w:pPr>
      <w:r w:rsidRPr="003F2793">
        <w:rPr>
          <w:rFonts w:asciiTheme="majorBidi" w:hAnsiTheme="majorBidi" w:cstheme="majorBidi"/>
          <w:noProof/>
          <w:lang w:eastAsia="fr-FR"/>
        </w:rPr>
        <w:drawing>
          <wp:inline distT="0" distB="0" distL="0" distR="0">
            <wp:extent cx="6219825" cy="5800725"/>
            <wp:effectExtent l="19050" t="0" r="9525" b="0"/>
            <wp:docPr id="10"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01A7A" w:rsidRPr="00483003" w:rsidRDefault="00801A7A" w:rsidP="00801A7A">
      <w:pPr>
        <w:pStyle w:val="Lgende"/>
        <w:rPr>
          <w:rFonts w:ascii="Times New Roman" w:hAnsi="Times New Roman"/>
          <w:i/>
          <w:iCs/>
          <w:sz w:val="22"/>
        </w:rPr>
      </w:pPr>
      <w:r w:rsidRPr="00483003">
        <w:rPr>
          <w:rFonts w:ascii="Times New Roman" w:hAnsi="Times New Roman"/>
          <w:i/>
          <w:iCs/>
          <w:sz w:val="22"/>
        </w:rPr>
        <w:t>Source : HCP</w:t>
      </w:r>
    </w:p>
    <w:p w:rsidR="006E2789" w:rsidRDefault="006E2789" w:rsidP="00725E87">
      <w:pPr>
        <w:spacing w:before="240" w:after="240" w:line="240" w:lineRule="auto"/>
        <w:jc w:val="both"/>
        <w:rPr>
          <w:rFonts w:asciiTheme="majorBidi" w:hAnsiTheme="majorBidi" w:cstheme="majorBidi"/>
        </w:rPr>
      </w:pPr>
    </w:p>
    <w:p w:rsidR="009E2412" w:rsidRDefault="009C15D0" w:rsidP="00777D90">
      <w:pPr>
        <w:spacing w:before="240" w:after="240" w:line="240" w:lineRule="auto"/>
        <w:jc w:val="both"/>
        <w:rPr>
          <w:rFonts w:asciiTheme="majorBidi" w:hAnsiTheme="majorBidi" w:cstheme="majorBidi"/>
          <w:b/>
          <w:bCs/>
        </w:rPr>
      </w:pPr>
      <w:r w:rsidRPr="00511678">
        <w:rPr>
          <w:rFonts w:asciiTheme="majorBidi" w:hAnsiTheme="majorBidi" w:cstheme="majorBidi"/>
          <w:b/>
          <w:bCs/>
          <w:color w:val="4F81BD" w:themeColor="accent1"/>
          <w:sz w:val="26"/>
          <w:szCs w:val="26"/>
        </w:rPr>
        <w:tab/>
      </w:r>
    </w:p>
    <w:p w:rsidR="004B1065" w:rsidRDefault="004B1065">
      <w:pPr>
        <w:rPr>
          <w:rFonts w:asciiTheme="majorBidi" w:hAnsiTheme="majorBidi" w:cstheme="majorBidi"/>
          <w:b/>
          <w:bCs/>
        </w:rPr>
      </w:pPr>
      <w:r>
        <w:rPr>
          <w:rFonts w:asciiTheme="majorBidi" w:hAnsiTheme="majorBidi" w:cstheme="majorBidi"/>
          <w:b/>
          <w:bCs/>
        </w:rPr>
        <w:br w:type="page"/>
      </w:r>
    </w:p>
    <w:p w:rsidR="00156FC8" w:rsidRDefault="00156FC8" w:rsidP="004B1065">
      <w:pPr>
        <w:rPr>
          <w:rFonts w:asciiTheme="majorBidi" w:hAnsiTheme="majorBidi"/>
          <w:color w:val="4F81BD" w:themeColor="accent1"/>
        </w:rPr>
      </w:pPr>
    </w:p>
    <w:p w:rsidR="00EB06FB" w:rsidRDefault="00EB06FB" w:rsidP="004B1065">
      <w:pPr>
        <w:rPr>
          <w:rFonts w:asciiTheme="majorBidi" w:hAnsiTheme="majorBidi"/>
          <w:color w:val="4F81BD" w:themeColor="accent1"/>
        </w:rPr>
      </w:pPr>
    </w:p>
    <w:p w:rsidR="00156FC8" w:rsidRDefault="00156FC8" w:rsidP="004B1065">
      <w:pPr>
        <w:rPr>
          <w:rFonts w:asciiTheme="majorBidi" w:hAnsiTheme="majorBidi"/>
          <w:color w:val="4F81BD" w:themeColor="accent1"/>
        </w:rPr>
      </w:pPr>
    </w:p>
    <w:p w:rsidR="00156FC8" w:rsidRDefault="00156FC8" w:rsidP="004B1065">
      <w:pPr>
        <w:rPr>
          <w:rFonts w:asciiTheme="majorBidi" w:hAnsiTheme="majorBidi"/>
          <w:color w:val="4F81BD" w:themeColor="accent1"/>
        </w:rPr>
      </w:pPr>
    </w:p>
    <w:p w:rsidR="00156FC8" w:rsidRDefault="00156FC8" w:rsidP="004B1065">
      <w:pPr>
        <w:rPr>
          <w:rFonts w:asciiTheme="majorBidi" w:hAnsiTheme="majorBidi"/>
          <w:color w:val="4F81BD" w:themeColor="accent1"/>
        </w:rPr>
      </w:pPr>
    </w:p>
    <w:p w:rsidR="004B1065" w:rsidRDefault="004B1065" w:rsidP="004B1065">
      <w:pPr>
        <w:rPr>
          <w:rFonts w:asciiTheme="majorBidi" w:hAnsiTheme="majorBidi"/>
          <w:color w:val="4F81BD" w:themeColor="accent1"/>
        </w:rPr>
      </w:pPr>
    </w:p>
    <w:p w:rsidR="004B1065" w:rsidRDefault="004B1065" w:rsidP="004B1065">
      <w:pPr>
        <w:rPr>
          <w:rFonts w:asciiTheme="majorBidi" w:hAnsiTheme="majorBidi"/>
          <w:color w:val="4F81BD" w:themeColor="accent1"/>
        </w:rPr>
      </w:pPr>
    </w:p>
    <w:p w:rsidR="004B1065" w:rsidRDefault="004B1065" w:rsidP="004B1065">
      <w:pPr>
        <w:rPr>
          <w:rFonts w:asciiTheme="majorBidi" w:hAnsiTheme="majorBidi"/>
          <w:color w:val="4F81BD" w:themeColor="accent1"/>
        </w:rPr>
      </w:pPr>
    </w:p>
    <w:p w:rsidR="004B1065" w:rsidRDefault="004B1065" w:rsidP="004B1065">
      <w:pPr>
        <w:rPr>
          <w:rFonts w:asciiTheme="majorBidi" w:hAnsiTheme="majorBidi"/>
          <w:color w:val="4F81BD" w:themeColor="accent1"/>
        </w:rPr>
      </w:pPr>
    </w:p>
    <w:p w:rsidR="004B1065" w:rsidRDefault="004B1065" w:rsidP="004B1065">
      <w:pPr>
        <w:rPr>
          <w:rFonts w:asciiTheme="majorBidi" w:hAnsiTheme="majorBidi"/>
          <w:color w:val="4F81BD" w:themeColor="accent1"/>
        </w:rPr>
      </w:pPr>
    </w:p>
    <w:p w:rsidR="004B1065" w:rsidRDefault="004B1065">
      <w:pPr>
        <w:rPr>
          <w:rFonts w:asciiTheme="majorBidi" w:hAnsiTheme="majorBidi"/>
          <w:color w:val="4F81BD" w:themeColor="accent1"/>
        </w:rPr>
      </w:pPr>
    </w:p>
    <w:p w:rsidR="00152181" w:rsidRPr="00590216" w:rsidRDefault="00590216" w:rsidP="00590216">
      <w:pPr>
        <w:jc w:val="center"/>
        <w:rPr>
          <w:rFonts w:asciiTheme="majorBidi" w:hAnsiTheme="majorBidi"/>
          <w:b/>
          <w:bCs/>
          <w:color w:val="4F81BD" w:themeColor="accent1"/>
          <w:sz w:val="72"/>
          <w:szCs w:val="72"/>
        </w:rPr>
      </w:pPr>
      <w:r w:rsidRPr="00590216">
        <w:rPr>
          <w:rFonts w:asciiTheme="majorBidi" w:hAnsiTheme="majorBidi"/>
          <w:b/>
          <w:bCs/>
          <w:color w:val="4F81BD" w:themeColor="accent1"/>
          <w:sz w:val="72"/>
          <w:szCs w:val="72"/>
        </w:rPr>
        <w:t>CONCLUSION</w:t>
      </w:r>
    </w:p>
    <w:p w:rsidR="00152181" w:rsidRDefault="00152181">
      <w:pPr>
        <w:rPr>
          <w:rFonts w:asciiTheme="majorBidi" w:hAnsiTheme="majorBidi"/>
          <w:color w:val="4F81BD" w:themeColor="accent1"/>
        </w:rPr>
      </w:pPr>
    </w:p>
    <w:p w:rsidR="004B1065" w:rsidRDefault="004B1065">
      <w:pPr>
        <w:rPr>
          <w:rFonts w:asciiTheme="majorBidi" w:hAnsiTheme="majorBidi"/>
          <w:color w:val="4F81BD" w:themeColor="accent1"/>
        </w:rPr>
      </w:pPr>
    </w:p>
    <w:p w:rsidR="004B1065" w:rsidRDefault="004B1065">
      <w:pPr>
        <w:rPr>
          <w:rFonts w:asciiTheme="majorBidi" w:hAnsiTheme="majorBidi"/>
          <w:color w:val="4F81BD" w:themeColor="accent1"/>
        </w:rPr>
      </w:pPr>
    </w:p>
    <w:p w:rsidR="004B1065" w:rsidRDefault="004B1065">
      <w:pPr>
        <w:rPr>
          <w:rFonts w:asciiTheme="majorBidi" w:hAnsiTheme="majorBidi"/>
          <w:color w:val="4F81BD" w:themeColor="accent1"/>
        </w:rPr>
      </w:pPr>
    </w:p>
    <w:p w:rsidR="004B1065" w:rsidRDefault="004B1065">
      <w:pPr>
        <w:rPr>
          <w:rFonts w:asciiTheme="majorBidi" w:hAnsiTheme="majorBidi"/>
          <w:color w:val="4F81BD" w:themeColor="accent1"/>
        </w:rPr>
      </w:pPr>
    </w:p>
    <w:p w:rsidR="004B1065" w:rsidRDefault="004B1065">
      <w:pPr>
        <w:rPr>
          <w:rFonts w:asciiTheme="majorBidi" w:hAnsiTheme="majorBidi"/>
          <w:color w:val="4F81BD" w:themeColor="accent1"/>
        </w:rPr>
      </w:pPr>
    </w:p>
    <w:p w:rsidR="004B1065" w:rsidRDefault="004B1065">
      <w:pPr>
        <w:rPr>
          <w:rFonts w:asciiTheme="majorBidi" w:hAnsiTheme="majorBidi"/>
          <w:color w:val="4F81BD" w:themeColor="accent1"/>
        </w:rPr>
      </w:pPr>
    </w:p>
    <w:p w:rsidR="004B1065" w:rsidRDefault="004B1065">
      <w:pPr>
        <w:rPr>
          <w:rFonts w:asciiTheme="majorBidi" w:hAnsiTheme="majorBidi"/>
          <w:color w:val="4F81BD" w:themeColor="accent1"/>
        </w:rPr>
      </w:pPr>
    </w:p>
    <w:p w:rsidR="004B1065" w:rsidRDefault="004B1065">
      <w:pPr>
        <w:rPr>
          <w:rFonts w:asciiTheme="majorBidi" w:eastAsiaTheme="majorEastAsia" w:hAnsiTheme="majorBidi" w:cstheme="majorBidi"/>
          <w:b/>
          <w:bCs/>
          <w:color w:val="4F81BD" w:themeColor="accent1"/>
          <w:sz w:val="28"/>
          <w:szCs w:val="28"/>
        </w:rPr>
      </w:pPr>
      <w:r>
        <w:rPr>
          <w:rFonts w:asciiTheme="majorBidi" w:hAnsiTheme="majorBidi"/>
          <w:color w:val="4F81BD" w:themeColor="accent1"/>
        </w:rPr>
        <w:br w:type="page"/>
      </w:r>
    </w:p>
    <w:p w:rsidR="002D3D25" w:rsidRPr="00EB06FB" w:rsidRDefault="00EB06FB" w:rsidP="00EB06FB">
      <w:pPr>
        <w:rPr>
          <w:rFonts w:asciiTheme="majorBidi" w:hAnsiTheme="majorBidi"/>
          <w:b/>
          <w:bCs/>
          <w:color w:val="4F81BD" w:themeColor="accent1"/>
        </w:rPr>
      </w:pPr>
      <w:bookmarkStart w:id="46" w:name="_Toc45551160"/>
      <w:r w:rsidRPr="00EB06FB">
        <w:rPr>
          <w:rFonts w:asciiTheme="majorBidi" w:hAnsiTheme="majorBidi"/>
          <w:b/>
          <w:bCs/>
          <w:color w:val="4F81BD" w:themeColor="accent1"/>
        </w:rPr>
        <w:lastRenderedPageBreak/>
        <w:t>C</w:t>
      </w:r>
      <w:r w:rsidR="002D3D25" w:rsidRPr="00EB06FB">
        <w:rPr>
          <w:rFonts w:asciiTheme="majorBidi" w:hAnsiTheme="majorBidi"/>
          <w:b/>
          <w:bCs/>
          <w:color w:val="4F81BD" w:themeColor="accent1"/>
        </w:rPr>
        <w:t>ONCLUSION</w:t>
      </w:r>
      <w:bookmarkEnd w:id="46"/>
    </w:p>
    <w:p w:rsidR="000673ED" w:rsidRDefault="000673ED" w:rsidP="00E22F4D">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Comme il est défini dans le chapitre II du présent rapport, l’I</w:t>
      </w:r>
      <w:r w:rsidR="00DB5004">
        <w:rPr>
          <w:rFonts w:asciiTheme="majorBidi" w:hAnsiTheme="majorBidi" w:cstheme="majorBidi"/>
          <w:sz w:val="24"/>
          <w:szCs w:val="24"/>
        </w:rPr>
        <w:t xml:space="preserve">ndice des </w:t>
      </w:r>
      <w:r>
        <w:rPr>
          <w:rFonts w:asciiTheme="majorBidi" w:hAnsiTheme="majorBidi" w:cstheme="majorBidi"/>
          <w:sz w:val="24"/>
          <w:szCs w:val="24"/>
        </w:rPr>
        <w:t>P</w:t>
      </w:r>
      <w:r w:rsidR="00DB5004">
        <w:rPr>
          <w:rFonts w:asciiTheme="majorBidi" w:hAnsiTheme="majorBidi" w:cstheme="majorBidi"/>
          <w:sz w:val="24"/>
          <w:szCs w:val="24"/>
        </w:rPr>
        <w:t xml:space="preserve">rix à la </w:t>
      </w:r>
      <w:r>
        <w:rPr>
          <w:rFonts w:asciiTheme="majorBidi" w:hAnsiTheme="majorBidi" w:cstheme="majorBidi"/>
          <w:sz w:val="24"/>
          <w:szCs w:val="24"/>
        </w:rPr>
        <w:t>C</w:t>
      </w:r>
      <w:r w:rsidR="00DB5004">
        <w:rPr>
          <w:rFonts w:asciiTheme="majorBidi" w:hAnsiTheme="majorBidi" w:cstheme="majorBidi"/>
          <w:sz w:val="24"/>
          <w:szCs w:val="24"/>
        </w:rPr>
        <w:t>onsommation</w:t>
      </w:r>
      <w:r>
        <w:rPr>
          <w:rFonts w:asciiTheme="majorBidi" w:hAnsiTheme="majorBidi" w:cstheme="majorBidi"/>
          <w:sz w:val="24"/>
          <w:szCs w:val="24"/>
        </w:rPr>
        <w:t xml:space="preserve"> permet de mesurer la variation des prix d’un panier de biens et services, à qualité constante, représentatif de la consommation des ménages entre deux périodes données. Ainsi, l’analyse des résultats relatifs à l’IPC</w:t>
      </w:r>
      <w:r w:rsidR="00DB5004">
        <w:rPr>
          <w:rFonts w:asciiTheme="majorBidi" w:hAnsiTheme="majorBidi" w:cstheme="majorBidi"/>
          <w:sz w:val="24"/>
          <w:szCs w:val="24"/>
        </w:rPr>
        <w:t xml:space="preserve"> </w:t>
      </w:r>
      <w:r>
        <w:rPr>
          <w:rFonts w:asciiTheme="majorBidi" w:hAnsiTheme="majorBidi" w:cstheme="majorBidi"/>
          <w:sz w:val="24"/>
          <w:szCs w:val="24"/>
        </w:rPr>
        <w:t xml:space="preserve">(base 100: 2006) au cours de la période 2007-2019, a permis d’apporter quelques éclaircissements sur le coût de la vie dans la ville de </w:t>
      </w:r>
      <w:proofErr w:type="spellStart"/>
      <w:r>
        <w:rPr>
          <w:rFonts w:asciiTheme="majorBidi" w:hAnsiTheme="majorBidi" w:cstheme="majorBidi"/>
          <w:sz w:val="24"/>
          <w:szCs w:val="24"/>
        </w:rPr>
        <w:t>Kénitra</w:t>
      </w:r>
      <w:proofErr w:type="spellEnd"/>
      <w:r>
        <w:rPr>
          <w:rFonts w:asciiTheme="majorBidi" w:hAnsiTheme="majorBidi" w:cstheme="majorBidi"/>
          <w:sz w:val="24"/>
          <w:szCs w:val="24"/>
        </w:rPr>
        <w:t>.</w:t>
      </w:r>
    </w:p>
    <w:p w:rsidR="000673ED" w:rsidRDefault="000673ED" w:rsidP="00E22F4D">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En 2019, l’IPC général a atteint le niveau 118,8 contre 118,5 en 2018, soit une évolution de 0,2%. Celle-ci, reste inférieure à celle enregistrée au niveau national  qui est de</w:t>
      </w:r>
      <w:r w:rsidR="00E22F4D">
        <w:rPr>
          <w:rFonts w:asciiTheme="majorBidi" w:hAnsiTheme="majorBidi" w:cstheme="majorBidi"/>
          <w:sz w:val="24"/>
          <w:szCs w:val="24"/>
        </w:rPr>
        <w:t xml:space="preserve"> l’ordre de</w:t>
      </w:r>
      <w:r>
        <w:rPr>
          <w:rFonts w:asciiTheme="majorBidi" w:hAnsiTheme="majorBidi" w:cstheme="majorBidi"/>
          <w:sz w:val="24"/>
          <w:szCs w:val="24"/>
        </w:rPr>
        <w:t xml:space="preserve"> 0,3%.</w:t>
      </w:r>
    </w:p>
    <w:p w:rsidR="000673ED" w:rsidRDefault="000673ED" w:rsidP="00176713">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Il est à noter également, que la ville de </w:t>
      </w:r>
      <w:proofErr w:type="spellStart"/>
      <w:r w:rsidR="00176713">
        <w:rPr>
          <w:rFonts w:asciiTheme="majorBidi" w:hAnsiTheme="majorBidi" w:cstheme="majorBidi"/>
          <w:sz w:val="24"/>
          <w:szCs w:val="24"/>
        </w:rPr>
        <w:t>K</w:t>
      </w:r>
      <w:r>
        <w:rPr>
          <w:rFonts w:asciiTheme="majorBidi" w:hAnsiTheme="majorBidi" w:cstheme="majorBidi"/>
          <w:sz w:val="24"/>
          <w:szCs w:val="24"/>
        </w:rPr>
        <w:t>énitra</w:t>
      </w:r>
      <w:proofErr w:type="spellEnd"/>
      <w:r>
        <w:rPr>
          <w:rFonts w:asciiTheme="majorBidi" w:hAnsiTheme="majorBidi" w:cstheme="majorBidi"/>
          <w:sz w:val="24"/>
          <w:szCs w:val="24"/>
        </w:rPr>
        <w:t xml:space="preserve"> est considérée comme l’une des villes qui ont affiché un taux d’inflation très bas en 2019, en occupant le 4</w:t>
      </w:r>
      <w:r w:rsidRPr="000673ED">
        <w:rPr>
          <w:rFonts w:asciiTheme="majorBidi" w:hAnsiTheme="majorBidi" w:cstheme="majorBidi"/>
          <w:sz w:val="24"/>
          <w:szCs w:val="24"/>
          <w:vertAlign w:val="superscript"/>
        </w:rPr>
        <w:t>ème</w:t>
      </w:r>
      <w:r>
        <w:rPr>
          <w:rFonts w:asciiTheme="majorBidi" w:hAnsiTheme="majorBidi" w:cstheme="majorBidi"/>
          <w:sz w:val="24"/>
          <w:szCs w:val="24"/>
        </w:rPr>
        <w:t xml:space="preserve"> rang après Oujda avec un taux d’inflation négatif</w:t>
      </w:r>
      <w:r w:rsidR="0051438A">
        <w:rPr>
          <w:rFonts w:asciiTheme="majorBidi" w:hAnsiTheme="majorBidi" w:cstheme="majorBidi"/>
          <w:sz w:val="24"/>
          <w:szCs w:val="24"/>
        </w:rPr>
        <w:t xml:space="preserve"> : </w:t>
      </w:r>
      <w:r w:rsidR="00D6737D">
        <w:rPr>
          <w:rFonts w:asciiTheme="majorBidi" w:hAnsiTheme="majorBidi" w:cstheme="majorBidi"/>
          <w:sz w:val="24"/>
          <w:szCs w:val="24"/>
        </w:rPr>
        <w:t>(</w:t>
      </w:r>
      <w:r w:rsidR="0051438A">
        <w:rPr>
          <w:rFonts w:asciiTheme="majorBidi" w:hAnsiTheme="majorBidi" w:cstheme="majorBidi"/>
          <w:sz w:val="24"/>
          <w:szCs w:val="24"/>
        </w:rPr>
        <w:t>-0,3%</w:t>
      </w:r>
      <w:r w:rsidR="00D6737D">
        <w:rPr>
          <w:rFonts w:asciiTheme="majorBidi" w:hAnsiTheme="majorBidi" w:cstheme="majorBidi"/>
          <w:sz w:val="24"/>
          <w:szCs w:val="24"/>
        </w:rPr>
        <w:t>)</w:t>
      </w:r>
      <w:r w:rsidR="0051438A">
        <w:rPr>
          <w:rFonts w:asciiTheme="majorBidi" w:hAnsiTheme="majorBidi" w:cstheme="majorBidi"/>
          <w:sz w:val="24"/>
          <w:szCs w:val="24"/>
        </w:rPr>
        <w:t>, Agadir avec une inflation nulle et Marrakech avec</w:t>
      </w:r>
      <w:r w:rsidR="00E22F4D">
        <w:rPr>
          <w:rFonts w:asciiTheme="majorBidi" w:hAnsiTheme="majorBidi" w:cstheme="majorBidi"/>
          <w:sz w:val="24"/>
          <w:szCs w:val="24"/>
        </w:rPr>
        <w:t xml:space="preserve"> une inflation de </w:t>
      </w:r>
      <w:r w:rsidR="0051438A">
        <w:rPr>
          <w:rFonts w:asciiTheme="majorBidi" w:hAnsiTheme="majorBidi" w:cstheme="majorBidi"/>
          <w:sz w:val="24"/>
          <w:szCs w:val="24"/>
        </w:rPr>
        <w:t xml:space="preserve"> 0,1%.</w:t>
      </w:r>
    </w:p>
    <w:p w:rsidR="0051438A" w:rsidRDefault="0051438A" w:rsidP="00176713">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La variation de l’indice général de </w:t>
      </w:r>
      <w:proofErr w:type="spellStart"/>
      <w:r w:rsidR="00176713">
        <w:rPr>
          <w:rFonts w:asciiTheme="majorBidi" w:hAnsiTheme="majorBidi" w:cstheme="majorBidi"/>
          <w:sz w:val="24"/>
          <w:szCs w:val="24"/>
        </w:rPr>
        <w:t>K</w:t>
      </w:r>
      <w:r>
        <w:rPr>
          <w:rFonts w:asciiTheme="majorBidi" w:hAnsiTheme="majorBidi" w:cstheme="majorBidi"/>
          <w:sz w:val="24"/>
          <w:szCs w:val="24"/>
        </w:rPr>
        <w:t>énitra</w:t>
      </w:r>
      <w:proofErr w:type="spellEnd"/>
      <w:r>
        <w:rPr>
          <w:rFonts w:asciiTheme="majorBidi" w:hAnsiTheme="majorBidi" w:cstheme="majorBidi"/>
          <w:sz w:val="24"/>
          <w:szCs w:val="24"/>
        </w:rPr>
        <w:t xml:space="preserve"> est le résultat combiné de la baisse de l’indice des produits alimentaires de 0,2% et la hausse de l’indice des produits non alimentaires de 0,5%.</w:t>
      </w:r>
    </w:p>
    <w:p w:rsidR="0051438A" w:rsidRDefault="0051438A" w:rsidP="0051438A">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Concernant les produits alimentaires, la baisse n’a touché que la 1</w:t>
      </w:r>
      <w:r w:rsidRPr="0051438A">
        <w:rPr>
          <w:rFonts w:asciiTheme="majorBidi" w:hAnsiTheme="majorBidi" w:cstheme="majorBidi"/>
          <w:sz w:val="24"/>
          <w:szCs w:val="24"/>
          <w:vertAlign w:val="superscript"/>
        </w:rPr>
        <w:t>ère</w:t>
      </w:r>
      <w:r>
        <w:rPr>
          <w:rFonts w:asciiTheme="majorBidi" w:hAnsiTheme="majorBidi" w:cstheme="majorBidi"/>
          <w:sz w:val="24"/>
          <w:szCs w:val="24"/>
        </w:rPr>
        <w:t xml:space="preserve"> division « Produits alimentaires et boissons non alcoolisées » dont l’indice  a chuté de 0,9%. Tandis que la 2</w:t>
      </w:r>
      <w:r w:rsidRPr="0051438A">
        <w:rPr>
          <w:rFonts w:asciiTheme="majorBidi" w:hAnsiTheme="majorBidi" w:cstheme="majorBidi"/>
          <w:sz w:val="24"/>
          <w:szCs w:val="24"/>
          <w:vertAlign w:val="superscript"/>
        </w:rPr>
        <w:t>ème</w:t>
      </w:r>
      <w:r>
        <w:rPr>
          <w:rFonts w:asciiTheme="majorBidi" w:hAnsiTheme="majorBidi" w:cstheme="majorBidi"/>
          <w:sz w:val="24"/>
          <w:szCs w:val="24"/>
        </w:rPr>
        <w:t xml:space="preserve"> division a connu un rebond significatif allant jusqu’à 15,2% suite à l’augmentation des prix du Tabac.</w:t>
      </w:r>
    </w:p>
    <w:p w:rsidR="0051438A" w:rsidRDefault="0051438A" w:rsidP="0051438A">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Pour ce qui est des produits non alimentaires, seules trois divisions ont vu leurs prix baisser entre 2018 et 2019. Il s’agit des « Meubles, articles de ménage et entretien courant du foyer », de la « Santé » et des « Transports ».</w:t>
      </w:r>
    </w:p>
    <w:p w:rsidR="0051438A" w:rsidRDefault="0051438A" w:rsidP="0051438A">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Quant à l’évolution des prix ces treize dernières </w:t>
      </w:r>
      <w:r w:rsidR="00DB5004">
        <w:rPr>
          <w:rFonts w:asciiTheme="majorBidi" w:hAnsiTheme="majorBidi" w:cstheme="majorBidi"/>
          <w:sz w:val="24"/>
          <w:szCs w:val="24"/>
        </w:rPr>
        <w:t>années, l’</w:t>
      </w:r>
      <w:r>
        <w:rPr>
          <w:rFonts w:asciiTheme="majorBidi" w:hAnsiTheme="majorBidi" w:cstheme="majorBidi"/>
          <w:sz w:val="24"/>
          <w:szCs w:val="24"/>
        </w:rPr>
        <w:t xml:space="preserve">indice général a affiché une hausse de 16,6% en passant de 101,8 en 2007 à 118,7 en </w:t>
      </w:r>
      <w:r w:rsidR="00DB5004">
        <w:rPr>
          <w:rFonts w:asciiTheme="majorBidi" w:hAnsiTheme="majorBidi" w:cstheme="majorBidi"/>
          <w:sz w:val="24"/>
          <w:szCs w:val="24"/>
        </w:rPr>
        <w:t>2019. Cependant, le rythme de cette croissance  a été marqué par des flux et des reflux au cours de cette période.</w:t>
      </w:r>
    </w:p>
    <w:p w:rsidR="001F2DA4" w:rsidRDefault="001F2DA4" w:rsidP="00DB5004">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Ainsi, on remarque que l’inflation générale a atteint son niveau le plus élevé en 2008 avec 3,8%</w:t>
      </w:r>
      <w:r w:rsidR="003146FA">
        <w:rPr>
          <w:rFonts w:asciiTheme="majorBidi" w:hAnsiTheme="majorBidi" w:cstheme="majorBidi"/>
          <w:sz w:val="24"/>
          <w:szCs w:val="24"/>
        </w:rPr>
        <w:t>.</w:t>
      </w:r>
      <w:r>
        <w:rPr>
          <w:rFonts w:asciiTheme="majorBidi" w:hAnsiTheme="majorBidi" w:cstheme="majorBidi"/>
          <w:sz w:val="24"/>
          <w:szCs w:val="24"/>
        </w:rPr>
        <w:t xml:space="preserve"> </w:t>
      </w:r>
      <w:r w:rsidR="003146FA">
        <w:rPr>
          <w:rFonts w:asciiTheme="majorBidi" w:hAnsiTheme="majorBidi" w:cstheme="majorBidi"/>
          <w:sz w:val="24"/>
          <w:szCs w:val="24"/>
        </w:rPr>
        <w:t>Au-delà de cette</w:t>
      </w:r>
      <w:r w:rsidR="00DF65E2">
        <w:rPr>
          <w:rFonts w:asciiTheme="majorBidi" w:hAnsiTheme="majorBidi" w:cstheme="majorBidi"/>
          <w:sz w:val="24"/>
          <w:szCs w:val="24"/>
        </w:rPr>
        <w:t xml:space="preserve"> année</w:t>
      </w:r>
      <w:r w:rsidR="003146FA">
        <w:rPr>
          <w:rFonts w:asciiTheme="majorBidi" w:hAnsiTheme="majorBidi" w:cstheme="majorBidi"/>
          <w:sz w:val="24"/>
          <w:szCs w:val="24"/>
        </w:rPr>
        <w:t>, l’inflation s’est atténuée et n’a dépassé guère 1,8% (niveau enregistré en 2013</w:t>
      </w:r>
      <w:r w:rsidR="00DB5004">
        <w:rPr>
          <w:rFonts w:asciiTheme="majorBidi" w:hAnsiTheme="majorBidi" w:cstheme="majorBidi"/>
          <w:sz w:val="24"/>
          <w:szCs w:val="24"/>
        </w:rPr>
        <w:t xml:space="preserve"> et 2018</w:t>
      </w:r>
      <w:r w:rsidR="003146FA">
        <w:rPr>
          <w:rFonts w:asciiTheme="majorBidi" w:hAnsiTheme="majorBidi" w:cstheme="majorBidi"/>
          <w:sz w:val="24"/>
          <w:szCs w:val="24"/>
        </w:rPr>
        <w:t>). Quant à l</w:t>
      </w:r>
      <w:r w:rsidR="00DB5004">
        <w:rPr>
          <w:rFonts w:asciiTheme="majorBidi" w:hAnsiTheme="majorBidi" w:cstheme="majorBidi"/>
          <w:sz w:val="24"/>
          <w:szCs w:val="24"/>
        </w:rPr>
        <w:t>’année 2019</w:t>
      </w:r>
      <w:r w:rsidR="003146FA">
        <w:rPr>
          <w:rFonts w:asciiTheme="majorBidi" w:hAnsiTheme="majorBidi" w:cstheme="majorBidi"/>
          <w:sz w:val="24"/>
          <w:szCs w:val="24"/>
        </w:rPr>
        <w:t xml:space="preserve">, elle est considérée, </w:t>
      </w:r>
      <w:r w:rsidR="00C51F59">
        <w:rPr>
          <w:rFonts w:asciiTheme="majorBidi" w:hAnsiTheme="majorBidi" w:cstheme="majorBidi"/>
          <w:sz w:val="24"/>
          <w:szCs w:val="24"/>
        </w:rPr>
        <w:t xml:space="preserve">à l’instar de </w:t>
      </w:r>
      <w:r w:rsidR="003146FA">
        <w:rPr>
          <w:rFonts w:asciiTheme="majorBidi" w:hAnsiTheme="majorBidi" w:cstheme="majorBidi"/>
          <w:sz w:val="24"/>
          <w:szCs w:val="24"/>
        </w:rPr>
        <w:t xml:space="preserve"> l’année 2010, comme une année </w:t>
      </w:r>
      <w:r w:rsidR="002C2ACF">
        <w:rPr>
          <w:rFonts w:asciiTheme="majorBidi" w:hAnsiTheme="majorBidi" w:cstheme="majorBidi"/>
          <w:sz w:val="24"/>
          <w:szCs w:val="24"/>
        </w:rPr>
        <w:t xml:space="preserve">à faible inflation : </w:t>
      </w:r>
      <w:r w:rsidR="00DB5004">
        <w:rPr>
          <w:rFonts w:asciiTheme="majorBidi" w:hAnsiTheme="majorBidi" w:cstheme="majorBidi"/>
          <w:sz w:val="24"/>
          <w:szCs w:val="24"/>
        </w:rPr>
        <w:t>0,2%</w:t>
      </w:r>
      <w:r w:rsidR="002C2ACF">
        <w:rPr>
          <w:rFonts w:asciiTheme="majorBidi" w:hAnsiTheme="majorBidi" w:cstheme="majorBidi"/>
          <w:sz w:val="24"/>
          <w:szCs w:val="24"/>
        </w:rPr>
        <w:t>.</w:t>
      </w:r>
    </w:p>
    <w:p w:rsidR="004B1065" w:rsidRDefault="00B933BF" w:rsidP="00C51F59">
      <w:pPr>
        <w:spacing w:before="240" w:after="240" w:line="240" w:lineRule="auto"/>
        <w:jc w:val="both"/>
        <w:rPr>
          <w:rFonts w:asciiTheme="majorBidi" w:hAnsiTheme="majorBidi" w:cstheme="majorBidi"/>
          <w:color w:val="000000" w:themeColor="text1"/>
          <w:sz w:val="24"/>
          <w:szCs w:val="24"/>
        </w:rPr>
      </w:pPr>
      <w:r w:rsidRPr="00B933BF">
        <w:rPr>
          <w:rFonts w:asciiTheme="majorBidi" w:hAnsiTheme="majorBidi" w:cstheme="majorBidi"/>
          <w:color w:val="000000" w:themeColor="text1"/>
          <w:sz w:val="24"/>
          <w:szCs w:val="24"/>
        </w:rPr>
        <w:t xml:space="preserve">L’analyse des données mensuelles de l’IPC montre que celui-ci est, généralement caractérisé par deux cycles de hausse et deux autres de baisse. Les périodes de ces cycles connaissent des décalages dans le temps dus, d’une part, à l’effet de saisonnalité qui, au Maroc reste tributaire des conditions climatiques, et d’autre part, à l’effet du calendrier dont les fêtes religieuses sont mobiles d’une année à l’autre. Tous ces éléments, </w:t>
      </w:r>
      <w:r w:rsidR="00AF5C86">
        <w:rPr>
          <w:rFonts w:asciiTheme="majorBidi" w:hAnsiTheme="majorBidi" w:cstheme="majorBidi"/>
          <w:color w:val="000000" w:themeColor="text1"/>
          <w:sz w:val="24"/>
          <w:szCs w:val="24"/>
        </w:rPr>
        <w:t>impactent</w:t>
      </w:r>
      <w:r w:rsidRPr="00B933BF">
        <w:rPr>
          <w:rFonts w:asciiTheme="majorBidi" w:hAnsiTheme="majorBidi" w:cstheme="majorBidi"/>
          <w:color w:val="000000" w:themeColor="text1"/>
          <w:sz w:val="24"/>
          <w:szCs w:val="24"/>
        </w:rPr>
        <w:t xml:space="preserve"> significativement les prix des biens et services  et par conséquent, l’indice des prix à la consommation</w:t>
      </w:r>
      <w:r w:rsidR="00993861">
        <w:rPr>
          <w:rFonts w:asciiTheme="majorBidi" w:hAnsiTheme="majorBidi" w:cstheme="majorBidi"/>
          <w:color w:val="000000" w:themeColor="text1"/>
          <w:sz w:val="24"/>
          <w:szCs w:val="24"/>
        </w:rPr>
        <w:t xml:space="preserve"> suit leur tendance.</w:t>
      </w:r>
    </w:p>
    <w:p w:rsidR="004B1065" w:rsidRDefault="004B1065">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br w:type="page"/>
      </w:r>
    </w:p>
    <w:p w:rsidR="00156FC8" w:rsidRDefault="00156FC8" w:rsidP="00725E87">
      <w:pPr>
        <w:spacing w:before="240" w:after="240" w:line="240" w:lineRule="auto"/>
        <w:jc w:val="both"/>
        <w:rPr>
          <w:rFonts w:asciiTheme="majorBidi" w:hAnsiTheme="majorBidi" w:cstheme="majorBidi"/>
        </w:rPr>
      </w:pPr>
    </w:p>
    <w:p w:rsidR="00156FC8" w:rsidRDefault="00156FC8" w:rsidP="00725E87">
      <w:pPr>
        <w:spacing w:before="240" w:after="240" w:line="240" w:lineRule="auto"/>
        <w:jc w:val="both"/>
        <w:rPr>
          <w:rFonts w:asciiTheme="majorBidi" w:hAnsiTheme="majorBidi" w:cstheme="majorBidi"/>
        </w:rPr>
      </w:pPr>
    </w:p>
    <w:p w:rsidR="008D45BD" w:rsidRDefault="008D45BD" w:rsidP="00725E87">
      <w:pPr>
        <w:spacing w:before="240" w:after="240" w:line="240" w:lineRule="auto"/>
        <w:jc w:val="both"/>
        <w:rPr>
          <w:rFonts w:asciiTheme="majorBidi" w:hAnsiTheme="majorBidi" w:cstheme="majorBidi"/>
        </w:rPr>
      </w:pPr>
    </w:p>
    <w:p w:rsidR="008D45BD" w:rsidRDefault="008D45BD" w:rsidP="00725E87">
      <w:pPr>
        <w:spacing w:before="240" w:after="240" w:line="240" w:lineRule="auto"/>
        <w:jc w:val="both"/>
        <w:rPr>
          <w:rFonts w:asciiTheme="majorBidi" w:hAnsiTheme="majorBidi" w:cstheme="majorBidi"/>
        </w:rPr>
      </w:pPr>
    </w:p>
    <w:p w:rsidR="008D45BD" w:rsidRDefault="008D45BD" w:rsidP="00725E87">
      <w:pPr>
        <w:spacing w:before="240" w:after="240" w:line="240" w:lineRule="auto"/>
        <w:jc w:val="both"/>
        <w:rPr>
          <w:rFonts w:asciiTheme="majorBidi" w:hAnsiTheme="majorBidi" w:cstheme="majorBidi"/>
        </w:rPr>
      </w:pPr>
    </w:p>
    <w:p w:rsidR="004B1065" w:rsidRDefault="004B1065" w:rsidP="00725E87">
      <w:pPr>
        <w:spacing w:before="240" w:after="240" w:line="240" w:lineRule="auto"/>
        <w:jc w:val="both"/>
        <w:rPr>
          <w:rFonts w:asciiTheme="majorBidi" w:hAnsiTheme="majorBidi" w:cstheme="majorBidi"/>
        </w:rPr>
      </w:pPr>
    </w:p>
    <w:p w:rsidR="004B1065" w:rsidRDefault="004B1065" w:rsidP="00725E87">
      <w:pPr>
        <w:spacing w:before="240" w:after="240" w:line="240" w:lineRule="auto"/>
        <w:jc w:val="both"/>
        <w:rPr>
          <w:rFonts w:asciiTheme="majorBidi" w:hAnsiTheme="majorBidi" w:cstheme="majorBidi"/>
        </w:rPr>
      </w:pPr>
    </w:p>
    <w:p w:rsidR="004B1065" w:rsidRDefault="004B1065" w:rsidP="00725E87">
      <w:pPr>
        <w:spacing w:before="240" w:after="240" w:line="240" w:lineRule="auto"/>
        <w:jc w:val="both"/>
        <w:rPr>
          <w:rFonts w:asciiTheme="majorBidi" w:hAnsiTheme="majorBidi" w:cstheme="majorBidi"/>
        </w:rPr>
      </w:pPr>
    </w:p>
    <w:p w:rsidR="004B1065" w:rsidRDefault="004B1065" w:rsidP="00725E87">
      <w:pPr>
        <w:spacing w:before="240" w:after="240" w:line="240" w:lineRule="auto"/>
        <w:jc w:val="both"/>
        <w:rPr>
          <w:rFonts w:asciiTheme="majorBidi" w:hAnsiTheme="majorBidi" w:cstheme="majorBidi"/>
        </w:rPr>
      </w:pPr>
    </w:p>
    <w:p w:rsidR="008D45BD" w:rsidRPr="00590216" w:rsidRDefault="00590216" w:rsidP="00590216">
      <w:pPr>
        <w:jc w:val="center"/>
        <w:rPr>
          <w:rFonts w:asciiTheme="majorBidi" w:hAnsiTheme="majorBidi"/>
          <w:b/>
          <w:bCs/>
          <w:color w:val="4F81BD" w:themeColor="accent1"/>
          <w:sz w:val="72"/>
          <w:szCs w:val="72"/>
        </w:rPr>
      </w:pPr>
      <w:r w:rsidRPr="00590216">
        <w:rPr>
          <w:rFonts w:asciiTheme="majorBidi" w:hAnsiTheme="majorBidi"/>
          <w:b/>
          <w:bCs/>
          <w:color w:val="4F81BD" w:themeColor="accent1"/>
          <w:sz w:val="72"/>
          <w:szCs w:val="72"/>
        </w:rPr>
        <w:t>ANNEXE</w:t>
      </w:r>
      <w:r w:rsidR="00AA440E">
        <w:rPr>
          <w:rFonts w:asciiTheme="majorBidi" w:hAnsiTheme="majorBidi"/>
          <w:b/>
          <w:bCs/>
          <w:color w:val="4F81BD" w:themeColor="accent1"/>
          <w:sz w:val="72"/>
          <w:szCs w:val="72"/>
        </w:rPr>
        <w:t>S</w:t>
      </w:r>
    </w:p>
    <w:p w:rsidR="008D45BD" w:rsidRDefault="008D45BD" w:rsidP="00725E87">
      <w:pPr>
        <w:spacing w:before="240" w:after="240" w:line="240" w:lineRule="auto"/>
        <w:jc w:val="both"/>
        <w:rPr>
          <w:rFonts w:asciiTheme="majorBidi" w:hAnsiTheme="majorBidi" w:cstheme="majorBidi"/>
        </w:rPr>
      </w:pPr>
    </w:p>
    <w:p w:rsidR="008D45BD" w:rsidRDefault="008D45BD" w:rsidP="00725E87">
      <w:pPr>
        <w:spacing w:before="240" w:after="240" w:line="240" w:lineRule="auto"/>
        <w:jc w:val="both"/>
        <w:rPr>
          <w:rFonts w:asciiTheme="majorBidi" w:hAnsiTheme="majorBidi" w:cstheme="majorBidi"/>
        </w:rPr>
      </w:pPr>
    </w:p>
    <w:p w:rsidR="008D45BD" w:rsidRDefault="008D45BD" w:rsidP="00725E87">
      <w:pPr>
        <w:spacing w:before="240" w:after="240" w:line="240" w:lineRule="auto"/>
        <w:jc w:val="both"/>
        <w:rPr>
          <w:rFonts w:asciiTheme="majorBidi" w:hAnsiTheme="majorBidi" w:cstheme="majorBidi"/>
        </w:rPr>
      </w:pPr>
    </w:p>
    <w:p w:rsidR="008D45BD" w:rsidRDefault="008D45BD" w:rsidP="00725E87">
      <w:pPr>
        <w:spacing w:before="240" w:after="240" w:line="240" w:lineRule="auto"/>
        <w:jc w:val="both"/>
        <w:rPr>
          <w:rFonts w:asciiTheme="majorBidi" w:hAnsiTheme="majorBidi" w:cstheme="majorBidi"/>
        </w:rPr>
      </w:pPr>
    </w:p>
    <w:p w:rsidR="0031503A" w:rsidRDefault="0031503A" w:rsidP="0031503A">
      <w:pPr>
        <w:rPr>
          <w:rFonts w:eastAsiaTheme="majorEastAsia" w:cstheme="majorBidi"/>
          <w:sz w:val="28"/>
          <w:szCs w:val="28"/>
        </w:rPr>
      </w:pPr>
      <w:r>
        <w:br w:type="page"/>
      </w:r>
    </w:p>
    <w:p w:rsidR="004B1065" w:rsidRDefault="004B1065"/>
    <w:tbl>
      <w:tblPr>
        <w:tblW w:w="5000" w:type="pct"/>
        <w:tblCellMar>
          <w:left w:w="70" w:type="dxa"/>
          <w:right w:w="70" w:type="dxa"/>
        </w:tblCellMar>
        <w:tblLook w:val="04A0"/>
      </w:tblPr>
      <w:tblGrid>
        <w:gridCol w:w="6512"/>
        <w:gridCol w:w="876"/>
        <w:gridCol w:w="900"/>
        <w:gridCol w:w="1066"/>
      </w:tblGrid>
      <w:tr w:rsidR="00331969" w:rsidRPr="00951E73" w:rsidTr="0031503A">
        <w:trPr>
          <w:trHeight w:val="990"/>
          <w:tblHeader/>
        </w:trPr>
        <w:tc>
          <w:tcPr>
            <w:tcW w:w="5000" w:type="pct"/>
            <w:gridSpan w:val="4"/>
            <w:tcBorders>
              <w:top w:val="nil"/>
              <w:left w:val="nil"/>
              <w:bottom w:val="single" w:sz="4" w:space="0" w:color="auto"/>
              <w:right w:val="nil"/>
            </w:tcBorders>
            <w:shd w:val="clear" w:color="auto" w:fill="auto"/>
            <w:vAlign w:val="center"/>
            <w:hideMark/>
          </w:tcPr>
          <w:p w:rsidR="00BA4A1B" w:rsidRPr="00951E73" w:rsidRDefault="00951E73" w:rsidP="00331969">
            <w:pPr>
              <w:spacing w:after="0" w:line="240" w:lineRule="auto"/>
              <w:rPr>
                <w:rFonts w:ascii="Times New Roman" w:eastAsia="Times New Roman" w:hAnsi="Times New Roman" w:cs="Times New Roman"/>
                <w:b/>
                <w:bCs/>
                <w:color w:val="4F81BD" w:themeColor="accent1"/>
                <w:szCs w:val="24"/>
                <w:lang w:eastAsia="fr-FR"/>
              </w:rPr>
            </w:pPr>
            <w:bookmarkStart w:id="47" w:name="_Toc515274113"/>
            <w:r w:rsidRPr="00951E73">
              <w:rPr>
                <w:rFonts w:ascii="Times New Roman" w:hAnsi="Times New Roman"/>
                <w:b/>
                <w:bCs/>
                <w:color w:val="4F81BD" w:themeColor="accent1"/>
              </w:rPr>
              <w:t xml:space="preserve">Tableau A </w:t>
            </w:r>
            <w:r w:rsidR="00DE78CE" w:rsidRPr="00951E73">
              <w:rPr>
                <w:rFonts w:ascii="Times New Roman" w:hAnsi="Times New Roman"/>
                <w:b/>
                <w:bCs/>
                <w:color w:val="4F81BD" w:themeColor="accent1"/>
              </w:rPr>
              <w:fldChar w:fldCharType="begin"/>
            </w:r>
            <w:r w:rsidRPr="00951E73">
              <w:rPr>
                <w:rFonts w:ascii="Times New Roman" w:hAnsi="Times New Roman"/>
                <w:b/>
                <w:bCs/>
                <w:color w:val="4F81BD" w:themeColor="accent1"/>
              </w:rPr>
              <w:instrText xml:space="preserve"> SEQ Tableau_A \* ARABIC </w:instrText>
            </w:r>
            <w:r w:rsidR="00DE78CE" w:rsidRPr="00951E73">
              <w:rPr>
                <w:rFonts w:ascii="Times New Roman" w:hAnsi="Times New Roman"/>
                <w:b/>
                <w:bCs/>
                <w:color w:val="4F81BD" w:themeColor="accent1"/>
              </w:rPr>
              <w:fldChar w:fldCharType="separate"/>
            </w:r>
            <w:r w:rsidR="00477549">
              <w:rPr>
                <w:rFonts w:ascii="Times New Roman" w:hAnsi="Times New Roman"/>
                <w:b/>
                <w:bCs/>
                <w:noProof/>
                <w:color w:val="4F81BD" w:themeColor="accent1"/>
              </w:rPr>
              <w:t>1</w:t>
            </w:r>
            <w:r w:rsidR="00DE78CE" w:rsidRPr="00951E73">
              <w:rPr>
                <w:rFonts w:ascii="Times New Roman" w:hAnsi="Times New Roman"/>
                <w:b/>
                <w:bCs/>
                <w:color w:val="4F81BD" w:themeColor="accent1"/>
              </w:rPr>
              <w:fldChar w:fldCharType="end"/>
            </w:r>
            <w:r w:rsidRPr="00951E73">
              <w:rPr>
                <w:rFonts w:ascii="Times New Roman" w:hAnsi="Times New Roman"/>
                <w:b/>
                <w:bCs/>
                <w:color w:val="4F81BD" w:themeColor="accent1"/>
              </w:rPr>
              <w:t xml:space="preserve"> : </w:t>
            </w:r>
            <w:r w:rsidR="00331969" w:rsidRPr="00951E73">
              <w:rPr>
                <w:rFonts w:ascii="Times New Roman" w:eastAsia="Times New Roman" w:hAnsi="Times New Roman" w:cs="Times New Roman"/>
                <w:b/>
                <w:bCs/>
                <w:color w:val="4F81BD" w:themeColor="accent1"/>
                <w:szCs w:val="24"/>
                <w:lang w:eastAsia="fr-FR"/>
              </w:rPr>
              <w:t>IPC de la ville de Kenitra par division, groupe et classes de produits</w:t>
            </w:r>
            <w:bookmarkEnd w:id="47"/>
            <w:r w:rsidR="00331969" w:rsidRPr="00951E73">
              <w:rPr>
                <w:rFonts w:ascii="Times New Roman" w:eastAsia="Times New Roman" w:hAnsi="Times New Roman" w:cs="Times New Roman"/>
                <w:b/>
                <w:bCs/>
                <w:color w:val="4F81BD" w:themeColor="accent1"/>
                <w:szCs w:val="24"/>
                <w:lang w:eastAsia="fr-FR"/>
              </w:rPr>
              <w:t xml:space="preserve"> </w:t>
            </w:r>
          </w:p>
          <w:p w:rsidR="00F67555" w:rsidRPr="00951E73" w:rsidRDefault="00BA4A1B" w:rsidP="0082206A">
            <w:pPr>
              <w:spacing w:after="0" w:line="240" w:lineRule="auto"/>
              <w:rPr>
                <w:rFonts w:ascii="Times New Roman" w:eastAsia="Times New Roman" w:hAnsi="Times New Roman" w:cs="Times New Roman"/>
                <w:b/>
                <w:bCs/>
                <w:color w:val="4F81BD" w:themeColor="accent1"/>
                <w:sz w:val="24"/>
                <w:szCs w:val="24"/>
                <w:lang w:eastAsia="fr-FR"/>
              </w:rPr>
            </w:pPr>
            <w:r w:rsidRPr="00951E73">
              <w:rPr>
                <w:rFonts w:ascii="Times New Roman" w:eastAsia="Times New Roman" w:hAnsi="Times New Roman" w:cs="Times New Roman"/>
                <w:b/>
                <w:bCs/>
                <w:color w:val="4F81BD" w:themeColor="accent1"/>
                <w:szCs w:val="24"/>
                <w:lang w:eastAsia="fr-FR"/>
              </w:rPr>
              <w:t xml:space="preserve">                       </w:t>
            </w:r>
            <w:r w:rsidR="00331969" w:rsidRPr="00951E73">
              <w:rPr>
                <w:rFonts w:ascii="Times New Roman" w:eastAsia="Times New Roman" w:hAnsi="Times New Roman" w:cs="Times New Roman"/>
                <w:b/>
                <w:bCs/>
                <w:color w:val="4F81BD" w:themeColor="accent1"/>
                <w:szCs w:val="24"/>
                <w:lang w:eastAsia="fr-FR"/>
              </w:rPr>
              <w:t xml:space="preserve">- </w:t>
            </w:r>
            <w:r w:rsidRPr="00951E73">
              <w:rPr>
                <w:rFonts w:ascii="Times New Roman" w:eastAsia="Times New Roman" w:hAnsi="Times New Roman" w:cs="Times New Roman"/>
                <w:b/>
                <w:bCs/>
                <w:color w:val="4F81BD" w:themeColor="accent1"/>
                <w:szCs w:val="24"/>
                <w:lang w:eastAsia="fr-FR"/>
              </w:rPr>
              <w:t xml:space="preserve"> </w:t>
            </w:r>
            <w:r w:rsidR="00331969" w:rsidRPr="00951E73">
              <w:rPr>
                <w:rFonts w:ascii="Times New Roman" w:eastAsia="Times New Roman" w:hAnsi="Times New Roman" w:cs="Times New Roman"/>
                <w:b/>
                <w:bCs/>
                <w:color w:val="4F81BD" w:themeColor="accent1"/>
                <w:szCs w:val="24"/>
                <w:lang w:eastAsia="fr-FR"/>
              </w:rPr>
              <w:t>Années 201</w:t>
            </w:r>
            <w:r w:rsidR="0082206A">
              <w:rPr>
                <w:rFonts w:ascii="Times New Roman" w:eastAsia="Times New Roman" w:hAnsi="Times New Roman" w:cs="Times New Roman"/>
                <w:b/>
                <w:bCs/>
                <w:color w:val="4F81BD" w:themeColor="accent1"/>
                <w:szCs w:val="24"/>
                <w:lang w:eastAsia="fr-FR"/>
              </w:rPr>
              <w:t>8</w:t>
            </w:r>
            <w:r w:rsidR="00331969" w:rsidRPr="00951E73">
              <w:rPr>
                <w:rFonts w:ascii="Times New Roman" w:eastAsia="Times New Roman" w:hAnsi="Times New Roman" w:cs="Times New Roman"/>
                <w:b/>
                <w:bCs/>
                <w:color w:val="4F81BD" w:themeColor="accent1"/>
                <w:szCs w:val="24"/>
                <w:lang w:eastAsia="fr-FR"/>
              </w:rPr>
              <w:t xml:space="preserve"> et 201</w:t>
            </w:r>
            <w:r w:rsidR="0082206A">
              <w:rPr>
                <w:rFonts w:ascii="Times New Roman" w:eastAsia="Times New Roman" w:hAnsi="Times New Roman" w:cs="Times New Roman"/>
                <w:b/>
                <w:bCs/>
                <w:color w:val="4F81BD" w:themeColor="accent1"/>
                <w:szCs w:val="24"/>
                <w:lang w:eastAsia="fr-FR"/>
              </w:rPr>
              <w:t>9</w:t>
            </w:r>
            <w:r w:rsidR="00331969" w:rsidRPr="00951E73">
              <w:rPr>
                <w:rFonts w:ascii="Times New Roman" w:eastAsia="Times New Roman" w:hAnsi="Times New Roman" w:cs="Times New Roman"/>
                <w:b/>
                <w:bCs/>
                <w:color w:val="4F81BD" w:themeColor="accent1"/>
                <w:szCs w:val="24"/>
                <w:lang w:eastAsia="fr-FR"/>
              </w:rPr>
              <w:t>-</w:t>
            </w:r>
          </w:p>
        </w:tc>
      </w:tr>
      <w:tr w:rsidR="0082206A" w:rsidRPr="00331969" w:rsidTr="0031503A">
        <w:trPr>
          <w:trHeight w:val="765"/>
          <w:tblHeader/>
        </w:trPr>
        <w:tc>
          <w:tcPr>
            <w:tcW w:w="3481" w:type="pct"/>
            <w:tcBorders>
              <w:top w:val="nil"/>
              <w:left w:val="single" w:sz="4" w:space="0" w:color="auto"/>
              <w:bottom w:val="nil"/>
              <w:right w:val="single" w:sz="4" w:space="0" w:color="auto"/>
            </w:tcBorders>
            <w:shd w:val="clear" w:color="000000" w:fill="7F7F7F"/>
            <w:vAlign w:val="center"/>
            <w:hideMark/>
          </w:tcPr>
          <w:p w:rsidR="0082206A" w:rsidRPr="0082206A" w:rsidRDefault="0082206A">
            <w:pPr>
              <w:rPr>
                <w:rFonts w:asciiTheme="majorBidi" w:hAnsiTheme="majorBidi" w:cstheme="majorBidi"/>
                <w:b/>
                <w:bCs/>
                <w:sz w:val="20"/>
                <w:szCs w:val="20"/>
              </w:rPr>
            </w:pPr>
            <w:r w:rsidRPr="0082206A">
              <w:rPr>
                <w:rFonts w:asciiTheme="majorBidi" w:hAnsiTheme="majorBidi" w:cstheme="majorBidi"/>
                <w:b/>
                <w:bCs/>
                <w:sz w:val="20"/>
                <w:szCs w:val="20"/>
              </w:rPr>
              <w:t>DIVISIONS, GROUPES &amp;CLASSES</w:t>
            </w:r>
          </w:p>
        </w:tc>
        <w:tc>
          <w:tcPr>
            <w:tcW w:w="468" w:type="pct"/>
            <w:tcBorders>
              <w:top w:val="nil"/>
              <w:left w:val="nil"/>
              <w:bottom w:val="single" w:sz="4" w:space="0" w:color="auto"/>
              <w:right w:val="single" w:sz="4" w:space="0" w:color="auto"/>
            </w:tcBorders>
            <w:shd w:val="clear" w:color="000000" w:fill="7F7F7F"/>
            <w:vAlign w:val="center"/>
            <w:hideMark/>
          </w:tcPr>
          <w:p w:rsidR="0082206A" w:rsidRPr="0082206A" w:rsidRDefault="0082206A">
            <w:pPr>
              <w:jc w:val="center"/>
              <w:rPr>
                <w:rFonts w:asciiTheme="majorBidi" w:hAnsiTheme="majorBidi" w:cstheme="majorBidi"/>
                <w:b/>
                <w:bCs/>
                <w:sz w:val="20"/>
                <w:szCs w:val="20"/>
              </w:rPr>
            </w:pPr>
            <w:r w:rsidRPr="0082206A">
              <w:rPr>
                <w:rFonts w:asciiTheme="majorBidi" w:hAnsiTheme="majorBidi" w:cstheme="majorBidi"/>
                <w:b/>
                <w:bCs/>
                <w:sz w:val="20"/>
                <w:szCs w:val="20"/>
              </w:rPr>
              <w:t>2018</w:t>
            </w:r>
          </w:p>
        </w:tc>
        <w:tc>
          <w:tcPr>
            <w:tcW w:w="481" w:type="pct"/>
            <w:tcBorders>
              <w:top w:val="nil"/>
              <w:left w:val="nil"/>
              <w:bottom w:val="single" w:sz="4" w:space="0" w:color="auto"/>
              <w:right w:val="single" w:sz="4" w:space="0" w:color="auto"/>
            </w:tcBorders>
            <w:shd w:val="clear" w:color="000000" w:fill="7F7F7F"/>
            <w:vAlign w:val="center"/>
            <w:hideMark/>
          </w:tcPr>
          <w:p w:rsidR="0082206A" w:rsidRPr="0082206A" w:rsidRDefault="0082206A">
            <w:pPr>
              <w:jc w:val="center"/>
              <w:rPr>
                <w:rFonts w:asciiTheme="majorBidi" w:hAnsiTheme="majorBidi" w:cstheme="majorBidi"/>
                <w:b/>
                <w:bCs/>
                <w:sz w:val="20"/>
                <w:szCs w:val="20"/>
              </w:rPr>
            </w:pPr>
            <w:r w:rsidRPr="0082206A">
              <w:rPr>
                <w:rFonts w:asciiTheme="majorBidi" w:hAnsiTheme="majorBidi" w:cstheme="majorBidi"/>
                <w:b/>
                <w:bCs/>
                <w:sz w:val="20"/>
                <w:szCs w:val="20"/>
              </w:rPr>
              <w:t>2019</w:t>
            </w:r>
          </w:p>
        </w:tc>
        <w:tc>
          <w:tcPr>
            <w:tcW w:w="570" w:type="pct"/>
            <w:tcBorders>
              <w:top w:val="nil"/>
              <w:left w:val="nil"/>
              <w:bottom w:val="single" w:sz="4" w:space="0" w:color="auto"/>
              <w:right w:val="single" w:sz="4" w:space="0" w:color="auto"/>
            </w:tcBorders>
            <w:shd w:val="clear" w:color="000000" w:fill="7F7F7F"/>
            <w:vAlign w:val="center"/>
            <w:hideMark/>
          </w:tcPr>
          <w:p w:rsidR="0082206A" w:rsidRPr="0082206A" w:rsidRDefault="0082206A">
            <w:pPr>
              <w:jc w:val="center"/>
              <w:rPr>
                <w:rFonts w:asciiTheme="majorBidi" w:hAnsiTheme="majorBidi" w:cstheme="majorBidi"/>
                <w:b/>
                <w:bCs/>
                <w:sz w:val="20"/>
                <w:szCs w:val="20"/>
              </w:rPr>
            </w:pPr>
            <w:r w:rsidRPr="0082206A">
              <w:rPr>
                <w:rFonts w:asciiTheme="majorBidi" w:hAnsiTheme="majorBidi" w:cstheme="majorBidi"/>
                <w:b/>
                <w:bCs/>
                <w:sz w:val="20"/>
                <w:szCs w:val="20"/>
              </w:rPr>
              <w:t>VAR (%)</w:t>
            </w:r>
          </w:p>
        </w:tc>
      </w:tr>
      <w:tr w:rsidR="0082206A" w:rsidRPr="00331969" w:rsidTr="0031503A">
        <w:trPr>
          <w:trHeight w:val="420"/>
        </w:trPr>
        <w:tc>
          <w:tcPr>
            <w:tcW w:w="3481" w:type="pct"/>
            <w:tcBorders>
              <w:top w:val="single" w:sz="4" w:space="0" w:color="auto"/>
              <w:left w:val="single" w:sz="4" w:space="0" w:color="auto"/>
              <w:bottom w:val="single" w:sz="4" w:space="0" w:color="auto"/>
              <w:right w:val="single" w:sz="4" w:space="0" w:color="auto"/>
            </w:tcBorders>
            <w:shd w:val="clear" w:color="000000" w:fill="C0C0C0"/>
            <w:vAlign w:val="center"/>
            <w:hideMark/>
          </w:tcPr>
          <w:p w:rsidR="0082206A" w:rsidRPr="00590216" w:rsidRDefault="0082206A">
            <w:pPr>
              <w:rPr>
                <w:rFonts w:asciiTheme="majorBidi" w:hAnsiTheme="majorBidi" w:cstheme="majorBidi"/>
                <w:b/>
                <w:bCs/>
                <w:sz w:val="20"/>
                <w:szCs w:val="20"/>
              </w:rPr>
            </w:pPr>
            <w:r w:rsidRPr="00590216">
              <w:rPr>
                <w:rFonts w:asciiTheme="majorBidi" w:hAnsiTheme="majorBidi" w:cstheme="majorBidi"/>
                <w:b/>
                <w:bCs/>
                <w:sz w:val="20"/>
                <w:szCs w:val="20"/>
              </w:rPr>
              <w:t>01. PRODUITS ALIMENTAIRES ET BOISSONS NON ALCOOLISÉES</w:t>
            </w:r>
          </w:p>
        </w:tc>
        <w:tc>
          <w:tcPr>
            <w:tcW w:w="468" w:type="pct"/>
            <w:tcBorders>
              <w:top w:val="nil"/>
              <w:left w:val="nil"/>
              <w:bottom w:val="single" w:sz="4" w:space="0" w:color="auto"/>
              <w:right w:val="single" w:sz="4" w:space="0" w:color="auto"/>
            </w:tcBorders>
            <w:shd w:val="clear" w:color="000000" w:fill="C0C0C0"/>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127,0</w:t>
            </w:r>
          </w:p>
        </w:tc>
        <w:tc>
          <w:tcPr>
            <w:tcW w:w="481" w:type="pct"/>
            <w:tcBorders>
              <w:top w:val="nil"/>
              <w:left w:val="nil"/>
              <w:bottom w:val="single" w:sz="4" w:space="0" w:color="auto"/>
              <w:right w:val="single" w:sz="4" w:space="0" w:color="auto"/>
            </w:tcBorders>
            <w:shd w:val="clear" w:color="000000" w:fill="C0C0C0"/>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125,9</w:t>
            </w:r>
          </w:p>
        </w:tc>
        <w:tc>
          <w:tcPr>
            <w:tcW w:w="570" w:type="pct"/>
            <w:tcBorders>
              <w:top w:val="nil"/>
              <w:left w:val="nil"/>
              <w:bottom w:val="single" w:sz="4" w:space="0" w:color="auto"/>
              <w:right w:val="single" w:sz="4" w:space="0" w:color="auto"/>
            </w:tcBorders>
            <w:shd w:val="clear" w:color="000000" w:fill="BFBFBF"/>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-0,9</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b/>
                <w:bCs/>
                <w:sz w:val="20"/>
                <w:szCs w:val="20"/>
              </w:rPr>
            </w:pPr>
            <w:r w:rsidRPr="00590216">
              <w:rPr>
                <w:rFonts w:asciiTheme="majorBidi" w:hAnsiTheme="majorBidi" w:cstheme="majorBidi"/>
                <w:b/>
                <w:bCs/>
                <w:sz w:val="20"/>
                <w:szCs w:val="20"/>
              </w:rPr>
              <w:t>011. PRODUITS ALIMENTAIRES</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126,5</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125,3</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-1,0</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PAIN ET CEREALES</w:t>
            </w:r>
          </w:p>
        </w:tc>
        <w:tc>
          <w:tcPr>
            <w:tcW w:w="468" w:type="pct"/>
            <w:tcBorders>
              <w:top w:val="nil"/>
              <w:left w:val="nil"/>
              <w:bottom w:val="single" w:sz="4" w:space="0" w:color="auto"/>
              <w:right w:val="single" w:sz="4" w:space="0" w:color="auto"/>
            </w:tcBorders>
            <w:shd w:val="clear" w:color="auto" w:fill="auto"/>
            <w:vAlign w:val="center"/>
            <w:hideMark/>
          </w:tcPr>
          <w:p w:rsidR="0082206A" w:rsidRPr="005F6AF9" w:rsidRDefault="0082206A">
            <w:pPr>
              <w:jc w:val="right"/>
              <w:rPr>
                <w:rFonts w:asciiTheme="majorBidi" w:hAnsiTheme="majorBidi" w:cstheme="majorBidi"/>
                <w:sz w:val="20"/>
                <w:szCs w:val="20"/>
              </w:rPr>
            </w:pPr>
            <w:r w:rsidRPr="005F6AF9">
              <w:rPr>
                <w:rFonts w:asciiTheme="majorBidi" w:hAnsiTheme="majorBidi" w:cstheme="majorBidi"/>
                <w:sz w:val="20"/>
                <w:szCs w:val="20"/>
              </w:rPr>
              <w:t>121,4</w:t>
            </w:r>
          </w:p>
        </w:tc>
        <w:tc>
          <w:tcPr>
            <w:tcW w:w="481" w:type="pct"/>
            <w:tcBorders>
              <w:top w:val="nil"/>
              <w:left w:val="nil"/>
              <w:bottom w:val="single" w:sz="4" w:space="0" w:color="auto"/>
              <w:right w:val="single" w:sz="4" w:space="0" w:color="auto"/>
            </w:tcBorders>
            <w:shd w:val="clear" w:color="auto" w:fill="auto"/>
            <w:vAlign w:val="center"/>
            <w:hideMark/>
          </w:tcPr>
          <w:p w:rsidR="0082206A" w:rsidRPr="005F6AF9" w:rsidRDefault="0082206A">
            <w:pPr>
              <w:jc w:val="right"/>
              <w:rPr>
                <w:rFonts w:asciiTheme="majorBidi" w:hAnsiTheme="majorBidi" w:cstheme="majorBidi"/>
                <w:sz w:val="20"/>
                <w:szCs w:val="20"/>
              </w:rPr>
            </w:pPr>
            <w:r w:rsidRPr="005F6AF9">
              <w:rPr>
                <w:rFonts w:asciiTheme="majorBidi" w:hAnsiTheme="majorBidi" w:cstheme="majorBidi"/>
                <w:sz w:val="20"/>
                <w:szCs w:val="20"/>
              </w:rPr>
              <w:t>121,6</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0,2</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VIANDE</w:t>
            </w:r>
          </w:p>
        </w:tc>
        <w:tc>
          <w:tcPr>
            <w:tcW w:w="468" w:type="pct"/>
            <w:tcBorders>
              <w:top w:val="nil"/>
              <w:left w:val="nil"/>
              <w:bottom w:val="single" w:sz="4" w:space="0" w:color="auto"/>
              <w:right w:val="single" w:sz="4" w:space="0" w:color="auto"/>
            </w:tcBorders>
            <w:shd w:val="clear" w:color="auto" w:fill="auto"/>
            <w:vAlign w:val="center"/>
            <w:hideMark/>
          </w:tcPr>
          <w:p w:rsidR="0082206A" w:rsidRPr="005F6AF9" w:rsidRDefault="0082206A">
            <w:pPr>
              <w:jc w:val="right"/>
              <w:rPr>
                <w:rFonts w:asciiTheme="majorBidi" w:hAnsiTheme="majorBidi" w:cstheme="majorBidi"/>
                <w:sz w:val="20"/>
                <w:szCs w:val="20"/>
              </w:rPr>
            </w:pPr>
            <w:r w:rsidRPr="005F6AF9">
              <w:rPr>
                <w:rFonts w:asciiTheme="majorBidi" w:hAnsiTheme="majorBidi" w:cstheme="majorBidi"/>
                <w:sz w:val="20"/>
                <w:szCs w:val="20"/>
              </w:rPr>
              <w:t>114,9</w:t>
            </w:r>
          </w:p>
        </w:tc>
        <w:tc>
          <w:tcPr>
            <w:tcW w:w="481" w:type="pct"/>
            <w:tcBorders>
              <w:top w:val="nil"/>
              <w:left w:val="nil"/>
              <w:bottom w:val="single" w:sz="4" w:space="0" w:color="auto"/>
              <w:right w:val="single" w:sz="4" w:space="0" w:color="auto"/>
            </w:tcBorders>
            <w:shd w:val="clear" w:color="auto" w:fill="auto"/>
            <w:vAlign w:val="center"/>
            <w:hideMark/>
          </w:tcPr>
          <w:p w:rsidR="0082206A" w:rsidRPr="005F6AF9" w:rsidRDefault="0082206A">
            <w:pPr>
              <w:jc w:val="right"/>
              <w:rPr>
                <w:rFonts w:asciiTheme="majorBidi" w:hAnsiTheme="majorBidi" w:cstheme="majorBidi"/>
                <w:sz w:val="20"/>
                <w:szCs w:val="20"/>
              </w:rPr>
            </w:pPr>
            <w:r w:rsidRPr="005F6AF9">
              <w:rPr>
                <w:rFonts w:asciiTheme="majorBidi" w:hAnsiTheme="majorBidi" w:cstheme="majorBidi"/>
                <w:sz w:val="20"/>
                <w:szCs w:val="20"/>
              </w:rPr>
              <w:t>119,5</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4,0</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POISSON ET FRUITS DE MER</w:t>
            </w:r>
          </w:p>
        </w:tc>
        <w:tc>
          <w:tcPr>
            <w:tcW w:w="468" w:type="pct"/>
            <w:tcBorders>
              <w:top w:val="nil"/>
              <w:left w:val="nil"/>
              <w:bottom w:val="single" w:sz="4" w:space="0" w:color="auto"/>
              <w:right w:val="single" w:sz="4" w:space="0" w:color="auto"/>
            </w:tcBorders>
            <w:shd w:val="clear" w:color="auto" w:fill="auto"/>
            <w:vAlign w:val="center"/>
            <w:hideMark/>
          </w:tcPr>
          <w:p w:rsidR="0082206A" w:rsidRPr="005F6AF9" w:rsidRDefault="0082206A">
            <w:pPr>
              <w:jc w:val="right"/>
              <w:rPr>
                <w:rFonts w:asciiTheme="majorBidi" w:hAnsiTheme="majorBidi" w:cstheme="majorBidi"/>
                <w:sz w:val="20"/>
                <w:szCs w:val="20"/>
              </w:rPr>
            </w:pPr>
            <w:r w:rsidRPr="005F6AF9">
              <w:rPr>
                <w:rFonts w:asciiTheme="majorBidi" w:hAnsiTheme="majorBidi" w:cstheme="majorBidi"/>
                <w:sz w:val="20"/>
                <w:szCs w:val="20"/>
              </w:rPr>
              <w:t>165,7</w:t>
            </w:r>
          </w:p>
        </w:tc>
        <w:tc>
          <w:tcPr>
            <w:tcW w:w="481" w:type="pct"/>
            <w:tcBorders>
              <w:top w:val="nil"/>
              <w:left w:val="nil"/>
              <w:bottom w:val="single" w:sz="4" w:space="0" w:color="auto"/>
              <w:right w:val="single" w:sz="4" w:space="0" w:color="auto"/>
            </w:tcBorders>
            <w:shd w:val="clear" w:color="auto" w:fill="auto"/>
            <w:vAlign w:val="center"/>
            <w:hideMark/>
          </w:tcPr>
          <w:p w:rsidR="0082206A" w:rsidRPr="005F6AF9" w:rsidRDefault="0082206A">
            <w:pPr>
              <w:jc w:val="right"/>
              <w:rPr>
                <w:rFonts w:asciiTheme="majorBidi" w:hAnsiTheme="majorBidi" w:cstheme="majorBidi"/>
                <w:sz w:val="20"/>
                <w:szCs w:val="20"/>
              </w:rPr>
            </w:pPr>
            <w:r w:rsidRPr="005F6AF9">
              <w:rPr>
                <w:rFonts w:asciiTheme="majorBidi" w:hAnsiTheme="majorBidi" w:cstheme="majorBidi"/>
                <w:sz w:val="20"/>
                <w:szCs w:val="20"/>
              </w:rPr>
              <w:t>157,1</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-5,1</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LAIT, FROMAGE ET OEUFS</w:t>
            </w:r>
          </w:p>
        </w:tc>
        <w:tc>
          <w:tcPr>
            <w:tcW w:w="468" w:type="pct"/>
            <w:tcBorders>
              <w:top w:val="nil"/>
              <w:left w:val="nil"/>
              <w:bottom w:val="single" w:sz="4" w:space="0" w:color="auto"/>
              <w:right w:val="single" w:sz="4" w:space="0" w:color="auto"/>
            </w:tcBorders>
            <w:shd w:val="clear" w:color="auto" w:fill="auto"/>
            <w:vAlign w:val="center"/>
            <w:hideMark/>
          </w:tcPr>
          <w:p w:rsidR="0082206A" w:rsidRPr="005F6AF9" w:rsidRDefault="0082206A">
            <w:pPr>
              <w:jc w:val="right"/>
              <w:rPr>
                <w:rFonts w:asciiTheme="majorBidi" w:hAnsiTheme="majorBidi" w:cstheme="majorBidi"/>
                <w:sz w:val="20"/>
                <w:szCs w:val="20"/>
              </w:rPr>
            </w:pPr>
            <w:r w:rsidRPr="005F6AF9">
              <w:rPr>
                <w:rFonts w:asciiTheme="majorBidi" w:hAnsiTheme="majorBidi" w:cstheme="majorBidi"/>
                <w:sz w:val="20"/>
                <w:szCs w:val="20"/>
              </w:rPr>
              <w:t>119,0</w:t>
            </w:r>
          </w:p>
        </w:tc>
        <w:tc>
          <w:tcPr>
            <w:tcW w:w="481" w:type="pct"/>
            <w:tcBorders>
              <w:top w:val="nil"/>
              <w:left w:val="nil"/>
              <w:bottom w:val="single" w:sz="4" w:space="0" w:color="auto"/>
              <w:right w:val="single" w:sz="4" w:space="0" w:color="auto"/>
            </w:tcBorders>
            <w:shd w:val="clear" w:color="auto" w:fill="auto"/>
            <w:vAlign w:val="center"/>
            <w:hideMark/>
          </w:tcPr>
          <w:p w:rsidR="0082206A" w:rsidRPr="005F6AF9" w:rsidRDefault="0082206A">
            <w:pPr>
              <w:jc w:val="right"/>
              <w:rPr>
                <w:rFonts w:asciiTheme="majorBidi" w:hAnsiTheme="majorBidi" w:cstheme="majorBidi"/>
                <w:sz w:val="20"/>
                <w:szCs w:val="20"/>
              </w:rPr>
            </w:pPr>
            <w:r w:rsidRPr="005F6AF9">
              <w:rPr>
                <w:rFonts w:asciiTheme="majorBidi" w:hAnsiTheme="majorBidi" w:cstheme="majorBidi"/>
                <w:sz w:val="20"/>
                <w:szCs w:val="20"/>
              </w:rPr>
              <w:t>116,4</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-2,2</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HUILES ET GRAISSES</w:t>
            </w:r>
          </w:p>
        </w:tc>
        <w:tc>
          <w:tcPr>
            <w:tcW w:w="468" w:type="pct"/>
            <w:tcBorders>
              <w:top w:val="nil"/>
              <w:left w:val="nil"/>
              <w:bottom w:val="single" w:sz="4" w:space="0" w:color="auto"/>
              <w:right w:val="single" w:sz="4" w:space="0" w:color="auto"/>
            </w:tcBorders>
            <w:shd w:val="clear" w:color="auto" w:fill="auto"/>
            <w:vAlign w:val="center"/>
            <w:hideMark/>
          </w:tcPr>
          <w:p w:rsidR="0082206A" w:rsidRPr="005F6AF9" w:rsidRDefault="0082206A">
            <w:pPr>
              <w:jc w:val="right"/>
              <w:rPr>
                <w:rFonts w:asciiTheme="majorBidi" w:hAnsiTheme="majorBidi" w:cstheme="majorBidi"/>
                <w:sz w:val="20"/>
                <w:szCs w:val="20"/>
              </w:rPr>
            </w:pPr>
            <w:r w:rsidRPr="005F6AF9">
              <w:rPr>
                <w:rFonts w:asciiTheme="majorBidi" w:hAnsiTheme="majorBidi" w:cstheme="majorBidi"/>
                <w:sz w:val="20"/>
                <w:szCs w:val="20"/>
              </w:rPr>
              <w:t>156,2</w:t>
            </w:r>
          </w:p>
        </w:tc>
        <w:tc>
          <w:tcPr>
            <w:tcW w:w="481" w:type="pct"/>
            <w:tcBorders>
              <w:top w:val="nil"/>
              <w:left w:val="nil"/>
              <w:bottom w:val="single" w:sz="4" w:space="0" w:color="auto"/>
              <w:right w:val="single" w:sz="4" w:space="0" w:color="auto"/>
            </w:tcBorders>
            <w:shd w:val="clear" w:color="auto" w:fill="auto"/>
            <w:vAlign w:val="center"/>
            <w:hideMark/>
          </w:tcPr>
          <w:p w:rsidR="0082206A" w:rsidRPr="005F6AF9" w:rsidRDefault="0082206A">
            <w:pPr>
              <w:jc w:val="right"/>
              <w:rPr>
                <w:rFonts w:asciiTheme="majorBidi" w:hAnsiTheme="majorBidi" w:cstheme="majorBidi"/>
                <w:sz w:val="20"/>
                <w:szCs w:val="20"/>
              </w:rPr>
            </w:pPr>
            <w:r w:rsidRPr="005F6AF9">
              <w:rPr>
                <w:rFonts w:asciiTheme="majorBidi" w:hAnsiTheme="majorBidi" w:cstheme="majorBidi"/>
                <w:sz w:val="20"/>
                <w:szCs w:val="20"/>
              </w:rPr>
              <w:t>149,2</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-4,5</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FRUITS</w:t>
            </w:r>
          </w:p>
        </w:tc>
        <w:tc>
          <w:tcPr>
            <w:tcW w:w="468" w:type="pct"/>
            <w:tcBorders>
              <w:top w:val="nil"/>
              <w:left w:val="nil"/>
              <w:bottom w:val="single" w:sz="4" w:space="0" w:color="auto"/>
              <w:right w:val="single" w:sz="4" w:space="0" w:color="auto"/>
            </w:tcBorders>
            <w:shd w:val="clear" w:color="auto" w:fill="auto"/>
            <w:vAlign w:val="center"/>
            <w:hideMark/>
          </w:tcPr>
          <w:p w:rsidR="0082206A" w:rsidRPr="005F6AF9" w:rsidRDefault="0082206A">
            <w:pPr>
              <w:jc w:val="right"/>
              <w:rPr>
                <w:rFonts w:asciiTheme="majorBidi" w:hAnsiTheme="majorBidi" w:cstheme="majorBidi"/>
                <w:sz w:val="20"/>
                <w:szCs w:val="20"/>
              </w:rPr>
            </w:pPr>
            <w:r w:rsidRPr="005F6AF9">
              <w:rPr>
                <w:rFonts w:asciiTheme="majorBidi" w:hAnsiTheme="majorBidi" w:cstheme="majorBidi"/>
                <w:sz w:val="20"/>
                <w:szCs w:val="20"/>
              </w:rPr>
              <w:t>138,5</w:t>
            </w:r>
          </w:p>
        </w:tc>
        <w:tc>
          <w:tcPr>
            <w:tcW w:w="481" w:type="pct"/>
            <w:tcBorders>
              <w:top w:val="nil"/>
              <w:left w:val="nil"/>
              <w:bottom w:val="single" w:sz="4" w:space="0" w:color="auto"/>
              <w:right w:val="single" w:sz="4" w:space="0" w:color="auto"/>
            </w:tcBorders>
            <w:shd w:val="clear" w:color="auto" w:fill="auto"/>
            <w:vAlign w:val="center"/>
            <w:hideMark/>
          </w:tcPr>
          <w:p w:rsidR="0082206A" w:rsidRPr="005F6AF9" w:rsidRDefault="0082206A">
            <w:pPr>
              <w:jc w:val="right"/>
              <w:rPr>
                <w:rFonts w:asciiTheme="majorBidi" w:hAnsiTheme="majorBidi" w:cstheme="majorBidi"/>
                <w:sz w:val="20"/>
                <w:szCs w:val="20"/>
              </w:rPr>
            </w:pPr>
            <w:r w:rsidRPr="005F6AF9">
              <w:rPr>
                <w:rFonts w:asciiTheme="majorBidi" w:hAnsiTheme="majorBidi" w:cstheme="majorBidi"/>
                <w:sz w:val="20"/>
                <w:szCs w:val="20"/>
              </w:rPr>
              <w:t>133,7</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-3,4</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LEGUMES</w:t>
            </w:r>
          </w:p>
        </w:tc>
        <w:tc>
          <w:tcPr>
            <w:tcW w:w="468" w:type="pct"/>
            <w:tcBorders>
              <w:top w:val="nil"/>
              <w:left w:val="nil"/>
              <w:bottom w:val="single" w:sz="4" w:space="0" w:color="auto"/>
              <w:right w:val="single" w:sz="4" w:space="0" w:color="auto"/>
            </w:tcBorders>
            <w:shd w:val="clear" w:color="auto" w:fill="auto"/>
            <w:vAlign w:val="center"/>
            <w:hideMark/>
          </w:tcPr>
          <w:p w:rsidR="0082206A" w:rsidRPr="005F6AF9" w:rsidRDefault="0082206A">
            <w:pPr>
              <w:jc w:val="right"/>
              <w:rPr>
                <w:rFonts w:asciiTheme="majorBidi" w:hAnsiTheme="majorBidi" w:cstheme="majorBidi"/>
                <w:sz w:val="20"/>
                <w:szCs w:val="20"/>
              </w:rPr>
            </w:pPr>
            <w:r w:rsidRPr="005F6AF9">
              <w:rPr>
                <w:rFonts w:asciiTheme="majorBidi" w:hAnsiTheme="majorBidi" w:cstheme="majorBidi"/>
                <w:sz w:val="20"/>
                <w:szCs w:val="20"/>
              </w:rPr>
              <w:t>127,3</w:t>
            </w:r>
          </w:p>
        </w:tc>
        <w:tc>
          <w:tcPr>
            <w:tcW w:w="481" w:type="pct"/>
            <w:tcBorders>
              <w:top w:val="nil"/>
              <w:left w:val="nil"/>
              <w:bottom w:val="single" w:sz="4" w:space="0" w:color="auto"/>
              <w:right w:val="single" w:sz="4" w:space="0" w:color="auto"/>
            </w:tcBorders>
            <w:shd w:val="clear" w:color="auto" w:fill="auto"/>
            <w:vAlign w:val="center"/>
            <w:hideMark/>
          </w:tcPr>
          <w:p w:rsidR="0082206A" w:rsidRPr="005F6AF9" w:rsidRDefault="0082206A">
            <w:pPr>
              <w:jc w:val="right"/>
              <w:rPr>
                <w:rFonts w:asciiTheme="majorBidi" w:hAnsiTheme="majorBidi" w:cstheme="majorBidi"/>
                <w:sz w:val="20"/>
                <w:szCs w:val="20"/>
              </w:rPr>
            </w:pPr>
            <w:r w:rsidRPr="005F6AF9">
              <w:rPr>
                <w:rFonts w:asciiTheme="majorBidi" w:hAnsiTheme="majorBidi" w:cstheme="majorBidi"/>
                <w:sz w:val="20"/>
                <w:szCs w:val="20"/>
              </w:rPr>
              <w:t>128,1</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0,6</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rsidP="00D96790">
            <w:pPr>
              <w:rPr>
                <w:rFonts w:asciiTheme="majorBidi" w:hAnsiTheme="majorBidi" w:cstheme="majorBidi"/>
                <w:sz w:val="20"/>
                <w:szCs w:val="20"/>
              </w:rPr>
            </w:pPr>
            <w:r w:rsidRPr="00590216">
              <w:rPr>
                <w:rFonts w:asciiTheme="majorBidi" w:hAnsiTheme="majorBidi" w:cstheme="majorBidi"/>
                <w:sz w:val="20"/>
                <w:szCs w:val="20"/>
              </w:rPr>
              <w:t>SUCRE, CONFITURE, MIEL, CHOCOLAT ET CONF</w:t>
            </w:r>
            <w:r w:rsidR="00D96790">
              <w:rPr>
                <w:rFonts w:asciiTheme="majorBidi" w:hAnsiTheme="majorBidi" w:cstheme="majorBidi"/>
                <w:sz w:val="20"/>
                <w:szCs w:val="20"/>
              </w:rPr>
              <w:t>I</w:t>
            </w:r>
            <w:r w:rsidRPr="00590216">
              <w:rPr>
                <w:rFonts w:asciiTheme="majorBidi" w:hAnsiTheme="majorBidi" w:cstheme="majorBidi"/>
                <w:sz w:val="20"/>
                <w:szCs w:val="20"/>
              </w:rPr>
              <w:t>SERIE</w:t>
            </w:r>
          </w:p>
        </w:tc>
        <w:tc>
          <w:tcPr>
            <w:tcW w:w="468" w:type="pct"/>
            <w:tcBorders>
              <w:top w:val="nil"/>
              <w:left w:val="nil"/>
              <w:bottom w:val="single" w:sz="4" w:space="0" w:color="auto"/>
              <w:right w:val="single" w:sz="4" w:space="0" w:color="auto"/>
            </w:tcBorders>
            <w:shd w:val="clear" w:color="auto" w:fill="auto"/>
            <w:vAlign w:val="center"/>
            <w:hideMark/>
          </w:tcPr>
          <w:p w:rsidR="0082206A" w:rsidRPr="005F6AF9" w:rsidRDefault="0082206A">
            <w:pPr>
              <w:jc w:val="right"/>
              <w:rPr>
                <w:rFonts w:asciiTheme="majorBidi" w:hAnsiTheme="majorBidi" w:cstheme="majorBidi"/>
                <w:sz w:val="20"/>
                <w:szCs w:val="20"/>
              </w:rPr>
            </w:pPr>
            <w:r w:rsidRPr="005F6AF9">
              <w:rPr>
                <w:rFonts w:asciiTheme="majorBidi" w:hAnsiTheme="majorBidi" w:cstheme="majorBidi"/>
                <w:sz w:val="20"/>
                <w:szCs w:val="20"/>
              </w:rPr>
              <w:t>110,4</w:t>
            </w:r>
          </w:p>
        </w:tc>
        <w:tc>
          <w:tcPr>
            <w:tcW w:w="481" w:type="pct"/>
            <w:tcBorders>
              <w:top w:val="nil"/>
              <w:left w:val="nil"/>
              <w:bottom w:val="single" w:sz="4" w:space="0" w:color="auto"/>
              <w:right w:val="single" w:sz="4" w:space="0" w:color="auto"/>
            </w:tcBorders>
            <w:shd w:val="clear" w:color="auto" w:fill="auto"/>
            <w:vAlign w:val="center"/>
            <w:hideMark/>
          </w:tcPr>
          <w:p w:rsidR="0082206A" w:rsidRPr="005F6AF9" w:rsidRDefault="0082206A">
            <w:pPr>
              <w:jc w:val="right"/>
              <w:rPr>
                <w:rFonts w:asciiTheme="majorBidi" w:hAnsiTheme="majorBidi" w:cstheme="majorBidi"/>
                <w:sz w:val="20"/>
                <w:szCs w:val="20"/>
              </w:rPr>
            </w:pPr>
            <w:r w:rsidRPr="005F6AF9">
              <w:rPr>
                <w:rFonts w:asciiTheme="majorBidi" w:hAnsiTheme="majorBidi" w:cstheme="majorBidi"/>
                <w:sz w:val="20"/>
                <w:szCs w:val="20"/>
              </w:rPr>
              <w:t>111,2</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0,8</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PRODUITS ALIMENTAIRES N.C.A.</w:t>
            </w:r>
          </w:p>
        </w:tc>
        <w:tc>
          <w:tcPr>
            <w:tcW w:w="468" w:type="pct"/>
            <w:tcBorders>
              <w:top w:val="nil"/>
              <w:left w:val="nil"/>
              <w:bottom w:val="single" w:sz="4" w:space="0" w:color="auto"/>
              <w:right w:val="single" w:sz="4" w:space="0" w:color="auto"/>
            </w:tcBorders>
            <w:shd w:val="clear" w:color="auto" w:fill="auto"/>
            <w:vAlign w:val="center"/>
            <w:hideMark/>
          </w:tcPr>
          <w:p w:rsidR="0082206A" w:rsidRPr="005F6AF9" w:rsidRDefault="0082206A">
            <w:pPr>
              <w:jc w:val="right"/>
              <w:rPr>
                <w:rFonts w:asciiTheme="majorBidi" w:hAnsiTheme="majorBidi" w:cstheme="majorBidi"/>
                <w:sz w:val="20"/>
                <w:szCs w:val="20"/>
              </w:rPr>
            </w:pPr>
            <w:r w:rsidRPr="005F6AF9">
              <w:rPr>
                <w:rFonts w:asciiTheme="majorBidi" w:hAnsiTheme="majorBidi" w:cstheme="majorBidi"/>
                <w:sz w:val="20"/>
                <w:szCs w:val="20"/>
              </w:rPr>
              <w:t>163,3</w:t>
            </w:r>
          </w:p>
        </w:tc>
        <w:tc>
          <w:tcPr>
            <w:tcW w:w="481" w:type="pct"/>
            <w:tcBorders>
              <w:top w:val="nil"/>
              <w:left w:val="nil"/>
              <w:bottom w:val="single" w:sz="4" w:space="0" w:color="auto"/>
              <w:right w:val="single" w:sz="4" w:space="0" w:color="auto"/>
            </w:tcBorders>
            <w:shd w:val="clear" w:color="auto" w:fill="auto"/>
            <w:vAlign w:val="center"/>
            <w:hideMark/>
          </w:tcPr>
          <w:p w:rsidR="0082206A" w:rsidRPr="005F6AF9" w:rsidRDefault="0082206A">
            <w:pPr>
              <w:jc w:val="right"/>
              <w:rPr>
                <w:rFonts w:asciiTheme="majorBidi" w:hAnsiTheme="majorBidi" w:cstheme="majorBidi"/>
                <w:sz w:val="20"/>
                <w:szCs w:val="20"/>
              </w:rPr>
            </w:pPr>
            <w:r w:rsidRPr="005F6AF9">
              <w:rPr>
                <w:rFonts w:asciiTheme="majorBidi" w:hAnsiTheme="majorBidi" w:cstheme="majorBidi"/>
                <w:sz w:val="20"/>
                <w:szCs w:val="20"/>
              </w:rPr>
              <w:t>144,1</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-11,7</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b/>
                <w:bCs/>
                <w:sz w:val="20"/>
                <w:szCs w:val="20"/>
              </w:rPr>
            </w:pPr>
            <w:r w:rsidRPr="00590216">
              <w:rPr>
                <w:rFonts w:asciiTheme="majorBidi" w:hAnsiTheme="majorBidi" w:cstheme="majorBidi"/>
                <w:b/>
                <w:bCs/>
                <w:sz w:val="20"/>
                <w:szCs w:val="20"/>
              </w:rPr>
              <w:t>012. BOISSONS NON ALCOOLISÉES</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139,6</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140,1</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0,4</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CAFE, THE ET CACAO</w:t>
            </w:r>
          </w:p>
        </w:tc>
        <w:tc>
          <w:tcPr>
            <w:tcW w:w="468" w:type="pct"/>
            <w:tcBorders>
              <w:top w:val="nil"/>
              <w:left w:val="nil"/>
              <w:bottom w:val="single" w:sz="4" w:space="0" w:color="auto"/>
              <w:right w:val="single" w:sz="4" w:space="0" w:color="auto"/>
            </w:tcBorders>
            <w:shd w:val="clear" w:color="auto" w:fill="auto"/>
            <w:vAlign w:val="center"/>
            <w:hideMark/>
          </w:tcPr>
          <w:p w:rsidR="0082206A" w:rsidRPr="005F6AF9" w:rsidRDefault="0082206A">
            <w:pPr>
              <w:jc w:val="right"/>
              <w:rPr>
                <w:rFonts w:asciiTheme="majorBidi" w:hAnsiTheme="majorBidi" w:cstheme="majorBidi"/>
                <w:sz w:val="20"/>
                <w:szCs w:val="20"/>
              </w:rPr>
            </w:pPr>
            <w:r w:rsidRPr="005F6AF9">
              <w:rPr>
                <w:rFonts w:asciiTheme="majorBidi" w:hAnsiTheme="majorBidi" w:cstheme="majorBidi"/>
                <w:sz w:val="20"/>
                <w:szCs w:val="20"/>
              </w:rPr>
              <w:t>146,0</w:t>
            </w:r>
          </w:p>
        </w:tc>
        <w:tc>
          <w:tcPr>
            <w:tcW w:w="481" w:type="pct"/>
            <w:tcBorders>
              <w:top w:val="nil"/>
              <w:left w:val="nil"/>
              <w:bottom w:val="single" w:sz="4" w:space="0" w:color="auto"/>
              <w:right w:val="single" w:sz="4" w:space="0" w:color="auto"/>
            </w:tcBorders>
            <w:shd w:val="clear" w:color="auto" w:fill="auto"/>
            <w:vAlign w:val="center"/>
            <w:hideMark/>
          </w:tcPr>
          <w:p w:rsidR="0082206A" w:rsidRPr="005F6AF9" w:rsidRDefault="0082206A">
            <w:pPr>
              <w:jc w:val="right"/>
              <w:rPr>
                <w:rFonts w:asciiTheme="majorBidi" w:hAnsiTheme="majorBidi" w:cstheme="majorBidi"/>
                <w:sz w:val="20"/>
                <w:szCs w:val="20"/>
              </w:rPr>
            </w:pPr>
            <w:r w:rsidRPr="005F6AF9">
              <w:rPr>
                <w:rFonts w:asciiTheme="majorBidi" w:hAnsiTheme="majorBidi" w:cstheme="majorBidi"/>
                <w:sz w:val="20"/>
                <w:szCs w:val="20"/>
              </w:rPr>
              <w:t>148,1</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1,4</w:t>
            </w:r>
          </w:p>
        </w:tc>
      </w:tr>
      <w:tr w:rsidR="0082206A" w:rsidRPr="00331969" w:rsidTr="0031503A">
        <w:trPr>
          <w:trHeight w:val="42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EAUX MINERALES, BOISSONS RAFRAICHISSANTES, JUS DE FRUITS ET DE LEGUMES</w:t>
            </w:r>
          </w:p>
        </w:tc>
        <w:tc>
          <w:tcPr>
            <w:tcW w:w="468" w:type="pct"/>
            <w:tcBorders>
              <w:top w:val="nil"/>
              <w:left w:val="nil"/>
              <w:bottom w:val="single" w:sz="4" w:space="0" w:color="auto"/>
              <w:right w:val="single" w:sz="4" w:space="0" w:color="auto"/>
            </w:tcBorders>
            <w:shd w:val="clear" w:color="auto" w:fill="auto"/>
            <w:vAlign w:val="center"/>
            <w:hideMark/>
          </w:tcPr>
          <w:p w:rsidR="0082206A" w:rsidRPr="005F6AF9" w:rsidRDefault="0082206A">
            <w:pPr>
              <w:jc w:val="right"/>
              <w:rPr>
                <w:rFonts w:asciiTheme="majorBidi" w:hAnsiTheme="majorBidi" w:cstheme="majorBidi"/>
                <w:sz w:val="20"/>
                <w:szCs w:val="20"/>
              </w:rPr>
            </w:pPr>
            <w:r w:rsidRPr="005F6AF9">
              <w:rPr>
                <w:rFonts w:asciiTheme="majorBidi" w:hAnsiTheme="majorBidi" w:cstheme="majorBidi"/>
                <w:sz w:val="20"/>
                <w:szCs w:val="20"/>
              </w:rPr>
              <w:t>117,2</w:t>
            </w:r>
          </w:p>
        </w:tc>
        <w:tc>
          <w:tcPr>
            <w:tcW w:w="481" w:type="pct"/>
            <w:tcBorders>
              <w:top w:val="nil"/>
              <w:left w:val="nil"/>
              <w:bottom w:val="single" w:sz="4" w:space="0" w:color="auto"/>
              <w:right w:val="single" w:sz="4" w:space="0" w:color="auto"/>
            </w:tcBorders>
            <w:shd w:val="clear" w:color="auto" w:fill="auto"/>
            <w:vAlign w:val="center"/>
            <w:hideMark/>
          </w:tcPr>
          <w:p w:rsidR="0082206A" w:rsidRPr="005F6AF9" w:rsidRDefault="0082206A">
            <w:pPr>
              <w:jc w:val="right"/>
              <w:rPr>
                <w:rFonts w:asciiTheme="majorBidi" w:hAnsiTheme="majorBidi" w:cstheme="majorBidi"/>
                <w:sz w:val="20"/>
                <w:szCs w:val="20"/>
              </w:rPr>
            </w:pPr>
            <w:r w:rsidRPr="005F6AF9">
              <w:rPr>
                <w:rFonts w:asciiTheme="majorBidi" w:hAnsiTheme="majorBidi" w:cstheme="majorBidi"/>
                <w:sz w:val="20"/>
                <w:szCs w:val="20"/>
              </w:rPr>
              <w:t>112,5</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-4,0</w:t>
            </w:r>
          </w:p>
        </w:tc>
      </w:tr>
      <w:tr w:rsidR="0082206A" w:rsidRPr="00331969" w:rsidTr="0031503A">
        <w:trPr>
          <w:trHeight w:val="255"/>
        </w:trPr>
        <w:tc>
          <w:tcPr>
            <w:tcW w:w="3481" w:type="pct"/>
            <w:tcBorders>
              <w:top w:val="nil"/>
              <w:left w:val="single" w:sz="4" w:space="0" w:color="auto"/>
              <w:bottom w:val="single" w:sz="4" w:space="0" w:color="auto"/>
              <w:right w:val="single" w:sz="4" w:space="0" w:color="auto"/>
            </w:tcBorders>
            <w:shd w:val="clear" w:color="000000" w:fill="BFBFBF"/>
            <w:vAlign w:val="center"/>
            <w:hideMark/>
          </w:tcPr>
          <w:p w:rsidR="0082206A" w:rsidRPr="00590216" w:rsidRDefault="0082206A">
            <w:pPr>
              <w:rPr>
                <w:rFonts w:asciiTheme="majorBidi" w:hAnsiTheme="majorBidi" w:cstheme="majorBidi"/>
                <w:b/>
                <w:bCs/>
                <w:sz w:val="20"/>
                <w:szCs w:val="20"/>
              </w:rPr>
            </w:pPr>
            <w:r w:rsidRPr="00590216">
              <w:rPr>
                <w:rFonts w:asciiTheme="majorBidi" w:hAnsiTheme="majorBidi" w:cstheme="majorBidi"/>
                <w:b/>
                <w:bCs/>
                <w:sz w:val="20"/>
                <w:szCs w:val="20"/>
              </w:rPr>
              <w:t>02. BOISSONS ALCOOLISÉES, TABAC ET STUPÉFIANTS</w:t>
            </w:r>
          </w:p>
        </w:tc>
        <w:tc>
          <w:tcPr>
            <w:tcW w:w="468" w:type="pct"/>
            <w:tcBorders>
              <w:top w:val="nil"/>
              <w:left w:val="nil"/>
              <w:bottom w:val="single" w:sz="4" w:space="0" w:color="auto"/>
              <w:right w:val="single" w:sz="4" w:space="0" w:color="auto"/>
            </w:tcBorders>
            <w:shd w:val="clear" w:color="000000" w:fill="BFBFBF"/>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137,9</w:t>
            </w:r>
          </w:p>
        </w:tc>
        <w:tc>
          <w:tcPr>
            <w:tcW w:w="481" w:type="pct"/>
            <w:tcBorders>
              <w:top w:val="nil"/>
              <w:left w:val="nil"/>
              <w:bottom w:val="single" w:sz="4" w:space="0" w:color="auto"/>
              <w:right w:val="single" w:sz="4" w:space="0" w:color="auto"/>
            </w:tcBorders>
            <w:shd w:val="clear" w:color="000000" w:fill="BFBFBF"/>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158,8</w:t>
            </w:r>
          </w:p>
        </w:tc>
        <w:tc>
          <w:tcPr>
            <w:tcW w:w="570" w:type="pct"/>
            <w:tcBorders>
              <w:top w:val="nil"/>
              <w:left w:val="nil"/>
              <w:bottom w:val="single" w:sz="4" w:space="0" w:color="auto"/>
              <w:right w:val="single" w:sz="4" w:space="0" w:color="auto"/>
            </w:tcBorders>
            <w:shd w:val="clear" w:color="000000" w:fill="BFBFBF"/>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15,2</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b/>
                <w:bCs/>
                <w:sz w:val="20"/>
                <w:szCs w:val="20"/>
              </w:rPr>
            </w:pPr>
            <w:r w:rsidRPr="00590216">
              <w:rPr>
                <w:rFonts w:asciiTheme="majorBidi" w:hAnsiTheme="majorBidi" w:cstheme="majorBidi"/>
                <w:b/>
                <w:bCs/>
                <w:sz w:val="20"/>
                <w:szCs w:val="20"/>
              </w:rPr>
              <w:t>021. BOISSONS ALCOOLISÉES</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127,9</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127,6</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-0,2</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SPIRITUEUX</w:t>
            </w:r>
          </w:p>
        </w:tc>
        <w:tc>
          <w:tcPr>
            <w:tcW w:w="468" w:type="pct"/>
            <w:tcBorders>
              <w:top w:val="nil"/>
              <w:left w:val="nil"/>
              <w:bottom w:val="single" w:sz="4" w:space="0" w:color="auto"/>
              <w:right w:val="single" w:sz="4" w:space="0" w:color="auto"/>
            </w:tcBorders>
            <w:shd w:val="clear" w:color="auto" w:fill="auto"/>
            <w:vAlign w:val="center"/>
            <w:hideMark/>
          </w:tcPr>
          <w:p w:rsidR="0082206A" w:rsidRPr="005F6AF9" w:rsidRDefault="0082206A">
            <w:pPr>
              <w:jc w:val="right"/>
              <w:rPr>
                <w:rFonts w:asciiTheme="majorBidi" w:hAnsiTheme="majorBidi" w:cstheme="majorBidi"/>
                <w:sz w:val="20"/>
                <w:szCs w:val="20"/>
              </w:rPr>
            </w:pPr>
            <w:r w:rsidRPr="005F6AF9">
              <w:rPr>
                <w:rFonts w:asciiTheme="majorBidi" w:hAnsiTheme="majorBidi" w:cstheme="majorBidi"/>
                <w:sz w:val="20"/>
                <w:szCs w:val="20"/>
              </w:rPr>
              <w:t>121,7</w:t>
            </w:r>
          </w:p>
        </w:tc>
        <w:tc>
          <w:tcPr>
            <w:tcW w:w="481" w:type="pct"/>
            <w:tcBorders>
              <w:top w:val="nil"/>
              <w:left w:val="nil"/>
              <w:bottom w:val="single" w:sz="4" w:space="0" w:color="auto"/>
              <w:right w:val="single" w:sz="4" w:space="0" w:color="auto"/>
            </w:tcBorders>
            <w:shd w:val="clear" w:color="auto" w:fill="auto"/>
            <w:vAlign w:val="center"/>
            <w:hideMark/>
          </w:tcPr>
          <w:p w:rsidR="0082206A" w:rsidRPr="005F6AF9" w:rsidRDefault="0082206A">
            <w:pPr>
              <w:jc w:val="right"/>
              <w:rPr>
                <w:rFonts w:asciiTheme="majorBidi" w:hAnsiTheme="majorBidi" w:cstheme="majorBidi"/>
                <w:sz w:val="20"/>
                <w:szCs w:val="20"/>
              </w:rPr>
            </w:pPr>
            <w:r w:rsidRPr="005F6AF9">
              <w:rPr>
                <w:rFonts w:asciiTheme="majorBidi" w:hAnsiTheme="majorBidi" w:cstheme="majorBidi"/>
                <w:sz w:val="20"/>
                <w:szCs w:val="20"/>
              </w:rPr>
              <w:t>120,7</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-0,8</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VIN ET BOISSONS FERMENTÉES</w:t>
            </w:r>
          </w:p>
        </w:tc>
        <w:tc>
          <w:tcPr>
            <w:tcW w:w="468" w:type="pct"/>
            <w:tcBorders>
              <w:top w:val="nil"/>
              <w:left w:val="nil"/>
              <w:bottom w:val="single" w:sz="4" w:space="0" w:color="auto"/>
              <w:right w:val="single" w:sz="4" w:space="0" w:color="auto"/>
            </w:tcBorders>
            <w:shd w:val="clear" w:color="auto" w:fill="auto"/>
            <w:vAlign w:val="center"/>
            <w:hideMark/>
          </w:tcPr>
          <w:p w:rsidR="0082206A" w:rsidRPr="005F6AF9" w:rsidRDefault="0082206A">
            <w:pPr>
              <w:jc w:val="right"/>
              <w:rPr>
                <w:rFonts w:asciiTheme="majorBidi" w:hAnsiTheme="majorBidi" w:cstheme="majorBidi"/>
                <w:sz w:val="20"/>
                <w:szCs w:val="20"/>
              </w:rPr>
            </w:pPr>
            <w:r w:rsidRPr="005F6AF9">
              <w:rPr>
                <w:rFonts w:asciiTheme="majorBidi" w:hAnsiTheme="majorBidi" w:cstheme="majorBidi"/>
                <w:sz w:val="20"/>
                <w:szCs w:val="20"/>
              </w:rPr>
              <w:t>124,1</w:t>
            </w:r>
          </w:p>
        </w:tc>
        <w:tc>
          <w:tcPr>
            <w:tcW w:w="481" w:type="pct"/>
            <w:tcBorders>
              <w:top w:val="nil"/>
              <w:left w:val="nil"/>
              <w:bottom w:val="single" w:sz="4" w:space="0" w:color="auto"/>
              <w:right w:val="single" w:sz="4" w:space="0" w:color="auto"/>
            </w:tcBorders>
            <w:shd w:val="clear" w:color="auto" w:fill="auto"/>
            <w:vAlign w:val="center"/>
            <w:hideMark/>
          </w:tcPr>
          <w:p w:rsidR="0082206A" w:rsidRPr="005F6AF9" w:rsidRDefault="0082206A">
            <w:pPr>
              <w:jc w:val="right"/>
              <w:rPr>
                <w:rFonts w:asciiTheme="majorBidi" w:hAnsiTheme="majorBidi" w:cstheme="majorBidi"/>
                <w:sz w:val="20"/>
                <w:szCs w:val="20"/>
              </w:rPr>
            </w:pPr>
            <w:r w:rsidRPr="005F6AF9">
              <w:rPr>
                <w:rFonts w:asciiTheme="majorBidi" w:hAnsiTheme="majorBidi" w:cstheme="majorBidi"/>
                <w:sz w:val="20"/>
                <w:szCs w:val="20"/>
              </w:rPr>
              <w:t>124,8</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0,6</w:t>
            </w:r>
          </w:p>
        </w:tc>
      </w:tr>
      <w:tr w:rsidR="0082206A" w:rsidRPr="00331969" w:rsidTr="0031503A">
        <w:trPr>
          <w:trHeight w:val="255"/>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BIÈRE</w:t>
            </w:r>
          </w:p>
        </w:tc>
        <w:tc>
          <w:tcPr>
            <w:tcW w:w="468" w:type="pct"/>
            <w:tcBorders>
              <w:top w:val="nil"/>
              <w:left w:val="nil"/>
              <w:bottom w:val="single" w:sz="4" w:space="0" w:color="auto"/>
              <w:right w:val="single" w:sz="4" w:space="0" w:color="auto"/>
            </w:tcBorders>
            <w:shd w:val="clear" w:color="auto" w:fill="auto"/>
            <w:vAlign w:val="center"/>
            <w:hideMark/>
          </w:tcPr>
          <w:p w:rsidR="0082206A" w:rsidRPr="005F6AF9" w:rsidRDefault="0082206A">
            <w:pPr>
              <w:jc w:val="right"/>
              <w:rPr>
                <w:rFonts w:asciiTheme="majorBidi" w:hAnsiTheme="majorBidi" w:cstheme="majorBidi"/>
                <w:sz w:val="20"/>
                <w:szCs w:val="20"/>
              </w:rPr>
            </w:pPr>
            <w:r w:rsidRPr="005F6AF9">
              <w:rPr>
                <w:rFonts w:asciiTheme="majorBidi" w:hAnsiTheme="majorBidi" w:cstheme="majorBidi"/>
                <w:sz w:val="20"/>
                <w:szCs w:val="20"/>
              </w:rPr>
              <w:t>147,4</w:t>
            </w:r>
          </w:p>
        </w:tc>
        <w:tc>
          <w:tcPr>
            <w:tcW w:w="481" w:type="pct"/>
            <w:tcBorders>
              <w:top w:val="nil"/>
              <w:left w:val="nil"/>
              <w:bottom w:val="single" w:sz="4" w:space="0" w:color="auto"/>
              <w:right w:val="single" w:sz="4" w:space="0" w:color="auto"/>
            </w:tcBorders>
            <w:shd w:val="clear" w:color="auto" w:fill="auto"/>
            <w:vAlign w:val="center"/>
            <w:hideMark/>
          </w:tcPr>
          <w:p w:rsidR="0082206A" w:rsidRPr="005F6AF9" w:rsidRDefault="0082206A">
            <w:pPr>
              <w:jc w:val="right"/>
              <w:rPr>
                <w:rFonts w:asciiTheme="majorBidi" w:hAnsiTheme="majorBidi" w:cstheme="majorBidi"/>
                <w:sz w:val="20"/>
                <w:szCs w:val="20"/>
              </w:rPr>
            </w:pPr>
            <w:r w:rsidRPr="005F6AF9">
              <w:rPr>
                <w:rFonts w:asciiTheme="majorBidi" w:hAnsiTheme="majorBidi" w:cstheme="majorBidi"/>
                <w:sz w:val="20"/>
                <w:szCs w:val="20"/>
              </w:rPr>
              <w:t>148,6</w:t>
            </w:r>
          </w:p>
        </w:tc>
        <w:tc>
          <w:tcPr>
            <w:tcW w:w="570" w:type="pct"/>
            <w:tcBorders>
              <w:top w:val="nil"/>
              <w:left w:val="nil"/>
              <w:bottom w:val="single" w:sz="4" w:space="0" w:color="auto"/>
              <w:right w:val="single" w:sz="4" w:space="0" w:color="auto"/>
            </w:tcBorders>
            <w:shd w:val="clear" w:color="000000" w:fill="FFFFFF"/>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0,8</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b/>
                <w:bCs/>
                <w:sz w:val="20"/>
                <w:szCs w:val="20"/>
              </w:rPr>
            </w:pPr>
            <w:r w:rsidRPr="00590216">
              <w:rPr>
                <w:rFonts w:asciiTheme="majorBidi" w:hAnsiTheme="majorBidi" w:cstheme="majorBidi"/>
                <w:b/>
                <w:bCs/>
                <w:sz w:val="20"/>
                <w:szCs w:val="20"/>
              </w:rPr>
              <w:t>022. TABAC</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137,9</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159,1</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15,4</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TABAC</w:t>
            </w:r>
          </w:p>
        </w:tc>
        <w:tc>
          <w:tcPr>
            <w:tcW w:w="468" w:type="pct"/>
            <w:tcBorders>
              <w:top w:val="nil"/>
              <w:left w:val="nil"/>
              <w:bottom w:val="single" w:sz="4" w:space="0" w:color="auto"/>
              <w:right w:val="single" w:sz="4" w:space="0" w:color="auto"/>
            </w:tcBorders>
            <w:shd w:val="clear" w:color="auto" w:fill="auto"/>
            <w:vAlign w:val="center"/>
            <w:hideMark/>
          </w:tcPr>
          <w:p w:rsidR="0082206A" w:rsidRPr="005F6AF9" w:rsidRDefault="0082206A">
            <w:pPr>
              <w:jc w:val="right"/>
              <w:rPr>
                <w:rFonts w:asciiTheme="majorBidi" w:hAnsiTheme="majorBidi" w:cstheme="majorBidi"/>
                <w:sz w:val="20"/>
                <w:szCs w:val="20"/>
              </w:rPr>
            </w:pPr>
            <w:r w:rsidRPr="005F6AF9">
              <w:rPr>
                <w:rFonts w:asciiTheme="majorBidi" w:hAnsiTheme="majorBidi" w:cstheme="majorBidi"/>
                <w:sz w:val="20"/>
                <w:szCs w:val="20"/>
              </w:rPr>
              <w:t>137,9</w:t>
            </w:r>
          </w:p>
        </w:tc>
        <w:tc>
          <w:tcPr>
            <w:tcW w:w="481" w:type="pct"/>
            <w:tcBorders>
              <w:top w:val="nil"/>
              <w:left w:val="nil"/>
              <w:bottom w:val="single" w:sz="4" w:space="0" w:color="auto"/>
              <w:right w:val="single" w:sz="4" w:space="0" w:color="auto"/>
            </w:tcBorders>
            <w:shd w:val="clear" w:color="auto" w:fill="auto"/>
            <w:vAlign w:val="center"/>
            <w:hideMark/>
          </w:tcPr>
          <w:p w:rsidR="0082206A" w:rsidRPr="005F6AF9" w:rsidRDefault="0082206A">
            <w:pPr>
              <w:jc w:val="right"/>
              <w:rPr>
                <w:rFonts w:asciiTheme="majorBidi" w:hAnsiTheme="majorBidi" w:cstheme="majorBidi"/>
                <w:sz w:val="20"/>
                <w:szCs w:val="20"/>
              </w:rPr>
            </w:pPr>
            <w:r w:rsidRPr="005F6AF9">
              <w:rPr>
                <w:rFonts w:asciiTheme="majorBidi" w:hAnsiTheme="majorBidi" w:cstheme="majorBidi"/>
                <w:sz w:val="20"/>
                <w:szCs w:val="20"/>
              </w:rPr>
              <w:t>159,1</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15,4</w:t>
            </w:r>
          </w:p>
        </w:tc>
      </w:tr>
      <w:tr w:rsidR="0082206A" w:rsidRPr="00331969" w:rsidTr="0031503A">
        <w:trPr>
          <w:trHeight w:val="255"/>
        </w:trPr>
        <w:tc>
          <w:tcPr>
            <w:tcW w:w="3481" w:type="pct"/>
            <w:tcBorders>
              <w:top w:val="nil"/>
              <w:left w:val="single" w:sz="4" w:space="0" w:color="auto"/>
              <w:bottom w:val="single" w:sz="4" w:space="0" w:color="auto"/>
              <w:right w:val="single" w:sz="4" w:space="0" w:color="auto"/>
            </w:tcBorders>
            <w:shd w:val="clear" w:color="000000" w:fill="BFBFBF"/>
            <w:vAlign w:val="center"/>
            <w:hideMark/>
          </w:tcPr>
          <w:p w:rsidR="0082206A" w:rsidRPr="00590216" w:rsidRDefault="0082206A">
            <w:pPr>
              <w:rPr>
                <w:rFonts w:asciiTheme="majorBidi" w:hAnsiTheme="majorBidi" w:cstheme="majorBidi"/>
                <w:b/>
                <w:bCs/>
                <w:sz w:val="20"/>
                <w:szCs w:val="20"/>
              </w:rPr>
            </w:pPr>
            <w:r w:rsidRPr="00590216">
              <w:rPr>
                <w:rFonts w:asciiTheme="majorBidi" w:hAnsiTheme="majorBidi" w:cstheme="majorBidi"/>
                <w:b/>
                <w:bCs/>
                <w:sz w:val="20"/>
                <w:szCs w:val="20"/>
              </w:rPr>
              <w:t>03. ARTICLES D'HABILLEMENT ET CHAUSSURES</w:t>
            </w:r>
          </w:p>
        </w:tc>
        <w:tc>
          <w:tcPr>
            <w:tcW w:w="468" w:type="pct"/>
            <w:tcBorders>
              <w:top w:val="nil"/>
              <w:left w:val="nil"/>
              <w:bottom w:val="single" w:sz="4" w:space="0" w:color="auto"/>
              <w:right w:val="single" w:sz="4" w:space="0" w:color="auto"/>
            </w:tcBorders>
            <w:shd w:val="clear" w:color="000000" w:fill="BFBFBF"/>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112,6</w:t>
            </w:r>
          </w:p>
        </w:tc>
        <w:tc>
          <w:tcPr>
            <w:tcW w:w="481" w:type="pct"/>
            <w:tcBorders>
              <w:top w:val="nil"/>
              <w:left w:val="nil"/>
              <w:bottom w:val="single" w:sz="4" w:space="0" w:color="auto"/>
              <w:right w:val="single" w:sz="4" w:space="0" w:color="auto"/>
            </w:tcBorders>
            <w:shd w:val="clear" w:color="000000" w:fill="BFBFBF"/>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114,5</w:t>
            </w:r>
          </w:p>
        </w:tc>
        <w:tc>
          <w:tcPr>
            <w:tcW w:w="570" w:type="pct"/>
            <w:tcBorders>
              <w:top w:val="nil"/>
              <w:left w:val="nil"/>
              <w:bottom w:val="single" w:sz="4" w:space="0" w:color="auto"/>
              <w:right w:val="single" w:sz="4" w:space="0" w:color="auto"/>
            </w:tcBorders>
            <w:shd w:val="clear" w:color="000000" w:fill="BFBFBF"/>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1,7</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b/>
                <w:bCs/>
                <w:sz w:val="20"/>
                <w:szCs w:val="20"/>
              </w:rPr>
            </w:pPr>
            <w:r w:rsidRPr="00590216">
              <w:rPr>
                <w:rFonts w:asciiTheme="majorBidi" w:hAnsiTheme="majorBidi" w:cstheme="majorBidi"/>
                <w:b/>
                <w:bCs/>
                <w:sz w:val="20"/>
                <w:szCs w:val="20"/>
              </w:rPr>
              <w:lastRenderedPageBreak/>
              <w:t>031. ARTICLES D'HABILLEMENT</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110,5</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112,5</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1,8</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TISSUS POUR HABILLEMENT</w:t>
            </w:r>
          </w:p>
        </w:tc>
        <w:tc>
          <w:tcPr>
            <w:tcW w:w="468" w:type="pct"/>
            <w:tcBorders>
              <w:top w:val="nil"/>
              <w:left w:val="nil"/>
              <w:bottom w:val="single" w:sz="4" w:space="0" w:color="auto"/>
              <w:right w:val="single" w:sz="4" w:space="0" w:color="auto"/>
            </w:tcBorders>
            <w:shd w:val="clear" w:color="auto" w:fill="auto"/>
            <w:vAlign w:val="center"/>
            <w:hideMark/>
          </w:tcPr>
          <w:p w:rsidR="0082206A" w:rsidRPr="005F6AF9" w:rsidRDefault="0082206A">
            <w:pPr>
              <w:jc w:val="right"/>
              <w:rPr>
                <w:rFonts w:asciiTheme="majorBidi" w:hAnsiTheme="majorBidi" w:cstheme="majorBidi"/>
                <w:sz w:val="20"/>
                <w:szCs w:val="20"/>
              </w:rPr>
            </w:pPr>
            <w:r w:rsidRPr="005F6AF9">
              <w:rPr>
                <w:rFonts w:asciiTheme="majorBidi" w:hAnsiTheme="majorBidi" w:cstheme="majorBidi"/>
                <w:sz w:val="20"/>
                <w:szCs w:val="20"/>
              </w:rPr>
              <w:t>134,3</w:t>
            </w:r>
          </w:p>
        </w:tc>
        <w:tc>
          <w:tcPr>
            <w:tcW w:w="481" w:type="pct"/>
            <w:tcBorders>
              <w:top w:val="nil"/>
              <w:left w:val="nil"/>
              <w:bottom w:val="single" w:sz="4" w:space="0" w:color="auto"/>
              <w:right w:val="single" w:sz="4" w:space="0" w:color="auto"/>
            </w:tcBorders>
            <w:shd w:val="clear" w:color="auto" w:fill="auto"/>
            <w:vAlign w:val="center"/>
            <w:hideMark/>
          </w:tcPr>
          <w:p w:rsidR="0082206A" w:rsidRPr="005F6AF9" w:rsidRDefault="0082206A">
            <w:pPr>
              <w:jc w:val="right"/>
              <w:rPr>
                <w:rFonts w:asciiTheme="majorBidi" w:hAnsiTheme="majorBidi" w:cstheme="majorBidi"/>
                <w:sz w:val="20"/>
                <w:szCs w:val="20"/>
              </w:rPr>
            </w:pPr>
            <w:r w:rsidRPr="005F6AF9">
              <w:rPr>
                <w:rFonts w:asciiTheme="majorBidi" w:hAnsiTheme="majorBidi" w:cstheme="majorBidi"/>
                <w:sz w:val="20"/>
                <w:szCs w:val="20"/>
              </w:rPr>
              <w:t>136,0</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1,2</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VETEMENTS</w:t>
            </w:r>
          </w:p>
        </w:tc>
        <w:tc>
          <w:tcPr>
            <w:tcW w:w="468" w:type="pct"/>
            <w:tcBorders>
              <w:top w:val="nil"/>
              <w:left w:val="nil"/>
              <w:bottom w:val="single" w:sz="4" w:space="0" w:color="auto"/>
              <w:right w:val="single" w:sz="4" w:space="0" w:color="auto"/>
            </w:tcBorders>
            <w:shd w:val="clear" w:color="auto" w:fill="auto"/>
            <w:vAlign w:val="center"/>
            <w:hideMark/>
          </w:tcPr>
          <w:p w:rsidR="0082206A" w:rsidRPr="005F6AF9" w:rsidRDefault="0082206A">
            <w:pPr>
              <w:jc w:val="right"/>
              <w:rPr>
                <w:rFonts w:asciiTheme="majorBidi" w:hAnsiTheme="majorBidi" w:cstheme="majorBidi"/>
                <w:sz w:val="20"/>
                <w:szCs w:val="20"/>
              </w:rPr>
            </w:pPr>
            <w:r w:rsidRPr="005F6AF9">
              <w:rPr>
                <w:rFonts w:asciiTheme="majorBidi" w:hAnsiTheme="majorBidi" w:cstheme="majorBidi"/>
                <w:sz w:val="20"/>
                <w:szCs w:val="20"/>
              </w:rPr>
              <w:t>108,7</w:t>
            </w:r>
          </w:p>
        </w:tc>
        <w:tc>
          <w:tcPr>
            <w:tcW w:w="481" w:type="pct"/>
            <w:tcBorders>
              <w:top w:val="nil"/>
              <w:left w:val="nil"/>
              <w:bottom w:val="single" w:sz="4" w:space="0" w:color="auto"/>
              <w:right w:val="single" w:sz="4" w:space="0" w:color="auto"/>
            </w:tcBorders>
            <w:shd w:val="clear" w:color="auto" w:fill="auto"/>
            <w:vAlign w:val="center"/>
            <w:hideMark/>
          </w:tcPr>
          <w:p w:rsidR="0082206A" w:rsidRPr="005F6AF9" w:rsidRDefault="0082206A">
            <w:pPr>
              <w:jc w:val="right"/>
              <w:rPr>
                <w:rFonts w:asciiTheme="majorBidi" w:hAnsiTheme="majorBidi" w:cstheme="majorBidi"/>
                <w:sz w:val="20"/>
                <w:szCs w:val="20"/>
              </w:rPr>
            </w:pPr>
            <w:r w:rsidRPr="005F6AF9">
              <w:rPr>
                <w:rFonts w:asciiTheme="majorBidi" w:hAnsiTheme="majorBidi" w:cstheme="majorBidi"/>
                <w:sz w:val="20"/>
                <w:szCs w:val="20"/>
              </w:rPr>
              <w:t>110,7</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1,8</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AUTRES ARTICLES ET ACCESSOIRES D'HABILLEMENT</w:t>
            </w:r>
          </w:p>
        </w:tc>
        <w:tc>
          <w:tcPr>
            <w:tcW w:w="468" w:type="pct"/>
            <w:tcBorders>
              <w:top w:val="nil"/>
              <w:left w:val="nil"/>
              <w:bottom w:val="single" w:sz="4" w:space="0" w:color="auto"/>
              <w:right w:val="single" w:sz="4" w:space="0" w:color="auto"/>
            </w:tcBorders>
            <w:shd w:val="clear" w:color="auto" w:fill="auto"/>
            <w:vAlign w:val="center"/>
            <w:hideMark/>
          </w:tcPr>
          <w:p w:rsidR="0082206A" w:rsidRPr="005F6AF9" w:rsidRDefault="0082206A">
            <w:pPr>
              <w:jc w:val="right"/>
              <w:rPr>
                <w:rFonts w:asciiTheme="majorBidi" w:hAnsiTheme="majorBidi" w:cstheme="majorBidi"/>
                <w:sz w:val="20"/>
                <w:szCs w:val="20"/>
              </w:rPr>
            </w:pPr>
            <w:r w:rsidRPr="005F6AF9">
              <w:rPr>
                <w:rFonts w:asciiTheme="majorBidi" w:hAnsiTheme="majorBidi" w:cstheme="majorBidi"/>
                <w:sz w:val="20"/>
                <w:szCs w:val="20"/>
              </w:rPr>
              <w:t>99,6</w:t>
            </w:r>
          </w:p>
        </w:tc>
        <w:tc>
          <w:tcPr>
            <w:tcW w:w="481" w:type="pct"/>
            <w:tcBorders>
              <w:top w:val="nil"/>
              <w:left w:val="nil"/>
              <w:bottom w:val="single" w:sz="4" w:space="0" w:color="auto"/>
              <w:right w:val="single" w:sz="4" w:space="0" w:color="auto"/>
            </w:tcBorders>
            <w:shd w:val="clear" w:color="auto" w:fill="auto"/>
            <w:vAlign w:val="center"/>
            <w:hideMark/>
          </w:tcPr>
          <w:p w:rsidR="0082206A" w:rsidRPr="005F6AF9" w:rsidRDefault="0082206A">
            <w:pPr>
              <w:jc w:val="right"/>
              <w:rPr>
                <w:rFonts w:asciiTheme="majorBidi" w:hAnsiTheme="majorBidi" w:cstheme="majorBidi"/>
                <w:sz w:val="20"/>
                <w:szCs w:val="20"/>
              </w:rPr>
            </w:pPr>
            <w:r w:rsidRPr="005F6AF9">
              <w:rPr>
                <w:rFonts w:asciiTheme="majorBidi" w:hAnsiTheme="majorBidi" w:cstheme="majorBidi"/>
                <w:sz w:val="20"/>
                <w:szCs w:val="20"/>
              </w:rPr>
              <w:t>107,4</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7,7</w:t>
            </w:r>
          </w:p>
        </w:tc>
      </w:tr>
      <w:tr w:rsidR="0082206A" w:rsidRPr="00331969" w:rsidTr="0031503A">
        <w:trPr>
          <w:trHeight w:val="42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NETTOYAGE, REPARATION ET LOCATION D'ARTICLES D'HABILLEMENT</w:t>
            </w:r>
          </w:p>
        </w:tc>
        <w:tc>
          <w:tcPr>
            <w:tcW w:w="468" w:type="pct"/>
            <w:tcBorders>
              <w:top w:val="nil"/>
              <w:left w:val="nil"/>
              <w:bottom w:val="single" w:sz="4" w:space="0" w:color="auto"/>
              <w:right w:val="single" w:sz="4" w:space="0" w:color="auto"/>
            </w:tcBorders>
            <w:shd w:val="clear" w:color="auto" w:fill="auto"/>
            <w:vAlign w:val="center"/>
            <w:hideMark/>
          </w:tcPr>
          <w:p w:rsidR="0082206A" w:rsidRPr="005F6AF9" w:rsidRDefault="0082206A">
            <w:pPr>
              <w:jc w:val="right"/>
              <w:rPr>
                <w:rFonts w:asciiTheme="majorBidi" w:hAnsiTheme="majorBidi" w:cstheme="majorBidi"/>
                <w:sz w:val="20"/>
                <w:szCs w:val="20"/>
              </w:rPr>
            </w:pPr>
            <w:r w:rsidRPr="005F6AF9">
              <w:rPr>
                <w:rFonts w:asciiTheme="majorBidi" w:hAnsiTheme="majorBidi" w:cstheme="majorBidi"/>
                <w:sz w:val="20"/>
                <w:szCs w:val="20"/>
              </w:rPr>
              <w:t>116,9</w:t>
            </w:r>
          </w:p>
        </w:tc>
        <w:tc>
          <w:tcPr>
            <w:tcW w:w="481" w:type="pct"/>
            <w:tcBorders>
              <w:top w:val="nil"/>
              <w:left w:val="nil"/>
              <w:bottom w:val="single" w:sz="4" w:space="0" w:color="auto"/>
              <w:right w:val="single" w:sz="4" w:space="0" w:color="auto"/>
            </w:tcBorders>
            <w:shd w:val="clear" w:color="auto" w:fill="auto"/>
            <w:vAlign w:val="center"/>
            <w:hideMark/>
          </w:tcPr>
          <w:p w:rsidR="0082206A" w:rsidRPr="005F6AF9" w:rsidRDefault="0082206A">
            <w:pPr>
              <w:jc w:val="right"/>
              <w:rPr>
                <w:rFonts w:asciiTheme="majorBidi" w:hAnsiTheme="majorBidi" w:cstheme="majorBidi"/>
                <w:sz w:val="20"/>
                <w:szCs w:val="20"/>
              </w:rPr>
            </w:pPr>
            <w:r w:rsidRPr="005F6AF9">
              <w:rPr>
                <w:rFonts w:asciiTheme="majorBidi" w:hAnsiTheme="majorBidi" w:cstheme="majorBidi"/>
                <w:sz w:val="20"/>
                <w:szCs w:val="20"/>
              </w:rPr>
              <w:t>116,9</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0,0</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b/>
                <w:bCs/>
                <w:sz w:val="20"/>
                <w:szCs w:val="20"/>
              </w:rPr>
            </w:pPr>
            <w:r w:rsidRPr="00590216">
              <w:rPr>
                <w:rFonts w:asciiTheme="majorBidi" w:hAnsiTheme="majorBidi" w:cstheme="majorBidi"/>
                <w:b/>
                <w:bCs/>
                <w:sz w:val="20"/>
                <w:szCs w:val="20"/>
              </w:rPr>
              <w:t>032. CHAUSSURES</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124,6</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126,0</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1,1</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CHAUSSURES DIVERSES</w:t>
            </w:r>
          </w:p>
        </w:tc>
        <w:tc>
          <w:tcPr>
            <w:tcW w:w="468" w:type="pct"/>
            <w:tcBorders>
              <w:top w:val="nil"/>
              <w:left w:val="nil"/>
              <w:bottom w:val="single" w:sz="4" w:space="0" w:color="auto"/>
              <w:right w:val="single" w:sz="4" w:space="0" w:color="auto"/>
            </w:tcBorders>
            <w:shd w:val="clear" w:color="auto" w:fill="auto"/>
            <w:vAlign w:val="center"/>
            <w:hideMark/>
          </w:tcPr>
          <w:p w:rsidR="0082206A" w:rsidRPr="005F6AF9" w:rsidRDefault="0082206A">
            <w:pPr>
              <w:jc w:val="right"/>
              <w:rPr>
                <w:rFonts w:asciiTheme="majorBidi" w:hAnsiTheme="majorBidi" w:cstheme="majorBidi"/>
                <w:sz w:val="20"/>
                <w:szCs w:val="20"/>
              </w:rPr>
            </w:pPr>
            <w:r w:rsidRPr="005F6AF9">
              <w:rPr>
                <w:rFonts w:asciiTheme="majorBidi" w:hAnsiTheme="majorBidi" w:cstheme="majorBidi"/>
                <w:sz w:val="20"/>
                <w:szCs w:val="20"/>
              </w:rPr>
              <w:t>125,0</w:t>
            </w:r>
          </w:p>
        </w:tc>
        <w:tc>
          <w:tcPr>
            <w:tcW w:w="481" w:type="pct"/>
            <w:tcBorders>
              <w:top w:val="nil"/>
              <w:left w:val="nil"/>
              <w:bottom w:val="single" w:sz="4" w:space="0" w:color="auto"/>
              <w:right w:val="single" w:sz="4" w:space="0" w:color="auto"/>
            </w:tcBorders>
            <w:shd w:val="clear" w:color="auto" w:fill="auto"/>
            <w:vAlign w:val="center"/>
            <w:hideMark/>
          </w:tcPr>
          <w:p w:rsidR="0082206A" w:rsidRPr="005F6AF9" w:rsidRDefault="0082206A">
            <w:pPr>
              <w:jc w:val="right"/>
              <w:rPr>
                <w:rFonts w:asciiTheme="majorBidi" w:hAnsiTheme="majorBidi" w:cstheme="majorBidi"/>
                <w:sz w:val="20"/>
                <w:szCs w:val="20"/>
              </w:rPr>
            </w:pPr>
            <w:r w:rsidRPr="005F6AF9">
              <w:rPr>
                <w:rFonts w:asciiTheme="majorBidi" w:hAnsiTheme="majorBidi" w:cstheme="majorBidi"/>
                <w:sz w:val="20"/>
                <w:szCs w:val="20"/>
              </w:rPr>
              <w:t>126,4</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1,2</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CORDONNERIE</w:t>
            </w:r>
          </w:p>
        </w:tc>
        <w:tc>
          <w:tcPr>
            <w:tcW w:w="468" w:type="pct"/>
            <w:tcBorders>
              <w:top w:val="nil"/>
              <w:left w:val="nil"/>
              <w:bottom w:val="single" w:sz="4" w:space="0" w:color="auto"/>
              <w:right w:val="single" w:sz="4" w:space="0" w:color="auto"/>
            </w:tcBorders>
            <w:shd w:val="clear" w:color="auto" w:fill="auto"/>
            <w:vAlign w:val="center"/>
            <w:hideMark/>
          </w:tcPr>
          <w:p w:rsidR="0082206A" w:rsidRPr="005F6AF9" w:rsidRDefault="0082206A">
            <w:pPr>
              <w:jc w:val="right"/>
              <w:rPr>
                <w:rFonts w:asciiTheme="majorBidi" w:hAnsiTheme="majorBidi" w:cstheme="majorBidi"/>
                <w:sz w:val="20"/>
                <w:szCs w:val="20"/>
              </w:rPr>
            </w:pPr>
            <w:r w:rsidRPr="005F6AF9">
              <w:rPr>
                <w:rFonts w:asciiTheme="majorBidi" w:hAnsiTheme="majorBidi" w:cstheme="majorBidi"/>
                <w:sz w:val="20"/>
                <w:szCs w:val="20"/>
              </w:rPr>
              <w:t>117,5</w:t>
            </w:r>
          </w:p>
        </w:tc>
        <w:tc>
          <w:tcPr>
            <w:tcW w:w="481" w:type="pct"/>
            <w:tcBorders>
              <w:top w:val="nil"/>
              <w:left w:val="nil"/>
              <w:bottom w:val="single" w:sz="4" w:space="0" w:color="auto"/>
              <w:right w:val="single" w:sz="4" w:space="0" w:color="auto"/>
            </w:tcBorders>
            <w:shd w:val="clear" w:color="auto" w:fill="auto"/>
            <w:vAlign w:val="center"/>
            <w:hideMark/>
          </w:tcPr>
          <w:p w:rsidR="0082206A" w:rsidRPr="005F6AF9" w:rsidRDefault="0082206A">
            <w:pPr>
              <w:jc w:val="right"/>
              <w:rPr>
                <w:rFonts w:asciiTheme="majorBidi" w:hAnsiTheme="majorBidi" w:cstheme="majorBidi"/>
                <w:sz w:val="20"/>
                <w:szCs w:val="20"/>
              </w:rPr>
            </w:pPr>
            <w:r w:rsidRPr="005F6AF9">
              <w:rPr>
                <w:rFonts w:asciiTheme="majorBidi" w:hAnsiTheme="majorBidi" w:cstheme="majorBidi"/>
                <w:sz w:val="20"/>
                <w:szCs w:val="20"/>
              </w:rPr>
              <w:t>117,5</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0,0</w:t>
            </w:r>
          </w:p>
        </w:tc>
      </w:tr>
      <w:tr w:rsidR="0082206A" w:rsidRPr="00331969" w:rsidTr="0031503A">
        <w:trPr>
          <w:trHeight w:val="420"/>
        </w:trPr>
        <w:tc>
          <w:tcPr>
            <w:tcW w:w="3481" w:type="pct"/>
            <w:tcBorders>
              <w:top w:val="nil"/>
              <w:left w:val="single" w:sz="4" w:space="0" w:color="auto"/>
              <w:bottom w:val="single" w:sz="4" w:space="0" w:color="auto"/>
              <w:right w:val="single" w:sz="4" w:space="0" w:color="auto"/>
            </w:tcBorders>
            <w:shd w:val="clear" w:color="000000" w:fill="BFBFBF"/>
            <w:vAlign w:val="center"/>
            <w:hideMark/>
          </w:tcPr>
          <w:p w:rsidR="0082206A" w:rsidRPr="00590216" w:rsidRDefault="0082206A">
            <w:pPr>
              <w:rPr>
                <w:rFonts w:asciiTheme="majorBidi" w:hAnsiTheme="majorBidi" w:cstheme="majorBidi"/>
                <w:b/>
                <w:bCs/>
                <w:sz w:val="20"/>
                <w:szCs w:val="20"/>
              </w:rPr>
            </w:pPr>
            <w:r w:rsidRPr="00590216">
              <w:rPr>
                <w:rFonts w:asciiTheme="majorBidi" w:hAnsiTheme="majorBidi" w:cstheme="majorBidi"/>
                <w:b/>
                <w:bCs/>
                <w:sz w:val="20"/>
                <w:szCs w:val="20"/>
              </w:rPr>
              <w:t>04. LOGEMENT, EAU, GAZ, ELECTRICITE ET AUTRES COMBUSTIBLES</w:t>
            </w:r>
          </w:p>
        </w:tc>
        <w:tc>
          <w:tcPr>
            <w:tcW w:w="468" w:type="pct"/>
            <w:tcBorders>
              <w:top w:val="nil"/>
              <w:left w:val="nil"/>
              <w:bottom w:val="single" w:sz="4" w:space="0" w:color="auto"/>
              <w:right w:val="single" w:sz="4" w:space="0" w:color="auto"/>
            </w:tcBorders>
            <w:shd w:val="clear" w:color="000000" w:fill="BFBFBF"/>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108,6</w:t>
            </w:r>
          </w:p>
        </w:tc>
        <w:tc>
          <w:tcPr>
            <w:tcW w:w="481" w:type="pct"/>
            <w:tcBorders>
              <w:top w:val="nil"/>
              <w:left w:val="nil"/>
              <w:bottom w:val="single" w:sz="4" w:space="0" w:color="auto"/>
              <w:right w:val="single" w:sz="4" w:space="0" w:color="auto"/>
            </w:tcBorders>
            <w:shd w:val="clear" w:color="000000" w:fill="BFBFBF"/>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109,7</w:t>
            </w:r>
          </w:p>
        </w:tc>
        <w:tc>
          <w:tcPr>
            <w:tcW w:w="570" w:type="pct"/>
            <w:tcBorders>
              <w:top w:val="nil"/>
              <w:left w:val="nil"/>
              <w:bottom w:val="single" w:sz="4" w:space="0" w:color="auto"/>
              <w:right w:val="single" w:sz="4" w:space="0" w:color="auto"/>
            </w:tcBorders>
            <w:shd w:val="clear" w:color="000000" w:fill="BFBFBF"/>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1,0</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b/>
                <w:bCs/>
                <w:sz w:val="20"/>
                <w:szCs w:val="20"/>
              </w:rPr>
            </w:pPr>
            <w:r w:rsidRPr="00590216">
              <w:rPr>
                <w:rFonts w:asciiTheme="majorBidi" w:hAnsiTheme="majorBidi" w:cstheme="majorBidi"/>
                <w:b/>
                <w:bCs/>
                <w:sz w:val="20"/>
                <w:szCs w:val="20"/>
              </w:rPr>
              <w:t>041. LOYERS EFFECTIFS</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103,7</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105,3</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1,5</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LOYERS EFFECTIVEMENT PAYES PAR LES LOCATAIRES</w:t>
            </w:r>
          </w:p>
        </w:tc>
        <w:tc>
          <w:tcPr>
            <w:tcW w:w="468" w:type="pct"/>
            <w:tcBorders>
              <w:top w:val="nil"/>
              <w:left w:val="nil"/>
              <w:bottom w:val="single" w:sz="4" w:space="0" w:color="auto"/>
              <w:right w:val="single" w:sz="4" w:space="0" w:color="auto"/>
            </w:tcBorders>
            <w:shd w:val="clear" w:color="auto" w:fill="auto"/>
            <w:vAlign w:val="center"/>
            <w:hideMark/>
          </w:tcPr>
          <w:p w:rsidR="0082206A" w:rsidRPr="005F6AF9" w:rsidRDefault="0082206A">
            <w:pPr>
              <w:jc w:val="right"/>
              <w:rPr>
                <w:rFonts w:asciiTheme="majorBidi" w:hAnsiTheme="majorBidi" w:cstheme="majorBidi"/>
                <w:sz w:val="20"/>
                <w:szCs w:val="20"/>
              </w:rPr>
            </w:pPr>
            <w:r w:rsidRPr="005F6AF9">
              <w:rPr>
                <w:rFonts w:asciiTheme="majorBidi" w:hAnsiTheme="majorBidi" w:cstheme="majorBidi"/>
                <w:sz w:val="20"/>
                <w:szCs w:val="20"/>
              </w:rPr>
              <w:t>103,7</w:t>
            </w:r>
          </w:p>
        </w:tc>
        <w:tc>
          <w:tcPr>
            <w:tcW w:w="481" w:type="pct"/>
            <w:tcBorders>
              <w:top w:val="nil"/>
              <w:left w:val="nil"/>
              <w:bottom w:val="single" w:sz="4" w:space="0" w:color="auto"/>
              <w:right w:val="single" w:sz="4" w:space="0" w:color="auto"/>
            </w:tcBorders>
            <w:shd w:val="clear" w:color="auto" w:fill="auto"/>
            <w:vAlign w:val="center"/>
            <w:hideMark/>
          </w:tcPr>
          <w:p w:rsidR="0082206A" w:rsidRPr="005F6AF9" w:rsidRDefault="0082206A">
            <w:pPr>
              <w:jc w:val="right"/>
              <w:rPr>
                <w:rFonts w:asciiTheme="majorBidi" w:hAnsiTheme="majorBidi" w:cstheme="majorBidi"/>
                <w:sz w:val="20"/>
                <w:szCs w:val="20"/>
              </w:rPr>
            </w:pPr>
            <w:r w:rsidRPr="005F6AF9">
              <w:rPr>
                <w:rFonts w:asciiTheme="majorBidi" w:hAnsiTheme="majorBidi" w:cstheme="majorBidi"/>
                <w:sz w:val="20"/>
                <w:szCs w:val="20"/>
              </w:rPr>
              <w:t>105,3</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1,5</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b/>
                <w:bCs/>
                <w:sz w:val="20"/>
                <w:szCs w:val="20"/>
              </w:rPr>
            </w:pPr>
            <w:r w:rsidRPr="00590216">
              <w:rPr>
                <w:rFonts w:asciiTheme="majorBidi" w:hAnsiTheme="majorBidi" w:cstheme="majorBidi"/>
                <w:b/>
                <w:bCs/>
                <w:sz w:val="20"/>
                <w:szCs w:val="20"/>
              </w:rPr>
              <w:t>042. ENTRETIEN ET REPARATION DE LOGEMENT</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106,1</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108,7</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2,5</w:t>
            </w:r>
          </w:p>
        </w:tc>
      </w:tr>
      <w:tr w:rsidR="0082206A" w:rsidRPr="00331969" w:rsidTr="0031503A">
        <w:trPr>
          <w:trHeight w:val="42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FOURNITURES POUR TRAVAUX D'ENTRETIEN ET DE REPARATION DES LOGEMENT</w:t>
            </w:r>
          </w:p>
        </w:tc>
        <w:tc>
          <w:tcPr>
            <w:tcW w:w="468" w:type="pct"/>
            <w:tcBorders>
              <w:top w:val="nil"/>
              <w:left w:val="nil"/>
              <w:bottom w:val="single" w:sz="4" w:space="0" w:color="auto"/>
              <w:right w:val="single" w:sz="4" w:space="0" w:color="auto"/>
            </w:tcBorders>
            <w:shd w:val="clear" w:color="auto" w:fill="auto"/>
            <w:vAlign w:val="center"/>
            <w:hideMark/>
          </w:tcPr>
          <w:p w:rsidR="0082206A" w:rsidRPr="005F6AF9" w:rsidRDefault="0082206A">
            <w:pPr>
              <w:jc w:val="right"/>
              <w:rPr>
                <w:rFonts w:asciiTheme="majorBidi" w:hAnsiTheme="majorBidi" w:cstheme="majorBidi"/>
                <w:sz w:val="20"/>
                <w:szCs w:val="20"/>
              </w:rPr>
            </w:pPr>
            <w:r w:rsidRPr="005F6AF9">
              <w:rPr>
                <w:rFonts w:asciiTheme="majorBidi" w:hAnsiTheme="majorBidi" w:cstheme="majorBidi"/>
                <w:sz w:val="20"/>
                <w:szCs w:val="20"/>
              </w:rPr>
              <w:t>115,8</w:t>
            </w:r>
          </w:p>
        </w:tc>
        <w:tc>
          <w:tcPr>
            <w:tcW w:w="481" w:type="pct"/>
            <w:tcBorders>
              <w:top w:val="nil"/>
              <w:left w:val="nil"/>
              <w:bottom w:val="single" w:sz="4" w:space="0" w:color="auto"/>
              <w:right w:val="single" w:sz="4" w:space="0" w:color="auto"/>
            </w:tcBorders>
            <w:shd w:val="clear" w:color="auto" w:fill="auto"/>
            <w:vAlign w:val="center"/>
            <w:hideMark/>
          </w:tcPr>
          <w:p w:rsidR="0082206A" w:rsidRPr="005F6AF9" w:rsidRDefault="0082206A">
            <w:pPr>
              <w:jc w:val="right"/>
              <w:rPr>
                <w:rFonts w:asciiTheme="majorBidi" w:hAnsiTheme="majorBidi" w:cstheme="majorBidi"/>
                <w:sz w:val="20"/>
                <w:szCs w:val="20"/>
              </w:rPr>
            </w:pPr>
            <w:r w:rsidRPr="005F6AF9">
              <w:rPr>
                <w:rFonts w:asciiTheme="majorBidi" w:hAnsiTheme="majorBidi" w:cstheme="majorBidi"/>
                <w:sz w:val="20"/>
                <w:szCs w:val="20"/>
              </w:rPr>
              <w:t>116,2</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0,3</w:t>
            </w:r>
          </w:p>
        </w:tc>
      </w:tr>
      <w:tr w:rsidR="0082206A" w:rsidRPr="00331969" w:rsidTr="0031503A">
        <w:trPr>
          <w:trHeight w:val="42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SERVICES CONCERNANT L'ENTRETIEN ET LES RÉPARATIONS DU LOGEMENT</w:t>
            </w:r>
          </w:p>
        </w:tc>
        <w:tc>
          <w:tcPr>
            <w:tcW w:w="468" w:type="pct"/>
            <w:tcBorders>
              <w:top w:val="nil"/>
              <w:left w:val="nil"/>
              <w:bottom w:val="single" w:sz="4" w:space="0" w:color="auto"/>
              <w:right w:val="single" w:sz="4" w:space="0" w:color="auto"/>
            </w:tcBorders>
            <w:shd w:val="clear" w:color="auto" w:fill="auto"/>
            <w:vAlign w:val="center"/>
            <w:hideMark/>
          </w:tcPr>
          <w:p w:rsidR="0082206A" w:rsidRPr="005F6AF9" w:rsidRDefault="0082206A">
            <w:pPr>
              <w:jc w:val="right"/>
              <w:rPr>
                <w:rFonts w:asciiTheme="majorBidi" w:hAnsiTheme="majorBidi" w:cstheme="majorBidi"/>
                <w:sz w:val="20"/>
                <w:szCs w:val="20"/>
              </w:rPr>
            </w:pPr>
            <w:r w:rsidRPr="005F6AF9">
              <w:rPr>
                <w:rFonts w:asciiTheme="majorBidi" w:hAnsiTheme="majorBidi" w:cstheme="majorBidi"/>
                <w:sz w:val="20"/>
                <w:szCs w:val="20"/>
              </w:rPr>
              <w:t>104,1</w:t>
            </w:r>
          </w:p>
        </w:tc>
        <w:tc>
          <w:tcPr>
            <w:tcW w:w="481" w:type="pct"/>
            <w:tcBorders>
              <w:top w:val="nil"/>
              <w:left w:val="nil"/>
              <w:bottom w:val="single" w:sz="4" w:space="0" w:color="auto"/>
              <w:right w:val="single" w:sz="4" w:space="0" w:color="auto"/>
            </w:tcBorders>
            <w:shd w:val="clear" w:color="auto" w:fill="auto"/>
            <w:vAlign w:val="center"/>
            <w:hideMark/>
          </w:tcPr>
          <w:p w:rsidR="0082206A" w:rsidRPr="005F6AF9" w:rsidRDefault="0082206A">
            <w:pPr>
              <w:jc w:val="right"/>
              <w:rPr>
                <w:rFonts w:asciiTheme="majorBidi" w:hAnsiTheme="majorBidi" w:cstheme="majorBidi"/>
                <w:sz w:val="20"/>
                <w:szCs w:val="20"/>
              </w:rPr>
            </w:pPr>
            <w:r w:rsidRPr="005F6AF9">
              <w:rPr>
                <w:rFonts w:asciiTheme="majorBidi" w:hAnsiTheme="majorBidi" w:cstheme="majorBidi"/>
                <w:sz w:val="20"/>
                <w:szCs w:val="20"/>
              </w:rPr>
              <w:t>107,0</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2,7</w:t>
            </w:r>
          </w:p>
        </w:tc>
      </w:tr>
      <w:tr w:rsidR="0082206A" w:rsidRPr="00331969" w:rsidTr="0031503A">
        <w:trPr>
          <w:trHeight w:val="42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b/>
                <w:bCs/>
                <w:sz w:val="20"/>
                <w:szCs w:val="20"/>
              </w:rPr>
            </w:pPr>
            <w:r w:rsidRPr="00590216">
              <w:rPr>
                <w:rFonts w:asciiTheme="majorBidi" w:hAnsiTheme="majorBidi" w:cstheme="majorBidi"/>
                <w:b/>
                <w:bCs/>
                <w:sz w:val="20"/>
                <w:szCs w:val="20"/>
              </w:rPr>
              <w:t>043. ALIMENTATION EN EAU ET SERVICES DIVERS LIÉS AU LOGEMENT</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115,5</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115,5</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0,0</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ALIMENTATION EN EAU ET ASSAINISSEMENT</w:t>
            </w:r>
          </w:p>
        </w:tc>
        <w:tc>
          <w:tcPr>
            <w:tcW w:w="468" w:type="pct"/>
            <w:tcBorders>
              <w:top w:val="nil"/>
              <w:left w:val="nil"/>
              <w:bottom w:val="single" w:sz="4" w:space="0" w:color="auto"/>
              <w:right w:val="single" w:sz="4" w:space="0" w:color="auto"/>
            </w:tcBorders>
            <w:shd w:val="clear" w:color="auto" w:fill="auto"/>
            <w:vAlign w:val="center"/>
            <w:hideMark/>
          </w:tcPr>
          <w:p w:rsidR="0082206A" w:rsidRPr="005F6AF9" w:rsidRDefault="0082206A">
            <w:pPr>
              <w:jc w:val="right"/>
              <w:rPr>
                <w:rFonts w:asciiTheme="majorBidi" w:hAnsiTheme="majorBidi" w:cstheme="majorBidi"/>
                <w:sz w:val="20"/>
                <w:szCs w:val="20"/>
              </w:rPr>
            </w:pPr>
            <w:r w:rsidRPr="005F6AF9">
              <w:rPr>
                <w:rFonts w:asciiTheme="majorBidi" w:hAnsiTheme="majorBidi" w:cstheme="majorBidi"/>
                <w:sz w:val="20"/>
                <w:szCs w:val="20"/>
              </w:rPr>
              <w:t>115,5</w:t>
            </w:r>
          </w:p>
        </w:tc>
        <w:tc>
          <w:tcPr>
            <w:tcW w:w="481" w:type="pct"/>
            <w:tcBorders>
              <w:top w:val="nil"/>
              <w:left w:val="nil"/>
              <w:bottom w:val="single" w:sz="4" w:space="0" w:color="auto"/>
              <w:right w:val="single" w:sz="4" w:space="0" w:color="auto"/>
            </w:tcBorders>
            <w:shd w:val="clear" w:color="auto" w:fill="auto"/>
            <w:vAlign w:val="center"/>
            <w:hideMark/>
          </w:tcPr>
          <w:p w:rsidR="0082206A" w:rsidRPr="005F6AF9" w:rsidRDefault="0082206A">
            <w:pPr>
              <w:jc w:val="right"/>
              <w:rPr>
                <w:rFonts w:asciiTheme="majorBidi" w:hAnsiTheme="majorBidi" w:cstheme="majorBidi"/>
                <w:sz w:val="20"/>
                <w:szCs w:val="20"/>
              </w:rPr>
            </w:pPr>
            <w:r w:rsidRPr="005F6AF9">
              <w:rPr>
                <w:rFonts w:asciiTheme="majorBidi" w:hAnsiTheme="majorBidi" w:cstheme="majorBidi"/>
                <w:sz w:val="20"/>
                <w:szCs w:val="20"/>
              </w:rPr>
              <w:t>115,5</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0,0</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b/>
                <w:bCs/>
                <w:sz w:val="20"/>
                <w:szCs w:val="20"/>
              </w:rPr>
            </w:pPr>
            <w:r w:rsidRPr="00590216">
              <w:rPr>
                <w:rFonts w:asciiTheme="majorBidi" w:hAnsiTheme="majorBidi" w:cstheme="majorBidi"/>
                <w:b/>
                <w:bCs/>
                <w:sz w:val="20"/>
                <w:szCs w:val="20"/>
              </w:rPr>
              <w:t>044. ELECTRICITE, GAZ ET AUTRES COMBUSTIBLES</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110,1</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110,4</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0,3</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ELECTRICITE</w:t>
            </w:r>
          </w:p>
        </w:tc>
        <w:tc>
          <w:tcPr>
            <w:tcW w:w="468" w:type="pct"/>
            <w:tcBorders>
              <w:top w:val="nil"/>
              <w:left w:val="nil"/>
              <w:bottom w:val="single" w:sz="4" w:space="0" w:color="auto"/>
              <w:right w:val="single" w:sz="4" w:space="0" w:color="auto"/>
            </w:tcBorders>
            <w:shd w:val="clear" w:color="auto" w:fill="auto"/>
            <w:vAlign w:val="center"/>
            <w:hideMark/>
          </w:tcPr>
          <w:p w:rsidR="0082206A" w:rsidRPr="005F6AF9" w:rsidRDefault="0082206A">
            <w:pPr>
              <w:jc w:val="right"/>
              <w:rPr>
                <w:rFonts w:asciiTheme="majorBidi" w:hAnsiTheme="majorBidi" w:cstheme="majorBidi"/>
                <w:sz w:val="20"/>
                <w:szCs w:val="20"/>
              </w:rPr>
            </w:pPr>
            <w:r w:rsidRPr="005F6AF9">
              <w:rPr>
                <w:rFonts w:asciiTheme="majorBidi" w:hAnsiTheme="majorBidi" w:cstheme="majorBidi"/>
                <w:sz w:val="20"/>
                <w:szCs w:val="20"/>
              </w:rPr>
              <w:t>115,4</w:t>
            </w:r>
          </w:p>
        </w:tc>
        <w:tc>
          <w:tcPr>
            <w:tcW w:w="481" w:type="pct"/>
            <w:tcBorders>
              <w:top w:val="nil"/>
              <w:left w:val="nil"/>
              <w:bottom w:val="single" w:sz="4" w:space="0" w:color="auto"/>
              <w:right w:val="single" w:sz="4" w:space="0" w:color="auto"/>
            </w:tcBorders>
            <w:shd w:val="clear" w:color="auto" w:fill="auto"/>
            <w:vAlign w:val="center"/>
            <w:hideMark/>
          </w:tcPr>
          <w:p w:rsidR="0082206A" w:rsidRPr="005F6AF9" w:rsidRDefault="0082206A">
            <w:pPr>
              <w:jc w:val="right"/>
              <w:rPr>
                <w:rFonts w:asciiTheme="majorBidi" w:hAnsiTheme="majorBidi" w:cstheme="majorBidi"/>
                <w:sz w:val="20"/>
                <w:szCs w:val="20"/>
              </w:rPr>
            </w:pPr>
            <w:r w:rsidRPr="005F6AF9">
              <w:rPr>
                <w:rFonts w:asciiTheme="majorBidi" w:hAnsiTheme="majorBidi" w:cstheme="majorBidi"/>
                <w:sz w:val="20"/>
                <w:szCs w:val="20"/>
              </w:rPr>
              <w:t>115,4</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0,0</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GAZ</w:t>
            </w:r>
          </w:p>
        </w:tc>
        <w:tc>
          <w:tcPr>
            <w:tcW w:w="468" w:type="pct"/>
            <w:tcBorders>
              <w:top w:val="nil"/>
              <w:left w:val="nil"/>
              <w:bottom w:val="single" w:sz="4" w:space="0" w:color="auto"/>
              <w:right w:val="single" w:sz="4" w:space="0" w:color="auto"/>
            </w:tcBorders>
            <w:shd w:val="clear" w:color="auto" w:fill="auto"/>
            <w:vAlign w:val="center"/>
            <w:hideMark/>
          </w:tcPr>
          <w:p w:rsidR="0082206A" w:rsidRPr="005F6AF9" w:rsidRDefault="0082206A">
            <w:pPr>
              <w:jc w:val="right"/>
              <w:rPr>
                <w:rFonts w:asciiTheme="majorBidi" w:hAnsiTheme="majorBidi" w:cstheme="majorBidi"/>
                <w:sz w:val="20"/>
                <w:szCs w:val="20"/>
              </w:rPr>
            </w:pPr>
            <w:r w:rsidRPr="005F6AF9">
              <w:rPr>
                <w:rFonts w:asciiTheme="majorBidi" w:hAnsiTheme="majorBidi" w:cstheme="majorBidi"/>
                <w:sz w:val="20"/>
                <w:szCs w:val="20"/>
              </w:rPr>
              <w:t>100,0</w:t>
            </w:r>
          </w:p>
        </w:tc>
        <w:tc>
          <w:tcPr>
            <w:tcW w:w="481" w:type="pct"/>
            <w:tcBorders>
              <w:top w:val="nil"/>
              <w:left w:val="nil"/>
              <w:bottom w:val="single" w:sz="4" w:space="0" w:color="auto"/>
              <w:right w:val="single" w:sz="4" w:space="0" w:color="auto"/>
            </w:tcBorders>
            <w:shd w:val="clear" w:color="auto" w:fill="auto"/>
            <w:vAlign w:val="center"/>
            <w:hideMark/>
          </w:tcPr>
          <w:p w:rsidR="0082206A" w:rsidRPr="005F6AF9" w:rsidRDefault="0082206A">
            <w:pPr>
              <w:jc w:val="right"/>
              <w:rPr>
                <w:rFonts w:asciiTheme="majorBidi" w:hAnsiTheme="majorBidi" w:cstheme="majorBidi"/>
                <w:sz w:val="20"/>
                <w:szCs w:val="20"/>
              </w:rPr>
            </w:pPr>
            <w:r w:rsidRPr="005F6AF9">
              <w:rPr>
                <w:rFonts w:asciiTheme="majorBidi" w:hAnsiTheme="majorBidi" w:cstheme="majorBidi"/>
                <w:sz w:val="20"/>
                <w:szCs w:val="20"/>
              </w:rPr>
              <w:t>100,2</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0,1</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COMBUSTIBLES SOLIDES</w:t>
            </w:r>
          </w:p>
        </w:tc>
        <w:tc>
          <w:tcPr>
            <w:tcW w:w="468" w:type="pct"/>
            <w:tcBorders>
              <w:top w:val="nil"/>
              <w:left w:val="nil"/>
              <w:bottom w:val="single" w:sz="4" w:space="0" w:color="auto"/>
              <w:right w:val="single" w:sz="4" w:space="0" w:color="auto"/>
            </w:tcBorders>
            <w:shd w:val="clear" w:color="auto" w:fill="auto"/>
            <w:vAlign w:val="center"/>
            <w:hideMark/>
          </w:tcPr>
          <w:p w:rsidR="0082206A" w:rsidRPr="005F6AF9" w:rsidRDefault="0082206A">
            <w:pPr>
              <w:jc w:val="right"/>
              <w:rPr>
                <w:rFonts w:asciiTheme="majorBidi" w:hAnsiTheme="majorBidi" w:cstheme="majorBidi"/>
                <w:sz w:val="20"/>
                <w:szCs w:val="20"/>
              </w:rPr>
            </w:pPr>
            <w:r w:rsidRPr="005F6AF9">
              <w:rPr>
                <w:rFonts w:asciiTheme="majorBidi" w:hAnsiTheme="majorBidi" w:cstheme="majorBidi"/>
                <w:sz w:val="20"/>
                <w:szCs w:val="20"/>
              </w:rPr>
              <w:t>166,7</w:t>
            </w:r>
          </w:p>
        </w:tc>
        <w:tc>
          <w:tcPr>
            <w:tcW w:w="481" w:type="pct"/>
            <w:tcBorders>
              <w:top w:val="nil"/>
              <w:left w:val="nil"/>
              <w:bottom w:val="single" w:sz="4" w:space="0" w:color="auto"/>
              <w:right w:val="single" w:sz="4" w:space="0" w:color="auto"/>
            </w:tcBorders>
            <w:shd w:val="clear" w:color="auto" w:fill="auto"/>
            <w:vAlign w:val="center"/>
            <w:hideMark/>
          </w:tcPr>
          <w:p w:rsidR="0082206A" w:rsidRPr="005F6AF9" w:rsidRDefault="0082206A">
            <w:pPr>
              <w:jc w:val="right"/>
              <w:rPr>
                <w:rFonts w:asciiTheme="majorBidi" w:hAnsiTheme="majorBidi" w:cstheme="majorBidi"/>
                <w:sz w:val="20"/>
                <w:szCs w:val="20"/>
              </w:rPr>
            </w:pPr>
            <w:r w:rsidRPr="005F6AF9">
              <w:rPr>
                <w:rFonts w:asciiTheme="majorBidi" w:hAnsiTheme="majorBidi" w:cstheme="majorBidi"/>
                <w:sz w:val="20"/>
                <w:szCs w:val="20"/>
              </w:rPr>
              <w:t>177,8</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6,7</w:t>
            </w:r>
          </w:p>
        </w:tc>
      </w:tr>
      <w:tr w:rsidR="0082206A" w:rsidRPr="00331969" w:rsidTr="0031503A">
        <w:trPr>
          <w:trHeight w:val="420"/>
        </w:trPr>
        <w:tc>
          <w:tcPr>
            <w:tcW w:w="3481" w:type="pct"/>
            <w:tcBorders>
              <w:top w:val="nil"/>
              <w:left w:val="single" w:sz="4" w:space="0" w:color="auto"/>
              <w:bottom w:val="single" w:sz="4" w:space="0" w:color="auto"/>
              <w:right w:val="single" w:sz="4" w:space="0" w:color="auto"/>
            </w:tcBorders>
            <w:shd w:val="clear" w:color="000000" w:fill="BFBFBF"/>
            <w:vAlign w:val="center"/>
            <w:hideMark/>
          </w:tcPr>
          <w:p w:rsidR="0082206A" w:rsidRPr="00590216" w:rsidRDefault="0082206A">
            <w:pPr>
              <w:rPr>
                <w:rFonts w:asciiTheme="majorBidi" w:hAnsiTheme="majorBidi" w:cstheme="majorBidi"/>
                <w:b/>
                <w:bCs/>
                <w:sz w:val="20"/>
                <w:szCs w:val="20"/>
              </w:rPr>
            </w:pPr>
            <w:r w:rsidRPr="00590216">
              <w:rPr>
                <w:rFonts w:asciiTheme="majorBidi" w:hAnsiTheme="majorBidi" w:cstheme="majorBidi"/>
                <w:b/>
                <w:bCs/>
                <w:sz w:val="20"/>
                <w:szCs w:val="20"/>
              </w:rPr>
              <w:t>05. MEUBLES, ARTICLES DE MENAGE ET ENTRETIEN COURANT DU FOYER</w:t>
            </w:r>
          </w:p>
        </w:tc>
        <w:tc>
          <w:tcPr>
            <w:tcW w:w="468" w:type="pct"/>
            <w:tcBorders>
              <w:top w:val="nil"/>
              <w:left w:val="nil"/>
              <w:bottom w:val="single" w:sz="4" w:space="0" w:color="auto"/>
              <w:right w:val="single" w:sz="4" w:space="0" w:color="auto"/>
            </w:tcBorders>
            <w:shd w:val="clear" w:color="000000" w:fill="BFBFBF"/>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107,8</w:t>
            </w:r>
          </w:p>
        </w:tc>
        <w:tc>
          <w:tcPr>
            <w:tcW w:w="481" w:type="pct"/>
            <w:tcBorders>
              <w:top w:val="nil"/>
              <w:left w:val="nil"/>
              <w:bottom w:val="single" w:sz="4" w:space="0" w:color="auto"/>
              <w:right w:val="single" w:sz="4" w:space="0" w:color="auto"/>
            </w:tcBorders>
            <w:shd w:val="clear" w:color="000000" w:fill="BFBFBF"/>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105,4</w:t>
            </w:r>
          </w:p>
        </w:tc>
        <w:tc>
          <w:tcPr>
            <w:tcW w:w="570" w:type="pct"/>
            <w:tcBorders>
              <w:top w:val="nil"/>
              <w:left w:val="nil"/>
              <w:bottom w:val="single" w:sz="4" w:space="0" w:color="auto"/>
              <w:right w:val="single" w:sz="4" w:space="0" w:color="auto"/>
            </w:tcBorders>
            <w:shd w:val="clear" w:color="000000" w:fill="BFBFBF"/>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-2,2</w:t>
            </w:r>
          </w:p>
        </w:tc>
      </w:tr>
      <w:tr w:rsidR="0082206A" w:rsidRPr="00331969" w:rsidTr="0031503A">
        <w:trPr>
          <w:trHeight w:val="42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b/>
                <w:bCs/>
                <w:sz w:val="20"/>
                <w:szCs w:val="20"/>
              </w:rPr>
            </w:pPr>
            <w:r w:rsidRPr="00590216">
              <w:rPr>
                <w:rFonts w:asciiTheme="majorBidi" w:hAnsiTheme="majorBidi" w:cstheme="majorBidi"/>
                <w:b/>
                <w:bCs/>
                <w:sz w:val="20"/>
                <w:szCs w:val="20"/>
              </w:rPr>
              <w:lastRenderedPageBreak/>
              <w:t>051. MEUBLES, ARTICLES D'AMEUBLEMENT, TAPIS ET AUTRES REVETEMENTS</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136,1</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136,3</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0,2</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MEUBLES ET ARTICLES D'AMEUBLEMENT</w:t>
            </w:r>
          </w:p>
        </w:tc>
        <w:tc>
          <w:tcPr>
            <w:tcW w:w="468" w:type="pct"/>
            <w:tcBorders>
              <w:top w:val="nil"/>
              <w:left w:val="nil"/>
              <w:bottom w:val="single" w:sz="4" w:space="0" w:color="auto"/>
              <w:right w:val="single" w:sz="4" w:space="0" w:color="auto"/>
            </w:tcBorders>
            <w:shd w:val="clear" w:color="auto" w:fill="auto"/>
            <w:vAlign w:val="center"/>
            <w:hideMark/>
          </w:tcPr>
          <w:p w:rsidR="0082206A" w:rsidRPr="007B4F5E" w:rsidRDefault="0082206A">
            <w:pPr>
              <w:jc w:val="right"/>
              <w:rPr>
                <w:rFonts w:asciiTheme="majorBidi" w:hAnsiTheme="majorBidi" w:cstheme="majorBidi"/>
                <w:sz w:val="20"/>
                <w:szCs w:val="20"/>
              </w:rPr>
            </w:pPr>
            <w:r w:rsidRPr="007B4F5E">
              <w:rPr>
                <w:rFonts w:asciiTheme="majorBidi" w:hAnsiTheme="majorBidi" w:cstheme="majorBidi"/>
                <w:sz w:val="20"/>
                <w:szCs w:val="20"/>
              </w:rPr>
              <w:t>142,0</w:t>
            </w:r>
          </w:p>
        </w:tc>
        <w:tc>
          <w:tcPr>
            <w:tcW w:w="481" w:type="pct"/>
            <w:tcBorders>
              <w:top w:val="nil"/>
              <w:left w:val="nil"/>
              <w:bottom w:val="single" w:sz="4" w:space="0" w:color="auto"/>
              <w:right w:val="single" w:sz="4" w:space="0" w:color="auto"/>
            </w:tcBorders>
            <w:shd w:val="clear" w:color="auto" w:fill="auto"/>
            <w:vAlign w:val="center"/>
            <w:hideMark/>
          </w:tcPr>
          <w:p w:rsidR="0082206A" w:rsidRPr="007B4F5E" w:rsidRDefault="0082206A">
            <w:pPr>
              <w:jc w:val="right"/>
              <w:rPr>
                <w:rFonts w:asciiTheme="majorBidi" w:hAnsiTheme="majorBidi" w:cstheme="majorBidi"/>
                <w:sz w:val="20"/>
                <w:szCs w:val="20"/>
              </w:rPr>
            </w:pPr>
            <w:r w:rsidRPr="007B4F5E">
              <w:rPr>
                <w:rFonts w:asciiTheme="majorBidi" w:hAnsiTheme="majorBidi" w:cstheme="majorBidi"/>
                <w:sz w:val="20"/>
                <w:szCs w:val="20"/>
              </w:rPr>
              <w:t>142,6</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0,4</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TAPIS ET REVÊTEMENTS DE SOL DIVERS</w:t>
            </w:r>
          </w:p>
        </w:tc>
        <w:tc>
          <w:tcPr>
            <w:tcW w:w="468" w:type="pct"/>
            <w:tcBorders>
              <w:top w:val="nil"/>
              <w:left w:val="nil"/>
              <w:bottom w:val="single" w:sz="4" w:space="0" w:color="auto"/>
              <w:right w:val="single" w:sz="4" w:space="0" w:color="auto"/>
            </w:tcBorders>
            <w:shd w:val="clear" w:color="auto" w:fill="auto"/>
            <w:vAlign w:val="center"/>
            <w:hideMark/>
          </w:tcPr>
          <w:p w:rsidR="0082206A" w:rsidRPr="007B4F5E" w:rsidRDefault="0082206A">
            <w:pPr>
              <w:jc w:val="right"/>
              <w:rPr>
                <w:rFonts w:asciiTheme="majorBidi" w:hAnsiTheme="majorBidi" w:cstheme="majorBidi"/>
                <w:sz w:val="20"/>
                <w:szCs w:val="20"/>
              </w:rPr>
            </w:pPr>
            <w:r w:rsidRPr="007B4F5E">
              <w:rPr>
                <w:rFonts w:asciiTheme="majorBidi" w:hAnsiTheme="majorBidi" w:cstheme="majorBidi"/>
                <w:sz w:val="20"/>
                <w:szCs w:val="20"/>
              </w:rPr>
              <w:t>105,2</w:t>
            </w:r>
          </w:p>
        </w:tc>
        <w:tc>
          <w:tcPr>
            <w:tcW w:w="481" w:type="pct"/>
            <w:tcBorders>
              <w:top w:val="nil"/>
              <w:left w:val="nil"/>
              <w:bottom w:val="single" w:sz="4" w:space="0" w:color="auto"/>
              <w:right w:val="single" w:sz="4" w:space="0" w:color="auto"/>
            </w:tcBorders>
            <w:shd w:val="clear" w:color="auto" w:fill="auto"/>
            <w:vAlign w:val="center"/>
            <w:hideMark/>
          </w:tcPr>
          <w:p w:rsidR="0082206A" w:rsidRPr="007B4F5E" w:rsidRDefault="0082206A">
            <w:pPr>
              <w:jc w:val="right"/>
              <w:rPr>
                <w:rFonts w:asciiTheme="majorBidi" w:hAnsiTheme="majorBidi" w:cstheme="majorBidi"/>
                <w:sz w:val="20"/>
                <w:szCs w:val="20"/>
              </w:rPr>
            </w:pPr>
            <w:r w:rsidRPr="007B4F5E">
              <w:rPr>
                <w:rFonts w:asciiTheme="majorBidi" w:hAnsiTheme="majorBidi" w:cstheme="majorBidi"/>
                <w:sz w:val="20"/>
                <w:szCs w:val="20"/>
              </w:rPr>
              <w:t>104,1</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-1,0</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052. ARTICLES DE MÉNAGE EN TEXTILES</w:t>
            </w:r>
          </w:p>
        </w:tc>
        <w:tc>
          <w:tcPr>
            <w:tcW w:w="468" w:type="pct"/>
            <w:tcBorders>
              <w:top w:val="nil"/>
              <w:left w:val="nil"/>
              <w:bottom w:val="single" w:sz="4" w:space="0" w:color="auto"/>
              <w:right w:val="single" w:sz="4" w:space="0" w:color="auto"/>
            </w:tcBorders>
            <w:shd w:val="clear" w:color="auto" w:fill="auto"/>
            <w:vAlign w:val="center"/>
            <w:hideMark/>
          </w:tcPr>
          <w:p w:rsidR="0082206A" w:rsidRPr="007B4F5E" w:rsidRDefault="0082206A">
            <w:pPr>
              <w:jc w:val="right"/>
              <w:rPr>
                <w:rFonts w:asciiTheme="majorBidi" w:hAnsiTheme="majorBidi" w:cstheme="majorBidi"/>
                <w:sz w:val="20"/>
                <w:szCs w:val="20"/>
              </w:rPr>
            </w:pPr>
            <w:r w:rsidRPr="007B4F5E">
              <w:rPr>
                <w:rFonts w:asciiTheme="majorBidi" w:hAnsiTheme="majorBidi" w:cstheme="majorBidi"/>
                <w:sz w:val="20"/>
                <w:szCs w:val="20"/>
              </w:rPr>
              <w:t>89,3</w:t>
            </w:r>
          </w:p>
        </w:tc>
        <w:tc>
          <w:tcPr>
            <w:tcW w:w="481" w:type="pct"/>
            <w:tcBorders>
              <w:top w:val="nil"/>
              <w:left w:val="nil"/>
              <w:bottom w:val="single" w:sz="4" w:space="0" w:color="auto"/>
              <w:right w:val="single" w:sz="4" w:space="0" w:color="auto"/>
            </w:tcBorders>
            <w:shd w:val="clear" w:color="auto" w:fill="auto"/>
            <w:vAlign w:val="center"/>
            <w:hideMark/>
          </w:tcPr>
          <w:p w:rsidR="0082206A" w:rsidRPr="007B4F5E" w:rsidRDefault="0082206A">
            <w:pPr>
              <w:jc w:val="right"/>
              <w:rPr>
                <w:rFonts w:asciiTheme="majorBidi" w:hAnsiTheme="majorBidi" w:cstheme="majorBidi"/>
                <w:sz w:val="20"/>
                <w:szCs w:val="20"/>
              </w:rPr>
            </w:pPr>
            <w:r w:rsidRPr="007B4F5E">
              <w:rPr>
                <w:rFonts w:asciiTheme="majorBidi" w:hAnsiTheme="majorBidi" w:cstheme="majorBidi"/>
                <w:sz w:val="20"/>
                <w:szCs w:val="20"/>
              </w:rPr>
              <w:t>89,1</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-0,3</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ARTICLES DE MENAGE EN TEXTILES</w:t>
            </w:r>
          </w:p>
        </w:tc>
        <w:tc>
          <w:tcPr>
            <w:tcW w:w="468" w:type="pct"/>
            <w:tcBorders>
              <w:top w:val="nil"/>
              <w:left w:val="nil"/>
              <w:bottom w:val="single" w:sz="4" w:space="0" w:color="auto"/>
              <w:right w:val="single" w:sz="4" w:space="0" w:color="auto"/>
            </w:tcBorders>
            <w:shd w:val="clear" w:color="auto" w:fill="auto"/>
            <w:vAlign w:val="center"/>
            <w:hideMark/>
          </w:tcPr>
          <w:p w:rsidR="0082206A" w:rsidRPr="007B4F5E" w:rsidRDefault="0082206A">
            <w:pPr>
              <w:jc w:val="right"/>
              <w:rPr>
                <w:rFonts w:asciiTheme="majorBidi" w:hAnsiTheme="majorBidi" w:cstheme="majorBidi"/>
                <w:sz w:val="20"/>
                <w:szCs w:val="20"/>
              </w:rPr>
            </w:pPr>
            <w:r w:rsidRPr="007B4F5E">
              <w:rPr>
                <w:rFonts w:asciiTheme="majorBidi" w:hAnsiTheme="majorBidi" w:cstheme="majorBidi"/>
                <w:sz w:val="20"/>
                <w:szCs w:val="20"/>
              </w:rPr>
              <w:t>89,3</w:t>
            </w:r>
          </w:p>
        </w:tc>
        <w:tc>
          <w:tcPr>
            <w:tcW w:w="481" w:type="pct"/>
            <w:tcBorders>
              <w:top w:val="nil"/>
              <w:left w:val="nil"/>
              <w:bottom w:val="single" w:sz="4" w:space="0" w:color="auto"/>
              <w:right w:val="single" w:sz="4" w:space="0" w:color="auto"/>
            </w:tcBorders>
            <w:shd w:val="clear" w:color="auto" w:fill="auto"/>
            <w:vAlign w:val="center"/>
            <w:hideMark/>
          </w:tcPr>
          <w:p w:rsidR="0082206A" w:rsidRPr="007B4F5E" w:rsidRDefault="0082206A">
            <w:pPr>
              <w:jc w:val="right"/>
              <w:rPr>
                <w:rFonts w:asciiTheme="majorBidi" w:hAnsiTheme="majorBidi" w:cstheme="majorBidi"/>
                <w:sz w:val="20"/>
                <w:szCs w:val="20"/>
              </w:rPr>
            </w:pPr>
            <w:r w:rsidRPr="007B4F5E">
              <w:rPr>
                <w:rFonts w:asciiTheme="majorBidi" w:hAnsiTheme="majorBidi" w:cstheme="majorBidi"/>
                <w:sz w:val="20"/>
                <w:szCs w:val="20"/>
              </w:rPr>
              <w:t>89,1</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-0,3</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b/>
                <w:bCs/>
                <w:sz w:val="20"/>
                <w:szCs w:val="20"/>
              </w:rPr>
            </w:pPr>
            <w:r w:rsidRPr="00590216">
              <w:rPr>
                <w:rFonts w:asciiTheme="majorBidi" w:hAnsiTheme="majorBidi" w:cstheme="majorBidi"/>
                <w:b/>
                <w:bCs/>
                <w:sz w:val="20"/>
                <w:szCs w:val="20"/>
              </w:rPr>
              <w:t>053. APPAREILS MÉNAGERS</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100,9</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97,8</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-3,0</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GROS APPAREILS MENAGERS</w:t>
            </w:r>
            <w:r w:rsidR="007B4F5E" w:rsidRPr="00590216">
              <w:rPr>
                <w:rFonts w:asciiTheme="majorBidi" w:hAnsiTheme="majorBidi" w:cstheme="majorBidi"/>
                <w:sz w:val="20"/>
                <w:szCs w:val="20"/>
              </w:rPr>
              <w:t>, ELECTRIQUES</w:t>
            </w:r>
            <w:r w:rsidRPr="00590216">
              <w:rPr>
                <w:rFonts w:asciiTheme="majorBidi" w:hAnsiTheme="majorBidi" w:cstheme="majorBidi"/>
                <w:sz w:val="20"/>
                <w:szCs w:val="20"/>
              </w:rPr>
              <w:t xml:space="preserve"> OU NON</w:t>
            </w:r>
          </w:p>
        </w:tc>
        <w:tc>
          <w:tcPr>
            <w:tcW w:w="468" w:type="pct"/>
            <w:tcBorders>
              <w:top w:val="nil"/>
              <w:left w:val="nil"/>
              <w:bottom w:val="single" w:sz="4" w:space="0" w:color="auto"/>
              <w:right w:val="single" w:sz="4" w:space="0" w:color="auto"/>
            </w:tcBorders>
            <w:shd w:val="clear" w:color="auto" w:fill="auto"/>
            <w:vAlign w:val="center"/>
            <w:hideMark/>
          </w:tcPr>
          <w:p w:rsidR="0082206A" w:rsidRPr="007B4F5E" w:rsidRDefault="0082206A">
            <w:pPr>
              <w:jc w:val="right"/>
              <w:rPr>
                <w:rFonts w:asciiTheme="majorBidi" w:hAnsiTheme="majorBidi" w:cstheme="majorBidi"/>
                <w:sz w:val="20"/>
                <w:szCs w:val="20"/>
              </w:rPr>
            </w:pPr>
            <w:r w:rsidRPr="007B4F5E">
              <w:rPr>
                <w:rFonts w:asciiTheme="majorBidi" w:hAnsiTheme="majorBidi" w:cstheme="majorBidi"/>
                <w:sz w:val="20"/>
                <w:szCs w:val="20"/>
              </w:rPr>
              <w:t>99,7</w:t>
            </w:r>
          </w:p>
        </w:tc>
        <w:tc>
          <w:tcPr>
            <w:tcW w:w="481" w:type="pct"/>
            <w:tcBorders>
              <w:top w:val="nil"/>
              <w:left w:val="nil"/>
              <w:bottom w:val="single" w:sz="4" w:space="0" w:color="auto"/>
              <w:right w:val="single" w:sz="4" w:space="0" w:color="auto"/>
            </w:tcBorders>
            <w:shd w:val="clear" w:color="auto" w:fill="auto"/>
            <w:vAlign w:val="center"/>
            <w:hideMark/>
          </w:tcPr>
          <w:p w:rsidR="0082206A" w:rsidRPr="007B4F5E" w:rsidRDefault="0082206A">
            <w:pPr>
              <w:jc w:val="right"/>
              <w:rPr>
                <w:rFonts w:asciiTheme="majorBidi" w:hAnsiTheme="majorBidi" w:cstheme="majorBidi"/>
                <w:sz w:val="20"/>
                <w:szCs w:val="20"/>
              </w:rPr>
            </w:pPr>
            <w:r w:rsidRPr="007B4F5E">
              <w:rPr>
                <w:rFonts w:asciiTheme="majorBidi" w:hAnsiTheme="majorBidi" w:cstheme="majorBidi"/>
                <w:sz w:val="20"/>
                <w:szCs w:val="20"/>
              </w:rPr>
              <w:t>96,4</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-3,3</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PETITS APPAREILS ÉLECTROMÉNAGERS</w:t>
            </w:r>
          </w:p>
        </w:tc>
        <w:tc>
          <w:tcPr>
            <w:tcW w:w="468" w:type="pct"/>
            <w:tcBorders>
              <w:top w:val="nil"/>
              <w:left w:val="nil"/>
              <w:bottom w:val="single" w:sz="4" w:space="0" w:color="auto"/>
              <w:right w:val="single" w:sz="4" w:space="0" w:color="auto"/>
            </w:tcBorders>
            <w:shd w:val="clear" w:color="auto" w:fill="auto"/>
            <w:vAlign w:val="center"/>
            <w:hideMark/>
          </w:tcPr>
          <w:p w:rsidR="0082206A" w:rsidRPr="007B4F5E" w:rsidRDefault="0082206A">
            <w:pPr>
              <w:jc w:val="right"/>
              <w:rPr>
                <w:rFonts w:asciiTheme="majorBidi" w:hAnsiTheme="majorBidi" w:cstheme="majorBidi"/>
                <w:sz w:val="20"/>
                <w:szCs w:val="20"/>
              </w:rPr>
            </w:pPr>
            <w:r w:rsidRPr="007B4F5E">
              <w:rPr>
                <w:rFonts w:asciiTheme="majorBidi" w:hAnsiTheme="majorBidi" w:cstheme="majorBidi"/>
                <w:sz w:val="20"/>
                <w:szCs w:val="20"/>
              </w:rPr>
              <w:t>117,3</w:t>
            </w:r>
          </w:p>
        </w:tc>
        <w:tc>
          <w:tcPr>
            <w:tcW w:w="481" w:type="pct"/>
            <w:tcBorders>
              <w:top w:val="nil"/>
              <w:left w:val="nil"/>
              <w:bottom w:val="single" w:sz="4" w:space="0" w:color="auto"/>
              <w:right w:val="single" w:sz="4" w:space="0" w:color="auto"/>
            </w:tcBorders>
            <w:shd w:val="clear" w:color="auto" w:fill="auto"/>
            <w:vAlign w:val="center"/>
            <w:hideMark/>
          </w:tcPr>
          <w:p w:rsidR="0082206A" w:rsidRPr="007B4F5E" w:rsidRDefault="0082206A">
            <w:pPr>
              <w:jc w:val="right"/>
              <w:rPr>
                <w:rFonts w:asciiTheme="majorBidi" w:hAnsiTheme="majorBidi" w:cstheme="majorBidi"/>
                <w:sz w:val="20"/>
                <w:szCs w:val="20"/>
              </w:rPr>
            </w:pPr>
            <w:r w:rsidRPr="007B4F5E">
              <w:rPr>
                <w:rFonts w:asciiTheme="majorBidi" w:hAnsiTheme="majorBidi" w:cstheme="majorBidi"/>
                <w:sz w:val="20"/>
                <w:szCs w:val="20"/>
              </w:rPr>
              <w:t>116,4</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-0,8</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REPARATION D'APPAREILS MÉNAGERS</w:t>
            </w:r>
          </w:p>
        </w:tc>
        <w:tc>
          <w:tcPr>
            <w:tcW w:w="468" w:type="pct"/>
            <w:tcBorders>
              <w:top w:val="nil"/>
              <w:left w:val="nil"/>
              <w:bottom w:val="single" w:sz="4" w:space="0" w:color="auto"/>
              <w:right w:val="single" w:sz="4" w:space="0" w:color="auto"/>
            </w:tcBorders>
            <w:shd w:val="clear" w:color="auto" w:fill="auto"/>
            <w:vAlign w:val="center"/>
            <w:hideMark/>
          </w:tcPr>
          <w:p w:rsidR="0082206A" w:rsidRPr="007B4F5E" w:rsidRDefault="0082206A">
            <w:pPr>
              <w:jc w:val="right"/>
              <w:rPr>
                <w:rFonts w:asciiTheme="majorBidi" w:hAnsiTheme="majorBidi" w:cstheme="majorBidi"/>
                <w:sz w:val="20"/>
                <w:szCs w:val="20"/>
              </w:rPr>
            </w:pPr>
            <w:r w:rsidRPr="007B4F5E">
              <w:rPr>
                <w:rFonts w:asciiTheme="majorBidi" w:hAnsiTheme="majorBidi" w:cstheme="majorBidi"/>
                <w:sz w:val="20"/>
                <w:szCs w:val="20"/>
              </w:rPr>
              <w:t>116,7</w:t>
            </w:r>
          </w:p>
        </w:tc>
        <w:tc>
          <w:tcPr>
            <w:tcW w:w="481" w:type="pct"/>
            <w:tcBorders>
              <w:top w:val="nil"/>
              <w:left w:val="nil"/>
              <w:bottom w:val="single" w:sz="4" w:space="0" w:color="auto"/>
              <w:right w:val="single" w:sz="4" w:space="0" w:color="auto"/>
            </w:tcBorders>
            <w:shd w:val="clear" w:color="auto" w:fill="auto"/>
            <w:vAlign w:val="center"/>
            <w:hideMark/>
          </w:tcPr>
          <w:p w:rsidR="0082206A" w:rsidRPr="007B4F5E" w:rsidRDefault="0082206A">
            <w:pPr>
              <w:jc w:val="right"/>
              <w:rPr>
                <w:rFonts w:asciiTheme="majorBidi" w:hAnsiTheme="majorBidi" w:cstheme="majorBidi"/>
                <w:sz w:val="20"/>
                <w:szCs w:val="20"/>
              </w:rPr>
            </w:pPr>
            <w:r w:rsidRPr="007B4F5E">
              <w:rPr>
                <w:rFonts w:asciiTheme="majorBidi" w:hAnsiTheme="majorBidi" w:cstheme="majorBidi"/>
                <w:sz w:val="20"/>
                <w:szCs w:val="20"/>
              </w:rPr>
              <w:t>116,7</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0,0</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b/>
                <w:bCs/>
                <w:sz w:val="20"/>
                <w:szCs w:val="20"/>
              </w:rPr>
            </w:pPr>
            <w:r w:rsidRPr="00590216">
              <w:rPr>
                <w:rFonts w:asciiTheme="majorBidi" w:hAnsiTheme="majorBidi" w:cstheme="majorBidi"/>
                <w:b/>
                <w:bCs/>
                <w:sz w:val="20"/>
                <w:szCs w:val="20"/>
              </w:rPr>
              <w:t>054. VERRERIE, VAISSELLE ET USTENSILES DE MÉNAGE</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116,0</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115,6</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-0,4</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VERRERIE, VAISSELLE ET USTENSILES DE MÉNAGE</w:t>
            </w:r>
          </w:p>
        </w:tc>
        <w:tc>
          <w:tcPr>
            <w:tcW w:w="468" w:type="pct"/>
            <w:tcBorders>
              <w:top w:val="nil"/>
              <w:left w:val="nil"/>
              <w:bottom w:val="single" w:sz="4" w:space="0" w:color="auto"/>
              <w:right w:val="single" w:sz="4" w:space="0" w:color="auto"/>
            </w:tcBorders>
            <w:shd w:val="clear" w:color="auto" w:fill="auto"/>
            <w:vAlign w:val="center"/>
            <w:hideMark/>
          </w:tcPr>
          <w:p w:rsidR="0082206A" w:rsidRPr="007B4F5E" w:rsidRDefault="0082206A">
            <w:pPr>
              <w:jc w:val="right"/>
              <w:rPr>
                <w:rFonts w:asciiTheme="majorBidi" w:hAnsiTheme="majorBidi" w:cstheme="majorBidi"/>
                <w:sz w:val="20"/>
                <w:szCs w:val="20"/>
              </w:rPr>
            </w:pPr>
            <w:r w:rsidRPr="007B4F5E">
              <w:rPr>
                <w:rFonts w:asciiTheme="majorBidi" w:hAnsiTheme="majorBidi" w:cstheme="majorBidi"/>
                <w:sz w:val="20"/>
                <w:szCs w:val="20"/>
              </w:rPr>
              <w:t>116,0</w:t>
            </w:r>
          </w:p>
        </w:tc>
        <w:tc>
          <w:tcPr>
            <w:tcW w:w="481" w:type="pct"/>
            <w:tcBorders>
              <w:top w:val="nil"/>
              <w:left w:val="nil"/>
              <w:bottom w:val="single" w:sz="4" w:space="0" w:color="auto"/>
              <w:right w:val="single" w:sz="4" w:space="0" w:color="auto"/>
            </w:tcBorders>
            <w:shd w:val="clear" w:color="auto" w:fill="auto"/>
            <w:vAlign w:val="center"/>
            <w:hideMark/>
          </w:tcPr>
          <w:p w:rsidR="0082206A" w:rsidRPr="007B4F5E" w:rsidRDefault="0082206A">
            <w:pPr>
              <w:jc w:val="right"/>
              <w:rPr>
                <w:rFonts w:asciiTheme="majorBidi" w:hAnsiTheme="majorBidi" w:cstheme="majorBidi"/>
                <w:sz w:val="20"/>
                <w:szCs w:val="20"/>
              </w:rPr>
            </w:pPr>
            <w:r w:rsidRPr="007B4F5E">
              <w:rPr>
                <w:rFonts w:asciiTheme="majorBidi" w:hAnsiTheme="majorBidi" w:cstheme="majorBidi"/>
                <w:sz w:val="20"/>
                <w:szCs w:val="20"/>
              </w:rPr>
              <w:t>115,6</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-0,4</w:t>
            </w:r>
          </w:p>
        </w:tc>
      </w:tr>
      <w:tr w:rsidR="0082206A" w:rsidRPr="00331969" w:rsidTr="0031503A">
        <w:trPr>
          <w:trHeight w:val="42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b/>
                <w:bCs/>
                <w:sz w:val="20"/>
                <w:szCs w:val="20"/>
              </w:rPr>
            </w:pPr>
            <w:r w:rsidRPr="00590216">
              <w:rPr>
                <w:rFonts w:asciiTheme="majorBidi" w:hAnsiTheme="majorBidi" w:cstheme="majorBidi"/>
                <w:b/>
                <w:bCs/>
                <w:sz w:val="20"/>
                <w:szCs w:val="20"/>
              </w:rPr>
              <w:t>055. OUTILLAGE ET AUTRE MATÉRIEL POUR LA MAISON ET LE JARDIN</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107,9</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106,1</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-1,7</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PETIT OUTILLAGE ET ACCESSOIRES DIVERS</w:t>
            </w:r>
          </w:p>
        </w:tc>
        <w:tc>
          <w:tcPr>
            <w:tcW w:w="468" w:type="pct"/>
            <w:tcBorders>
              <w:top w:val="nil"/>
              <w:left w:val="nil"/>
              <w:bottom w:val="single" w:sz="4" w:space="0" w:color="auto"/>
              <w:right w:val="single" w:sz="4" w:space="0" w:color="auto"/>
            </w:tcBorders>
            <w:shd w:val="clear" w:color="auto" w:fill="auto"/>
            <w:vAlign w:val="center"/>
            <w:hideMark/>
          </w:tcPr>
          <w:p w:rsidR="0082206A" w:rsidRPr="007B4F5E" w:rsidRDefault="0082206A">
            <w:pPr>
              <w:jc w:val="right"/>
              <w:rPr>
                <w:rFonts w:asciiTheme="majorBidi" w:hAnsiTheme="majorBidi" w:cstheme="majorBidi"/>
                <w:sz w:val="20"/>
                <w:szCs w:val="20"/>
              </w:rPr>
            </w:pPr>
            <w:r w:rsidRPr="007B4F5E">
              <w:rPr>
                <w:rFonts w:asciiTheme="majorBidi" w:hAnsiTheme="majorBidi" w:cstheme="majorBidi"/>
                <w:sz w:val="20"/>
                <w:szCs w:val="20"/>
              </w:rPr>
              <w:t>107,9</w:t>
            </w:r>
          </w:p>
        </w:tc>
        <w:tc>
          <w:tcPr>
            <w:tcW w:w="481" w:type="pct"/>
            <w:tcBorders>
              <w:top w:val="nil"/>
              <w:left w:val="nil"/>
              <w:bottom w:val="single" w:sz="4" w:space="0" w:color="auto"/>
              <w:right w:val="single" w:sz="4" w:space="0" w:color="auto"/>
            </w:tcBorders>
            <w:shd w:val="clear" w:color="auto" w:fill="auto"/>
            <w:vAlign w:val="center"/>
            <w:hideMark/>
          </w:tcPr>
          <w:p w:rsidR="0082206A" w:rsidRPr="007B4F5E" w:rsidRDefault="0082206A">
            <w:pPr>
              <w:jc w:val="right"/>
              <w:rPr>
                <w:rFonts w:asciiTheme="majorBidi" w:hAnsiTheme="majorBidi" w:cstheme="majorBidi"/>
                <w:sz w:val="20"/>
                <w:szCs w:val="20"/>
              </w:rPr>
            </w:pPr>
            <w:r w:rsidRPr="007B4F5E">
              <w:rPr>
                <w:rFonts w:asciiTheme="majorBidi" w:hAnsiTheme="majorBidi" w:cstheme="majorBidi"/>
                <w:sz w:val="20"/>
                <w:szCs w:val="20"/>
              </w:rPr>
              <w:t>106,1</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-1,7</w:t>
            </w:r>
          </w:p>
        </w:tc>
      </w:tr>
      <w:tr w:rsidR="0082206A" w:rsidRPr="00331969" w:rsidTr="0031503A">
        <w:trPr>
          <w:trHeight w:val="42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b/>
                <w:bCs/>
                <w:sz w:val="20"/>
                <w:szCs w:val="20"/>
              </w:rPr>
            </w:pPr>
            <w:r w:rsidRPr="00590216">
              <w:rPr>
                <w:rFonts w:asciiTheme="majorBidi" w:hAnsiTheme="majorBidi" w:cstheme="majorBidi"/>
                <w:b/>
                <w:bCs/>
                <w:sz w:val="20"/>
                <w:szCs w:val="20"/>
              </w:rPr>
              <w:t>056. BIENS ET SERVICES LIÉS À L'ENTRETIEN COURANT DU FOYER</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107,4</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102,6</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-4,4</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BIENS D'ÉQUIPEMENT MÉNAGER NON DURABLES</w:t>
            </w:r>
          </w:p>
        </w:tc>
        <w:tc>
          <w:tcPr>
            <w:tcW w:w="468" w:type="pct"/>
            <w:tcBorders>
              <w:top w:val="nil"/>
              <w:left w:val="nil"/>
              <w:bottom w:val="single" w:sz="4" w:space="0" w:color="auto"/>
              <w:right w:val="single" w:sz="4" w:space="0" w:color="auto"/>
            </w:tcBorders>
            <w:shd w:val="clear" w:color="auto" w:fill="auto"/>
            <w:vAlign w:val="center"/>
            <w:hideMark/>
          </w:tcPr>
          <w:p w:rsidR="0082206A" w:rsidRPr="007B4F5E" w:rsidRDefault="0082206A">
            <w:pPr>
              <w:jc w:val="right"/>
              <w:rPr>
                <w:rFonts w:asciiTheme="majorBidi" w:hAnsiTheme="majorBidi" w:cstheme="majorBidi"/>
                <w:sz w:val="20"/>
                <w:szCs w:val="20"/>
              </w:rPr>
            </w:pPr>
            <w:r w:rsidRPr="007B4F5E">
              <w:rPr>
                <w:rFonts w:asciiTheme="majorBidi" w:hAnsiTheme="majorBidi" w:cstheme="majorBidi"/>
                <w:sz w:val="20"/>
                <w:szCs w:val="20"/>
              </w:rPr>
              <w:t>109,1</w:t>
            </w:r>
          </w:p>
        </w:tc>
        <w:tc>
          <w:tcPr>
            <w:tcW w:w="481" w:type="pct"/>
            <w:tcBorders>
              <w:top w:val="nil"/>
              <w:left w:val="nil"/>
              <w:bottom w:val="single" w:sz="4" w:space="0" w:color="auto"/>
              <w:right w:val="single" w:sz="4" w:space="0" w:color="auto"/>
            </w:tcBorders>
            <w:shd w:val="clear" w:color="auto" w:fill="auto"/>
            <w:vAlign w:val="center"/>
            <w:hideMark/>
          </w:tcPr>
          <w:p w:rsidR="0082206A" w:rsidRPr="007B4F5E" w:rsidRDefault="0082206A">
            <w:pPr>
              <w:jc w:val="right"/>
              <w:rPr>
                <w:rFonts w:asciiTheme="majorBidi" w:hAnsiTheme="majorBidi" w:cstheme="majorBidi"/>
                <w:sz w:val="20"/>
                <w:szCs w:val="20"/>
              </w:rPr>
            </w:pPr>
            <w:r w:rsidRPr="007B4F5E">
              <w:rPr>
                <w:rFonts w:asciiTheme="majorBidi" w:hAnsiTheme="majorBidi" w:cstheme="majorBidi"/>
                <w:sz w:val="20"/>
                <w:szCs w:val="20"/>
              </w:rPr>
              <w:t>103,0</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-5,6</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SERVICES DOMESTIQUES ET SERVICES MÉNAGERS</w:t>
            </w:r>
          </w:p>
        </w:tc>
        <w:tc>
          <w:tcPr>
            <w:tcW w:w="468" w:type="pct"/>
            <w:tcBorders>
              <w:top w:val="nil"/>
              <w:left w:val="nil"/>
              <w:bottom w:val="single" w:sz="4" w:space="0" w:color="auto"/>
              <w:right w:val="single" w:sz="4" w:space="0" w:color="auto"/>
            </w:tcBorders>
            <w:shd w:val="clear" w:color="auto" w:fill="auto"/>
            <w:vAlign w:val="center"/>
            <w:hideMark/>
          </w:tcPr>
          <w:p w:rsidR="0082206A" w:rsidRPr="007B4F5E" w:rsidRDefault="0082206A">
            <w:pPr>
              <w:jc w:val="right"/>
              <w:rPr>
                <w:rFonts w:asciiTheme="majorBidi" w:hAnsiTheme="majorBidi" w:cstheme="majorBidi"/>
                <w:sz w:val="20"/>
                <w:szCs w:val="20"/>
              </w:rPr>
            </w:pPr>
            <w:r w:rsidRPr="007B4F5E">
              <w:rPr>
                <w:rFonts w:asciiTheme="majorBidi" w:hAnsiTheme="majorBidi" w:cstheme="majorBidi"/>
                <w:sz w:val="20"/>
                <w:szCs w:val="20"/>
              </w:rPr>
              <w:t>100,0</w:t>
            </w:r>
          </w:p>
        </w:tc>
        <w:tc>
          <w:tcPr>
            <w:tcW w:w="481" w:type="pct"/>
            <w:tcBorders>
              <w:top w:val="nil"/>
              <w:left w:val="nil"/>
              <w:bottom w:val="single" w:sz="4" w:space="0" w:color="auto"/>
              <w:right w:val="single" w:sz="4" w:space="0" w:color="auto"/>
            </w:tcBorders>
            <w:shd w:val="clear" w:color="auto" w:fill="auto"/>
            <w:vAlign w:val="center"/>
            <w:hideMark/>
          </w:tcPr>
          <w:p w:rsidR="0082206A" w:rsidRPr="007B4F5E" w:rsidRDefault="0082206A">
            <w:pPr>
              <w:jc w:val="right"/>
              <w:rPr>
                <w:rFonts w:asciiTheme="majorBidi" w:hAnsiTheme="majorBidi" w:cstheme="majorBidi"/>
                <w:sz w:val="20"/>
                <w:szCs w:val="20"/>
              </w:rPr>
            </w:pPr>
            <w:r w:rsidRPr="007B4F5E">
              <w:rPr>
                <w:rFonts w:asciiTheme="majorBidi" w:hAnsiTheme="majorBidi" w:cstheme="majorBidi"/>
                <w:sz w:val="20"/>
                <w:szCs w:val="20"/>
              </w:rPr>
              <w:t>100,0</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0,0</w:t>
            </w:r>
          </w:p>
        </w:tc>
      </w:tr>
      <w:tr w:rsidR="0082206A" w:rsidRPr="00331969" w:rsidTr="0031503A">
        <w:trPr>
          <w:trHeight w:val="255"/>
        </w:trPr>
        <w:tc>
          <w:tcPr>
            <w:tcW w:w="3481" w:type="pct"/>
            <w:tcBorders>
              <w:top w:val="nil"/>
              <w:left w:val="single" w:sz="4" w:space="0" w:color="auto"/>
              <w:bottom w:val="single" w:sz="4" w:space="0" w:color="auto"/>
              <w:right w:val="single" w:sz="4" w:space="0" w:color="auto"/>
            </w:tcBorders>
            <w:shd w:val="clear" w:color="000000" w:fill="BFBFBF"/>
            <w:vAlign w:val="center"/>
            <w:hideMark/>
          </w:tcPr>
          <w:p w:rsidR="0082206A" w:rsidRPr="00590216" w:rsidRDefault="0082206A">
            <w:pPr>
              <w:rPr>
                <w:rFonts w:asciiTheme="majorBidi" w:hAnsiTheme="majorBidi" w:cstheme="majorBidi"/>
                <w:b/>
                <w:bCs/>
                <w:sz w:val="20"/>
                <w:szCs w:val="20"/>
              </w:rPr>
            </w:pPr>
            <w:r w:rsidRPr="00590216">
              <w:rPr>
                <w:rFonts w:asciiTheme="majorBidi" w:hAnsiTheme="majorBidi" w:cstheme="majorBidi"/>
                <w:b/>
                <w:bCs/>
                <w:sz w:val="20"/>
                <w:szCs w:val="20"/>
              </w:rPr>
              <w:t>06. SANTÉ</w:t>
            </w:r>
          </w:p>
        </w:tc>
        <w:tc>
          <w:tcPr>
            <w:tcW w:w="468" w:type="pct"/>
            <w:tcBorders>
              <w:top w:val="nil"/>
              <w:left w:val="nil"/>
              <w:bottom w:val="single" w:sz="4" w:space="0" w:color="auto"/>
              <w:right w:val="single" w:sz="4" w:space="0" w:color="auto"/>
            </w:tcBorders>
            <w:shd w:val="clear" w:color="000000" w:fill="BFBFBF"/>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112,8</w:t>
            </w:r>
          </w:p>
        </w:tc>
        <w:tc>
          <w:tcPr>
            <w:tcW w:w="481" w:type="pct"/>
            <w:tcBorders>
              <w:top w:val="nil"/>
              <w:left w:val="nil"/>
              <w:bottom w:val="single" w:sz="4" w:space="0" w:color="auto"/>
              <w:right w:val="single" w:sz="4" w:space="0" w:color="auto"/>
            </w:tcBorders>
            <w:shd w:val="clear" w:color="000000" w:fill="BFBFBF"/>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112,7</w:t>
            </w:r>
          </w:p>
        </w:tc>
        <w:tc>
          <w:tcPr>
            <w:tcW w:w="570" w:type="pct"/>
            <w:tcBorders>
              <w:top w:val="nil"/>
              <w:left w:val="nil"/>
              <w:bottom w:val="single" w:sz="4" w:space="0" w:color="auto"/>
              <w:right w:val="single" w:sz="4" w:space="0" w:color="auto"/>
            </w:tcBorders>
            <w:shd w:val="clear" w:color="000000" w:fill="BFBFBF"/>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-0,1</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b/>
                <w:bCs/>
                <w:sz w:val="20"/>
                <w:szCs w:val="20"/>
              </w:rPr>
            </w:pPr>
            <w:r w:rsidRPr="00590216">
              <w:rPr>
                <w:rFonts w:asciiTheme="majorBidi" w:hAnsiTheme="majorBidi" w:cstheme="majorBidi"/>
                <w:b/>
                <w:bCs/>
                <w:sz w:val="20"/>
                <w:szCs w:val="20"/>
              </w:rPr>
              <w:t>061.  Produits, appareils et matériels médicaux</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93,7</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93,5</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-0,2</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PRODUITS PHARMACEUTIQUES</w:t>
            </w:r>
          </w:p>
        </w:tc>
        <w:tc>
          <w:tcPr>
            <w:tcW w:w="468" w:type="pct"/>
            <w:tcBorders>
              <w:top w:val="nil"/>
              <w:left w:val="nil"/>
              <w:bottom w:val="single" w:sz="4" w:space="0" w:color="auto"/>
              <w:right w:val="single" w:sz="4" w:space="0" w:color="auto"/>
            </w:tcBorders>
            <w:shd w:val="clear" w:color="auto" w:fill="auto"/>
            <w:vAlign w:val="center"/>
            <w:hideMark/>
          </w:tcPr>
          <w:p w:rsidR="0082206A" w:rsidRPr="007B4F5E" w:rsidRDefault="0082206A">
            <w:pPr>
              <w:jc w:val="right"/>
              <w:rPr>
                <w:rFonts w:asciiTheme="majorBidi" w:hAnsiTheme="majorBidi" w:cstheme="majorBidi"/>
                <w:sz w:val="20"/>
                <w:szCs w:val="20"/>
              </w:rPr>
            </w:pPr>
            <w:r w:rsidRPr="007B4F5E">
              <w:rPr>
                <w:rFonts w:asciiTheme="majorBidi" w:hAnsiTheme="majorBidi" w:cstheme="majorBidi"/>
                <w:sz w:val="20"/>
                <w:szCs w:val="20"/>
              </w:rPr>
              <w:t>93,7</w:t>
            </w:r>
          </w:p>
        </w:tc>
        <w:tc>
          <w:tcPr>
            <w:tcW w:w="481" w:type="pct"/>
            <w:tcBorders>
              <w:top w:val="nil"/>
              <w:left w:val="nil"/>
              <w:bottom w:val="single" w:sz="4" w:space="0" w:color="auto"/>
              <w:right w:val="single" w:sz="4" w:space="0" w:color="auto"/>
            </w:tcBorders>
            <w:shd w:val="clear" w:color="auto" w:fill="auto"/>
            <w:vAlign w:val="center"/>
            <w:hideMark/>
          </w:tcPr>
          <w:p w:rsidR="0082206A" w:rsidRPr="007B4F5E" w:rsidRDefault="0082206A">
            <w:pPr>
              <w:jc w:val="right"/>
              <w:rPr>
                <w:rFonts w:asciiTheme="majorBidi" w:hAnsiTheme="majorBidi" w:cstheme="majorBidi"/>
                <w:sz w:val="20"/>
                <w:szCs w:val="20"/>
              </w:rPr>
            </w:pPr>
            <w:r w:rsidRPr="007B4F5E">
              <w:rPr>
                <w:rFonts w:asciiTheme="majorBidi" w:hAnsiTheme="majorBidi" w:cstheme="majorBidi"/>
                <w:sz w:val="20"/>
                <w:szCs w:val="20"/>
              </w:rPr>
              <w:t>93,7</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0,0</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PRODUITS MEDICAUX DIVERS</w:t>
            </w:r>
          </w:p>
        </w:tc>
        <w:tc>
          <w:tcPr>
            <w:tcW w:w="468" w:type="pct"/>
            <w:tcBorders>
              <w:top w:val="nil"/>
              <w:left w:val="nil"/>
              <w:bottom w:val="single" w:sz="4" w:space="0" w:color="auto"/>
              <w:right w:val="single" w:sz="4" w:space="0" w:color="auto"/>
            </w:tcBorders>
            <w:shd w:val="clear" w:color="auto" w:fill="auto"/>
            <w:vAlign w:val="center"/>
            <w:hideMark/>
          </w:tcPr>
          <w:p w:rsidR="0082206A" w:rsidRPr="007B4F5E" w:rsidRDefault="0082206A">
            <w:pPr>
              <w:jc w:val="right"/>
              <w:rPr>
                <w:rFonts w:asciiTheme="majorBidi" w:hAnsiTheme="majorBidi" w:cstheme="majorBidi"/>
                <w:sz w:val="20"/>
                <w:szCs w:val="20"/>
              </w:rPr>
            </w:pPr>
            <w:r w:rsidRPr="007B4F5E">
              <w:rPr>
                <w:rFonts w:asciiTheme="majorBidi" w:hAnsiTheme="majorBidi" w:cstheme="majorBidi"/>
                <w:sz w:val="20"/>
                <w:szCs w:val="20"/>
              </w:rPr>
              <w:t>107,2</w:t>
            </w:r>
          </w:p>
        </w:tc>
        <w:tc>
          <w:tcPr>
            <w:tcW w:w="481" w:type="pct"/>
            <w:tcBorders>
              <w:top w:val="nil"/>
              <w:left w:val="nil"/>
              <w:bottom w:val="single" w:sz="4" w:space="0" w:color="auto"/>
              <w:right w:val="single" w:sz="4" w:space="0" w:color="auto"/>
            </w:tcBorders>
            <w:shd w:val="clear" w:color="auto" w:fill="auto"/>
            <w:vAlign w:val="center"/>
            <w:hideMark/>
          </w:tcPr>
          <w:p w:rsidR="0082206A" w:rsidRPr="007B4F5E" w:rsidRDefault="0082206A">
            <w:pPr>
              <w:jc w:val="right"/>
              <w:rPr>
                <w:rFonts w:asciiTheme="majorBidi" w:hAnsiTheme="majorBidi" w:cstheme="majorBidi"/>
                <w:sz w:val="20"/>
                <w:szCs w:val="20"/>
              </w:rPr>
            </w:pPr>
            <w:r w:rsidRPr="007B4F5E">
              <w:rPr>
                <w:rFonts w:asciiTheme="majorBidi" w:hAnsiTheme="majorBidi" w:cstheme="majorBidi"/>
                <w:sz w:val="20"/>
                <w:szCs w:val="20"/>
              </w:rPr>
              <w:t>107,2</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0,0</w:t>
            </w:r>
          </w:p>
        </w:tc>
      </w:tr>
      <w:tr w:rsidR="0082206A" w:rsidRPr="00331969" w:rsidTr="0031503A">
        <w:trPr>
          <w:trHeight w:val="255"/>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APPAREILS ET MATERIEL THERAPEUTIQUES</w:t>
            </w:r>
          </w:p>
        </w:tc>
        <w:tc>
          <w:tcPr>
            <w:tcW w:w="468" w:type="pct"/>
            <w:tcBorders>
              <w:top w:val="nil"/>
              <w:left w:val="nil"/>
              <w:bottom w:val="single" w:sz="4" w:space="0" w:color="auto"/>
              <w:right w:val="single" w:sz="4" w:space="0" w:color="auto"/>
            </w:tcBorders>
            <w:shd w:val="clear" w:color="auto" w:fill="auto"/>
            <w:vAlign w:val="center"/>
            <w:hideMark/>
          </w:tcPr>
          <w:p w:rsidR="0082206A" w:rsidRPr="007B4F5E" w:rsidRDefault="0082206A">
            <w:pPr>
              <w:jc w:val="right"/>
              <w:rPr>
                <w:rFonts w:asciiTheme="majorBidi" w:hAnsiTheme="majorBidi" w:cstheme="majorBidi"/>
                <w:sz w:val="20"/>
                <w:szCs w:val="20"/>
              </w:rPr>
            </w:pPr>
            <w:r w:rsidRPr="007B4F5E">
              <w:rPr>
                <w:rFonts w:asciiTheme="majorBidi" w:hAnsiTheme="majorBidi" w:cstheme="majorBidi"/>
                <w:sz w:val="20"/>
                <w:szCs w:val="20"/>
              </w:rPr>
              <w:t>90,9</w:t>
            </w:r>
          </w:p>
        </w:tc>
        <w:tc>
          <w:tcPr>
            <w:tcW w:w="481" w:type="pct"/>
            <w:tcBorders>
              <w:top w:val="nil"/>
              <w:left w:val="nil"/>
              <w:bottom w:val="single" w:sz="4" w:space="0" w:color="auto"/>
              <w:right w:val="single" w:sz="4" w:space="0" w:color="auto"/>
            </w:tcBorders>
            <w:shd w:val="clear" w:color="auto" w:fill="auto"/>
            <w:vAlign w:val="center"/>
            <w:hideMark/>
          </w:tcPr>
          <w:p w:rsidR="0082206A" w:rsidRPr="007B4F5E" w:rsidRDefault="0082206A">
            <w:pPr>
              <w:jc w:val="right"/>
              <w:rPr>
                <w:rFonts w:asciiTheme="majorBidi" w:hAnsiTheme="majorBidi" w:cstheme="majorBidi"/>
                <w:sz w:val="20"/>
                <w:szCs w:val="20"/>
              </w:rPr>
            </w:pPr>
            <w:r w:rsidRPr="007B4F5E">
              <w:rPr>
                <w:rFonts w:asciiTheme="majorBidi" w:hAnsiTheme="majorBidi" w:cstheme="majorBidi"/>
                <w:sz w:val="20"/>
                <w:szCs w:val="20"/>
              </w:rPr>
              <w:t>88,2</w:t>
            </w:r>
          </w:p>
        </w:tc>
        <w:tc>
          <w:tcPr>
            <w:tcW w:w="570" w:type="pct"/>
            <w:tcBorders>
              <w:top w:val="nil"/>
              <w:left w:val="nil"/>
              <w:bottom w:val="single" w:sz="4" w:space="0" w:color="auto"/>
              <w:right w:val="single" w:sz="4" w:space="0" w:color="auto"/>
            </w:tcBorders>
            <w:shd w:val="clear" w:color="000000" w:fill="FFFFFF"/>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-3,0</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b/>
                <w:bCs/>
                <w:sz w:val="20"/>
                <w:szCs w:val="20"/>
              </w:rPr>
            </w:pPr>
            <w:r w:rsidRPr="00590216">
              <w:rPr>
                <w:rFonts w:asciiTheme="majorBidi" w:hAnsiTheme="majorBidi" w:cstheme="majorBidi"/>
                <w:b/>
                <w:bCs/>
                <w:sz w:val="20"/>
                <w:szCs w:val="20"/>
              </w:rPr>
              <w:t>062. SERVICES AMBULATOIRES</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124,4</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124,4</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0,0</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lastRenderedPageBreak/>
              <w:t>SERVICES MÉDICAUX</w:t>
            </w:r>
          </w:p>
        </w:tc>
        <w:tc>
          <w:tcPr>
            <w:tcW w:w="468" w:type="pct"/>
            <w:tcBorders>
              <w:top w:val="nil"/>
              <w:left w:val="nil"/>
              <w:bottom w:val="single" w:sz="4" w:space="0" w:color="auto"/>
              <w:right w:val="single" w:sz="4" w:space="0" w:color="auto"/>
            </w:tcBorders>
            <w:shd w:val="clear" w:color="auto" w:fill="auto"/>
            <w:vAlign w:val="center"/>
            <w:hideMark/>
          </w:tcPr>
          <w:p w:rsidR="0082206A" w:rsidRPr="007B4F5E" w:rsidRDefault="0082206A">
            <w:pPr>
              <w:jc w:val="right"/>
              <w:rPr>
                <w:rFonts w:asciiTheme="majorBidi" w:hAnsiTheme="majorBidi" w:cstheme="majorBidi"/>
                <w:sz w:val="20"/>
                <w:szCs w:val="20"/>
              </w:rPr>
            </w:pPr>
            <w:r w:rsidRPr="007B4F5E">
              <w:rPr>
                <w:rFonts w:asciiTheme="majorBidi" w:hAnsiTheme="majorBidi" w:cstheme="majorBidi"/>
                <w:sz w:val="20"/>
                <w:szCs w:val="20"/>
              </w:rPr>
              <w:t>160,0</w:t>
            </w:r>
          </w:p>
        </w:tc>
        <w:tc>
          <w:tcPr>
            <w:tcW w:w="481" w:type="pct"/>
            <w:tcBorders>
              <w:top w:val="nil"/>
              <w:left w:val="nil"/>
              <w:bottom w:val="single" w:sz="4" w:space="0" w:color="auto"/>
              <w:right w:val="single" w:sz="4" w:space="0" w:color="auto"/>
            </w:tcBorders>
            <w:shd w:val="clear" w:color="auto" w:fill="auto"/>
            <w:vAlign w:val="center"/>
            <w:hideMark/>
          </w:tcPr>
          <w:p w:rsidR="0082206A" w:rsidRPr="007B4F5E" w:rsidRDefault="0082206A">
            <w:pPr>
              <w:jc w:val="right"/>
              <w:rPr>
                <w:rFonts w:asciiTheme="majorBidi" w:hAnsiTheme="majorBidi" w:cstheme="majorBidi"/>
                <w:sz w:val="20"/>
                <w:szCs w:val="20"/>
              </w:rPr>
            </w:pPr>
            <w:r w:rsidRPr="007B4F5E">
              <w:rPr>
                <w:rFonts w:asciiTheme="majorBidi" w:hAnsiTheme="majorBidi" w:cstheme="majorBidi"/>
                <w:sz w:val="20"/>
                <w:szCs w:val="20"/>
              </w:rPr>
              <w:t>160,0</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0,0</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SERVICES DENTAIRES</w:t>
            </w:r>
          </w:p>
        </w:tc>
        <w:tc>
          <w:tcPr>
            <w:tcW w:w="468" w:type="pct"/>
            <w:tcBorders>
              <w:top w:val="nil"/>
              <w:left w:val="nil"/>
              <w:bottom w:val="single" w:sz="4" w:space="0" w:color="auto"/>
              <w:right w:val="single" w:sz="4" w:space="0" w:color="auto"/>
            </w:tcBorders>
            <w:shd w:val="clear" w:color="auto" w:fill="auto"/>
            <w:vAlign w:val="center"/>
            <w:hideMark/>
          </w:tcPr>
          <w:p w:rsidR="0082206A" w:rsidRPr="007B4F5E" w:rsidRDefault="0082206A">
            <w:pPr>
              <w:jc w:val="right"/>
              <w:rPr>
                <w:rFonts w:asciiTheme="majorBidi" w:hAnsiTheme="majorBidi" w:cstheme="majorBidi"/>
                <w:sz w:val="20"/>
                <w:szCs w:val="20"/>
              </w:rPr>
            </w:pPr>
            <w:r w:rsidRPr="007B4F5E">
              <w:rPr>
                <w:rFonts w:asciiTheme="majorBidi" w:hAnsiTheme="majorBidi" w:cstheme="majorBidi"/>
                <w:sz w:val="20"/>
                <w:szCs w:val="20"/>
              </w:rPr>
              <w:t>129,2</w:t>
            </w:r>
          </w:p>
        </w:tc>
        <w:tc>
          <w:tcPr>
            <w:tcW w:w="481" w:type="pct"/>
            <w:tcBorders>
              <w:top w:val="nil"/>
              <w:left w:val="nil"/>
              <w:bottom w:val="single" w:sz="4" w:space="0" w:color="auto"/>
              <w:right w:val="single" w:sz="4" w:space="0" w:color="auto"/>
            </w:tcBorders>
            <w:shd w:val="clear" w:color="auto" w:fill="auto"/>
            <w:vAlign w:val="center"/>
            <w:hideMark/>
          </w:tcPr>
          <w:p w:rsidR="0082206A" w:rsidRPr="007B4F5E" w:rsidRDefault="0082206A">
            <w:pPr>
              <w:jc w:val="right"/>
              <w:rPr>
                <w:rFonts w:asciiTheme="majorBidi" w:hAnsiTheme="majorBidi" w:cstheme="majorBidi"/>
                <w:sz w:val="20"/>
                <w:szCs w:val="20"/>
              </w:rPr>
            </w:pPr>
            <w:r w:rsidRPr="007B4F5E">
              <w:rPr>
                <w:rFonts w:asciiTheme="majorBidi" w:hAnsiTheme="majorBidi" w:cstheme="majorBidi"/>
                <w:sz w:val="20"/>
                <w:szCs w:val="20"/>
              </w:rPr>
              <w:t>129,2</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0,0</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SERVICES PARAMÉDICAUX</w:t>
            </w:r>
          </w:p>
        </w:tc>
        <w:tc>
          <w:tcPr>
            <w:tcW w:w="468" w:type="pct"/>
            <w:tcBorders>
              <w:top w:val="nil"/>
              <w:left w:val="nil"/>
              <w:bottom w:val="single" w:sz="4" w:space="0" w:color="auto"/>
              <w:right w:val="single" w:sz="4" w:space="0" w:color="auto"/>
            </w:tcBorders>
            <w:shd w:val="clear" w:color="auto" w:fill="auto"/>
            <w:vAlign w:val="center"/>
            <w:hideMark/>
          </w:tcPr>
          <w:p w:rsidR="0082206A" w:rsidRPr="007B4F5E" w:rsidRDefault="0082206A">
            <w:pPr>
              <w:jc w:val="right"/>
              <w:rPr>
                <w:rFonts w:asciiTheme="majorBidi" w:hAnsiTheme="majorBidi" w:cstheme="majorBidi"/>
                <w:sz w:val="20"/>
                <w:szCs w:val="20"/>
              </w:rPr>
            </w:pPr>
            <w:r w:rsidRPr="007B4F5E">
              <w:rPr>
                <w:rFonts w:asciiTheme="majorBidi" w:hAnsiTheme="majorBidi" w:cstheme="majorBidi"/>
                <w:sz w:val="20"/>
                <w:szCs w:val="20"/>
              </w:rPr>
              <w:t>102,0</w:t>
            </w:r>
          </w:p>
        </w:tc>
        <w:tc>
          <w:tcPr>
            <w:tcW w:w="481" w:type="pct"/>
            <w:tcBorders>
              <w:top w:val="nil"/>
              <w:left w:val="nil"/>
              <w:bottom w:val="single" w:sz="4" w:space="0" w:color="auto"/>
              <w:right w:val="single" w:sz="4" w:space="0" w:color="auto"/>
            </w:tcBorders>
            <w:shd w:val="clear" w:color="auto" w:fill="auto"/>
            <w:vAlign w:val="center"/>
            <w:hideMark/>
          </w:tcPr>
          <w:p w:rsidR="0082206A" w:rsidRPr="007B4F5E" w:rsidRDefault="0082206A">
            <w:pPr>
              <w:jc w:val="right"/>
              <w:rPr>
                <w:rFonts w:asciiTheme="majorBidi" w:hAnsiTheme="majorBidi" w:cstheme="majorBidi"/>
                <w:sz w:val="20"/>
                <w:szCs w:val="20"/>
              </w:rPr>
            </w:pPr>
            <w:r w:rsidRPr="007B4F5E">
              <w:rPr>
                <w:rFonts w:asciiTheme="majorBidi" w:hAnsiTheme="majorBidi" w:cstheme="majorBidi"/>
                <w:sz w:val="20"/>
                <w:szCs w:val="20"/>
              </w:rPr>
              <w:t>102,0</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0,0</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b/>
                <w:bCs/>
                <w:sz w:val="20"/>
                <w:szCs w:val="20"/>
              </w:rPr>
            </w:pPr>
            <w:r w:rsidRPr="00590216">
              <w:rPr>
                <w:rFonts w:asciiTheme="majorBidi" w:hAnsiTheme="majorBidi" w:cstheme="majorBidi"/>
                <w:b/>
                <w:bCs/>
                <w:sz w:val="20"/>
                <w:szCs w:val="20"/>
              </w:rPr>
              <w:t>063. SERVICES HOSPITALIERS</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138,6</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138,6</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0,0</w:t>
            </w:r>
          </w:p>
        </w:tc>
      </w:tr>
      <w:tr w:rsidR="0082206A" w:rsidRPr="00331969" w:rsidTr="0031503A">
        <w:trPr>
          <w:trHeight w:val="255"/>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SERVICES HOSPITALIERS</w:t>
            </w:r>
          </w:p>
        </w:tc>
        <w:tc>
          <w:tcPr>
            <w:tcW w:w="468" w:type="pct"/>
            <w:tcBorders>
              <w:top w:val="nil"/>
              <w:left w:val="nil"/>
              <w:bottom w:val="single" w:sz="4" w:space="0" w:color="auto"/>
              <w:right w:val="single" w:sz="4" w:space="0" w:color="auto"/>
            </w:tcBorders>
            <w:shd w:val="clear" w:color="auto" w:fill="auto"/>
            <w:vAlign w:val="center"/>
            <w:hideMark/>
          </w:tcPr>
          <w:p w:rsidR="0082206A" w:rsidRPr="007B4F5E" w:rsidRDefault="0082206A">
            <w:pPr>
              <w:jc w:val="right"/>
              <w:rPr>
                <w:rFonts w:asciiTheme="majorBidi" w:hAnsiTheme="majorBidi" w:cstheme="majorBidi"/>
                <w:sz w:val="20"/>
                <w:szCs w:val="20"/>
              </w:rPr>
            </w:pPr>
            <w:r w:rsidRPr="007B4F5E">
              <w:rPr>
                <w:rFonts w:asciiTheme="majorBidi" w:hAnsiTheme="majorBidi" w:cstheme="majorBidi"/>
                <w:sz w:val="20"/>
                <w:szCs w:val="20"/>
              </w:rPr>
              <w:t>138,6</w:t>
            </w:r>
          </w:p>
        </w:tc>
        <w:tc>
          <w:tcPr>
            <w:tcW w:w="481" w:type="pct"/>
            <w:tcBorders>
              <w:top w:val="nil"/>
              <w:left w:val="nil"/>
              <w:bottom w:val="single" w:sz="4" w:space="0" w:color="auto"/>
              <w:right w:val="single" w:sz="4" w:space="0" w:color="auto"/>
            </w:tcBorders>
            <w:shd w:val="clear" w:color="auto" w:fill="auto"/>
            <w:vAlign w:val="center"/>
            <w:hideMark/>
          </w:tcPr>
          <w:p w:rsidR="0082206A" w:rsidRPr="007B4F5E" w:rsidRDefault="0082206A">
            <w:pPr>
              <w:jc w:val="right"/>
              <w:rPr>
                <w:rFonts w:asciiTheme="majorBidi" w:hAnsiTheme="majorBidi" w:cstheme="majorBidi"/>
                <w:sz w:val="20"/>
                <w:szCs w:val="20"/>
              </w:rPr>
            </w:pPr>
            <w:r w:rsidRPr="007B4F5E">
              <w:rPr>
                <w:rFonts w:asciiTheme="majorBidi" w:hAnsiTheme="majorBidi" w:cstheme="majorBidi"/>
                <w:sz w:val="20"/>
                <w:szCs w:val="20"/>
              </w:rPr>
              <w:t>138,6</w:t>
            </w:r>
          </w:p>
        </w:tc>
        <w:tc>
          <w:tcPr>
            <w:tcW w:w="570" w:type="pct"/>
            <w:tcBorders>
              <w:top w:val="nil"/>
              <w:left w:val="nil"/>
              <w:bottom w:val="single" w:sz="4" w:space="0" w:color="auto"/>
              <w:right w:val="single" w:sz="4" w:space="0" w:color="auto"/>
            </w:tcBorders>
            <w:shd w:val="clear" w:color="000000" w:fill="FFFFFF"/>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0,0</w:t>
            </w:r>
          </w:p>
        </w:tc>
      </w:tr>
      <w:tr w:rsidR="0082206A" w:rsidRPr="00331969" w:rsidTr="0031503A">
        <w:trPr>
          <w:trHeight w:val="255"/>
        </w:trPr>
        <w:tc>
          <w:tcPr>
            <w:tcW w:w="3481" w:type="pct"/>
            <w:tcBorders>
              <w:top w:val="nil"/>
              <w:left w:val="single" w:sz="4" w:space="0" w:color="auto"/>
              <w:bottom w:val="single" w:sz="4" w:space="0" w:color="auto"/>
              <w:right w:val="single" w:sz="4" w:space="0" w:color="auto"/>
            </w:tcBorders>
            <w:shd w:val="clear" w:color="000000" w:fill="BFBFBF"/>
            <w:vAlign w:val="center"/>
            <w:hideMark/>
          </w:tcPr>
          <w:p w:rsidR="0082206A" w:rsidRPr="00590216" w:rsidRDefault="0082206A">
            <w:pPr>
              <w:rPr>
                <w:rFonts w:asciiTheme="majorBidi" w:hAnsiTheme="majorBidi" w:cstheme="majorBidi"/>
                <w:b/>
                <w:bCs/>
                <w:sz w:val="20"/>
                <w:szCs w:val="20"/>
              </w:rPr>
            </w:pPr>
            <w:r w:rsidRPr="00590216">
              <w:rPr>
                <w:rFonts w:asciiTheme="majorBidi" w:hAnsiTheme="majorBidi" w:cstheme="majorBidi"/>
                <w:b/>
                <w:bCs/>
                <w:sz w:val="20"/>
                <w:szCs w:val="20"/>
              </w:rPr>
              <w:t>07. TRANSPORTS</w:t>
            </w:r>
          </w:p>
        </w:tc>
        <w:tc>
          <w:tcPr>
            <w:tcW w:w="468" w:type="pct"/>
            <w:tcBorders>
              <w:top w:val="nil"/>
              <w:left w:val="nil"/>
              <w:bottom w:val="single" w:sz="4" w:space="0" w:color="auto"/>
              <w:right w:val="single" w:sz="4" w:space="0" w:color="auto"/>
            </w:tcBorders>
            <w:shd w:val="clear" w:color="000000" w:fill="BFBFBF"/>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114,2</w:t>
            </w:r>
          </w:p>
        </w:tc>
        <w:tc>
          <w:tcPr>
            <w:tcW w:w="481" w:type="pct"/>
            <w:tcBorders>
              <w:top w:val="nil"/>
              <w:left w:val="nil"/>
              <w:bottom w:val="single" w:sz="4" w:space="0" w:color="auto"/>
              <w:right w:val="single" w:sz="4" w:space="0" w:color="auto"/>
            </w:tcBorders>
            <w:shd w:val="clear" w:color="000000" w:fill="BFBFBF"/>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113,9</w:t>
            </w:r>
          </w:p>
        </w:tc>
        <w:tc>
          <w:tcPr>
            <w:tcW w:w="570" w:type="pct"/>
            <w:tcBorders>
              <w:top w:val="nil"/>
              <w:left w:val="nil"/>
              <w:bottom w:val="single" w:sz="4" w:space="0" w:color="auto"/>
              <w:right w:val="single" w:sz="4" w:space="0" w:color="auto"/>
            </w:tcBorders>
            <w:shd w:val="clear" w:color="000000" w:fill="BFBFBF"/>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-0,3</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b/>
                <w:bCs/>
                <w:sz w:val="20"/>
                <w:szCs w:val="20"/>
              </w:rPr>
            </w:pPr>
            <w:r w:rsidRPr="00590216">
              <w:rPr>
                <w:rFonts w:asciiTheme="majorBidi" w:hAnsiTheme="majorBidi" w:cstheme="majorBidi"/>
                <w:b/>
                <w:bCs/>
                <w:sz w:val="20"/>
                <w:szCs w:val="20"/>
              </w:rPr>
              <w:t>071. ACHAT DE VÉHICULES</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101,0</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102,5</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1,5</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VOITURES AUTOMOBILES</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100,2</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101,8</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1,6</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MOTOCYCLES</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111,4</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111,4</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0,0</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BICYCLETTES</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109,4</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109,4</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0,0</w:t>
            </w:r>
          </w:p>
        </w:tc>
      </w:tr>
      <w:tr w:rsidR="0082206A" w:rsidRPr="00331969" w:rsidTr="0031503A">
        <w:trPr>
          <w:trHeight w:val="255"/>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b/>
                <w:bCs/>
                <w:sz w:val="20"/>
                <w:szCs w:val="20"/>
              </w:rPr>
            </w:pPr>
            <w:r w:rsidRPr="00590216">
              <w:rPr>
                <w:rFonts w:asciiTheme="majorBidi" w:hAnsiTheme="majorBidi" w:cstheme="majorBidi"/>
                <w:b/>
                <w:bCs/>
                <w:sz w:val="20"/>
                <w:szCs w:val="20"/>
              </w:rPr>
              <w:t>072. DÉPENSES D'UTILISATION DES VÉHICULES</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125,2</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123,1</w:t>
            </w:r>
          </w:p>
        </w:tc>
        <w:tc>
          <w:tcPr>
            <w:tcW w:w="570" w:type="pct"/>
            <w:tcBorders>
              <w:top w:val="nil"/>
              <w:left w:val="nil"/>
              <w:bottom w:val="single" w:sz="4" w:space="0" w:color="auto"/>
              <w:right w:val="single" w:sz="4" w:space="0" w:color="auto"/>
            </w:tcBorders>
            <w:shd w:val="clear" w:color="000000" w:fill="FFFFFF"/>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-1,7</w:t>
            </w:r>
          </w:p>
        </w:tc>
      </w:tr>
      <w:tr w:rsidR="0082206A" w:rsidRPr="00331969" w:rsidTr="0031503A">
        <w:trPr>
          <w:trHeight w:val="42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PIECES DE RECHANGE ET ACCESSOIRES POUR VEHICULES DE TOURISME</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109,3</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109,1</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-0,2</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CARBURANTS ET LUBRIFIANTS POUR VEHICULES DE TOURISME</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122,6</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119,0</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-2,9</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ENTRETIEN ET REPARATION DE VEHICULES PARTICULIERS</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142,2</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142,2</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0,0</w:t>
            </w:r>
          </w:p>
        </w:tc>
      </w:tr>
      <w:tr w:rsidR="0082206A" w:rsidRPr="00331969" w:rsidTr="0031503A">
        <w:trPr>
          <w:trHeight w:val="255"/>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SERVICES DIVERS LIES AUX VEHICULES PARTICULIERS</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119,7</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119,7</w:t>
            </w:r>
          </w:p>
        </w:tc>
        <w:tc>
          <w:tcPr>
            <w:tcW w:w="570" w:type="pct"/>
            <w:tcBorders>
              <w:top w:val="nil"/>
              <w:left w:val="nil"/>
              <w:bottom w:val="single" w:sz="4" w:space="0" w:color="auto"/>
              <w:right w:val="single" w:sz="4" w:space="0" w:color="auto"/>
            </w:tcBorders>
            <w:shd w:val="clear" w:color="000000" w:fill="FFFFFF"/>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0,0</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b/>
                <w:bCs/>
                <w:sz w:val="20"/>
                <w:szCs w:val="20"/>
              </w:rPr>
            </w:pPr>
            <w:r w:rsidRPr="00590216">
              <w:rPr>
                <w:rFonts w:asciiTheme="majorBidi" w:hAnsiTheme="majorBidi" w:cstheme="majorBidi"/>
                <w:b/>
                <w:bCs/>
                <w:sz w:val="20"/>
                <w:szCs w:val="20"/>
              </w:rPr>
              <w:t>073. SERVICES DE TRANSPORT</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112,7</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113,5</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0,7</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TRANSPORT FERROVIAIRE DE PASSAGERS</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121,2</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126,1</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4,0</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TRANSPORT ROUTIER DE PASSAGERS</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116,8</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116,8</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0,0</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TRANSPORT AÉRIEN DE PASSAGERS</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83,3</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98,7</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18,4</w:t>
            </w:r>
          </w:p>
        </w:tc>
      </w:tr>
      <w:tr w:rsidR="0082206A" w:rsidRPr="00331969" w:rsidTr="0031503A">
        <w:trPr>
          <w:trHeight w:val="255"/>
        </w:trPr>
        <w:tc>
          <w:tcPr>
            <w:tcW w:w="3481" w:type="pct"/>
            <w:tcBorders>
              <w:top w:val="nil"/>
              <w:left w:val="single" w:sz="4" w:space="0" w:color="auto"/>
              <w:bottom w:val="single" w:sz="4" w:space="0" w:color="auto"/>
              <w:right w:val="single" w:sz="4" w:space="0" w:color="auto"/>
            </w:tcBorders>
            <w:shd w:val="clear" w:color="000000" w:fill="BFBFBF"/>
            <w:vAlign w:val="center"/>
            <w:hideMark/>
          </w:tcPr>
          <w:p w:rsidR="0082206A" w:rsidRPr="00590216" w:rsidRDefault="0082206A">
            <w:pPr>
              <w:rPr>
                <w:rFonts w:asciiTheme="majorBidi" w:hAnsiTheme="majorBidi" w:cstheme="majorBidi"/>
                <w:b/>
                <w:bCs/>
                <w:sz w:val="20"/>
                <w:szCs w:val="20"/>
              </w:rPr>
            </w:pPr>
            <w:r w:rsidRPr="00590216">
              <w:rPr>
                <w:rFonts w:asciiTheme="majorBidi" w:hAnsiTheme="majorBidi" w:cstheme="majorBidi"/>
                <w:b/>
                <w:bCs/>
                <w:sz w:val="20"/>
                <w:szCs w:val="20"/>
              </w:rPr>
              <w:t>08. COMMUNICATIONS</w:t>
            </w:r>
          </w:p>
        </w:tc>
        <w:tc>
          <w:tcPr>
            <w:tcW w:w="468" w:type="pct"/>
            <w:tcBorders>
              <w:top w:val="nil"/>
              <w:left w:val="nil"/>
              <w:bottom w:val="single" w:sz="4" w:space="0" w:color="auto"/>
              <w:right w:val="single" w:sz="4" w:space="0" w:color="auto"/>
            </w:tcBorders>
            <w:shd w:val="clear" w:color="000000" w:fill="BFBFBF"/>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58,7</w:t>
            </w:r>
          </w:p>
        </w:tc>
        <w:tc>
          <w:tcPr>
            <w:tcW w:w="481" w:type="pct"/>
            <w:tcBorders>
              <w:top w:val="nil"/>
              <w:left w:val="nil"/>
              <w:bottom w:val="single" w:sz="4" w:space="0" w:color="auto"/>
              <w:right w:val="single" w:sz="4" w:space="0" w:color="auto"/>
            </w:tcBorders>
            <w:shd w:val="clear" w:color="000000" w:fill="BFBFBF"/>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60,1</w:t>
            </w:r>
          </w:p>
        </w:tc>
        <w:tc>
          <w:tcPr>
            <w:tcW w:w="570" w:type="pct"/>
            <w:tcBorders>
              <w:top w:val="nil"/>
              <w:left w:val="nil"/>
              <w:bottom w:val="single" w:sz="4" w:space="0" w:color="auto"/>
              <w:right w:val="single" w:sz="4" w:space="0" w:color="auto"/>
            </w:tcBorders>
            <w:shd w:val="clear" w:color="000000" w:fill="BFBFBF"/>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2,3</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b/>
                <w:bCs/>
                <w:sz w:val="20"/>
                <w:szCs w:val="20"/>
              </w:rPr>
            </w:pPr>
            <w:r w:rsidRPr="00590216">
              <w:rPr>
                <w:rFonts w:asciiTheme="majorBidi" w:hAnsiTheme="majorBidi" w:cstheme="majorBidi"/>
                <w:b/>
                <w:bCs/>
                <w:sz w:val="20"/>
                <w:szCs w:val="20"/>
              </w:rPr>
              <w:t>081. SERVICES POSTAUX</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133,4</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133,4</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0,0</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SERVICES POSTAUX</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133,4</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133,4</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0,0</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b/>
                <w:bCs/>
                <w:sz w:val="20"/>
                <w:szCs w:val="20"/>
              </w:rPr>
            </w:pPr>
            <w:r w:rsidRPr="00590216">
              <w:rPr>
                <w:rFonts w:asciiTheme="majorBidi" w:hAnsiTheme="majorBidi" w:cstheme="majorBidi"/>
                <w:b/>
                <w:bCs/>
                <w:sz w:val="20"/>
                <w:szCs w:val="20"/>
              </w:rPr>
              <w:t>082. MATÉRIEL DE TÉLÉPHONIE ET DE TÉLÉCOPIE</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83,3</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91,2</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9,5</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MATERIEL DE TELEPHONIE ET DE TELECOPIE</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83,3</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91,2</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9,5</w:t>
            </w:r>
          </w:p>
        </w:tc>
      </w:tr>
      <w:tr w:rsidR="0082206A"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b/>
                <w:bCs/>
                <w:sz w:val="20"/>
                <w:szCs w:val="20"/>
              </w:rPr>
            </w:pPr>
            <w:r w:rsidRPr="00590216">
              <w:rPr>
                <w:rFonts w:asciiTheme="majorBidi" w:hAnsiTheme="majorBidi" w:cstheme="majorBidi"/>
                <w:b/>
                <w:bCs/>
                <w:sz w:val="20"/>
                <w:szCs w:val="20"/>
              </w:rPr>
              <w:lastRenderedPageBreak/>
              <w:t>083. SERVICES DE TÉLÉPHONIE ET DE TÉLÉCOPIE</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53,1</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53,4</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0,6</w:t>
            </w:r>
          </w:p>
        </w:tc>
      </w:tr>
      <w:tr w:rsidR="0082206A" w:rsidRPr="00331969" w:rsidTr="0031503A">
        <w:trPr>
          <w:trHeight w:val="255"/>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SERVICES DE TELEPHONIE ET DE TELECOPIE</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53,1</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53,4</w:t>
            </w:r>
          </w:p>
        </w:tc>
        <w:tc>
          <w:tcPr>
            <w:tcW w:w="570" w:type="pct"/>
            <w:tcBorders>
              <w:top w:val="nil"/>
              <w:left w:val="nil"/>
              <w:bottom w:val="single" w:sz="4" w:space="0" w:color="auto"/>
              <w:right w:val="single" w:sz="4" w:space="0" w:color="auto"/>
            </w:tcBorders>
            <w:shd w:val="clear" w:color="000000" w:fill="FFFFFF"/>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0,6</w:t>
            </w:r>
          </w:p>
        </w:tc>
      </w:tr>
      <w:tr w:rsidR="0082206A" w:rsidRPr="00331969" w:rsidTr="0031503A">
        <w:trPr>
          <w:trHeight w:val="255"/>
        </w:trPr>
        <w:tc>
          <w:tcPr>
            <w:tcW w:w="3481" w:type="pct"/>
            <w:tcBorders>
              <w:top w:val="nil"/>
              <w:left w:val="single" w:sz="4" w:space="0" w:color="auto"/>
              <w:bottom w:val="single" w:sz="4" w:space="0" w:color="auto"/>
              <w:right w:val="single" w:sz="4" w:space="0" w:color="auto"/>
            </w:tcBorders>
            <w:shd w:val="clear" w:color="000000" w:fill="BFBFBF"/>
            <w:vAlign w:val="center"/>
            <w:hideMark/>
          </w:tcPr>
          <w:p w:rsidR="0082206A" w:rsidRPr="00590216" w:rsidRDefault="0082206A">
            <w:pPr>
              <w:rPr>
                <w:rFonts w:asciiTheme="majorBidi" w:hAnsiTheme="majorBidi" w:cstheme="majorBidi"/>
                <w:b/>
                <w:bCs/>
                <w:sz w:val="20"/>
                <w:szCs w:val="20"/>
              </w:rPr>
            </w:pPr>
            <w:r w:rsidRPr="00590216">
              <w:rPr>
                <w:rFonts w:asciiTheme="majorBidi" w:hAnsiTheme="majorBidi" w:cstheme="majorBidi"/>
                <w:b/>
                <w:bCs/>
                <w:sz w:val="20"/>
                <w:szCs w:val="20"/>
              </w:rPr>
              <w:t>09. LOISIRS ET CULTURE</w:t>
            </w:r>
          </w:p>
        </w:tc>
        <w:tc>
          <w:tcPr>
            <w:tcW w:w="468" w:type="pct"/>
            <w:tcBorders>
              <w:top w:val="nil"/>
              <w:left w:val="nil"/>
              <w:bottom w:val="single" w:sz="4" w:space="0" w:color="auto"/>
              <w:right w:val="single" w:sz="4" w:space="0" w:color="auto"/>
            </w:tcBorders>
            <w:shd w:val="clear" w:color="000000" w:fill="BFBFBF"/>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101,6</w:t>
            </w:r>
          </w:p>
        </w:tc>
        <w:tc>
          <w:tcPr>
            <w:tcW w:w="481" w:type="pct"/>
            <w:tcBorders>
              <w:top w:val="nil"/>
              <w:left w:val="nil"/>
              <w:bottom w:val="single" w:sz="4" w:space="0" w:color="auto"/>
              <w:right w:val="single" w:sz="4" w:space="0" w:color="auto"/>
            </w:tcBorders>
            <w:shd w:val="clear" w:color="000000" w:fill="BFBFBF"/>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102,5</w:t>
            </w:r>
          </w:p>
        </w:tc>
        <w:tc>
          <w:tcPr>
            <w:tcW w:w="570" w:type="pct"/>
            <w:tcBorders>
              <w:top w:val="nil"/>
              <w:left w:val="nil"/>
              <w:bottom w:val="single" w:sz="4" w:space="0" w:color="auto"/>
              <w:right w:val="single" w:sz="4" w:space="0" w:color="auto"/>
            </w:tcBorders>
            <w:shd w:val="clear" w:color="000000" w:fill="BFBFBF"/>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0,9</w:t>
            </w:r>
          </w:p>
        </w:tc>
      </w:tr>
      <w:tr w:rsidR="0082206A"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b/>
                <w:bCs/>
                <w:sz w:val="20"/>
                <w:szCs w:val="20"/>
              </w:rPr>
            </w:pPr>
            <w:r w:rsidRPr="00590216">
              <w:rPr>
                <w:rFonts w:asciiTheme="majorBidi" w:hAnsiTheme="majorBidi" w:cstheme="majorBidi"/>
                <w:b/>
                <w:bCs/>
                <w:sz w:val="20"/>
                <w:szCs w:val="20"/>
              </w:rPr>
              <w:t>091. MATÉRIEL AUDIOVISUEL, PHOTOGRAPHIQUE ET DE TRAITEMENT DE L'INFORMATION</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80,3</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79,4</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-1,2</w:t>
            </w:r>
          </w:p>
        </w:tc>
      </w:tr>
      <w:tr w:rsidR="0082206A"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MATERIEL DE RECEPTION, D'ENREGISTREMENT ET DE REPRODUCTION DU SON ET DE L'IMAGE</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79,7</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78,3</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-1,7</w:t>
            </w:r>
          </w:p>
        </w:tc>
      </w:tr>
      <w:tr w:rsidR="0082206A"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MATERIEL PHOTOGRAPHIQUE ET CINEMATOGRAPHIQUE ET APPAREILS OPTIQUES</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81,4</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82,0</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0,7</w:t>
            </w:r>
          </w:p>
        </w:tc>
      </w:tr>
      <w:tr w:rsidR="0082206A"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MATÉRIEL DE TRAITEMENT DE L'INFORMATION</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53,7</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53,5</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-0,4</w:t>
            </w:r>
          </w:p>
        </w:tc>
      </w:tr>
      <w:tr w:rsidR="0082206A"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SUPPORTS D'ENREGISTREMENT</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100,9</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100,9</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0,0</w:t>
            </w:r>
          </w:p>
        </w:tc>
      </w:tr>
      <w:tr w:rsidR="0082206A"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REPARATION DE MATERIEL AUDIOVISUEL, PHOTOGRAPHIQUE ET DE TRAITEMENT DE L'INFORMATION</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100,0</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100,0</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0,0</w:t>
            </w:r>
          </w:p>
        </w:tc>
      </w:tr>
      <w:tr w:rsidR="0082206A"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b/>
                <w:bCs/>
                <w:sz w:val="20"/>
                <w:szCs w:val="20"/>
              </w:rPr>
            </w:pPr>
            <w:r w:rsidRPr="00590216">
              <w:rPr>
                <w:rFonts w:asciiTheme="majorBidi" w:hAnsiTheme="majorBidi" w:cstheme="majorBidi"/>
                <w:b/>
                <w:bCs/>
                <w:sz w:val="20"/>
                <w:szCs w:val="20"/>
              </w:rPr>
              <w:t>093. AUTRES ARTICLES ET MATÉRIEL DE LOISIRS, DE JARDINAGE ET ANIM</w:t>
            </w:r>
            <w:r w:rsidR="003B69EC">
              <w:rPr>
                <w:rFonts w:asciiTheme="majorBidi" w:hAnsiTheme="majorBidi" w:cstheme="majorBidi"/>
                <w:b/>
                <w:bCs/>
                <w:sz w:val="20"/>
                <w:szCs w:val="20"/>
              </w:rPr>
              <w:t>ATION</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101,7</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101,6</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-0,1</w:t>
            </w:r>
          </w:p>
        </w:tc>
      </w:tr>
      <w:tr w:rsidR="0082206A"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JEUX, JOUETS ET PASSE-TEMPS</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89,4</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89,3</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-0,1</w:t>
            </w:r>
          </w:p>
        </w:tc>
      </w:tr>
      <w:tr w:rsidR="0082206A"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rsidP="003B69EC">
            <w:pPr>
              <w:rPr>
                <w:rFonts w:asciiTheme="majorBidi" w:hAnsiTheme="majorBidi" w:cstheme="majorBidi"/>
                <w:sz w:val="20"/>
                <w:szCs w:val="20"/>
              </w:rPr>
            </w:pPr>
            <w:r w:rsidRPr="00590216">
              <w:rPr>
                <w:rFonts w:asciiTheme="majorBidi" w:hAnsiTheme="majorBidi" w:cstheme="majorBidi"/>
                <w:sz w:val="20"/>
                <w:szCs w:val="20"/>
              </w:rPr>
              <w:t>ARTICLES DE SPORT, MATÉRIEL DE CAMPING ET MATÉRIEL POUR ACTIVITES DE PL</w:t>
            </w:r>
            <w:r w:rsidR="003B69EC">
              <w:rPr>
                <w:rFonts w:asciiTheme="majorBidi" w:hAnsiTheme="majorBidi" w:cstheme="majorBidi"/>
                <w:sz w:val="20"/>
                <w:szCs w:val="20"/>
              </w:rPr>
              <w:t>EIN</w:t>
            </w:r>
            <w:r w:rsidRPr="00590216">
              <w:rPr>
                <w:rFonts w:asciiTheme="majorBidi" w:hAnsiTheme="majorBidi" w:cstheme="majorBidi"/>
                <w:sz w:val="20"/>
                <w:szCs w:val="20"/>
              </w:rPr>
              <w:t xml:space="preserve"> AIR</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109,9</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107,8</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-1,9</w:t>
            </w:r>
          </w:p>
        </w:tc>
      </w:tr>
      <w:tr w:rsidR="0082206A"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PRODUITS POUR JARDINS, PLANTES ET FLEURS</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132,5</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132,5</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0,0</w:t>
            </w:r>
          </w:p>
        </w:tc>
      </w:tr>
      <w:tr w:rsidR="0082206A"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b/>
                <w:bCs/>
                <w:sz w:val="20"/>
                <w:szCs w:val="20"/>
              </w:rPr>
            </w:pPr>
            <w:r w:rsidRPr="00590216">
              <w:rPr>
                <w:rFonts w:asciiTheme="majorBidi" w:hAnsiTheme="majorBidi" w:cstheme="majorBidi"/>
                <w:b/>
                <w:bCs/>
                <w:sz w:val="20"/>
                <w:szCs w:val="20"/>
              </w:rPr>
              <w:t>094. SERVICES RÉCRÉATIFS ET CULTURELS</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105,3</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105,3</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0,0</w:t>
            </w:r>
          </w:p>
        </w:tc>
      </w:tr>
      <w:tr w:rsidR="0082206A"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 xml:space="preserve">SERVICES </w:t>
            </w:r>
            <w:r w:rsidR="003B69EC" w:rsidRPr="003B69EC">
              <w:rPr>
                <w:rFonts w:asciiTheme="majorBidi" w:hAnsiTheme="majorBidi" w:cstheme="majorBidi"/>
                <w:sz w:val="20"/>
                <w:szCs w:val="20"/>
              </w:rPr>
              <w:t>RÉCRÉATIFS</w:t>
            </w:r>
            <w:r w:rsidRPr="00590216">
              <w:rPr>
                <w:rFonts w:asciiTheme="majorBidi" w:hAnsiTheme="majorBidi" w:cstheme="majorBidi"/>
                <w:sz w:val="20"/>
                <w:szCs w:val="20"/>
              </w:rPr>
              <w:t xml:space="preserve"> ET SPORTIFS</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102,0</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102,0</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0,0</w:t>
            </w:r>
          </w:p>
        </w:tc>
      </w:tr>
      <w:tr w:rsidR="0082206A"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SERVICES CULTURELS</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114,4</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114,4</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0,0</w:t>
            </w:r>
          </w:p>
        </w:tc>
      </w:tr>
      <w:tr w:rsidR="0082206A"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JEUX DE HASARD</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100,0</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100,0</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0,0</w:t>
            </w:r>
          </w:p>
        </w:tc>
      </w:tr>
      <w:tr w:rsidR="0082206A"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b/>
                <w:bCs/>
                <w:sz w:val="20"/>
                <w:szCs w:val="20"/>
              </w:rPr>
            </w:pPr>
            <w:r w:rsidRPr="00590216">
              <w:rPr>
                <w:rFonts w:asciiTheme="majorBidi" w:hAnsiTheme="majorBidi" w:cstheme="majorBidi"/>
                <w:b/>
                <w:bCs/>
                <w:sz w:val="20"/>
                <w:szCs w:val="20"/>
              </w:rPr>
              <w:t>095. JOURNAUX, LIVRES ET ARTICLES DE PAPETERIE</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114,4</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114,5</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0,1</w:t>
            </w:r>
          </w:p>
        </w:tc>
      </w:tr>
      <w:tr w:rsidR="0082206A"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LIVRES</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100,0</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100,0</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0,0</w:t>
            </w:r>
          </w:p>
        </w:tc>
      </w:tr>
      <w:tr w:rsidR="0082206A"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JOURNAUX ET PUBLICATIONS PERIODIQUES</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154,0</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154,0</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0,0</w:t>
            </w:r>
          </w:p>
        </w:tc>
      </w:tr>
      <w:tr w:rsidR="0082206A"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PAPETERIE ET MATÉRIEL DE DESSIN</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108,1</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108,9</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0,7</w:t>
            </w:r>
          </w:p>
        </w:tc>
      </w:tr>
      <w:tr w:rsidR="0082206A"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b/>
                <w:bCs/>
                <w:sz w:val="20"/>
                <w:szCs w:val="20"/>
              </w:rPr>
            </w:pPr>
            <w:r w:rsidRPr="00590216">
              <w:rPr>
                <w:rFonts w:asciiTheme="majorBidi" w:hAnsiTheme="majorBidi" w:cstheme="majorBidi"/>
                <w:b/>
                <w:bCs/>
                <w:sz w:val="20"/>
                <w:szCs w:val="20"/>
              </w:rPr>
              <w:lastRenderedPageBreak/>
              <w:t>096. FORFAITS TOURISTIQUES</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123,5</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128,3</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3,9</w:t>
            </w:r>
          </w:p>
        </w:tc>
      </w:tr>
      <w:tr w:rsidR="0082206A"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FORFAITS TOURISTIQUES</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123,5</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128,3</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3,9</w:t>
            </w:r>
          </w:p>
        </w:tc>
      </w:tr>
      <w:tr w:rsidR="0082206A" w:rsidRPr="00331969" w:rsidTr="0031503A">
        <w:trPr>
          <w:trHeight w:val="342"/>
        </w:trPr>
        <w:tc>
          <w:tcPr>
            <w:tcW w:w="3481" w:type="pct"/>
            <w:tcBorders>
              <w:top w:val="nil"/>
              <w:left w:val="single" w:sz="4" w:space="0" w:color="auto"/>
              <w:bottom w:val="single" w:sz="4" w:space="0" w:color="auto"/>
              <w:right w:val="single" w:sz="4" w:space="0" w:color="auto"/>
            </w:tcBorders>
            <w:shd w:val="clear" w:color="000000" w:fill="BFBFBF"/>
            <w:vAlign w:val="center"/>
            <w:hideMark/>
          </w:tcPr>
          <w:p w:rsidR="0082206A" w:rsidRPr="00590216" w:rsidRDefault="0082206A">
            <w:pPr>
              <w:rPr>
                <w:rFonts w:asciiTheme="majorBidi" w:hAnsiTheme="majorBidi" w:cstheme="majorBidi"/>
                <w:b/>
                <w:bCs/>
                <w:sz w:val="20"/>
                <w:szCs w:val="20"/>
              </w:rPr>
            </w:pPr>
            <w:r w:rsidRPr="00590216">
              <w:rPr>
                <w:rFonts w:asciiTheme="majorBidi" w:hAnsiTheme="majorBidi" w:cstheme="majorBidi"/>
                <w:b/>
                <w:bCs/>
                <w:sz w:val="20"/>
                <w:szCs w:val="20"/>
              </w:rPr>
              <w:t>10. ENSEIGNEMENT</w:t>
            </w:r>
          </w:p>
        </w:tc>
        <w:tc>
          <w:tcPr>
            <w:tcW w:w="468" w:type="pct"/>
            <w:tcBorders>
              <w:top w:val="nil"/>
              <w:left w:val="nil"/>
              <w:bottom w:val="single" w:sz="4" w:space="0" w:color="auto"/>
              <w:right w:val="single" w:sz="4" w:space="0" w:color="auto"/>
            </w:tcBorders>
            <w:shd w:val="clear" w:color="000000" w:fill="BFBFBF"/>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117,3</w:t>
            </w:r>
          </w:p>
        </w:tc>
        <w:tc>
          <w:tcPr>
            <w:tcW w:w="481" w:type="pct"/>
            <w:tcBorders>
              <w:top w:val="nil"/>
              <w:left w:val="nil"/>
              <w:bottom w:val="single" w:sz="4" w:space="0" w:color="auto"/>
              <w:right w:val="single" w:sz="4" w:space="0" w:color="auto"/>
            </w:tcBorders>
            <w:shd w:val="clear" w:color="000000" w:fill="BFBFBF"/>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119,8</w:t>
            </w:r>
          </w:p>
        </w:tc>
        <w:tc>
          <w:tcPr>
            <w:tcW w:w="570" w:type="pct"/>
            <w:tcBorders>
              <w:top w:val="nil"/>
              <w:left w:val="nil"/>
              <w:bottom w:val="single" w:sz="4" w:space="0" w:color="auto"/>
              <w:right w:val="single" w:sz="4" w:space="0" w:color="auto"/>
            </w:tcBorders>
            <w:shd w:val="clear" w:color="000000" w:fill="BFBFBF"/>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2,1</w:t>
            </w:r>
          </w:p>
        </w:tc>
      </w:tr>
      <w:tr w:rsidR="0082206A"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b/>
                <w:bCs/>
                <w:sz w:val="20"/>
                <w:szCs w:val="20"/>
              </w:rPr>
            </w:pPr>
            <w:r w:rsidRPr="00590216">
              <w:rPr>
                <w:rFonts w:asciiTheme="majorBidi" w:hAnsiTheme="majorBidi" w:cstheme="majorBidi"/>
                <w:b/>
                <w:bCs/>
                <w:sz w:val="20"/>
                <w:szCs w:val="20"/>
              </w:rPr>
              <w:t>101. ENSEIGNEMENT PRÉÉLÉMENTAIRE ET PRIMAIRE</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120,5</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127,6</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5,9</w:t>
            </w:r>
          </w:p>
        </w:tc>
      </w:tr>
      <w:tr w:rsidR="0082206A" w:rsidRPr="00590216"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ENSEIGNEMENT PRÉÉLÉMENTAIRE ET PRIMAIRE</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120,5</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127,6</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5,9</w:t>
            </w:r>
          </w:p>
        </w:tc>
      </w:tr>
      <w:tr w:rsidR="0082206A"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b/>
                <w:bCs/>
                <w:sz w:val="20"/>
                <w:szCs w:val="20"/>
              </w:rPr>
            </w:pPr>
            <w:r w:rsidRPr="00590216">
              <w:rPr>
                <w:rFonts w:asciiTheme="majorBidi" w:hAnsiTheme="majorBidi" w:cstheme="majorBidi"/>
                <w:b/>
                <w:bCs/>
                <w:sz w:val="20"/>
                <w:szCs w:val="20"/>
              </w:rPr>
              <w:t>102. ENSEIGNEMENT SECONDAIRE</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153,0</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153,0</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0,0</w:t>
            </w:r>
          </w:p>
        </w:tc>
      </w:tr>
      <w:tr w:rsidR="0082206A" w:rsidRPr="00590216"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ENSEIGNEMENT SECONDAIRE</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153,0</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153,0</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0,0</w:t>
            </w:r>
          </w:p>
        </w:tc>
      </w:tr>
      <w:tr w:rsidR="0082206A"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b/>
                <w:bCs/>
                <w:sz w:val="20"/>
                <w:szCs w:val="20"/>
              </w:rPr>
            </w:pPr>
            <w:r w:rsidRPr="00590216">
              <w:rPr>
                <w:rFonts w:asciiTheme="majorBidi" w:hAnsiTheme="majorBidi" w:cstheme="majorBidi"/>
                <w:b/>
                <w:bCs/>
                <w:sz w:val="20"/>
                <w:szCs w:val="20"/>
              </w:rPr>
              <w:t>103. ENSEIGNEMENT POSTSECONDAIRE NON SUPÉRIEUR</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109,8</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114,3</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4,1</w:t>
            </w:r>
          </w:p>
        </w:tc>
      </w:tr>
      <w:tr w:rsidR="0082206A" w:rsidRPr="00590216"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ENSEIGNEMENT POSTSECONDAIRE NON SUPÉRIEUR</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109,8</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114,3</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4,1</w:t>
            </w:r>
          </w:p>
        </w:tc>
      </w:tr>
      <w:tr w:rsidR="0082206A"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b/>
                <w:bCs/>
                <w:sz w:val="20"/>
                <w:szCs w:val="20"/>
              </w:rPr>
            </w:pPr>
            <w:r w:rsidRPr="00590216">
              <w:rPr>
                <w:rFonts w:asciiTheme="majorBidi" w:hAnsiTheme="majorBidi" w:cstheme="majorBidi"/>
                <w:b/>
                <w:bCs/>
                <w:sz w:val="20"/>
                <w:szCs w:val="20"/>
              </w:rPr>
              <w:t>104. ENSEIGNEMENT SUPÉRIEUR</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111,4</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111,4</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0,0</w:t>
            </w:r>
          </w:p>
        </w:tc>
      </w:tr>
      <w:tr w:rsidR="0082206A" w:rsidRPr="00590216"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ENSEIGNEMENT SUPÉRIEUR</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111,4</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111,4</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0,0</w:t>
            </w:r>
          </w:p>
        </w:tc>
      </w:tr>
      <w:tr w:rsidR="0082206A"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b/>
                <w:bCs/>
                <w:sz w:val="20"/>
                <w:szCs w:val="20"/>
              </w:rPr>
            </w:pPr>
            <w:r w:rsidRPr="00590216">
              <w:rPr>
                <w:rFonts w:asciiTheme="majorBidi" w:hAnsiTheme="majorBidi" w:cstheme="majorBidi"/>
                <w:b/>
                <w:bCs/>
                <w:sz w:val="20"/>
                <w:szCs w:val="20"/>
              </w:rPr>
              <w:t>105. ENSEIGNEMENT NON DÉFINI PAR NIVEAU</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100,0</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100,0</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0,0</w:t>
            </w:r>
          </w:p>
        </w:tc>
      </w:tr>
      <w:tr w:rsidR="0082206A" w:rsidRPr="00590216"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ENSEIGNEMENT NON DÉFINI PAR NIVEAU</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100,0</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100,0</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0,0</w:t>
            </w:r>
          </w:p>
        </w:tc>
      </w:tr>
      <w:tr w:rsidR="0082206A" w:rsidRPr="00331969" w:rsidTr="0031503A">
        <w:trPr>
          <w:trHeight w:val="342"/>
        </w:trPr>
        <w:tc>
          <w:tcPr>
            <w:tcW w:w="3481" w:type="pct"/>
            <w:tcBorders>
              <w:top w:val="nil"/>
              <w:left w:val="single" w:sz="4" w:space="0" w:color="auto"/>
              <w:bottom w:val="single" w:sz="4" w:space="0" w:color="auto"/>
              <w:right w:val="single" w:sz="4" w:space="0" w:color="auto"/>
            </w:tcBorders>
            <w:shd w:val="clear" w:color="000000" w:fill="BFBFBF"/>
            <w:vAlign w:val="center"/>
            <w:hideMark/>
          </w:tcPr>
          <w:p w:rsidR="0082206A" w:rsidRPr="00590216" w:rsidRDefault="0082206A">
            <w:pPr>
              <w:rPr>
                <w:rFonts w:asciiTheme="majorBidi" w:hAnsiTheme="majorBidi" w:cstheme="majorBidi"/>
                <w:b/>
                <w:bCs/>
                <w:sz w:val="20"/>
                <w:szCs w:val="20"/>
              </w:rPr>
            </w:pPr>
            <w:r w:rsidRPr="00590216">
              <w:rPr>
                <w:rFonts w:asciiTheme="majorBidi" w:hAnsiTheme="majorBidi" w:cstheme="majorBidi"/>
                <w:b/>
                <w:bCs/>
                <w:sz w:val="20"/>
                <w:szCs w:val="20"/>
              </w:rPr>
              <w:t>11. RESTAURANTS ET HÔTELS</w:t>
            </w:r>
          </w:p>
        </w:tc>
        <w:tc>
          <w:tcPr>
            <w:tcW w:w="468" w:type="pct"/>
            <w:tcBorders>
              <w:top w:val="nil"/>
              <w:left w:val="nil"/>
              <w:bottom w:val="single" w:sz="4" w:space="0" w:color="auto"/>
              <w:right w:val="single" w:sz="4" w:space="0" w:color="auto"/>
            </w:tcBorders>
            <w:shd w:val="clear" w:color="000000" w:fill="BFBFBF"/>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160,1</w:t>
            </w:r>
          </w:p>
        </w:tc>
        <w:tc>
          <w:tcPr>
            <w:tcW w:w="481" w:type="pct"/>
            <w:tcBorders>
              <w:top w:val="nil"/>
              <w:left w:val="nil"/>
              <w:bottom w:val="single" w:sz="4" w:space="0" w:color="auto"/>
              <w:right w:val="single" w:sz="4" w:space="0" w:color="auto"/>
            </w:tcBorders>
            <w:shd w:val="clear" w:color="000000" w:fill="BFBFBF"/>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163,3</w:t>
            </w:r>
          </w:p>
        </w:tc>
        <w:tc>
          <w:tcPr>
            <w:tcW w:w="570" w:type="pct"/>
            <w:tcBorders>
              <w:top w:val="nil"/>
              <w:left w:val="nil"/>
              <w:bottom w:val="single" w:sz="4" w:space="0" w:color="auto"/>
              <w:right w:val="single" w:sz="4" w:space="0" w:color="auto"/>
            </w:tcBorders>
            <w:shd w:val="clear" w:color="000000" w:fill="BFBFBF"/>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2,0</w:t>
            </w:r>
          </w:p>
        </w:tc>
      </w:tr>
      <w:tr w:rsidR="0082206A"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b/>
                <w:bCs/>
                <w:sz w:val="20"/>
                <w:szCs w:val="20"/>
              </w:rPr>
            </w:pPr>
            <w:r w:rsidRPr="00590216">
              <w:rPr>
                <w:rFonts w:asciiTheme="majorBidi" w:hAnsiTheme="majorBidi" w:cstheme="majorBidi"/>
                <w:b/>
                <w:bCs/>
                <w:sz w:val="20"/>
                <w:szCs w:val="20"/>
              </w:rPr>
              <w:t>111. SERVICES DE RESTAURATION</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160,7</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163,6</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1,8</w:t>
            </w:r>
          </w:p>
        </w:tc>
      </w:tr>
      <w:tr w:rsidR="0082206A" w:rsidRPr="00590216"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RESTAURANTS, CAFÉS ET ÉTABLISSEMENTS SIMILAIRES</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160,5</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163,7</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2,0</w:t>
            </w:r>
          </w:p>
        </w:tc>
      </w:tr>
      <w:tr w:rsidR="0082206A" w:rsidRPr="00590216"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CANTINES</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172,7</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172,7</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0,0</w:t>
            </w:r>
          </w:p>
        </w:tc>
      </w:tr>
      <w:tr w:rsidR="0082206A"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b/>
                <w:bCs/>
                <w:sz w:val="20"/>
                <w:szCs w:val="20"/>
              </w:rPr>
            </w:pPr>
            <w:r w:rsidRPr="00590216">
              <w:rPr>
                <w:rFonts w:asciiTheme="majorBidi" w:hAnsiTheme="majorBidi" w:cstheme="majorBidi"/>
                <w:b/>
                <w:bCs/>
                <w:sz w:val="20"/>
                <w:szCs w:val="20"/>
              </w:rPr>
              <w:t>112. SERVICES D'HÉBERGEMENT</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138,9</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150,0</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7,9</w:t>
            </w:r>
          </w:p>
        </w:tc>
      </w:tr>
      <w:tr w:rsidR="0082206A" w:rsidRPr="00590216"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SERVICES D'HÉBERGEMENT</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138,9</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150,0</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7,9</w:t>
            </w:r>
          </w:p>
        </w:tc>
      </w:tr>
      <w:tr w:rsidR="0082206A" w:rsidRPr="00331969" w:rsidTr="0031503A">
        <w:trPr>
          <w:trHeight w:val="342"/>
        </w:trPr>
        <w:tc>
          <w:tcPr>
            <w:tcW w:w="3481" w:type="pct"/>
            <w:tcBorders>
              <w:top w:val="nil"/>
              <w:left w:val="single" w:sz="4" w:space="0" w:color="auto"/>
              <w:bottom w:val="single" w:sz="4" w:space="0" w:color="auto"/>
              <w:right w:val="single" w:sz="4" w:space="0" w:color="auto"/>
            </w:tcBorders>
            <w:shd w:val="clear" w:color="000000" w:fill="BFBFBF"/>
            <w:vAlign w:val="center"/>
            <w:hideMark/>
          </w:tcPr>
          <w:p w:rsidR="0082206A" w:rsidRPr="00590216" w:rsidRDefault="0082206A">
            <w:pPr>
              <w:rPr>
                <w:rFonts w:asciiTheme="majorBidi" w:hAnsiTheme="majorBidi" w:cstheme="majorBidi"/>
                <w:b/>
                <w:bCs/>
                <w:sz w:val="20"/>
                <w:szCs w:val="20"/>
              </w:rPr>
            </w:pPr>
            <w:r w:rsidRPr="00590216">
              <w:rPr>
                <w:rFonts w:asciiTheme="majorBidi" w:hAnsiTheme="majorBidi" w:cstheme="majorBidi"/>
                <w:b/>
                <w:bCs/>
                <w:sz w:val="20"/>
                <w:szCs w:val="20"/>
              </w:rPr>
              <w:t>12. BIENS ET SERVICES DIVERS</w:t>
            </w:r>
          </w:p>
        </w:tc>
        <w:tc>
          <w:tcPr>
            <w:tcW w:w="468" w:type="pct"/>
            <w:tcBorders>
              <w:top w:val="nil"/>
              <w:left w:val="nil"/>
              <w:bottom w:val="single" w:sz="4" w:space="0" w:color="auto"/>
              <w:right w:val="single" w:sz="4" w:space="0" w:color="auto"/>
            </w:tcBorders>
            <w:shd w:val="clear" w:color="000000" w:fill="BFBFBF"/>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131,2</w:t>
            </w:r>
          </w:p>
        </w:tc>
        <w:tc>
          <w:tcPr>
            <w:tcW w:w="481" w:type="pct"/>
            <w:tcBorders>
              <w:top w:val="nil"/>
              <w:left w:val="nil"/>
              <w:bottom w:val="single" w:sz="4" w:space="0" w:color="auto"/>
              <w:right w:val="single" w:sz="4" w:space="0" w:color="auto"/>
            </w:tcBorders>
            <w:shd w:val="clear" w:color="000000" w:fill="BFBFBF"/>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131,5</w:t>
            </w:r>
          </w:p>
        </w:tc>
        <w:tc>
          <w:tcPr>
            <w:tcW w:w="570" w:type="pct"/>
            <w:tcBorders>
              <w:top w:val="nil"/>
              <w:left w:val="nil"/>
              <w:bottom w:val="single" w:sz="4" w:space="0" w:color="auto"/>
              <w:right w:val="single" w:sz="4" w:space="0" w:color="auto"/>
            </w:tcBorders>
            <w:shd w:val="clear" w:color="000000" w:fill="BFBFBF"/>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0,3</w:t>
            </w:r>
          </w:p>
        </w:tc>
      </w:tr>
      <w:tr w:rsidR="0082206A"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b/>
                <w:bCs/>
                <w:sz w:val="20"/>
                <w:szCs w:val="20"/>
              </w:rPr>
            </w:pPr>
            <w:r w:rsidRPr="00590216">
              <w:rPr>
                <w:rFonts w:asciiTheme="majorBidi" w:hAnsiTheme="majorBidi" w:cstheme="majorBidi"/>
                <w:b/>
                <w:bCs/>
                <w:sz w:val="20"/>
                <w:szCs w:val="20"/>
              </w:rPr>
              <w:t>121. SOINS CORPORELS</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143,6</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144,1</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0,4</w:t>
            </w:r>
          </w:p>
        </w:tc>
      </w:tr>
      <w:tr w:rsidR="0082206A" w:rsidRPr="00590216"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SALONS DE COIFFURE ET INSTITUTS DE SOINS ET DE BEAUTÉ</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160,2</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161,3</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0,7</w:t>
            </w:r>
          </w:p>
        </w:tc>
      </w:tr>
      <w:tr w:rsidR="0082206A" w:rsidRPr="00590216"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APPAREILS ELECTRIQUES POUR SOINS CORPORELS</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109,7</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109,2</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-0,5</w:t>
            </w:r>
          </w:p>
        </w:tc>
      </w:tr>
      <w:tr w:rsidR="0082206A" w:rsidRPr="00590216"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AUTRES APPAREILS, ARTICLES ET PRODUITS POUR SOINS CORPORELS</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115,8</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115,7</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0,0</w:t>
            </w:r>
          </w:p>
        </w:tc>
      </w:tr>
      <w:tr w:rsidR="0082206A"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b/>
                <w:bCs/>
                <w:sz w:val="20"/>
                <w:szCs w:val="20"/>
              </w:rPr>
            </w:pPr>
            <w:r w:rsidRPr="00590216">
              <w:rPr>
                <w:rFonts w:asciiTheme="majorBidi" w:hAnsiTheme="majorBidi" w:cstheme="majorBidi"/>
                <w:b/>
                <w:bCs/>
                <w:sz w:val="20"/>
                <w:szCs w:val="20"/>
              </w:rPr>
              <w:lastRenderedPageBreak/>
              <w:t>123. EFFETS PERSONNELS N.C.A.</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161,6</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162,7</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0,6</w:t>
            </w:r>
          </w:p>
        </w:tc>
      </w:tr>
      <w:tr w:rsidR="0082206A" w:rsidRPr="00590216"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ARTICLES DE BIJOUTERIE ET HORLOGERIE</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168,4</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174,2</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3,4</w:t>
            </w:r>
          </w:p>
        </w:tc>
      </w:tr>
      <w:tr w:rsidR="0082206A" w:rsidRPr="00590216"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AUTRES EFFETS PERSONNELS</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121,2</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120,0</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-1,0</w:t>
            </w:r>
          </w:p>
        </w:tc>
      </w:tr>
      <w:tr w:rsidR="0082206A"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b/>
                <w:bCs/>
                <w:sz w:val="20"/>
                <w:szCs w:val="20"/>
              </w:rPr>
            </w:pPr>
            <w:r w:rsidRPr="00590216">
              <w:rPr>
                <w:rFonts w:asciiTheme="majorBidi" w:hAnsiTheme="majorBidi" w:cstheme="majorBidi"/>
                <w:b/>
                <w:bCs/>
                <w:sz w:val="20"/>
                <w:szCs w:val="20"/>
              </w:rPr>
              <w:t>125. ASSURANCE</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99,6</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99,6</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0,0</w:t>
            </w:r>
          </w:p>
        </w:tc>
      </w:tr>
      <w:tr w:rsidR="0082206A" w:rsidRPr="00590216"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rsidP="003B69EC">
            <w:pPr>
              <w:rPr>
                <w:rFonts w:asciiTheme="majorBidi" w:hAnsiTheme="majorBidi" w:cstheme="majorBidi"/>
                <w:sz w:val="20"/>
                <w:szCs w:val="20"/>
              </w:rPr>
            </w:pPr>
            <w:r w:rsidRPr="00590216">
              <w:rPr>
                <w:rFonts w:asciiTheme="majorBidi" w:hAnsiTheme="majorBidi" w:cstheme="majorBidi"/>
                <w:sz w:val="20"/>
                <w:szCs w:val="20"/>
              </w:rPr>
              <w:t xml:space="preserve">ASSURANCE </w:t>
            </w:r>
            <w:r w:rsidR="003B69EC">
              <w:rPr>
                <w:rFonts w:asciiTheme="majorBidi" w:hAnsiTheme="majorBidi" w:cstheme="majorBidi"/>
                <w:sz w:val="20"/>
                <w:szCs w:val="20"/>
              </w:rPr>
              <w:t xml:space="preserve">DE </w:t>
            </w:r>
            <w:r w:rsidRPr="00590216">
              <w:rPr>
                <w:rFonts w:asciiTheme="majorBidi" w:hAnsiTheme="majorBidi" w:cstheme="majorBidi"/>
                <w:sz w:val="20"/>
                <w:szCs w:val="20"/>
              </w:rPr>
              <w:t>TRANSPORT</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99,6</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99,6</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0,0</w:t>
            </w:r>
          </w:p>
        </w:tc>
      </w:tr>
      <w:tr w:rsidR="0082206A"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b/>
                <w:bCs/>
                <w:sz w:val="20"/>
                <w:szCs w:val="20"/>
              </w:rPr>
            </w:pPr>
            <w:r w:rsidRPr="00590216">
              <w:rPr>
                <w:rFonts w:asciiTheme="majorBidi" w:hAnsiTheme="majorBidi" w:cstheme="majorBidi"/>
                <w:b/>
                <w:bCs/>
                <w:sz w:val="20"/>
                <w:szCs w:val="20"/>
              </w:rPr>
              <w:t xml:space="preserve">127. AUTRES SERVICES </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122,1</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122,1</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0,0</w:t>
            </w:r>
          </w:p>
        </w:tc>
      </w:tr>
      <w:tr w:rsidR="0082206A" w:rsidRPr="00590216"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82206A" w:rsidRPr="00590216" w:rsidRDefault="0082206A">
            <w:pPr>
              <w:rPr>
                <w:rFonts w:asciiTheme="majorBidi" w:hAnsiTheme="majorBidi" w:cstheme="majorBidi"/>
                <w:sz w:val="20"/>
                <w:szCs w:val="20"/>
              </w:rPr>
            </w:pPr>
            <w:r w:rsidRPr="00590216">
              <w:rPr>
                <w:rFonts w:asciiTheme="majorBidi" w:hAnsiTheme="majorBidi" w:cstheme="majorBidi"/>
                <w:sz w:val="20"/>
                <w:szCs w:val="20"/>
              </w:rPr>
              <w:t xml:space="preserve">AUTRES SERVICES </w:t>
            </w:r>
          </w:p>
        </w:tc>
        <w:tc>
          <w:tcPr>
            <w:tcW w:w="468"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122,1</w:t>
            </w:r>
          </w:p>
        </w:tc>
        <w:tc>
          <w:tcPr>
            <w:tcW w:w="481"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122,1</w:t>
            </w:r>
          </w:p>
        </w:tc>
        <w:tc>
          <w:tcPr>
            <w:tcW w:w="570" w:type="pct"/>
            <w:tcBorders>
              <w:top w:val="nil"/>
              <w:left w:val="nil"/>
              <w:bottom w:val="single" w:sz="4" w:space="0" w:color="auto"/>
              <w:right w:val="single" w:sz="4" w:space="0" w:color="auto"/>
            </w:tcBorders>
            <w:shd w:val="clear" w:color="auto" w:fill="auto"/>
            <w:vAlign w:val="center"/>
            <w:hideMark/>
          </w:tcPr>
          <w:p w:rsidR="0082206A" w:rsidRPr="00590216" w:rsidRDefault="0082206A">
            <w:pPr>
              <w:jc w:val="right"/>
              <w:rPr>
                <w:rFonts w:asciiTheme="majorBidi" w:hAnsiTheme="majorBidi" w:cstheme="majorBidi"/>
                <w:sz w:val="20"/>
                <w:szCs w:val="20"/>
              </w:rPr>
            </w:pPr>
            <w:r w:rsidRPr="00590216">
              <w:rPr>
                <w:rFonts w:asciiTheme="majorBidi" w:hAnsiTheme="majorBidi" w:cstheme="majorBidi"/>
                <w:sz w:val="20"/>
                <w:szCs w:val="20"/>
              </w:rPr>
              <w:t>0,0</w:t>
            </w:r>
          </w:p>
        </w:tc>
      </w:tr>
      <w:tr w:rsidR="0082206A" w:rsidRPr="00331969" w:rsidTr="0031503A">
        <w:trPr>
          <w:trHeight w:val="315"/>
        </w:trPr>
        <w:tc>
          <w:tcPr>
            <w:tcW w:w="3481" w:type="pct"/>
            <w:tcBorders>
              <w:top w:val="nil"/>
              <w:left w:val="single" w:sz="4" w:space="0" w:color="auto"/>
              <w:bottom w:val="single" w:sz="4" w:space="0" w:color="auto"/>
              <w:right w:val="single" w:sz="4" w:space="0" w:color="auto"/>
            </w:tcBorders>
            <w:shd w:val="clear" w:color="000000" w:fill="A5A5A5"/>
            <w:vAlign w:val="center"/>
            <w:hideMark/>
          </w:tcPr>
          <w:p w:rsidR="0082206A" w:rsidRPr="00590216" w:rsidRDefault="0082206A">
            <w:pPr>
              <w:rPr>
                <w:rFonts w:asciiTheme="majorBidi" w:hAnsiTheme="majorBidi" w:cstheme="majorBidi"/>
                <w:b/>
                <w:bCs/>
                <w:sz w:val="20"/>
                <w:szCs w:val="20"/>
              </w:rPr>
            </w:pPr>
            <w:r w:rsidRPr="00590216">
              <w:rPr>
                <w:rFonts w:asciiTheme="majorBidi" w:hAnsiTheme="majorBidi" w:cstheme="majorBidi"/>
                <w:b/>
                <w:bCs/>
                <w:sz w:val="20"/>
                <w:szCs w:val="20"/>
              </w:rPr>
              <w:t>INDICE GENERAL</w:t>
            </w:r>
          </w:p>
        </w:tc>
        <w:tc>
          <w:tcPr>
            <w:tcW w:w="468" w:type="pct"/>
            <w:tcBorders>
              <w:top w:val="nil"/>
              <w:left w:val="nil"/>
              <w:bottom w:val="single" w:sz="4" w:space="0" w:color="auto"/>
              <w:right w:val="single" w:sz="4" w:space="0" w:color="auto"/>
            </w:tcBorders>
            <w:shd w:val="clear" w:color="000000" w:fill="A5A5A5"/>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118,5</w:t>
            </w:r>
          </w:p>
        </w:tc>
        <w:tc>
          <w:tcPr>
            <w:tcW w:w="481" w:type="pct"/>
            <w:tcBorders>
              <w:top w:val="nil"/>
              <w:left w:val="nil"/>
              <w:bottom w:val="single" w:sz="4" w:space="0" w:color="auto"/>
              <w:right w:val="single" w:sz="4" w:space="0" w:color="auto"/>
            </w:tcBorders>
            <w:shd w:val="clear" w:color="000000" w:fill="A5A5A5"/>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118,7</w:t>
            </w:r>
          </w:p>
        </w:tc>
        <w:tc>
          <w:tcPr>
            <w:tcW w:w="570" w:type="pct"/>
            <w:tcBorders>
              <w:top w:val="nil"/>
              <w:left w:val="nil"/>
              <w:bottom w:val="single" w:sz="4" w:space="0" w:color="auto"/>
              <w:right w:val="single" w:sz="4" w:space="0" w:color="auto"/>
            </w:tcBorders>
            <w:shd w:val="clear" w:color="000000" w:fill="A5A5A5"/>
            <w:vAlign w:val="center"/>
            <w:hideMark/>
          </w:tcPr>
          <w:p w:rsidR="0082206A" w:rsidRPr="00590216" w:rsidRDefault="0082206A">
            <w:pPr>
              <w:jc w:val="right"/>
              <w:rPr>
                <w:rFonts w:asciiTheme="majorBidi" w:hAnsiTheme="majorBidi" w:cstheme="majorBidi"/>
                <w:b/>
                <w:bCs/>
                <w:sz w:val="20"/>
                <w:szCs w:val="20"/>
              </w:rPr>
            </w:pPr>
            <w:r w:rsidRPr="00590216">
              <w:rPr>
                <w:rFonts w:asciiTheme="majorBidi" w:hAnsiTheme="majorBidi" w:cstheme="majorBidi"/>
                <w:b/>
                <w:bCs/>
                <w:sz w:val="20"/>
                <w:szCs w:val="20"/>
              </w:rPr>
              <w:t>0,2</w:t>
            </w:r>
          </w:p>
        </w:tc>
      </w:tr>
    </w:tbl>
    <w:p w:rsidR="00BB5DB3" w:rsidRPr="00483003" w:rsidRDefault="00BB5DB3" w:rsidP="00BB5DB3">
      <w:pPr>
        <w:pStyle w:val="Lgende"/>
        <w:rPr>
          <w:rFonts w:ascii="Times New Roman" w:hAnsi="Times New Roman"/>
          <w:i/>
          <w:iCs/>
          <w:sz w:val="22"/>
        </w:rPr>
      </w:pPr>
      <w:r w:rsidRPr="00483003">
        <w:rPr>
          <w:rFonts w:ascii="Times New Roman" w:hAnsi="Times New Roman"/>
          <w:i/>
          <w:iCs/>
          <w:sz w:val="22"/>
        </w:rPr>
        <w:t>Source : HCP</w:t>
      </w:r>
    </w:p>
    <w:p w:rsidR="00AE1AFA" w:rsidRDefault="00AE1AFA" w:rsidP="00F7045D"/>
    <w:p w:rsidR="00331969" w:rsidRPr="00F67555" w:rsidRDefault="00331969" w:rsidP="00BD5911">
      <w:pPr>
        <w:rPr>
          <w:vanish/>
          <w:specVanish/>
        </w:rPr>
      </w:pPr>
    </w:p>
    <w:p w:rsidR="00BD5911" w:rsidRDefault="00BD5911" w:rsidP="004F39E8">
      <w:pPr>
        <w:spacing w:after="0" w:line="240" w:lineRule="auto"/>
        <w:rPr>
          <w:rFonts w:asciiTheme="majorBidi" w:hAnsiTheme="majorBidi" w:cstheme="majorBidi"/>
          <w:b/>
          <w:bCs/>
          <w:color w:val="4F81BD" w:themeColor="accent1"/>
        </w:rPr>
        <w:sectPr w:rsidR="00BD5911" w:rsidSect="007B49E0">
          <w:footerReference w:type="default" r:id="rId18"/>
          <w:pgSz w:w="11906" w:h="16838"/>
          <w:pgMar w:top="1701" w:right="1274" w:bottom="1701" w:left="1418" w:header="709" w:footer="709" w:gutter="0"/>
          <w:cols w:space="708"/>
          <w:titlePg/>
          <w:docGrid w:linePitch="360"/>
        </w:sectPr>
      </w:pPr>
    </w:p>
    <w:tbl>
      <w:tblPr>
        <w:tblW w:w="5000" w:type="pct"/>
        <w:tblCellMar>
          <w:left w:w="70" w:type="dxa"/>
          <w:right w:w="70" w:type="dxa"/>
        </w:tblCellMar>
        <w:tblLook w:val="04A0"/>
      </w:tblPr>
      <w:tblGrid>
        <w:gridCol w:w="3227"/>
        <w:gridCol w:w="790"/>
        <w:gridCol w:w="790"/>
        <w:gridCol w:w="798"/>
        <w:gridCol w:w="790"/>
        <w:gridCol w:w="790"/>
        <w:gridCol w:w="790"/>
        <w:gridCol w:w="790"/>
        <w:gridCol w:w="790"/>
        <w:gridCol w:w="790"/>
        <w:gridCol w:w="790"/>
        <w:gridCol w:w="790"/>
        <w:gridCol w:w="793"/>
        <w:gridCol w:w="858"/>
      </w:tblGrid>
      <w:tr w:rsidR="007D6D8B" w:rsidRPr="00951E73" w:rsidTr="007D6D8B">
        <w:trPr>
          <w:trHeight w:val="390"/>
        </w:trPr>
        <w:tc>
          <w:tcPr>
            <w:tcW w:w="5000" w:type="pct"/>
            <w:gridSpan w:val="14"/>
            <w:tcBorders>
              <w:top w:val="nil"/>
              <w:left w:val="nil"/>
              <w:bottom w:val="single" w:sz="8" w:space="0" w:color="auto"/>
              <w:right w:val="nil"/>
            </w:tcBorders>
            <w:shd w:val="clear" w:color="auto" w:fill="auto"/>
            <w:noWrap/>
            <w:vAlign w:val="bottom"/>
            <w:hideMark/>
          </w:tcPr>
          <w:p w:rsidR="007D6D8B" w:rsidRPr="00951E73" w:rsidRDefault="007D6D8B" w:rsidP="007D6D8B">
            <w:pPr>
              <w:spacing w:after="0" w:line="240" w:lineRule="auto"/>
              <w:rPr>
                <w:rFonts w:asciiTheme="majorBidi" w:eastAsia="Times New Roman" w:hAnsiTheme="majorBidi" w:cstheme="majorBidi"/>
                <w:b/>
                <w:bCs/>
                <w:color w:val="4F81BD" w:themeColor="accent1"/>
                <w:lang w:eastAsia="fr-FR"/>
              </w:rPr>
            </w:pPr>
            <w:bookmarkStart w:id="48" w:name="_Toc515274114"/>
            <w:r w:rsidRPr="00951E73">
              <w:rPr>
                <w:rFonts w:asciiTheme="majorBidi" w:hAnsiTheme="majorBidi" w:cstheme="majorBidi"/>
                <w:b/>
                <w:bCs/>
                <w:color w:val="4F81BD" w:themeColor="accent1"/>
              </w:rPr>
              <w:lastRenderedPageBreak/>
              <w:t xml:space="preserve">Tableau A </w:t>
            </w:r>
            <w:r w:rsidR="00DE78CE" w:rsidRPr="00951E73">
              <w:rPr>
                <w:rFonts w:asciiTheme="majorBidi" w:hAnsiTheme="majorBidi" w:cstheme="majorBidi"/>
                <w:b/>
                <w:bCs/>
                <w:color w:val="4F81BD" w:themeColor="accent1"/>
              </w:rPr>
              <w:fldChar w:fldCharType="begin"/>
            </w:r>
            <w:r w:rsidRPr="00951E73">
              <w:rPr>
                <w:rFonts w:asciiTheme="majorBidi" w:hAnsiTheme="majorBidi" w:cstheme="majorBidi"/>
                <w:b/>
                <w:bCs/>
                <w:color w:val="4F81BD" w:themeColor="accent1"/>
              </w:rPr>
              <w:instrText xml:space="preserve"> SEQ Tableau_A \* ARABIC </w:instrText>
            </w:r>
            <w:r w:rsidR="00DE78CE" w:rsidRPr="00951E73">
              <w:rPr>
                <w:rFonts w:asciiTheme="majorBidi" w:hAnsiTheme="majorBidi" w:cstheme="majorBidi"/>
                <w:b/>
                <w:bCs/>
                <w:color w:val="4F81BD" w:themeColor="accent1"/>
              </w:rPr>
              <w:fldChar w:fldCharType="separate"/>
            </w:r>
            <w:r w:rsidR="00477549">
              <w:rPr>
                <w:rFonts w:asciiTheme="majorBidi" w:hAnsiTheme="majorBidi" w:cstheme="majorBidi"/>
                <w:b/>
                <w:bCs/>
                <w:noProof/>
                <w:color w:val="4F81BD" w:themeColor="accent1"/>
              </w:rPr>
              <w:t>2</w:t>
            </w:r>
            <w:r w:rsidR="00DE78CE" w:rsidRPr="00951E73">
              <w:rPr>
                <w:rFonts w:asciiTheme="majorBidi" w:hAnsiTheme="majorBidi" w:cstheme="majorBidi"/>
                <w:b/>
                <w:bCs/>
                <w:color w:val="4F81BD" w:themeColor="accent1"/>
              </w:rPr>
              <w:fldChar w:fldCharType="end"/>
            </w:r>
            <w:r w:rsidRPr="00951E73">
              <w:rPr>
                <w:rFonts w:asciiTheme="majorBidi" w:hAnsiTheme="majorBidi" w:cstheme="majorBidi"/>
                <w:b/>
                <w:bCs/>
                <w:color w:val="4F81BD" w:themeColor="accent1"/>
              </w:rPr>
              <w:t xml:space="preserve"> : </w:t>
            </w:r>
            <w:r w:rsidRPr="00951E73">
              <w:rPr>
                <w:rFonts w:asciiTheme="majorBidi" w:eastAsia="Times New Roman" w:hAnsiTheme="majorBidi" w:cstheme="majorBidi"/>
                <w:b/>
                <w:bCs/>
                <w:color w:val="4F81BD" w:themeColor="accent1"/>
                <w:lang w:eastAsia="fr-FR"/>
              </w:rPr>
              <w:t xml:space="preserve">IPC de la ville de </w:t>
            </w:r>
            <w:proofErr w:type="spellStart"/>
            <w:r w:rsidRPr="00951E73">
              <w:rPr>
                <w:rFonts w:asciiTheme="majorBidi" w:eastAsia="Times New Roman" w:hAnsiTheme="majorBidi" w:cstheme="majorBidi"/>
                <w:b/>
                <w:bCs/>
                <w:color w:val="4F81BD" w:themeColor="accent1"/>
                <w:lang w:eastAsia="fr-FR"/>
              </w:rPr>
              <w:t>Kénitra</w:t>
            </w:r>
            <w:proofErr w:type="spellEnd"/>
            <w:r w:rsidRPr="00951E73">
              <w:rPr>
                <w:rFonts w:asciiTheme="majorBidi" w:eastAsia="Times New Roman" w:hAnsiTheme="majorBidi" w:cstheme="majorBidi"/>
                <w:b/>
                <w:bCs/>
                <w:color w:val="4F81BD" w:themeColor="accent1"/>
                <w:lang w:eastAsia="fr-FR"/>
              </w:rPr>
              <w:t xml:space="preserve"> par division et par mois</w:t>
            </w:r>
            <w:r>
              <w:rPr>
                <w:rFonts w:asciiTheme="majorBidi" w:eastAsia="Times New Roman" w:hAnsiTheme="majorBidi" w:cstheme="majorBidi"/>
                <w:b/>
                <w:bCs/>
                <w:color w:val="4F81BD" w:themeColor="accent1"/>
                <w:lang w:eastAsia="fr-FR"/>
              </w:rPr>
              <w:t xml:space="preserve"> </w:t>
            </w:r>
            <w:r w:rsidRPr="00951E73">
              <w:rPr>
                <w:rFonts w:asciiTheme="majorBidi" w:eastAsia="Times New Roman" w:hAnsiTheme="majorBidi" w:cstheme="majorBidi"/>
                <w:b/>
                <w:bCs/>
                <w:color w:val="4F81BD" w:themeColor="accent1"/>
                <w:lang w:eastAsia="fr-FR"/>
              </w:rPr>
              <w:t>- Année 201</w:t>
            </w:r>
            <w:r>
              <w:rPr>
                <w:rFonts w:asciiTheme="majorBidi" w:eastAsia="Times New Roman" w:hAnsiTheme="majorBidi" w:cstheme="majorBidi"/>
                <w:b/>
                <w:bCs/>
                <w:color w:val="4F81BD" w:themeColor="accent1"/>
                <w:lang w:eastAsia="fr-FR"/>
              </w:rPr>
              <w:t>9</w:t>
            </w:r>
            <w:r w:rsidRPr="00951E73">
              <w:rPr>
                <w:rFonts w:asciiTheme="majorBidi" w:eastAsia="Times New Roman" w:hAnsiTheme="majorBidi" w:cstheme="majorBidi"/>
                <w:b/>
                <w:bCs/>
                <w:color w:val="4F81BD" w:themeColor="accent1"/>
                <w:lang w:eastAsia="fr-FR"/>
              </w:rPr>
              <w:t>-</w:t>
            </w:r>
          </w:p>
        </w:tc>
      </w:tr>
      <w:tr w:rsidR="007D6D8B" w:rsidRPr="000247A5" w:rsidTr="007D6D8B">
        <w:trPr>
          <w:trHeight w:val="595"/>
        </w:trPr>
        <w:tc>
          <w:tcPr>
            <w:tcW w:w="1188" w:type="pct"/>
            <w:tcBorders>
              <w:top w:val="single" w:sz="8" w:space="0" w:color="auto"/>
              <w:left w:val="single" w:sz="4" w:space="0" w:color="auto"/>
              <w:bottom w:val="single" w:sz="8" w:space="0" w:color="auto"/>
              <w:right w:val="single" w:sz="8" w:space="0" w:color="auto"/>
            </w:tcBorders>
            <w:shd w:val="clear" w:color="000000" w:fill="C0C0C0"/>
            <w:noWrap/>
            <w:vAlign w:val="center"/>
            <w:hideMark/>
          </w:tcPr>
          <w:p w:rsidR="007D6D8B" w:rsidRPr="00FD10A2" w:rsidRDefault="007D6D8B" w:rsidP="007D6D8B">
            <w:pPr>
              <w:spacing w:after="0" w:line="240" w:lineRule="auto"/>
              <w:rPr>
                <w:rFonts w:ascii="Times New Roman" w:eastAsia="Times New Roman" w:hAnsi="Times New Roman" w:cs="Times New Roman"/>
                <w:b/>
                <w:bCs/>
                <w:sz w:val="20"/>
                <w:szCs w:val="20"/>
                <w:lang w:eastAsia="fr-FR"/>
              </w:rPr>
            </w:pPr>
            <w:r w:rsidRPr="00FD10A2">
              <w:rPr>
                <w:rFonts w:ascii="Times New Roman" w:eastAsia="Times New Roman" w:hAnsi="Times New Roman" w:cs="Times New Roman"/>
                <w:b/>
                <w:bCs/>
                <w:sz w:val="20"/>
                <w:szCs w:val="20"/>
                <w:lang w:eastAsia="fr-FR"/>
              </w:rPr>
              <w:t xml:space="preserve"> DIVISIONS</w:t>
            </w:r>
          </w:p>
        </w:tc>
        <w:tc>
          <w:tcPr>
            <w:tcW w:w="291" w:type="pct"/>
            <w:tcBorders>
              <w:top w:val="single" w:sz="8" w:space="0" w:color="auto"/>
              <w:left w:val="single" w:sz="4" w:space="0" w:color="auto"/>
              <w:bottom w:val="single" w:sz="8" w:space="0" w:color="auto"/>
              <w:right w:val="single" w:sz="4" w:space="0" w:color="auto"/>
            </w:tcBorders>
            <w:shd w:val="clear" w:color="000000" w:fill="C0C0C0"/>
            <w:noWrap/>
            <w:vAlign w:val="center"/>
            <w:hideMark/>
          </w:tcPr>
          <w:p w:rsidR="007D6D8B" w:rsidRPr="000247A5" w:rsidRDefault="007D6D8B" w:rsidP="007D6D8B">
            <w:pPr>
              <w:spacing w:after="0" w:line="240" w:lineRule="auto"/>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Jan</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7D6D8B" w:rsidRPr="000247A5" w:rsidRDefault="007D6D8B" w:rsidP="007D6D8B">
            <w:pPr>
              <w:spacing w:after="0" w:line="240" w:lineRule="auto"/>
              <w:rPr>
                <w:rFonts w:ascii="Times New Roman" w:eastAsia="Times New Roman" w:hAnsi="Times New Roman" w:cs="Times New Roman"/>
                <w:b/>
                <w:bCs/>
                <w:sz w:val="18"/>
                <w:szCs w:val="18"/>
                <w:lang w:eastAsia="fr-FR"/>
              </w:rPr>
            </w:pPr>
            <w:proofErr w:type="spellStart"/>
            <w:r w:rsidRPr="000247A5">
              <w:rPr>
                <w:rFonts w:ascii="Times New Roman" w:eastAsia="Times New Roman" w:hAnsi="Times New Roman" w:cs="Times New Roman"/>
                <w:b/>
                <w:bCs/>
                <w:sz w:val="18"/>
                <w:szCs w:val="18"/>
                <w:lang w:eastAsia="fr-FR"/>
              </w:rPr>
              <w:t>Fev</w:t>
            </w:r>
            <w:proofErr w:type="spellEnd"/>
          </w:p>
        </w:tc>
        <w:tc>
          <w:tcPr>
            <w:tcW w:w="294" w:type="pct"/>
            <w:tcBorders>
              <w:top w:val="single" w:sz="8" w:space="0" w:color="auto"/>
              <w:left w:val="nil"/>
              <w:bottom w:val="single" w:sz="8" w:space="0" w:color="auto"/>
              <w:right w:val="single" w:sz="4" w:space="0" w:color="auto"/>
            </w:tcBorders>
            <w:shd w:val="clear" w:color="000000" w:fill="C0C0C0"/>
            <w:noWrap/>
            <w:vAlign w:val="center"/>
            <w:hideMark/>
          </w:tcPr>
          <w:p w:rsidR="007D6D8B" w:rsidRPr="000247A5" w:rsidRDefault="007D6D8B" w:rsidP="007D6D8B">
            <w:pPr>
              <w:spacing w:after="0" w:line="240" w:lineRule="auto"/>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Mars</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7D6D8B" w:rsidRPr="000247A5" w:rsidRDefault="007D6D8B" w:rsidP="007D6D8B">
            <w:pPr>
              <w:spacing w:after="0" w:line="240" w:lineRule="auto"/>
              <w:rPr>
                <w:rFonts w:ascii="Times New Roman" w:eastAsia="Times New Roman" w:hAnsi="Times New Roman" w:cs="Times New Roman"/>
                <w:b/>
                <w:bCs/>
                <w:sz w:val="18"/>
                <w:szCs w:val="18"/>
                <w:lang w:eastAsia="fr-FR"/>
              </w:rPr>
            </w:pPr>
            <w:proofErr w:type="spellStart"/>
            <w:r w:rsidRPr="000247A5">
              <w:rPr>
                <w:rFonts w:ascii="Times New Roman" w:eastAsia="Times New Roman" w:hAnsi="Times New Roman" w:cs="Times New Roman"/>
                <w:b/>
                <w:bCs/>
                <w:sz w:val="18"/>
                <w:szCs w:val="18"/>
                <w:lang w:eastAsia="fr-FR"/>
              </w:rPr>
              <w:t>Avr</w:t>
            </w:r>
            <w:proofErr w:type="spellEnd"/>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7D6D8B" w:rsidRPr="000247A5" w:rsidRDefault="007D6D8B" w:rsidP="007D6D8B">
            <w:pPr>
              <w:spacing w:after="0" w:line="240" w:lineRule="auto"/>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Mai</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7D6D8B" w:rsidRPr="000247A5" w:rsidRDefault="007D6D8B" w:rsidP="007D6D8B">
            <w:pPr>
              <w:spacing w:after="0" w:line="240" w:lineRule="auto"/>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Juin</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7D6D8B" w:rsidRPr="000247A5" w:rsidRDefault="007D6D8B" w:rsidP="007D6D8B">
            <w:pPr>
              <w:spacing w:after="0" w:line="240" w:lineRule="auto"/>
              <w:rPr>
                <w:rFonts w:ascii="Times New Roman" w:eastAsia="Times New Roman" w:hAnsi="Times New Roman" w:cs="Times New Roman"/>
                <w:b/>
                <w:bCs/>
                <w:sz w:val="18"/>
                <w:szCs w:val="18"/>
                <w:lang w:eastAsia="fr-FR"/>
              </w:rPr>
            </w:pPr>
            <w:proofErr w:type="spellStart"/>
            <w:r w:rsidRPr="000247A5">
              <w:rPr>
                <w:rFonts w:ascii="Times New Roman" w:eastAsia="Times New Roman" w:hAnsi="Times New Roman" w:cs="Times New Roman"/>
                <w:b/>
                <w:bCs/>
                <w:sz w:val="18"/>
                <w:szCs w:val="18"/>
                <w:lang w:eastAsia="fr-FR"/>
              </w:rPr>
              <w:t>Jul</w:t>
            </w:r>
            <w:proofErr w:type="spellEnd"/>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7D6D8B" w:rsidRPr="000247A5" w:rsidRDefault="007D6D8B" w:rsidP="007D6D8B">
            <w:pPr>
              <w:spacing w:after="0" w:line="240" w:lineRule="auto"/>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Août</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7D6D8B" w:rsidRPr="000247A5" w:rsidRDefault="007D6D8B" w:rsidP="007D6D8B">
            <w:pPr>
              <w:spacing w:after="0" w:line="240" w:lineRule="auto"/>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Sep</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7D6D8B" w:rsidRPr="000247A5" w:rsidRDefault="007D6D8B" w:rsidP="007D6D8B">
            <w:pPr>
              <w:spacing w:after="0" w:line="240" w:lineRule="auto"/>
              <w:rPr>
                <w:rFonts w:ascii="Times New Roman" w:eastAsia="Times New Roman" w:hAnsi="Times New Roman" w:cs="Times New Roman"/>
                <w:b/>
                <w:bCs/>
                <w:sz w:val="18"/>
                <w:szCs w:val="18"/>
                <w:lang w:eastAsia="fr-FR"/>
              </w:rPr>
            </w:pPr>
            <w:proofErr w:type="spellStart"/>
            <w:r w:rsidRPr="000247A5">
              <w:rPr>
                <w:rFonts w:ascii="Times New Roman" w:eastAsia="Times New Roman" w:hAnsi="Times New Roman" w:cs="Times New Roman"/>
                <w:b/>
                <w:bCs/>
                <w:sz w:val="18"/>
                <w:szCs w:val="18"/>
                <w:lang w:eastAsia="fr-FR"/>
              </w:rPr>
              <w:t>Oct</w:t>
            </w:r>
            <w:proofErr w:type="spellEnd"/>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7D6D8B" w:rsidRPr="000247A5" w:rsidRDefault="007D6D8B" w:rsidP="007D6D8B">
            <w:pPr>
              <w:spacing w:after="0" w:line="240" w:lineRule="auto"/>
              <w:rPr>
                <w:rFonts w:ascii="Times New Roman" w:eastAsia="Times New Roman" w:hAnsi="Times New Roman" w:cs="Times New Roman"/>
                <w:b/>
                <w:bCs/>
                <w:sz w:val="18"/>
                <w:szCs w:val="18"/>
                <w:lang w:eastAsia="fr-FR"/>
              </w:rPr>
            </w:pPr>
            <w:proofErr w:type="spellStart"/>
            <w:r w:rsidRPr="000247A5">
              <w:rPr>
                <w:rFonts w:ascii="Times New Roman" w:eastAsia="Times New Roman" w:hAnsi="Times New Roman" w:cs="Times New Roman"/>
                <w:b/>
                <w:bCs/>
                <w:sz w:val="18"/>
                <w:szCs w:val="18"/>
                <w:lang w:eastAsia="fr-FR"/>
              </w:rPr>
              <w:t>Nov</w:t>
            </w:r>
            <w:proofErr w:type="spellEnd"/>
          </w:p>
        </w:tc>
        <w:tc>
          <w:tcPr>
            <w:tcW w:w="292" w:type="pct"/>
            <w:tcBorders>
              <w:top w:val="single" w:sz="8" w:space="0" w:color="auto"/>
              <w:left w:val="single" w:sz="8" w:space="0" w:color="auto"/>
              <w:bottom w:val="single" w:sz="8" w:space="0" w:color="auto"/>
              <w:right w:val="nil"/>
            </w:tcBorders>
            <w:shd w:val="clear" w:color="000000" w:fill="C0C0C0"/>
            <w:noWrap/>
            <w:vAlign w:val="center"/>
            <w:hideMark/>
          </w:tcPr>
          <w:p w:rsidR="007D6D8B" w:rsidRPr="000247A5" w:rsidRDefault="007D6D8B" w:rsidP="007D6D8B">
            <w:pPr>
              <w:spacing w:after="0" w:line="240" w:lineRule="auto"/>
              <w:rPr>
                <w:rFonts w:ascii="Times New Roman" w:eastAsia="Times New Roman" w:hAnsi="Times New Roman" w:cs="Times New Roman"/>
                <w:b/>
                <w:bCs/>
                <w:sz w:val="18"/>
                <w:szCs w:val="18"/>
                <w:lang w:eastAsia="fr-FR"/>
              </w:rPr>
            </w:pPr>
            <w:proofErr w:type="spellStart"/>
            <w:r w:rsidRPr="000247A5">
              <w:rPr>
                <w:rFonts w:ascii="Times New Roman" w:eastAsia="Times New Roman" w:hAnsi="Times New Roman" w:cs="Times New Roman"/>
                <w:b/>
                <w:bCs/>
                <w:sz w:val="18"/>
                <w:szCs w:val="18"/>
                <w:lang w:eastAsia="fr-FR"/>
              </w:rPr>
              <w:t>Dec</w:t>
            </w:r>
            <w:proofErr w:type="spellEnd"/>
          </w:p>
        </w:tc>
        <w:tc>
          <w:tcPr>
            <w:tcW w:w="316" w:type="pct"/>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7D6D8B" w:rsidRPr="000247A5" w:rsidRDefault="007D6D8B" w:rsidP="007D6D8B">
            <w:pPr>
              <w:spacing w:after="0" w:line="240" w:lineRule="auto"/>
              <w:rPr>
                <w:rFonts w:ascii="Times New Roman" w:eastAsia="Times New Roman" w:hAnsi="Times New Roman" w:cs="Times New Roman"/>
                <w:b/>
                <w:bCs/>
                <w:sz w:val="18"/>
                <w:szCs w:val="18"/>
                <w:lang w:eastAsia="fr-FR"/>
              </w:rPr>
            </w:pPr>
            <w:proofErr w:type="spellStart"/>
            <w:r w:rsidRPr="000247A5">
              <w:rPr>
                <w:rFonts w:ascii="Times New Roman" w:eastAsia="Times New Roman" w:hAnsi="Times New Roman" w:cs="Times New Roman"/>
                <w:b/>
                <w:bCs/>
                <w:sz w:val="18"/>
                <w:szCs w:val="18"/>
                <w:lang w:eastAsia="fr-FR"/>
              </w:rPr>
              <w:t>Moy</w:t>
            </w:r>
            <w:proofErr w:type="spellEnd"/>
          </w:p>
        </w:tc>
      </w:tr>
      <w:tr w:rsidR="007D6D8B" w:rsidRPr="007D6D8B" w:rsidTr="007D6D8B">
        <w:trPr>
          <w:trHeight w:val="744"/>
        </w:trPr>
        <w:tc>
          <w:tcPr>
            <w:tcW w:w="118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D6D8B" w:rsidRPr="000247A5" w:rsidRDefault="007D6D8B" w:rsidP="007D6D8B">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01. PRODUITS ALIMENTAIRES ET BOISSONS NON ALCOOLISÉES</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125,1</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125,5</w:t>
            </w:r>
          </w:p>
        </w:tc>
        <w:tc>
          <w:tcPr>
            <w:tcW w:w="294"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125,4</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125,3</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129,0</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128,1</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124,3</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126,0</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124,6</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124,4</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126,6</w:t>
            </w:r>
          </w:p>
        </w:tc>
        <w:tc>
          <w:tcPr>
            <w:tcW w:w="292"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126,6</w:t>
            </w:r>
          </w:p>
        </w:tc>
        <w:tc>
          <w:tcPr>
            <w:tcW w:w="316"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b/>
                <w:bCs/>
                <w:sz w:val="18"/>
                <w:szCs w:val="18"/>
              </w:rPr>
            </w:pPr>
            <w:r w:rsidRPr="007D6D8B">
              <w:rPr>
                <w:rFonts w:asciiTheme="majorBidi" w:hAnsiTheme="majorBidi" w:cstheme="majorBidi"/>
                <w:b/>
                <w:bCs/>
                <w:sz w:val="18"/>
                <w:szCs w:val="18"/>
              </w:rPr>
              <w:t>125,9</w:t>
            </w:r>
          </w:p>
        </w:tc>
      </w:tr>
      <w:tr w:rsidR="007D6D8B" w:rsidRPr="007D6D8B" w:rsidTr="007D6D8B">
        <w:trPr>
          <w:trHeight w:val="693"/>
        </w:trPr>
        <w:tc>
          <w:tcPr>
            <w:tcW w:w="1188" w:type="pct"/>
            <w:tcBorders>
              <w:top w:val="nil"/>
              <w:left w:val="single" w:sz="4" w:space="0" w:color="auto"/>
              <w:bottom w:val="single" w:sz="4" w:space="0" w:color="auto"/>
              <w:right w:val="single" w:sz="4" w:space="0" w:color="auto"/>
            </w:tcBorders>
            <w:shd w:val="clear" w:color="000000" w:fill="FFFFFF"/>
            <w:vAlign w:val="center"/>
            <w:hideMark/>
          </w:tcPr>
          <w:p w:rsidR="007D6D8B" w:rsidRPr="000247A5" w:rsidRDefault="007D6D8B" w:rsidP="007D6D8B">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02. BOISSONS ALCOOLISÉES, TABAC ET STUPÉFIANTS</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158,8</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158,8</w:t>
            </w:r>
          </w:p>
        </w:tc>
        <w:tc>
          <w:tcPr>
            <w:tcW w:w="294"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158,8</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158,8</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158,8</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158,8</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158,8</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158,8</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158,8</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158,8</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158,8</w:t>
            </w:r>
          </w:p>
        </w:tc>
        <w:tc>
          <w:tcPr>
            <w:tcW w:w="292"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158,8</w:t>
            </w:r>
          </w:p>
        </w:tc>
        <w:tc>
          <w:tcPr>
            <w:tcW w:w="316"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b/>
                <w:bCs/>
                <w:sz w:val="18"/>
                <w:szCs w:val="18"/>
              </w:rPr>
            </w:pPr>
            <w:r w:rsidRPr="007D6D8B">
              <w:rPr>
                <w:rFonts w:asciiTheme="majorBidi" w:hAnsiTheme="majorBidi" w:cstheme="majorBidi"/>
                <w:b/>
                <w:bCs/>
                <w:sz w:val="18"/>
                <w:szCs w:val="18"/>
              </w:rPr>
              <w:t>158,8</w:t>
            </w:r>
          </w:p>
        </w:tc>
      </w:tr>
      <w:tr w:rsidR="007D6D8B" w:rsidRPr="007D6D8B" w:rsidTr="007D6D8B">
        <w:trPr>
          <w:trHeight w:val="642"/>
        </w:trPr>
        <w:tc>
          <w:tcPr>
            <w:tcW w:w="1188" w:type="pct"/>
            <w:tcBorders>
              <w:top w:val="nil"/>
              <w:left w:val="single" w:sz="4" w:space="0" w:color="auto"/>
              <w:bottom w:val="single" w:sz="4" w:space="0" w:color="auto"/>
              <w:right w:val="single" w:sz="4" w:space="0" w:color="auto"/>
            </w:tcBorders>
            <w:shd w:val="clear" w:color="000000" w:fill="FFFFFF"/>
            <w:vAlign w:val="center"/>
            <w:hideMark/>
          </w:tcPr>
          <w:p w:rsidR="007D6D8B" w:rsidRPr="000247A5" w:rsidRDefault="007D6D8B" w:rsidP="007D6D8B">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03. ARTICLES D'HABILLEMENT ET CHAUSSURES</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113,4</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113,6</w:t>
            </w:r>
          </w:p>
        </w:tc>
        <w:tc>
          <w:tcPr>
            <w:tcW w:w="294"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113,7</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113,7</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114,6</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115,0</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114,9</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114,9</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114,9</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114,9</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114,9</w:t>
            </w:r>
          </w:p>
        </w:tc>
        <w:tc>
          <w:tcPr>
            <w:tcW w:w="292"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115,3</w:t>
            </w:r>
          </w:p>
        </w:tc>
        <w:tc>
          <w:tcPr>
            <w:tcW w:w="316"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b/>
                <w:bCs/>
                <w:sz w:val="18"/>
                <w:szCs w:val="18"/>
              </w:rPr>
            </w:pPr>
            <w:r w:rsidRPr="007D6D8B">
              <w:rPr>
                <w:rFonts w:asciiTheme="majorBidi" w:hAnsiTheme="majorBidi" w:cstheme="majorBidi"/>
                <w:b/>
                <w:bCs/>
                <w:sz w:val="18"/>
                <w:szCs w:val="18"/>
              </w:rPr>
              <w:t>114,5</w:t>
            </w:r>
          </w:p>
        </w:tc>
      </w:tr>
      <w:tr w:rsidR="007D6D8B" w:rsidRPr="007D6D8B" w:rsidTr="007D6D8B">
        <w:trPr>
          <w:trHeight w:val="695"/>
        </w:trPr>
        <w:tc>
          <w:tcPr>
            <w:tcW w:w="1188" w:type="pct"/>
            <w:tcBorders>
              <w:top w:val="nil"/>
              <w:left w:val="single" w:sz="4" w:space="0" w:color="auto"/>
              <w:bottom w:val="single" w:sz="4" w:space="0" w:color="auto"/>
              <w:right w:val="single" w:sz="4" w:space="0" w:color="auto"/>
            </w:tcBorders>
            <w:shd w:val="clear" w:color="000000" w:fill="FFFFFF"/>
            <w:vAlign w:val="center"/>
            <w:hideMark/>
          </w:tcPr>
          <w:p w:rsidR="007D6D8B" w:rsidRPr="000247A5" w:rsidRDefault="007D6D8B" w:rsidP="007D6D8B">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04. LOGEMENT, EAU, GAZ, ELECTRICITE ET AUTRES COMBUSTIBLES</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108,7</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108,7</w:t>
            </w:r>
          </w:p>
        </w:tc>
        <w:tc>
          <w:tcPr>
            <w:tcW w:w="294"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108,7</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109,4</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109,4</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109,4</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109,4</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109,4</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109,5</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111,0</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111,0</w:t>
            </w:r>
          </w:p>
        </w:tc>
        <w:tc>
          <w:tcPr>
            <w:tcW w:w="292"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111,3</w:t>
            </w:r>
          </w:p>
        </w:tc>
        <w:tc>
          <w:tcPr>
            <w:tcW w:w="316"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b/>
                <w:bCs/>
                <w:sz w:val="18"/>
                <w:szCs w:val="18"/>
              </w:rPr>
            </w:pPr>
            <w:r w:rsidRPr="007D6D8B">
              <w:rPr>
                <w:rFonts w:asciiTheme="majorBidi" w:hAnsiTheme="majorBidi" w:cstheme="majorBidi"/>
                <w:b/>
                <w:bCs/>
                <w:sz w:val="18"/>
                <w:szCs w:val="18"/>
              </w:rPr>
              <w:t>109,7</w:t>
            </w:r>
          </w:p>
        </w:tc>
      </w:tr>
      <w:tr w:rsidR="007D6D8B" w:rsidRPr="007D6D8B" w:rsidTr="007D6D8B">
        <w:trPr>
          <w:trHeight w:val="549"/>
        </w:trPr>
        <w:tc>
          <w:tcPr>
            <w:tcW w:w="1188" w:type="pct"/>
            <w:tcBorders>
              <w:top w:val="nil"/>
              <w:left w:val="single" w:sz="4" w:space="0" w:color="auto"/>
              <w:bottom w:val="single" w:sz="4" w:space="0" w:color="auto"/>
              <w:right w:val="single" w:sz="4" w:space="0" w:color="auto"/>
            </w:tcBorders>
            <w:shd w:val="clear" w:color="000000" w:fill="FFFFFF"/>
            <w:vAlign w:val="center"/>
            <w:hideMark/>
          </w:tcPr>
          <w:p w:rsidR="007D6D8B" w:rsidRPr="000247A5" w:rsidRDefault="007D6D8B" w:rsidP="007D6D8B">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05. MEUBLES, ARTICLES DE MENAGE ET ENTRETIEN COURANT DU FOYER</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106,8</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106,6</w:t>
            </w:r>
          </w:p>
        </w:tc>
        <w:tc>
          <w:tcPr>
            <w:tcW w:w="294"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106,6</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106,1</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106,2</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106,2</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106,1</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106,1</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106,1</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102,6</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102,6</w:t>
            </w:r>
          </w:p>
        </w:tc>
        <w:tc>
          <w:tcPr>
            <w:tcW w:w="292"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102,3</w:t>
            </w:r>
          </w:p>
        </w:tc>
        <w:tc>
          <w:tcPr>
            <w:tcW w:w="316"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b/>
                <w:bCs/>
                <w:sz w:val="18"/>
                <w:szCs w:val="18"/>
              </w:rPr>
            </w:pPr>
            <w:r w:rsidRPr="007D6D8B">
              <w:rPr>
                <w:rFonts w:asciiTheme="majorBidi" w:hAnsiTheme="majorBidi" w:cstheme="majorBidi"/>
                <w:b/>
                <w:bCs/>
                <w:sz w:val="18"/>
                <w:szCs w:val="18"/>
              </w:rPr>
              <w:t>105,4</w:t>
            </w:r>
          </w:p>
        </w:tc>
      </w:tr>
      <w:tr w:rsidR="007D6D8B" w:rsidRPr="007D6D8B" w:rsidTr="007D6D8B">
        <w:trPr>
          <w:trHeight w:val="413"/>
        </w:trPr>
        <w:tc>
          <w:tcPr>
            <w:tcW w:w="1188" w:type="pct"/>
            <w:tcBorders>
              <w:top w:val="nil"/>
              <w:left w:val="single" w:sz="4" w:space="0" w:color="auto"/>
              <w:bottom w:val="single" w:sz="4" w:space="0" w:color="auto"/>
              <w:right w:val="single" w:sz="4" w:space="0" w:color="auto"/>
            </w:tcBorders>
            <w:shd w:val="clear" w:color="000000" w:fill="FFFFFF"/>
            <w:vAlign w:val="center"/>
            <w:hideMark/>
          </w:tcPr>
          <w:p w:rsidR="007D6D8B" w:rsidRPr="000247A5" w:rsidRDefault="007D6D8B" w:rsidP="007D6D8B">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06. SANTÉ</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112,8</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112,8</w:t>
            </w:r>
          </w:p>
        </w:tc>
        <w:tc>
          <w:tcPr>
            <w:tcW w:w="294"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112,8</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112,8</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112,6</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112,6</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112,6</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112,6</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112,6</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112,6</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112,6</w:t>
            </w:r>
          </w:p>
        </w:tc>
        <w:tc>
          <w:tcPr>
            <w:tcW w:w="292"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112,6</w:t>
            </w:r>
          </w:p>
        </w:tc>
        <w:tc>
          <w:tcPr>
            <w:tcW w:w="316"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b/>
                <w:bCs/>
                <w:sz w:val="18"/>
                <w:szCs w:val="18"/>
              </w:rPr>
            </w:pPr>
            <w:r w:rsidRPr="007D6D8B">
              <w:rPr>
                <w:rFonts w:asciiTheme="majorBidi" w:hAnsiTheme="majorBidi" w:cstheme="majorBidi"/>
                <w:b/>
                <w:bCs/>
                <w:sz w:val="18"/>
                <w:szCs w:val="18"/>
              </w:rPr>
              <w:t>112,7</w:t>
            </w:r>
          </w:p>
        </w:tc>
      </w:tr>
      <w:tr w:rsidR="007D6D8B" w:rsidRPr="007D6D8B" w:rsidTr="007D6D8B">
        <w:trPr>
          <w:trHeight w:val="419"/>
        </w:trPr>
        <w:tc>
          <w:tcPr>
            <w:tcW w:w="1188" w:type="pct"/>
            <w:tcBorders>
              <w:top w:val="nil"/>
              <w:left w:val="single" w:sz="4" w:space="0" w:color="auto"/>
              <w:bottom w:val="single" w:sz="4" w:space="0" w:color="auto"/>
              <w:right w:val="single" w:sz="4" w:space="0" w:color="auto"/>
            </w:tcBorders>
            <w:shd w:val="clear" w:color="000000" w:fill="FFFFFF"/>
            <w:vAlign w:val="center"/>
            <w:hideMark/>
          </w:tcPr>
          <w:p w:rsidR="007D6D8B" w:rsidRPr="000247A5" w:rsidRDefault="007D6D8B" w:rsidP="007D6D8B">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07. TRANSPORTS</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111,0</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111,9</w:t>
            </w:r>
          </w:p>
        </w:tc>
        <w:tc>
          <w:tcPr>
            <w:tcW w:w="294"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113,3</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113,9</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115,1</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114,7</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114,4</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114,3</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114,0</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114,8</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114,6</w:t>
            </w:r>
          </w:p>
        </w:tc>
        <w:tc>
          <w:tcPr>
            <w:tcW w:w="292"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114,5</w:t>
            </w:r>
          </w:p>
        </w:tc>
        <w:tc>
          <w:tcPr>
            <w:tcW w:w="316"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b/>
                <w:bCs/>
                <w:sz w:val="18"/>
                <w:szCs w:val="18"/>
              </w:rPr>
            </w:pPr>
            <w:r w:rsidRPr="007D6D8B">
              <w:rPr>
                <w:rFonts w:asciiTheme="majorBidi" w:hAnsiTheme="majorBidi" w:cstheme="majorBidi"/>
                <w:b/>
                <w:bCs/>
                <w:sz w:val="18"/>
                <w:szCs w:val="18"/>
              </w:rPr>
              <w:t>113,9</w:t>
            </w:r>
          </w:p>
        </w:tc>
      </w:tr>
      <w:tr w:rsidR="007D6D8B" w:rsidRPr="007D6D8B" w:rsidTr="007D6D8B">
        <w:trPr>
          <w:trHeight w:val="397"/>
        </w:trPr>
        <w:tc>
          <w:tcPr>
            <w:tcW w:w="1188" w:type="pct"/>
            <w:tcBorders>
              <w:top w:val="nil"/>
              <w:left w:val="single" w:sz="4" w:space="0" w:color="auto"/>
              <w:bottom w:val="single" w:sz="4" w:space="0" w:color="auto"/>
              <w:right w:val="single" w:sz="4" w:space="0" w:color="auto"/>
            </w:tcBorders>
            <w:shd w:val="clear" w:color="000000" w:fill="FFFFFF"/>
            <w:vAlign w:val="center"/>
            <w:hideMark/>
          </w:tcPr>
          <w:p w:rsidR="007D6D8B" w:rsidRPr="000247A5" w:rsidRDefault="007D6D8B" w:rsidP="007D6D8B">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08. COMMUNICATIONS</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59,0</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59,0</w:t>
            </w:r>
          </w:p>
        </w:tc>
        <w:tc>
          <w:tcPr>
            <w:tcW w:w="294"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59,0</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59,0</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59,0</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59,2</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61,1</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61,1</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61,1</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61,1</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61,1</w:t>
            </w:r>
          </w:p>
        </w:tc>
        <w:tc>
          <w:tcPr>
            <w:tcW w:w="292"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61,1</w:t>
            </w:r>
          </w:p>
        </w:tc>
        <w:tc>
          <w:tcPr>
            <w:tcW w:w="316"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b/>
                <w:bCs/>
                <w:sz w:val="18"/>
                <w:szCs w:val="18"/>
              </w:rPr>
            </w:pPr>
            <w:r w:rsidRPr="007D6D8B">
              <w:rPr>
                <w:rFonts w:asciiTheme="majorBidi" w:hAnsiTheme="majorBidi" w:cstheme="majorBidi"/>
                <w:b/>
                <w:bCs/>
                <w:sz w:val="18"/>
                <w:szCs w:val="18"/>
              </w:rPr>
              <w:t>60,1</w:t>
            </w:r>
          </w:p>
        </w:tc>
      </w:tr>
      <w:tr w:rsidR="007D6D8B" w:rsidRPr="007D6D8B" w:rsidTr="007D6D8B">
        <w:trPr>
          <w:trHeight w:val="431"/>
        </w:trPr>
        <w:tc>
          <w:tcPr>
            <w:tcW w:w="1188" w:type="pct"/>
            <w:tcBorders>
              <w:top w:val="nil"/>
              <w:left w:val="single" w:sz="4" w:space="0" w:color="auto"/>
              <w:bottom w:val="single" w:sz="4" w:space="0" w:color="auto"/>
              <w:right w:val="single" w:sz="4" w:space="0" w:color="auto"/>
            </w:tcBorders>
            <w:shd w:val="clear" w:color="000000" w:fill="FFFFFF"/>
            <w:vAlign w:val="center"/>
            <w:hideMark/>
          </w:tcPr>
          <w:p w:rsidR="007D6D8B" w:rsidRPr="000247A5" w:rsidRDefault="007D6D8B" w:rsidP="007D6D8B">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09. LOISIRS ET CULTURE</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101,5</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101,4</w:t>
            </w:r>
          </w:p>
        </w:tc>
        <w:tc>
          <w:tcPr>
            <w:tcW w:w="294"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101,4</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101,4</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101,4</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103,7</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103,7</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103,3</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103,3</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103,3</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103,2</w:t>
            </w:r>
          </w:p>
        </w:tc>
        <w:tc>
          <w:tcPr>
            <w:tcW w:w="292"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102,9</w:t>
            </w:r>
          </w:p>
        </w:tc>
        <w:tc>
          <w:tcPr>
            <w:tcW w:w="316"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b/>
                <w:bCs/>
                <w:sz w:val="18"/>
                <w:szCs w:val="18"/>
              </w:rPr>
            </w:pPr>
            <w:r w:rsidRPr="007D6D8B">
              <w:rPr>
                <w:rFonts w:asciiTheme="majorBidi" w:hAnsiTheme="majorBidi" w:cstheme="majorBidi"/>
                <w:b/>
                <w:bCs/>
                <w:sz w:val="18"/>
                <w:szCs w:val="18"/>
              </w:rPr>
              <w:t>102,5</w:t>
            </w:r>
          </w:p>
        </w:tc>
      </w:tr>
      <w:tr w:rsidR="007D6D8B" w:rsidRPr="007D6D8B" w:rsidTr="007D6D8B">
        <w:trPr>
          <w:trHeight w:val="283"/>
        </w:trPr>
        <w:tc>
          <w:tcPr>
            <w:tcW w:w="1188" w:type="pct"/>
            <w:tcBorders>
              <w:top w:val="nil"/>
              <w:left w:val="single" w:sz="4" w:space="0" w:color="auto"/>
              <w:bottom w:val="single" w:sz="4" w:space="0" w:color="auto"/>
              <w:right w:val="single" w:sz="4" w:space="0" w:color="auto"/>
            </w:tcBorders>
            <w:shd w:val="clear" w:color="000000" w:fill="FFFFFF"/>
            <w:vAlign w:val="center"/>
            <w:hideMark/>
          </w:tcPr>
          <w:p w:rsidR="007D6D8B" w:rsidRPr="000247A5" w:rsidRDefault="007D6D8B" w:rsidP="007D6D8B">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10. ENSEIGNEMENT</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119,8</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119,8</w:t>
            </w:r>
          </w:p>
        </w:tc>
        <w:tc>
          <w:tcPr>
            <w:tcW w:w="294"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119,8</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119,8</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119,8</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119,8</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119,8</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119,8</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119,8</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119,8</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119,8</w:t>
            </w:r>
          </w:p>
        </w:tc>
        <w:tc>
          <w:tcPr>
            <w:tcW w:w="292"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119,8</w:t>
            </w:r>
          </w:p>
        </w:tc>
        <w:tc>
          <w:tcPr>
            <w:tcW w:w="316"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b/>
                <w:bCs/>
                <w:sz w:val="18"/>
                <w:szCs w:val="18"/>
              </w:rPr>
            </w:pPr>
            <w:r w:rsidRPr="007D6D8B">
              <w:rPr>
                <w:rFonts w:asciiTheme="majorBidi" w:hAnsiTheme="majorBidi" w:cstheme="majorBidi"/>
                <w:b/>
                <w:bCs/>
                <w:sz w:val="18"/>
                <w:szCs w:val="18"/>
              </w:rPr>
              <w:t>119,8</w:t>
            </w:r>
          </w:p>
        </w:tc>
      </w:tr>
      <w:tr w:rsidR="007D6D8B" w:rsidRPr="007D6D8B" w:rsidTr="007D6D8B">
        <w:trPr>
          <w:trHeight w:val="414"/>
        </w:trPr>
        <w:tc>
          <w:tcPr>
            <w:tcW w:w="1188" w:type="pct"/>
            <w:tcBorders>
              <w:top w:val="nil"/>
              <w:left w:val="single" w:sz="4" w:space="0" w:color="auto"/>
              <w:bottom w:val="single" w:sz="4" w:space="0" w:color="auto"/>
              <w:right w:val="single" w:sz="4" w:space="0" w:color="auto"/>
            </w:tcBorders>
            <w:shd w:val="clear" w:color="000000" w:fill="FFFFFF"/>
            <w:vAlign w:val="center"/>
            <w:hideMark/>
          </w:tcPr>
          <w:p w:rsidR="007D6D8B" w:rsidRPr="000247A5" w:rsidRDefault="007D6D8B" w:rsidP="007D6D8B">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11. RESTAURANTS ET HÔTELS</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162,8</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162,8</w:t>
            </w:r>
          </w:p>
        </w:tc>
        <w:tc>
          <w:tcPr>
            <w:tcW w:w="294"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162,8</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162,8</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162,9</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163,2</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163,2</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163,6</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163,6</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164,0</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164,0</w:t>
            </w:r>
          </w:p>
        </w:tc>
        <w:tc>
          <w:tcPr>
            <w:tcW w:w="292"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164,0</w:t>
            </w:r>
          </w:p>
        </w:tc>
        <w:tc>
          <w:tcPr>
            <w:tcW w:w="316"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b/>
                <w:bCs/>
                <w:sz w:val="18"/>
                <w:szCs w:val="18"/>
              </w:rPr>
            </w:pPr>
            <w:r w:rsidRPr="007D6D8B">
              <w:rPr>
                <w:rFonts w:asciiTheme="majorBidi" w:hAnsiTheme="majorBidi" w:cstheme="majorBidi"/>
                <w:b/>
                <w:bCs/>
                <w:sz w:val="18"/>
                <w:szCs w:val="18"/>
              </w:rPr>
              <w:t>163,3</w:t>
            </w:r>
          </w:p>
        </w:tc>
      </w:tr>
      <w:tr w:rsidR="007D6D8B" w:rsidRPr="007D6D8B" w:rsidTr="007D6D8B">
        <w:trPr>
          <w:trHeight w:val="491"/>
        </w:trPr>
        <w:tc>
          <w:tcPr>
            <w:tcW w:w="1188" w:type="pct"/>
            <w:tcBorders>
              <w:top w:val="nil"/>
              <w:left w:val="single" w:sz="4" w:space="0" w:color="auto"/>
              <w:bottom w:val="single" w:sz="4" w:space="0" w:color="auto"/>
              <w:right w:val="single" w:sz="4" w:space="0" w:color="auto"/>
            </w:tcBorders>
            <w:shd w:val="clear" w:color="000000" w:fill="FFFFFF"/>
            <w:vAlign w:val="center"/>
            <w:hideMark/>
          </w:tcPr>
          <w:p w:rsidR="007D6D8B" w:rsidRPr="000247A5" w:rsidRDefault="007D6D8B" w:rsidP="007D6D8B">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12. BIENS ET SERVICES DIVERS</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131,6</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131,5</w:t>
            </w:r>
          </w:p>
        </w:tc>
        <w:tc>
          <w:tcPr>
            <w:tcW w:w="294"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131,5</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131,5</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131,5</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131,4</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131,4</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131,6</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131,6</w:t>
            </w:r>
          </w:p>
        </w:tc>
        <w:tc>
          <w:tcPr>
            <w:tcW w:w="291" w:type="pct"/>
            <w:tcBorders>
              <w:top w:val="nil"/>
              <w:left w:val="nil"/>
              <w:bottom w:val="single" w:sz="8"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131,6</w:t>
            </w:r>
          </w:p>
        </w:tc>
        <w:tc>
          <w:tcPr>
            <w:tcW w:w="291" w:type="pct"/>
            <w:tcBorders>
              <w:top w:val="nil"/>
              <w:left w:val="nil"/>
              <w:bottom w:val="single" w:sz="8"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131,6</w:t>
            </w:r>
          </w:p>
        </w:tc>
        <w:tc>
          <w:tcPr>
            <w:tcW w:w="292" w:type="pct"/>
            <w:tcBorders>
              <w:top w:val="nil"/>
              <w:left w:val="nil"/>
              <w:bottom w:val="single" w:sz="8"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131,7</w:t>
            </w:r>
          </w:p>
        </w:tc>
        <w:tc>
          <w:tcPr>
            <w:tcW w:w="316" w:type="pct"/>
            <w:tcBorders>
              <w:top w:val="nil"/>
              <w:left w:val="nil"/>
              <w:bottom w:val="single" w:sz="8"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b/>
                <w:bCs/>
                <w:sz w:val="18"/>
                <w:szCs w:val="18"/>
              </w:rPr>
            </w:pPr>
            <w:r w:rsidRPr="007D6D8B">
              <w:rPr>
                <w:rFonts w:asciiTheme="majorBidi" w:hAnsiTheme="majorBidi" w:cstheme="majorBidi"/>
                <w:b/>
                <w:bCs/>
                <w:sz w:val="18"/>
                <w:szCs w:val="18"/>
              </w:rPr>
              <w:t>131,5</w:t>
            </w:r>
          </w:p>
        </w:tc>
      </w:tr>
      <w:tr w:rsidR="007D6D8B" w:rsidRPr="007D6D8B" w:rsidTr="007D6D8B">
        <w:trPr>
          <w:trHeight w:val="533"/>
        </w:trPr>
        <w:tc>
          <w:tcPr>
            <w:tcW w:w="1188" w:type="pct"/>
            <w:tcBorders>
              <w:top w:val="single" w:sz="8" w:space="0" w:color="auto"/>
              <w:left w:val="single" w:sz="4" w:space="0" w:color="auto"/>
              <w:bottom w:val="single" w:sz="8" w:space="0" w:color="auto"/>
              <w:right w:val="single" w:sz="8" w:space="0" w:color="auto"/>
            </w:tcBorders>
            <w:shd w:val="clear" w:color="000000" w:fill="C0C0C0"/>
            <w:noWrap/>
            <w:vAlign w:val="center"/>
            <w:hideMark/>
          </w:tcPr>
          <w:p w:rsidR="007D6D8B" w:rsidRPr="000247A5" w:rsidRDefault="007D6D8B" w:rsidP="007D6D8B">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 xml:space="preserve">  INDICE  GENERAL    </w:t>
            </w:r>
          </w:p>
        </w:tc>
        <w:tc>
          <w:tcPr>
            <w:tcW w:w="291" w:type="pct"/>
            <w:tcBorders>
              <w:top w:val="single" w:sz="8" w:space="0" w:color="auto"/>
              <w:left w:val="single" w:sz="4" w:space="0" w:color="auto"/>
              <w:bottom w:val="single" w:sz="8" w:space="0" w:color="auto"/>
              <w:right w:val="single" w:sz="4" w:space="0" w:color="auto"/>
            </w:tcBorders>
            <w:shd w:val="clear" w:color="000000" w:fill="C0C0C0"/>
            <w:noWrap/>
            <w:vAlign w:val="bottom"/>
            <w:hideMark/>
          </w:tcPr>
          <w:p w:rsidR="007D6D8B" w:rsidRPr="007D6D8B" w:rsidRDefault="007D6D8B">
            <w:pPr>
              <w:jc w:val="right"/>
              <w:rPr>
                <w:rFonts w:asciiTheme="majorBidi" w:hAnsiTheme="majorBidi" w:cstheme="majorBidi"/>
                <w:b/>
                <w:bCs/>
                <w:sz w:val="18"/>
                <w:szCs w:val="18"/>
              </w:rPr>
            </w:pPr>
            <w:r w:rsidRPr="007D6D8B">
              <w:rPr>
                <w:rFonts w:asciiTheme="majorBidi" w:hAnsiTheme="majorBidi" w:cstheme="majorBidi"/>
                <w:b/>
                <w:bCs/>
                <w:sz w:val="18"/>
                <w:szCs w:val="18"/>
              </w:rPr>
              <w:t>118,0</w:t>
            </w:r>
          </w:p>
        </w:tc>
        <w:tc>
          <w:tcPr>
            <w:tcW w:w="291" w:type="pct"/>
            <w:tcBorders>
              <w:top w:val="single" w:sz="8" w:space="0" w:color="auto"/>
              <w:left w:val="nil"/>
              <w:bottom w:val="single" w:sz="8" w:space="0" w:color="auto"/>
              <w:right w:val="single" w:sz="4" w:space="0" w:color="auto"/>
            </w:tcBorders>
            <w:shd w:val="clear" w:color="000000" w:fill="C0C0C0"/>
            <w:noWrap/>
            <w:vAlign w:val="bottom"/>
            <w:hideMark/>
          </w:tcPr>
          <w:p w:rsidR="007D6D8B" w:rsidRPr="007D6D8B" w:rsidRDefault="007D6D8B">
            <w:pPr>
              <w:jc w:val="right"/>
              <w:rPr>
                <w:rFonts w:asciiTheme="majorBidi" w:hAnsiTheme="majorBidi" w:cstheme="majorBidi"/>
                <w:b/>
                <w:bCs/>
                <w:sz w:val="18"/>
                <w:szCs w:val="18"/>
              </w:rPr>
            </w:pPr>
            <w:r w:rsidRPr="007D6D8B">
              <w:rPr>
                <w:rFonts w:asciiTheme="majorBidi" w:hAnsiTheme="majorBidi" w:cstheme="majorBidi"/>
                <w:b/>
                <w:bCs/>
                <w:sz w:val="18"/>
                <w:szCs w:val="18"/>
              </w:rPr>
              <w:t>118,2</w:t>
            </w:r>
          </w:p>
        </w:tc>
        <w:tc>
          <w:tcPr>
            <w:tcW w:w="294" w:type="pct"/>
            <w:tcBorders>
              <w:top w:val="single" w:sz="8" w:space="0" w:color="auto"/>
              <w:left w:val="nil"/>
              <w:bottom w:val="single" w:sz="8" w:space="0" w:color="auto"/>
              <w:right w:val="single" w:sz="4" w:space="0" w:color="auto"/>
            </w:tcBorders>
            <w:shd w:val="clear" w:color="000000" w:fill="C0C0C0"/>
            <w:noWrap/>
            <w:vAlign w:val="bottom"/>
            <w:hideMark/>
          </w:tcPr>
          <w:p w:rsidR="007D6D8B" w:rsidRPr="007D6D8B" w:rsidRDefault="007D6D8B">
            <w:pPr>
              <w:jc w:val="right"/>
              <w:rPr>
                <w:rFonts w:asciiTheme="majorBidi" w:hAnsiTheme="majorBidi" w:cstheme="majorBidi"/>
                <w:b/>
                <w:bCs/>
                <w:sz w:val="18"/>
                <w:szCs w:val="18"/>
              </w:rPr>
            </w:pPr>
            <w:r w:rsidRPr="007D6D8B">
              <w:rPr>
                <w:rFonts w:asciiTheme="majorBidi" w:hAnsiTheme="majorBidi" w:cstheme="majorBidi"/>
                <w:b/>
                <w:bCs/>
                <w:sz w:val="18"/>
                <w:szCs w:val="18"/>
              </w:rPr>
              <w:t>118,3</w:t>
            </w:r>
          </w:p>
        </w:tc>
        <w:tc>
          <w:tcPr>
            <w:tcW w:w="291" w:type="pct"/>
            <w:tcBorders>
              <w:top w:val="single" w:sz="8" w:space="0" w:color="auto"/>
              <w:left w:val="nil"/>
              <w:bottom w:val="single" w:sz="8" w:space="0" w:color="auto"/>
              <w:right w:val="single" w:sz="4" w:space="0" w:color="auto"/>
            </w:tcBorders>
            <w:shd w:val="clear" w:color="000000" w:fill="C0C0C0"/>
            <w:noWrap/>
            <w:vAlign w:val="bottom"/>
            <w:hideMark/>
          </w:tcPr>
          <w:p w:rsidR="007D6D8B" w:rsidRPr="007D6D8B" w:rsidRDefault="007D6D8B">
            <w:pPr>
              <w:jc w:val="right"/>
              <w:rPr>
                <w:rFonts w:asciiTheme="majorBidi" w:hAnsiTheme="majorBidi" w:cstheme="majorBidi"/>
                <w:b/>
                <w:bCs/>
                <w:sz w:val="18"/>
                <w:szCs w:val="18"/>
              </w:rPr>
            </w:pPr>
            <w:r w:rsidRPr="007D6D8B">
              <w:rPr>
                <w:rFonts w:asciiTheme="majorBidi" w:hAnsiTheme="majorBidi" w:cstheme="majorBidi"/>
                <w:b/>
                <w:bCs/>
                <w:sz w:val="18"/>
                <w:szCs w:val="18"/>
              </w:rPr>
              <w:t>118,4</w:t>
            </w:r>
          </w:p>
        </w:tc>
        <w:tc>
          <w:tcPr>
            <w:tcW w:w="291" w:type="pct"/>
            <w:tcBorders>
              <w:top w:val="single" w:sz="8" w:space="0" w:color="auto"/>
              <w:left w:val="nil"/>
              <w:bottom w:val="single" w:sz="8" w:space="0" w:color="auto"/>
              <w:right w:val="single" w:sz="4" w:space="0" w:color="auto"/>
            </w:tcBorders>
            <w:shd w:val="clear" w:color="000000" w:fill="C0C0C0"/>
            <w:noWrap/>
            <w:vAlign w:val="bottom"/>
            <w:hideMark/>
          </w:tcPr>
          <w:p w:rsidR="007D6D8B" w:rsidRPr="007D6D8B" w:rsidRDefault="007D6D8B">
            <w:pPr>
              <w:jc w:val="right"/>
              <w:rPr>
                <w:rFonts w:asciiTheme="majorBidi" w:hAnsiTheme="majorBidi" w:cstheme="majorBidi"/>
                <w:b/>
                <w:bCs/>
                <w:sz w:val="18"/>
                <w:szCs w:val="18"/>
              </w:rPr>
            </w:pPr>
            <w:r w:rsidRPr="007D6D8B">
              <w:rPr>
                <w:rFonts w:asciiTheme="majorBidi" w:hAnsiTheme="majorBidi" w:cstheme="majorBidi"/>
                <w:b/>
                <w:bCs/>
                <w:sz w:val="18"/>
                <w:szCs w:val="18"/>
              </w:rPr>
              <w:t>120,1</w:t>
            </w:r>
          </w:p>
        </w:tc>
        <w:tc>
          <w:tcPr>
            <w:tcW w:w="291" w:type="pct"/>
            <w:tcBorders>
              <w:top w:val="single" w:sz="8" w:space="0" w:color="auto"/>
              <w:left w:val="nil"/>
              <w:bottom w:val="single" w:sz="8" w:space="0" w:color="auto"/>
              <w:right w:val="single" w:sz="4" w:space="0" w:color="auto"/>
            </w:tcBorders>
            <w:shd w:val="clear" w:color="000000" w:fill="C0C0C0"/>
            <w:noWrap/>
            <w:vAlign w:val="bottom"/>
            <w:hideMark/>
          </w:tcPr>
          <w:p w:rsidR="007D6D8B" w:rsidRPr="007D6D8B" w:rsidRDefault="007D6D8B">
            <w:pPr>
              <w:jc w:val="right"/>
              <w:rPr>
                <w:rFonts w:asciiTheme="majorBidi" w:hAnsiTheme="majorBidi" w:cstheme="majorBidi"/>
                <w:b/>
                <w:bCs/>
                <w:sz w:val="18"/>
                <w:szCs w:val="18"/>
              </w:rPr>
            </w:pPr>
            <w:r w:rsidRPr="007D6D8B">
              <w:rPr>
                <w:rFonts w:asciiTheme="majorBidi" w:hAnsiTheme="majorBidi" w:cstheme="majorBidi"/>
                <w:b/>
                <w:bCs/>
                <w:sz w:val="18"/>
                <w:szCs w:val="18"/>
              </w:rPr>
              <w:t>119,8</w:t>
            </w:r>
          </w:p>
        </w:tc>
        <w:tc>
          <w:tcPr>
            <w:tcW w:w="291" w:type="pct"/>
            <w:tcBorders>
              <w:top w:val="single" w:sz="8" w:space="0" w:color="auto"/>
              <w:left w:val="nil"/>
              <w:bottom w:val="single" w:sz="8" w:space="0" w:color="auto"/>
              <w:right w:val="single" w:sz="4" w:space="0" w:color="auto"/>
            </w:tcBorders>
            <w:shd w:val="clear" w:color="000000" w:fill="C0C0C0"/>
            <w:noWrap/>
            <w:vAlign w:val="bottom"/>
            <w:hideMark/>
          </w:tcPr>
          <w:p w:rsidR="007D6D8B" w:rsidRPr="007D6D8B" w:rsidRDefault="007D6D8B">
            <w:pPr>
              <w:jc w:val="right"/>
              <w:rPr>
                <w:rFonts w:asciiTheme="majorBidi" w:hAnsiTheme="majorBidi" w:cstheme="majorBidi"/>
                <w:b/>
                <w:bCs/>
                <w:sz w:val="18"/>
                <w:szCs w:val="18"/>
              </w:rPr>
            </w:pPr>
            <w:r w:rsidRPr="007D6D8B">
              <w:rPr>
                <w:rFonts w:asciiTheme="majorBidi" w:hAnsiTheme="majorBidi" w:cstheme="majorBidi"/>
                <w:b/>
                <w:bCs/>
                <w:sz w:val="18"/>
                <w:szCs w:val="18"/>
              </w:rPr>
              <w:t>118,2</w:t>
            </w:r>
          </w:p>
        </w:tc>
        <w:tc>
          <w:tcPr>
            <w:tcW w:w="291" w:type="pct"/>
            <w:tcBorders>
              <w:top w:val="single" w:sz="8" w:space="0" w:color="auto"/>
              <w:left w:val="nil"/>
              <w:bottom w:val="single" w:sz="8" w:space="0" w:color="auto"/>
              <w:right w:val="single" w:sz="4" w:space="0" w:color="auto"/>
            </w:tcBorders>
            <w:shd w:val="clear" w:color="000000" w:fill="C0C0C0"/>
            <w:noWrap/>
            <w:vAlign w:val="bottom"/>
            <w:hideMark/>
          </w:tcPr>
          <w:p w:rsidR="007D6D8B" w:rsidRPr="007D6D8B" w:rsidRDefault="007D6D8B">
            <w:pPr>
              <w:jc w:val="right"/>
              <w:rPr>
                <w:rFonts w:asciiTheme="majorBidi" w:hAnsiTheme="majorBidi" w:cstheme="majorBidi"/>
                <w:b/>
                <w:bCs/>
                <w:sz w:val="18"/>
                <w:szCs w:val="18"/>
              </w:rPr>
            </w:pPr>
            <w:r w:rsidRPr="007D6D8B">
              <w:rPr>
                <w:rFonts w:asciiTheme="majorBidi" w:hAnsiTheme="majorBidi" w:cstheme="majorBidi"/>
                <w:b/>
                <w:bCs/>
                <w:sz w:val="18"/>
                <w:szCs w:val="18"/>
              </w:rPr>
              <w:t>118,9</w:t>
            </w:r>
          </w:p>
        </w:tc>
        <w:tc>
          <w:tcPr>
            <w:tcW w:w="291" w:type="pct"/>
            <w:tcBorders>
              <w:top w:val="single" w:sz="8" w:space="0" w:color="auto"/>
              <w:left w:val="nil"/>
              <w:bottom w:val="single" w:sz="8" w:space="0" w:color="auto"/>
              <w:right w:val="single" w:sz="4" w:space="0" w:color="auto"/>
            </w:tcBorders>
            <w:shd w:val="clear" w:color="000000" w:fill="C0C0C0"/>
            <w:noWrap/>
            <w:vAlign w:val="bottom"/>
            <w:hideMark/>
          </w:tcPr>
          <w:p w:rsidR="007D6D8B" w:rsidRPr="007D6D8B" w:rsidRDefault="007D6D8B">
            <w:pPr>
              <w:jc w:val="right"/>
              <w:rPr>
                <w:rFonts w:asciiTheme="majorBidi" w:hAnsiTheme="majorBidi" w:cstheme="majorBidi"/>
                <w:b/>
                <w:bCs/>
                <w:sz w:val="18"/>
                <w:szCs w:val="18"/>
              </w:rPr>
            </w:pPr>
            <w:r w:rsidRPr="007D6D8B">
              <w:rPr>
                <w:rFonts w:asciiTheme="majorBidi" w:hAnsiTheme="majorBidi" w:cstheme="majorBidi"/>
                <w:b/>
                <w:bCs/>
                <w:sz w:val="18"/>
                <w:szCs w:val="18"/>
              </w:rPr>
              <w:t>118,3</w:t>
            </w:r>
          </w:p>
        </w:tc>
        <w:tc>
          <w:tcPr>
            <w:tcW w:w="291" w:type="pct"/>
            <w:tcBorders>
              <w:top w:val="nil"/>
              <w:left w:val="nil"/>
              <w:bottom w:val="single" w:sz="8" w:space="0" w:color="auto"/>
              <w:right w:val="single" w:sz="4" w:space="0" w:color="auto"/>
            </w:tcBorders>
            <w:shd w:val="clear" w:color="000000" w:fill="C0C0C0"/>
            <w:noWrap/>
            <w:vAlign w:val="bottom"/>
            <w:hideMark/>
          </w:tcPr>
          <w:p w:rsidR="007D6D8B" w:rsidRPr="007D6D8B" w:rsidRDefault="007D6D8B">
            <w:pPr>
              <w:jc w:val="right"/>
              <w:rPr>
                <w:rFonts w:asciiTheme="majorBidi" w:hAnsiTheme="majorBidi" w:cstheme="majorBidi"/>
                <w:b/>
                <w:bCs/>
                <w:sz w:val="18"/>
                <w:szCs w:val="18"/>
              </w:rPr>
            </w:pPr>
            <w:r w:rsidRPr="007D6D8B">
              <w:rPr>
                <w:rFonts w:asciiTheme="majorBidi" w:hAnsiTheme="majorBidi" w:cstheme="majorBidi"/>
                <w:b/>
                <w:bCs/>
                <w:sz w:val="18"/>
                <w:szCs w:val="18"/>
              </w:rPr>
              <w:t>118,3</w:t>
            </w:r>
          </w:p>
        </w:tc>
        <w:tc>
          <w:tcPr>
            <w:tcW w:w="291" w:type="pct"/>
            <w:tcBorders>
              <w:top w:val="nil"/>
              <w:left w:val="nil"/>
              <w:bottom w:val="single" w:sz="8" w:space="0" w:color="auto"/>
              <w:right w:val="single" w:sz="4" w:space="0" w:color="auto"/>
            </w:tcBorders>
            <w:shd w:val="clear" w:color="000000" w:fill="C0C0C0"/>
            <w:noWrap/>
            <w:vAlign w:val="bottom"/>
            <w:hideMark/>
          </w:tcPr>
          <w:p w:rsidR="007D6D8B" w:rsidRPr="007D6D8B" w:rsidRDefault="007D6D8B">
            <w:pPr>
              <w:jc w:val="right"/>
              <w:rPr>
                <w:rFonts w:asciiTheme="majorBidi" w:hAnsiTheme="majorBidi" w:cstheme="majorBidi"/>
                <w:b/>
                <w:bCs/>
                <w:sz w:val="18"/>
                <w:szCs w:val="18"/>
              </w:rPr>
            </w:pPr>
            <w:r w:rsidRPr="007D6D8B">
              <w:rPr>
                <w:rFonts w:asciiTheme="majorBidi" w:hAnsiTheme="majorBidi" w:cstheme="majorBidi"/>
                <w:b/>
                <w:bCs/>
                <w:sz w:val="18"/>
                <w:szCs w:val="18"/>
              </w:rPr>
              <w:t>119,2</w:t>
            </w:r>
          </w:p>
        </w:tc>
        <w:tc>
          <w:tcPr>
            <w:tcW w:w="292" w:type="pct"/>
            <w:tcBorders>
              <w:top w:val="nil"/>
              <w:left w:val="nil"/>
              <w:bottom w:val="single" w:sz="8" w:space="0" w:color="auto"/>
              <w:right w:val="single" w:sz="4" w:space="0" w:color="auto"/>
            </w:tcBorders>
            <w:shd w:val="clear" w:color="000000" w:fill="C0C0C0"/>
            <w:noWrap/>
            <w:vAlign w:val="bottom"/>
            <w:hideMark/>
          </w:tcPr>
          <w:p w:rsidR="007D6D8B" w:rsidRPr="007D6D8B" w:rsidRDefault="007D6D8B">
            <w:pPr>
              <w:jc w:val="right"/>
              <w:rPr>
                <w:rFonts w:asciiTheme="majorBidi" w:hAnsiTheme="majorBidi" w:cstheme="majorBidi"/>
                <w:b/>
                <w:bCs/>
                <w:sz w:val="18"/>
                <w:szCs w:val="18"/>
              </w:rPr>
            </w:pPr>
            <w:r w:rsidRPr="007D6D8B">
              <w:rPr>
                <w:rFonts w:asciiTheme="majorBidi" w:hAnsiTheme="majorBidi" w:cstheme="majorBidi"/>
                <w:b/>
                <w:bCs/>
                <w:sz w:val="18"/>
                <w:szCs w:val="18"/>
              </w:rPr>
              <w:t>119,2</w:t>
            </w:r>
          </w:p>
        </w:tc>
        <w:tc>
          <w:tcPr>
            <w:tcW w:w="316" w:type="pct"/>
            <w:tcBorders>
              <w:top w:val="nil"/>
              <w:left w:val="nil"/>
              <w:bottom w:val="single" w:sz="8" w:space="0" w:color="auto"/>
              <w:right w:val="single" w:sz="4" w:space="0" w:color="auto"/>
            </w:tcBorders>
            <w:shd w:val="clear" w:color="000000" w:fill="C0C0C0"/>
            <w:noWrap/>
            <w:vAlign w:val="bottom"/>
            <w:hideMark/>
          </w:tcPr>
          <w:p w:rsidR="007D6D8B" w:rsidRPr="007D6D8B" w:rsidRDefault="007D6D8B">
            <w:pPr>
              <w:jc w:val="right"/>
              <w:rPr>
                <w:rFonts w:asciiTheme="majorBidi" w:hAnsiTheme="majorBidi" w:cstheme="majorBidi"/>
                <w:b/>
                <w:bCs/>
                <w:sz w:val="18"/>
                <w:szCs w:val="18"/>
              </w:rPr>
            </w:pPr>
            <w:r w:rsidRPr="007D6D8B">
              <w:rPr>
                <w:rFonts w:asciiTheme="majorBidi" w:hAnsiTheme="majorBidi" w:cstheme="majorBidi"/>
                <w:b/>
                <w:bCs/>
                <w:sz w:val="18"/>
                <w:szCs w:val="18"/>
              </w:rPr>
              <w:t>118,7</w:t>
            </w:r>
          </w:p>
        </w:tc>
      </w:tr>
    </w:tbl>
    <w:p w:rsidR="00BB5DB3" w:rsidRPr="00483003" w:rsidRDefault="00BB5DB3" w:rsidP="00BB5DB3">
      <w:pPr>
        <w:pStyle w:val="Lgende"/>
        <w:rPr>
          <w:rFonts w:ascii="Times New Roman" w:hAnsi="Times New Roman"/>
          <w:i/>
          <w:iCs/>
          <w:sz w:val="22"/>
        </w:rPr>
      </w:pPr>
      <w:r w:rsidRPr="00483003">
        <w:rPr>
          <w:rFonts w:ascii="Times New Roman" w:hAnsi="Times New Roman"/>
          <w:i/>
          <w:iCs/>
          <w:sz w:val="22"/>
        </w:rPr>
        <w:t>Source : HCP</w:t>
      </w:r>
    </w:p>
    <w:p w:rsidR="007D6D8B" w:rsidRDefault="007D6D8B">
      <w:r>
        <w:br w:type="page"/>
      </w:r>
    </w:p>
    <w:tbl>
      <w:tblPr>
        <w:tblW w:w="5000" w:type="pct"/>
        <w:tblCellMar>
          <w:left w:w="70" w:type="dxa"/>
          <w:right w:w="70" w:type="dxa"/>
        </w:tblCellMar>
        <w:tblLook w:val="04A0"/>
      </w:tblPr>
      <w:tblGrid>
        <w:gridCol w:w="3227"/>
        <w:gridCol w:w="790"/>
        <w:gridCol w:w="790"/>
        <w:gridCol w:w="798"/>
        <w:gridCol w:w="790"/>
        <w:gridCol w:w="790"/>
        <w:gridCol w:w="790"/>
        <w:gridCol w:w="790"/>
        <w:gridCol w:w="790"/>
        <w:gridCol w:w="790"/>
        <w:gridCol w:w="790"/>
        <w:gridCol w:w="790"/>
        <w:gridCol w:w="793"/>
        <w:gridCol w:w="858"/>
      </w:tblGrid>
      <w:tr w:rsidR="007D6D8B" w:rsidRPr="00951E73" w:rsidTr="007D6D8B">
        <w:trPr>
          <w:trHeight w:val="390"/>
        </w:trPr>
        <w:tc>
          <w:tcPr>
            <w:tcW w:w="5000" w:type="pct"/>
            <w:gridSpan w:val="14"/>
            <w:tcBorders>
              <w:top w:val="nil"/>
              <w:left w:val="nil"/>
              <w:bottom w:val="single" w:sz="8" w:space="0" w:color="auto"/>
              <w:right w:val="nil"/>
            </w:tcBorders>
            <w:shd w:val="clear" w:color="auto" w:fill="auto"/>
            <w:noWrap/>
            <w:vAlign w:val="bottom"/>
            <w:hideMark/>
          </w:tcPr>
          <w:p w:rsidR="007D6D8B" w:rsidRPr="00951E73" w:rsidRDefault="007D6D8B" w:rsidP="007D6D8B">
            <w:pPr>
              <w:spacing w:after="0" w:line="240" w:lineRule="auto"/>
              <w:rPr>
                <w:rFonts w:asciiTheme="majorBidi" w:eastAsia="Times New Roman" w:hAnsiTheme="majorBidi" w:cstheme="majorBidi"/>
                <w:b/>
                <w:bCs/>
                <w:color w:val="4F81BD" w:themeColor="accent1"/>
                <w:lang w:eastAsia="fr-FR"/>
              </w:rPr>
            </w:pPr>
            <w:r w:rsidRPr="00951E73">
              <w:rPr>
                <w:rFonts w:asciiTheme="majorBidi" w:hAnsiTheme="majorBidi" w:cstheme="majorBidi"/>
                <w:b/>
                <w:bCs/>
                <w:color w:val="4F81BD" w:themeColor="accent1"/>
              </w:rPr>
              <w:lastRenderedPageBreak/>
              <w:t>Tableau A</w:t>
            </w:r>
            <w:r>
              <w:rPr>
                <w:rFonts w:asciiTheme="majorBidi" w:hAnsiTheme="majorBidi" w:cstheme="majorBidi"/>
                <w:b/>
                <w:bCs/>
                <w:color w:val="4F81BD" w:themeColor="accent1"/>
              </w:rPr>
              <w:t>3</w:t>
            </w:r>
            <w:r w:rsidRPr="00951E73">
              <w:rPr>
                <w:rFonts w:asciiTheme="majorBidi" w:hAnsiTheme="majorBidi" w:cstheme="majorBidi"/>
                <w:b/>
                <w:bCs/>
                <w:color w:val="4F81BD" w:themeColor="accent1"/>
              </w:rPr>
              <w:t xml:space="preserve"> : </w:t>
            </w:r>
            <w:r w:rsidRPr="00951E73">
              <w:rPr>
                <w:rFonts w:asciiTheme="majorBidi" w:eastAsia="Times New Roman" w:hAnsiTheme="majorBidi" w:cstheme="majorBidi"/>
                <w:b/>
                <w:bCs/>
                <w:color w:val="4F81BD" w:themeColor="accent1"/>
                <w:lang w:eastAsia="fr-FR"/>
              </w:rPr>
              <w:t xml:space="preserve">IPC de la ville de </w:t>
            </w:r>
            <w:proofErr w:type="spellStart"/>
            <w:r w:rsidRPr="00951E73">
              <w:rPr>
                <w:rFonts w:asciiTheme="majorBidi" w:eastAsia="Times New Roman" w:hAnsiTheme="majorBidi" w:cstheme="majorBidi"/>
                <w:b/>
                <w:bCs/>
                <w:color w:val="4F81BD" w:themeColor="accent1"/>
                <w:lang w:eastAsia="fr-FR"/>
              </w:rPr>
              <w:t>Kénitra</w:t>
            </w:r>
            <w:proofErr w:type="spellEnd"/>
            <w:r w:rsidRPr="00951E73">
              <w:rPr>
                <w:rFonts w:asciiTheme="majorBidi" w:eastAsia="Times New Roman" w:hAnsiTheme="majorBidi" w:cstheme="majorBidi"/>
                <w:b/>
                <w:bCs/>
                <w:color w:val="4F81BD" w:themeColor="accent1"/>
                <w:lang w:eastAsia="fr-FR"/>
              </w:rPr>
              <w:t xml:space="preserve"> par division et par mois</w:t>
            </w:r>
            <w:r>
              <w:rPr>
                <w:rFonts w:asciiTheme="majorBidi" w:eastAsia="Times New Roman" w:hAnsiTheme="majorBidi" w:cstheme="majorBidi"/>
                <w:b/>
                <w:bCs/>
                <w:color w:val="4F81BD" w:themeColor="accent1"/>
                <w:lang w:eastAsia="fr-FR"/>
              </w:rPr>
              <w:t xml:space="preserve"> - Année 2018</w:t>
            </w:r>
            <w:r w:rsidRPr="00951E73">
              <w:rPr>
                <w:rFonts w:asciiTheme="majorBidi" w:eastAsia="Times New Roman" w:hAnsiTheme="majorBidi" w:cstheme="majorBidi"/>
                <w:b/>
                <w:bCs/>
                <w:color w:val="4F81BD" w:themeColor="accent1"/>
                <w:lang w:eastAsia="fr-FR"/>
              </w:rPr>
              <w:t>-</w:t>
            </w:r>
          </w:p>
        </w:tc>
      </w:tr>
      <w:tr w:rsidR="007D6D8B" w:rsidRPr="000247A5" w:rsidTr="007D6D8B">
        <w:trPr>
          <w:trHeight w:val="595"/>
        </w:trPr>
        <w:tc>
          <w:tcPr>
            <w:tcW w:w="1188" w:type="pct"/>
            <w:tcBorders>
              <w:top w:val="single" w:sz="8" w:space="0" w:color="auto"/>
              <w:left w:val="single" w:sz="4" w:space="0" w:color="auto"/>
              <w:bottom w:val="single" w:sz="8" w:space="0" w:color="auto"/>
              <w:right w:val="single" w:sz="8" w:space="0" w:color="auto"/>
            </w:tcBorders>
            <w:shd w:val="clear" w:color="000000" w:fill="C0C0C0"/>
            <w:noWrap/>
            <w:vAlign w:val="center"/>
            <w:hideMark/>
          </w:tcPr>
          <w:p w:rsidR="007D6D8B" w:rsidRPr="00FD10A2" w:rsidRDefault="007D6D8B" w:rsidP="007D6D8B">
            <w:pPr>
              <w:spacing w:after="0" w:line="240" w:lineRule="auto"/>
              <w:rPr>
                <w:rFonts w:ascii="Times New Roman" w:eastAsia="Times New Roman" w:hAnsi="Times New Roman" w:cs="Times New Roman"/>
                <w:b/>
                <w:bCs/>
                <w:sz w:val="20"/>
                <w:szCs w:val="20"/>
                <w:lang w:eastAsia="fr-FR"/>
              </w:rPr>
            </w:pPr>
            <w:r w:rsidRPr="00FD10A2">
              <w:rPr>
                <w:rFonts w:ascii="Times New Roman" w:eastAsia="Times New Roman" w:hAnsi="Times New Roman" w:cs="Times New Roman"/>
                <w:b/>
                <w:bCs/>
                <w:sz w:val="20"/>
                <w:szCs w:val="20"/>
                <w:lang w:eastAsia="fr-FR"/>
              </w:rPr>
              <w:t xml:space="preserve"> DIVISIONS</w:t>
            </w:r>
          </w:p>
        </w:tc>
        <w:tc>
          <w:tcPr>
            <w:tcW w:w="291" w:type="pct"/>
            <w:tcBorders>
              <w:top w:val="single" w:sz="8" w:space="0" w:color="auto"/>
              <w:left w:val="single" w:sz="4" w:space="0" w:color="auto"/>
              <w:bottom w:val="single" w:sz="8" w:space="0" w:color="auto"/>
              <w:right w:val="single" w:sz="4" w:space="0" w:color="auto"/>
            </w:tcBorders>
            <w:shd w:val="clear" w:color="000000" w:fill="C0C0C0"/>
            <w:noWrap/>
            <w:vAlign w:val="center"/>
            <w:hideMark/>
          </w:tcPr>
          <w:p w:rsidR="007D6D8B" w:rsidRPr="000247A5" w:rsidRDefault="007D6D8B" w:rsidP="007D6D8B">
            <w:pPr>
              <w:spacing w:after="0" w:line="240" w:lineRule="auto"/>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Jan</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7D6D8B" w:rsidRPr="000247A5" w:rsidRDefault="007D6D8B" w:rsidP="007D6D8B">
            <w:pPr>
              <w:spacing w:after="0" w:line="240" w:lineRule="auto"/>
              <w:rPr>
                <w:rFonts w:ascii="Times New Roman" w:eastAsia="Times New Roman" w:hAnsi="Times New Roman" w:cs="Times New Roman"/>
                <w:b/>
                <w:bCs/>
                <w:sz w:val="18"/>
                <w:szCs w:val="18"/>
                <w:lang w:eastAsia="fr-FR"/>
              </w:rPr>
            </w:pPr>
            <w:proofErr w:type="spellStart"/>
            <w:r w:rsidRPr="000247A5">
              <w:rPr>
                <w:rFonts w:ascii="Times New Roman" w:eastAsia="Times New Roman" w:hAnsi="Times New Roman" w:cs="Times New Roman"/>
                <w:b/>
                <w:bCs/>
                <w:sz w:val="18"/>
                <w:szCs w:val="18"/>
                <w:lang w:eastAsia="fr-FR"/>
              </w:rPr>
              <w:t>Fev</w:t>
            </w:r>
            <w:proofErr w:type="spellEnd"/>
          </w:p>
        </w:tc>
        <w:tc>
          <w:tcPr>
            <w:tcW w:w="294" w:type="pct"/>
            <w:tcBorders>
              <w:top w:val="single" w:sz="8" w:space="0" w:color="auto"/>
              <w:left w:val="nil"/>
              <w:bottom w:val="single" w:sz="8" w:space="0" w:color="auto"/>
              <w:right w:val="single" w:sz="4" w:space="0" w:color="auto"/>
            </w:tcBorders>
            <w:shd w:val="clear" w:color="000000" w:fill="C0C0C0"/>
            <w:noWrap/>
            <w:vAlign w:val="center"/>
            <w:hideMark/>
          </w:tcPr>
          <w:p w:rsidR="007D6D8B" w:rsidRPr="000247A5" w:rsidRDefault="007D6D8B" w:rsidP="007D6D8B">
            <w:pPr>
              <w:spacing w:after="0" w:line="240" w:lineRule="auto"/>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Mars</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7D6D8B" w:rsidRPr="000247A5" w:rsidRDefault="007D6D8B" w:rsidP="007D6D8B">
            <w:pPr>
              <w:spacing w:after="0" w:line="240" w:lineRule="auto"/>
              <w:rPr>
                <w:rFonts w:ascii="Times New Roman" w:eastAsia="Times New Roman" w:hAnsi="Times New Roman" w:cs="Times New Roman"/>
                <w:b/>
                <w:bCs/>
                <w:sz w:val="18"/>
                <w:szCs w:val="18"/>
                <w:lang w:eastAsia="fr-FR"/>
              </w:rPr>
            </w:pPr>
            <w:proofErr w:type="spellStart"/>
            <w:r w:rsidRPr="000247A5">
              <w:rPr>
                <w:rFonts w:ascii="Times New Roman" w:eastAsia="Times New Roman" w:hAnsi="Times New Roman" w:cs="Times New Roman"/>
                <w:b/>
                <w:bCs/>
                <w:sz w:val="18"/>
                <w:szCs w:val="18"/>
                <w:lang w:eastAsia="fr-FR"/>
              </w:rPr>
              <w:t>Avr</w:t>
            </w:r>
            <w:proofErr w:type="spellEnd"/>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7D6D8B" w:rsidRPr="000247A5" w:rsidRDefault="007D6D8B" w:rsidP="007D6D8B">
            <w:pPr>
              <w:spacing w:after="0" w:line="240" w:lineRule="auto"/>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Mai</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7D6D8B" w:rsidRPr="000247A5" w:rsidRDefault="007D6D8B" w:rsidP="007D6D8B">
            <w:pPr>
              <w:spacing w:after="0" w:line="240" w:lineRule="auto"/>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Juin</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7D6D8B" w:rsidRPr="000247A5" w:rsidRDefault="007D6D8B" w:rsidP="007D6D8B">
            <w:pPr>
              <w:spacing w:after="0" w:line="240" w:lineRule="auto"/>
              <w:rPr>
                <w:rFonts w:ascii="Times New Roman" w:eastAsia="Times New Roman" w:hAnsi="Times New Roman" w:cs="Times New Roman"/>
                <w:b/>
                <w:bCs/>
                <w:sz w:val="18"/>
                <w:szCs w:val="18"/>
                <w:lang w:eastAsia="fr-FR"/>
              </w:rPr>
            </w:pPr>
            <w:proofErr w:type="spellStart"/>
            <w:r w:rsidRPr="000247A5">
              <w:rPr>
                <w:rFonts w:ascii="Times New Roman" w:eastAsia="Times New Roman" w:hAnsi="Times New Roman" w:cs="Times New Roman"/>
                <w:b/>
                <w:bCs/>
                <w:sz w:val="18"/>
                <w:szCs w:val="18"/>
                <w:lang w:eastAsia="fr-FR"/>
              </w:rPr>
              <w:t>Jul</w:t>
            </w:r>
            <w:proofErr w:type="spellEnd"/>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7D6D8B" w:rsidRPr="000247A5" w:rsidRDefault="007D6D8B" w:rsidP="007D6D8B">
            <w:pPr>
              <w:spacing w:after="0" w:line="240" w:lineRule="auto"/>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Août</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7D6D8B" w:rsidRPr="000247A5" w:rsidRDefault="007D6D8B" w:rsidP="007D6D8B">
            <w:pPr>
              <w:spacing w:after="0" w:line="240" w:lineRule="auto"/>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Sep</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7D6D8B" w:rsidRPr="000247A5" w:rsidRDefault="007D6D8B" w:rsidP="007D6D8B">
            <w:pPr>
              <w:spacing w:after="0" w:line="240" w:lineRule="auto"/>
              <w:rPr>
                <w:rFonts w:ascii="Times New Roman" w:eastAsia="Times New Roman" w:hAnsi="Times New Roman" w:cs="Times New Roman"/>
                <w:b/>
                <w:bCs/>
                <w:sz w:val="18"/>
                <w:szCs w:val="18"/>
                <w:lang w:eastAsia="fr-FR"/>
              </w:rPr>
            </w:pPr>
            <w:proofErr w:type="spellStart"/>
            <w:r w:rsidRPr="000247A5">
              <w:rPr>
                <w:rFonts w:ascii="Times New Roman" w:eastAsia="Times New Roman" w:hAnsi="Times New Roman" w:cs="Times New Roman"/>
                <w:b/>
                <w:bCs/>
                <w:sz w:val="18"/>
                <w:szCs w:val="18"/>
                <w:lang w:eastAsia="fr-FR"/>
              </w:rPr>
              <w:t>Oct</w:t>
            </w:r>
            <w:proofErr w:type="spellEnd"/>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7D6D8B" w:rsidRPr="000247A5" w:rsidRDefault="007D6D8B" w:rsidP="007D6D8B">
            <w:pPr>
              <w:spacing w:after="0" w:line="240" w:lineRule="auto"/>
              <w:rPr>
                <w:rFonts w:ascii="Times New Roman" w:eastAsia="Times New Roman" w:hAnsi="Times New Roman" w:cs="Times New Roman"/>
                <w:b/>
                <w:bCs/>
                <w:sz w:val="18"/>
                <w:szCs w:val="18"/>
                <w:lang w:eastAsia="fr-FR"/>
              </w:rPr>
            </w:pPr>
            <w:proofErr w:type="spellStart"/>
            <w:r w:rsidRPr="000247A5">
              <w:rPr>
                <w:rFonts w:ascii="Times New Roman" w:eastAsia="Times New Roman" w:hAnsi="Times New Roman" w:cs="Times New Roman"/>
                <w:b/>
                <w:bCs/>
                <w:sz w:val="18"/>
                <w:szCs w:val="18"/>
                <w:lang w:eastAsia="fr-FR"/>
              </w:rPr>
              <w:t>Nov</w:t>
            </w:r>
            <w:proofErr w:type="spellEnd"/>
          </w:p>
        </w:tc>
        <w:tc>
          <w:tcPr>
            <w:tcW w:w="292" w:type="pct"/>
            <w:tcBorders>
              <w:top w:val="single" w:sz="8" w:space="0" w:color="auto"/>
              <w:left w:val="single" w:sz="8" w:space="0" w:color="auto"/>
              <w:bottom w:val="single" w:sz="8" w:space="0" w:color="auto"/>
              <w:right w:val="nil"/>
            </w:tcBorders>
            <w:shd w:val="clear" w:color="000000" w:fill="C0C0C0"/>
            <w:noWrap/>
            <w:vAlign w:val="center"/>
            <w:hideMark/>
          </w:tcPr>
          <w:p w:rsidR="007D6D8B" w:rsidRPr="000247A5" w:rsidRDefault="007D6D8B" w:rsidP="007D6D8B">
            <w:pPr>
              <w:spacing w:after="0" w:line="240" w:lineRule="auto"/>
              <w:rPr>
                <w:rFonts w:ascii="Times New Roman" w:eastAsia="Times New Roman" w:hAnsi="Times New Roman" w:cs="Times New Roman"/>
                <w:b/>
                <w:bCs/>
                <w:sz w:val="18"/>
                <w:szCs w:val="18"/>
                <w:lang w:eastAsia="fr-FR"/>
              </w:rPr>
            </w:pPr>
            <w:proofErr w:type="spellStart"/>
            <w:r w:rsidRPr="000247A5">
              <w:rPr>
                <w:rFonts w:ascii="Times New Roman" w:eastAsia="Times New Roman" w:hAnsi="Times New Roman" w:cs="Times New Roman"/>
                <w:b/>
                <w:bCs/>
                <w:sz w:val="18"/>
                <w:szCs w:val="18"/>
                <w:lang w:eastAsia="fr-FR"/>
              </w:rPr>
              <w:t>Dec</w:t>
            </w:r>
            <w:proofErr w:type="spellEnd"/>
          </w:p>
        </w:tc>
        <w:tc>
          <w:tcPr>
            <w:tcW w:w="316" w:type="pct"/>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7D6D8B" w:rsidRPr="000247A5" w:rsidRDefault="007D6D8B" w:rsidP="007D6D8B">
            <w:pPr>
              <w:spacing w:after="0" w:line="240" w:lineRule="auto"/>
              <w:rPr>
                <w:rFonts w:ascii="Times New Roman" w:eastAsia="Times New Roman" w:hAnsi="Times New Roman" w:cs="Times New Roman"/>
                <w:b/>
                <w:bCs/>
                <w:sz w:val="18"/>
                <w:szCs w:val="18"/>
                <w:lang w:eastAsia="fr-FR"/>
              </w:rPr>
            </w:pPr>
            <w:proofErr w:type="spellStart"/>
            <w:r w:rsidRPr="000247A5">
              <w:rPr>
                <w:rFonts w:ascii="Times New Roman" w:eastAsia="Times New Roman" w:hAnsi="Times New Roman" w:cs="Times New Roman"/>
                <w:b/>
                <w:bCs/>
                <w:sz w:val="18"/>
                <w:szCs w:val="18"/>
                <w:lang w:eastAsia="fr-FR"/>
              </w:rPr>
              <w:t>Moy</w:t>
            </w:r>
            <w:proofErr w:type="spellEnd"/>
          </w:p>
        </w:tc>
      </w:tr>
      <w:tr w:rsidR="007D6D8B" w:rsidRPr="007D6D8B" w:rsidTr="007D6D8B">
        <w:trPr>
          <w:trHeight w:val="744"/>
        </w:trPr>
        <w:tc>
          <w:tcPr>
            <w:tcW w:w="118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D6D8B" w:rsidRPr="000247A5" w:rsidRDefault="007D6D8B" w:rsidP="007D6D8B">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01. PRODUITS ALIMENTAIRES ET BOISSONS NON ALCOOLISÉES</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127,2</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126,5</w:t>
            </w:r>
          </w:p>
        </w:tc>
        <w:tc>
          <w:tcPr>
            <w:tcW w:w="294"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127,9</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127,1</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129,5</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130,3</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125,1</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125,7</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126,4</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125,5</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126,5</w:t>
            </w:r>
          </w:p>
        </w:tc>
        <w:tc>
          <w:tcPr>
            <w:tcW w:w="292"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126,5</w:t>
            </w:r>
          </w:p>
        </w:tc>
        <w:tc>
          <w:tcPr>
            <w:tcW w:w="316"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b/>
                <w:bCs/>
                <w:sz w:val="18"/>
                <w:szCs w:val="18"/>
              </w:rPr>
            </w:pPr>
            <w:r w:rsidRPr="007D6D8B">
              <w:rPr>
                <w:rFonts w:asciiTheme="majorBidi" w:hAnsiTheme="majorBidi" w:cstheme="majorBidi"/>
                <w:b/>
                <w:bCs/>
                <w:sz w:val="18"/>
                <w:szCs w:val="18"/>
              </w:rPr>
              <w:t>127,0</w:t>
            </w:r>
          </w:p>
        </w:tc>
      </w:tr>
      <w:tr w:rsidR="007D6D8B" w:rsidRPr="007D6D8B" w:rsidTr="007D6D8B">
        <w:trPr>
          <w:trHeight w:val="693"/>
        </w:trPr>
        <w:tc>
          <w:tcPr>
            <w:tcW w:w="1188" w:type="pct"/>
            <w:tcBorders>
              <w:top w:val="nil"/>
              <w:left w:val="single" w:sz="4" w:space="0" w:color="auto"/>
              <w:bottom w:val="single" w:sz="4" w:space="0" w:color="auto"/>
              <w:right w:val="single" w:sz="4" w:space="0" w:color="auto"/>
            </w:tcBorders>
            <w:shd w:val="clear" w:color="000000" w:fill="FFFFFF"/>
            <w:vAlign w:val="center"/>
            <w:hideMark/>
          </w:tcPr>
          <w:p w:rsidR="007D6D8B" w:rsidRPr="000247A5" w:rsidRDefault="007D6D8B" w:rsidP="007D6D8B">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02. BOISSONS ALCOOLISÉES, TABAC ET STUPÉFIANTS</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137,8</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137,8</w:t>
            </w:r>
          </w:p>
        </w:tc>
        <w:tc>
          <w:tcPr>
            <w:tcW w:w="294"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137,8</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137,9</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137,9</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137,9</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137,9</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137,9</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137,9</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137,9</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137,9</w:t>
            </w:r>
          </w:p>
        </w:tc>
        <w:tc>
          <w:tcPr>
            <w:tcW w:w="292"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137,9</w:t>
            </w:r>
          </w:p>
        </w:tc>
        <w:tc>
          <w:tcPr>
            <w:tcW w:w="316"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b/>
                <w:bCs/>
                <w:sz w:val="18"/>
                <w:szCs w:val="18"/>
              </w:rPr>
            </w:pPr>
            <w:r w:rsidRPr="007D6D8B">
              <w:rPr>
                <w:rFonts w:asciiTheme="majorBidi" w:hAnsiTheme="majorBidi" w:cstheme="majorBidi"/>
                <w:b/>
                <w:bCs/>
                <w:sz w:val="18"/>
                <w:szCs w:val="18"/>
              </w:rPr>
              <w:t>137,9</w:t>
            </w:r>
          </w:p>
        </w:tc>
      </w:tr>
      <w:tr w:rsidR="007D6D8B" w:rsidRPr="007D6D8B" w:rsidTr="007D6D8B">
        <w:trPr>
          <w:trHeight w:val="642"/>
        </w:trPr>
        <w:tc>
          <w:tcPr>
            <w:tcW w:w="1188" w:type="pct"/>
            <w:tcBorders>
              <w:top w:val="nil"/>
              <w:left w:val="single" w:sz="4" w:space="0" w:color="auto"/>
              <w:bottom w:val="single" w:sz="4" w:space="0" w:color="auto"/>
              <w:right w:val="single" w:sz="4" w:space="0" w:color="auto"/>
            </w:tcBorders>
            <w:shd w:val="clear" w:color="000000" w:fill="FFFFFF"/>
            <w:vAlign w:val="center"/>
            <w:hideMark/>
          </w:tcPr>
          <w:p w:rsidR="007D6D8B" w:rsidRPr="000247A5" w:rsidRDefault="007D6D8B" w:rsidP="007D6D8B">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03. ARTICLES D'HABILLEMENT ET CHAUSSURES</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112,1</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112,2</w:t>
            </w:r>
          </w:p>
        </w:tc>
        <w:tc>
          <w:tcPr>
            <w:tcW w:w="294"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112,3</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112,3</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112,4</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112,4</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112,4</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112,2</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113,0</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113,0</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113,3</w:t>
            </w:r>
          </w:p>
        </w:tc>
        <w:tc>
          <w:tcPr>
            <w:tcW w:w="292"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113,0</w:t>
            </w:r>
          </w:p>
        </w:tc>
        <w:tc>
          <w:tcPr>
            <w:tcW w:w="316"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b/>
                <w:bCs/>
                <w:sz w:val="18"/>
                <w:szCs w:val="18"/>
              </w:rPr>
            </w:pPr>
            <w:r w:rsidRPr="007D6D8B">
              <w:rPr>
                <w:rFonts w:asciiTheme="majorBidi" w:hAnsiTheme="majorBidi" w:cstheme="majorBidi"/>
                <w:b/>
                <w:bCs/>
                <w:sz w:val="18"/>
                <w:szCs w:val="18"/>
              </w:rPr>
              <w:t>112,6</w:t>
            </w:r>
          </w:p>
        </w:tc>
      </w:tr>
      <w:tr w:rsidR="007D6D8B" w:rsidRPr="007D6D8B" w:rsidTr="007D6D8B">
        <w:trPr>
          <w:trHeight w:val="695"/>
        </w:trPr>
        <w:tc>
          <w:tcPr>
            <w:tcW w:w="1188" w:type="pct"/>
            <w:tcBorders>
              <w:top w:val="nil"/>
              <w:left w:val="single" w:sz="4" w:space="0" w:color="auto"/>
              <w:bottom w:val="single" w:sz="4" w:space="0" w:color="auto"/>
              <w:right w:val="single" w:sz="4" w:space="0" w:color="auto"/>
            </w:tcBorders>
            <w:shd w:val="clear" w:color="000000" w:fill="FFFFFF"/>
            <w:vAlign w:val="center"/>
            <w:hideMark/>
          </w:tcPr>
          <w:p w:rsidR="007D6D8B" w:rsidRPr="000247A5" w:rsidRDefault="007D6D8B" w:rsidP="007D6D8B">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04. LOGEMENT, EAU, GAZ, ELECTRICITE ET AUTRES COMBUSTIBLES</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108,5</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108,5</w:t>
            </w:r>
          </w:p>
        </w:tc>
        <w:tc>
          <w:tcPr>
            <w:tcW w:w="294"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108,5</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108,5</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108,5</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108,5</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108,5</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108,6</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108,6</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108,6</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108,7</w:t>
            </w:r>
          </w:p>
        </w:tc>
        <w:tc>
          <w:tcPr>
            <w:tcW w:w="292"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108,7</w:t>
            </w:r>
          </w:p>
        </w:tc>
        <w:tc>
          <w:tcPr>
            <w:tcW w:w="316"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b/>
                <w:bCs/>
                <w:sz w:val="18"/>
                <w:szCs w:val="18"/>
              </w:rPr>
            </w:pPr>
            <w:r w:rsidRPr="007D6D8B">
              <w:rPr>
                <w:rFonts w:asciiTheme="majorBidi" w:hAnsiTheme="majorBidi" w:cstheme="majorBidi"/>
                <w:b/>
                <w:bCs/>
                <w:sz w:val="18"/>
                <w:szCs w:val="18"/>
              </w:rPr>
              <w:t>108,6</w:t>
            </w:r>
          </w:p>
        </w:tc>
      </w:tr>
      <w:tr w:rsidR="007D6D8B" w:rsidRPr="007D6D8B" w:rsidTr="007D6D8B">
        <w:trPr>
          <w:trHeight w:val="549"/>
        </w:trPr>
        <w:tc>
          <w:tcPr>
            <w:tcW w:w="1188" w:type="pct"/>
            <w:tcBorders>
              <w:top w:val="nil"/>
              <w:left w:val="single" w:sz="4" w:space="0" w:color="auto"/>
              <w:bottom w:val="single" w:sz="4" w:space="0" w:color="auto"/>
              <w:right w:val="single" w:sz="4" w:space="0" w:color="auto"/>
            </w:tcBorders>
            <w:shd w:val="clear" w:color="000000" w:fill="FFFFFF"/>
            <w:vAlign w:val="center"/>
            <w:hideMark/>
          </w:tcPr>
          <w:p w:rsidR="007D6D8B" w:rsidRPr="000247A5" w:rsidRDefault="007D6D8B" w:rsidP="007D6D8B">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05. MEUBLES, ARTICLES DE MENAGE ET ENTRETIEN COURANT DU FOYER</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106,5</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107,3</w:t>
            </w:r>
          </w:p>
        </w:tc>
        <w:tc>
          <w:tcPr>
            <w:tcW w:w="294"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107,6</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108,2</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108,1</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108,1</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108,1</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108,1</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108,1</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108,1</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108,1</w:t>
            </w:r>
          </w:p>
        </w:tc>
        <w:tc>
          <w:tcPr>
            <w:tcW w:w="292"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106,8</w:t>
            </w:r>
          </w:p>
        </w:tc>
        <w:tc>
          <w:tcPr>
            <w:tcW w:w="316"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b/>
                <w:bCs/>
                <w:sz w:val="18"/>
                <w:szCs w:val="18"/>
              </w:rPr>
            </w:pPr>
            <w:r w:rsidRPr="007D6D8B">
              <w:rPr>
                <w:rFonts w:asciiTheme="majorBidi" w:hAnsiTheme="majorBidi" w:cstheme="majorBidi"/>
                <w:b/>
                <w:bCs/>
                <w:sz w:val="18"/>
                <w:szCs w:val="18"/>
              </w:rPr>
              <w:t>107,8</w:t>
            </w:r>
          </w:p>
        </w:tc>
      </w:tr>
      <w:tr w:rsidR="007D6D8B" w:rsidRPr="007D6D8B" w:rsidTr="007D6D8B">
        <w:trPr>
          <w:trHeight w:val="413"/>
        </w:trPr>
        <w:tc>
          <w:tcPr>
            <w:tcW w:w="1188" w:type="pct"/>
            <w:tcBorders>
              <w:top w:val="nil"/>
              <w:left w:val="single" w:sz="4" w:space="0" w:color="auto"/>
              <w:bottom w:val="single" w:sz="4" w:space="0" w:color="auto"/>
              <w:right w:val="single" w:sz="4" w:space="0" w:color="auto"/>
            </w:tcBorders>
            <w:shd w:val="clear" w:color="000000" w:fill="FFFFFF"/>
            <w:vAlign w:val="center"/>
            <w:hideMark/>
          </w:tcPr>
          <w:p w:rsidR="007D6D8B" w:rsidRPr="000247A5" w:rsidRDefault="007D6D8B" w:rsidP="007D6D8B">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06. SANTÉ</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112,8</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112,8</w:t>
            </w:r>
          </w:p>
        </w:tc>
        <w:tc>
          <w:tcPr>
            <w:tcW w:w="294"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112,8</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112,8</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112,8</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112,8</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112,8</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112,8</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112,8</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112,8</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112,8</w:t>
            </w:r>
          </w:p>
        </w:tc>
        <w:tc>
          <w:tcPr>
            <w:tcW w:w="292"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112,8</w:t>
            </w:r>
          </w:p>
        </w:tc>
        <w:tc>
          <w:tcPr>
            <w:tcW w:w="316"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b/>
                <w:bCs/>
                <w:sz w:val="18"/>
                <w:szCs w:val="18"/>
              </w:rPr>
            </w:pPr>
            <w:r w:rsidRPr="007D6D8B">
              <w:rPr>
                <w:rFonts w:asciiTheme="majorBidi" w:hAnsiTheme="majorBidi" w:cstheme="majorBidi"/>
                <w:b/>
                <w:bCs/>
                <w:sz w:val="18"/>
                <w:szCs w:val="18"/>
              </w:rPr>
              <w:t>112,8</w:t>
            </w:r>
          </w:p>
        </w:tc>
      </w:tr>
      <w:tr w:rsidR="007D6D8B" w:rsidRPr="007D6D8B" w:rsidTr="007D6D8B">
        <w:trPr>
          <w:trHeight w:val="419"/>
        </w:trPr>
        <w:tc>
          <w:tcPr>
            <w:tcW w:w="1188" w:type="pct"/>
            <w:tcBorders>
              <w:top w:val="nil"/>
              <w:left w:val="single" w:sz="4" w:space="0" w:color="auto"/>
              <w:bottom w:val="single" w:sz="4" w:space="0" w:color="auto"/>
              <w:right w:val="single" w:sz="4" w:space="0" w:color="auto"/>
            </w:tcBorders>
            <w:shd w:val="clear" w:color="000000" w:fill="FFFFFF"/>
            <w:vAlign w:val="center"/>
            <w:hideMark/>
          </w:tcPr>
          <w:p w:rsidR="007D6D8B" w:rsidRPr="000247A5" w:rsidRDefault="007D6D8B" w:rsidP="007D6D8B">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07. TRANSPORTS</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113,8</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113,7</w:t>
            </w:r>
          </w:p>
        </w:tc>
        <w:tc>
          <w:tcPr>
            <w:tcW w:w="294"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113,0</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114,2</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114,3</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114,6</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114,6</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114,7</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114,8</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115,7</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115,0</w:t>
            </w:r>
          </w:p>
        </w:tc>
        <w:tc>
          <w:tcPr>
            <w:tcW w:w="292"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112,2</w:t>
            </w:r>
          </w:p>
        </w:tc>
        <w:tc>
          <w:tcPr>
            <w:tcW w:w="316"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b/>
                <w:bCs/>
                <w:sz w:val="18"/>
                <w:szCs w:val="18"/>
              </w:rPr>
            </w:pPr>
            <w:r w:rsidRPr="007D6D8B">
              <w:rPr>
                <w:rFonts w:asciiTheme="majorBidi" w:hAnsiTheme="majorBidi" w:cstheme="majorBidi"/>
                <w:b/>
                <w:bCs/>
                <w:sz w:val="18"/>
                <w:szCs w:val="18"/>
              </w:rPr>
              <w:t>114,2</w:t>
            </w:r>
          </w:p>
        </w:tc>
      </w:tr>
      <w:tr w:rsidR="007D6D8B" w:rsidRPr="007D6D8B" w:rsidTr="007D6D8B">
        <w:trPr>
          <w:trHeight w:val="397"/>
        </w:trPr>
        <w:tc>
          <w:tcPr>
            <w:tcW w:w="1188" w:type="pct"/>
            <w:tcBorders>
              <w:top w:val="nil"/>
              <w:left w:val="single" w:sz="4" w:space="0" w:color="auto"/>
              <w:bottom w:val="single" w:sz="4" w:space="0" w:color="auto"/>
              <w:right w:val="single" w:sz="4" w:space="0" w:color="auto"/>
            </w:tcBorders>
            <w:shd w:val="clear" w:color="000000" w:fill="FFFFFF"/>
            <w:vAlign w:val="center"/>
            <w:hideMark/>
          </w:tcPr>
          <w:p w:rsidR="007D6D8B" w:rsidRPr="000247A5" w:rsidRDefault="007D6D8B" w:rsidP="007D6D8B">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08. COMMUNICATIONS</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58,6</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58,6</w:t>
            </w:r>
          </w:p>
        </w:tc>
        <w:tc>
          <w:tcPr>
            <w:tcW w:w="294"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58,6</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58,6</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58,6</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58,6</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58,6</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58,6</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58,6</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59,0</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59,0</w:t>
            </w:r>
          </w:p>
        </w:tc>
        <w:tc>
          <w:tcPr>
            <w:tcW w:w="292"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59,0</w:t>
            </w:r>
          </w:p>
        </w:tc>
        <w:tc>
          <w:tcPr>
            <w:tcW w:w="316"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b/>
                <w:bCs/>
                <w:sz w:val="18"/>
                <w:szCs w:val="18"/>
              </w:rPr>
            </w:pPr>
            <w:r w:rsidRPr="007D6D8B">
              <w:rPr>
                <w:rFonts w:asciiTheme="majorBidi" w:hAnsiTheme="majorBidi" w:cstheme="majorBidi"/>
                <w:b/>
                <w:bCs/>
                <w:sz w:val="18"/>
                <w:szCs w:val="18"/>
              </w:rPr>
              <w:t>58,7</w:t>
            </w:r>
          </w:p>
        </w:tc>
      </w:tr>
      <w:tr w:rsidR="007D6D8B" w:rsidRPr="007D6D8B" w:rsidTr="007D6D8B">
        <w:trPr>
          <w:trHeight w:val="431"/>
        </w:trPr>
        <w:tc>
          <w:tcPr>
            <w:tcW w:w="1188" w:type="pct"/>
            <w:tcBorders>
              <w:top w:val="nil"/>
              <w:left w:val="single" w:sz="4" w:space="0" w:color="auto"/>
              <w:bottom w:val="single" w:sz="4" w:space="0" w:color="auto"/>
              <w:right w:val="single" w:sz="4" w:space="0" w:color="auto"/>
            </w:tcBorders>
            <w:shd w:val="clear" w:color="000000" w:fill="FFFFFF"/>
            <w:vAlign w:val="center"/>
            <w:hideMark/>
          </w:tcPr>
          <w:p w:rsidR="007D6D8B" w:rsidRPr="000247A5" w:rsidRDefault="007D6D8B" w:rsidP="007D6D8B">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09. LOISIRS ET CULTURE</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101,9</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101,9</w:t>
            </w:r>
          </w:p>
        </w:tc>
        <w:tc>
          <w:tcPr>
            <w:tcW w:w="294"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101,9</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101,9</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101,5</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101,5</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101,5</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101,5</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101,5</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101,5</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101,5</w:t>
            </w:r>
          </w:p>
        </w:tc>
        <w:tc>
          <w:tcPr>
            <w:tcW w:w="292"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101,5</w:t>
            </w:r>
          </w:p>
        </w:tc>
        <w:tc>
          <w:tcPr>
            <w:tcW w:w="316"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b/>
                <w:bCs/>
                <w:sz w:val="18"/>
                <w:szCs w:val="18"/>
              </w:rPr>
            </w:pPr>
            <w:r w:rsidRPr="007D6D8B">
              <w:rPr>
                <w:rFonts w:asciiTheme="majorBidi" w:hAnsiTheme="majorBidi" w:cstheme="majorBidi"/>
                <w:b/>
                <w:bCs/>
                <w:sz w:val="18"/>
                <w:szCs w:val="18"/>
              </w:rPr>
              <w:t>101,6</w:t>
            </w:r>
          </w:p>
        </w:tc>
      </w:tr>
      <w:tr w:rsidR="007D6D8B" w:rsidRPr="007D6D8B" w:rsidTr="007D6D8B">
        <w:trPr>
          <w:trHeight w:val="283"/>
        </w:trPr>
        <w:tc>
          <w:tcPr>
            <w:tcW w:w="1188" w:type="pct"/>
            <w:tcBorders>
              <w:top w:val="nil"/>
              <w:left w:val="single" w:sz="4" w:space="0" w:color="auto"/>
              <w:bottom w:val="single" w:sz="4" w:space="0" w:color="auto"/>
              <w:right w:val="single" w:sz="4" w:space="0" w:color="auto"/>
            </w:tcBorders>
            <w:shd w:val="clear" w:color="000000" w:fill="FFFFFF"/>
            <w:vAlign w:val="center"/>
            <w:hideMark/>
          </w:tcPr>
          <w:p w:rsidR="007D6D8B" w:rsidRPr="000247A5" w:rsidRDefault="007D6D8B" w:rsidP="007D6D8B">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10. ENSEIGNEMENT</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116,1</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116,1</w:t>
            </w:r>
          </w:p>
        </w:tc>
        <w:tc>
          <w:tcPr>
            <w:tcW w:w="294"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116,1</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116,1</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116,1</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116,1</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116,1</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116,1</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119,8</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119,8</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119,8</w:t>
            </w:r>
          </w:p>
        </w:tc>
        <w:tc>
          <w:tcPr>
            <w:tcW w:w="292"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119,8</w:t>
            </w:r>
          </w:p>
        </w:tc>
        <w:tc>
          <w:tcPr>
            <w:tcW w:w="316"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b/>
                <w:bCs/>
                <w:sz w:val="18"/>
                <w:szCs w:val="18"/>
              </w:rPr>
            </w:pPr>
            <w:r w:rsidRPr="007D6D8B">
              <w:rPr>
                <w:rFonts w:asciiTheme="majorBidi" w:hAnsiTheme="majorBidi" w:cstheme="majorBidi"/>
                <w:b/>
                <w:bCs/>
                <w:sz w:val="18"/>
                <w:szCs w:val="18"/>
              </w:rPr>
              <w:t>117,3</w:t>
            </w:r>
          </w:p>
        </w:tc>
      </w:tr>
      <w:tr w:rsidR="007D6D8B" w:rsidRPr="007D6D8B" w:rsidTr="007D6D8B">
        <w:trPr>
          <w:trHeight w:val="414"/>
        </w:trPr>
        <w:tc>
          <w:tcPr>
            <w:tcW w:w="1188" w:type="pct"/>
            <w:tcBorders>
              <w:top w:val="nil"/>
              <w:left w:val="single" w:sz="4" w:space="0" w:color="auto"/>
              <w:bottom w:val="single" w:sz="4" w:space="0" w:color="auto"/>
              <w:right w:val="single" w:sz="4" w:space="0" w:color="auto"/>
            </w:tcBorders>
            <w:shd w:val="clear" w:color="000000" w:fill="FFFFFF"/>
            <w:vAlign w:val="center"/>
            <w:hideMark/>
          </w:tcPr>
          <w:p w:rsidR="007D6D8B" w:rsidRPr="000247A5" w:rsidRDefault="007D6D8B" w:rsidP="007D6D8B">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11. RESTAURANTS ET HÔTELS</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152,7</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152,5</w:t>
            </w:r>
          </w:p>
        </w:tc>
        <w:tc>
          <w:tcPr>
            <w:tcW w:w="294"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152,5</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161,1</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162,7</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162,7</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162,7</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162,7</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162,7</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162,8</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162,8</w:t>
            </w:r>
          </w:p>
        </w:tc>
        <w:tc>
          <w:tcPr>
            <w:tcW w:w="292"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162,8</w:t>
            </w:r>
          </w:p>
        </w:tc>
        <w:tc>
          <w:tcPr>
            <w:tcW w:w="316"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b/>
                <w:bCs/>
                <w:sz w:val="18"/>
                <w:szCs w:val="18"/>
              </w:rPr>
            </w:pPr>
            <w:r w:rsidRPr="007D6D8B">
              <w:rPr>
                <w:rFonts w:asciiTheme="majorBidi" w:hAnsiTheme="majorBidi" w:cstheme="majorBidi"/>
                <w:b/>
                <w:bCs/>
                <w:sz w:val="18"/>
                <w:szCs w:val="18"/>
              </w:rPr>
              <w:t>160,1</w:t>
            </w:r>
          </w:p>
        </w:tc>
      </w:tr>
      <w:tr w:rsidR="007D6D8B" w:rsidRPr="007D6D8B" w:rsidTr="007D6D8B">
        <w:trPr>
          <w:trHeight w:val="491"/>
        </w:trPr>
        <w:tc>
          <w:tcPr>
            <w:tcW w:w="1188" w:type="pct"/>
            <w:tcBorders>
              <w:top w:val="nil"/>
              <w:left w:val="single" w:sz="4" w:space="0" w:color="auto"/>
              <w:bottom w:val="single" w:sz="4" w:space="0" w:color="auto"/>
              <w:right w:val="single" w:sz="4" w:space="0" w:color="auto"/>
            </w:tcBorders>
            <w:shd w:val="clear" w:color="000000" w:fill="FFFFFF"/>
            <w:vAlign w:val="center"/>
            <w:hideMark/>
          </w:tcPr>
          <w:p w:rsidR="007D6D8B" w:rsidRPr="000247A5" w:rsidRDefault="007D6D8B" w:rsidP="007D6D8B">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12. BIENS ET SERVICES DIVERS</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130,0</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130,0</w:t>
            </w:r>
          </w:p>
        </w:tc>
        <w:tc>
          <w:tcPr>
            <w:tcW w:w="294"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130,8</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131,5</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131,5</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131,5</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131,5</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131,5</w:t>
            </w:r>
          </w:p>
        </w:tc>
        <w:tc>
          <w:tcPr>
            <w:tcW w:w="291" w:type="pct"/>
            <w:tcBorders>
              <w:top w:val="nil"/>
              <w:left w:val="nil"/>
              <w:bottom w:val="single" w:sz="4"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131,5</w:t>
            </w:r>
          </w:p>
        </w:tc>
        <w:tc>
          <w:tcPr>
            <w:tcW w:w="291" w:type="pct"/>
            <w:tcBorders>
              <w:top w:val="nil"/>
              <w:left w:val="nil"/>
              <w:bottom w:val="single" w:sz="8"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131,6</w:t>
            </w:r>
          </w:p>
        </w:tc>
        <w:tc>
          <w:tcPr>
            <w:tcW w:w="291" w:type="pct"/>
            <w:tcBorders>
              <w:top w:val="nil"/>
              <w:left w:val="nil"/>
              <w:bottom w:val="single" w:sz="8"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131,5</w:t>
            </w:r>
          </w:p>
        </w:tc>
        <w:tc>
          <w:tcPr>
            <w:tcW w:w="292" w:type="pct"/>
            <w:tcBorders>
              <w:top w:val="nil"/>
              <w:left w:val="nil"/>
              <w:bottom w:val="single" w:sz="8"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sz w:val="18"/>
                <w:szCs w:val="18"/>
              </w:rPr>
            </w:pPr>
            <w:r w:rsidRPr="007D6D8B">
              <w:rPr>
                <w:rFonts w:asciiTheme="majorBidi" w:hAnsiTheme="majorBidi" w:cstheme="majorBidi"/>
                <w:sz w:val="18"/>
                <w:szCs w:val="18"/>
              </w:rPr>
              <w:t>131,5</w:t>
            </w:r>
          </w:p>
        </w:tc>
        <w:tc>
          <w:tcPr>
            <w:tcW w:w="316" w:type="pct"/>
            <w:tcBorders>
              <w:top w:val="nil"/>
              <w:left w:val="nil"/>
              <w:bottom w:val="single" w:sz="8" w:space="0" w:color="auto"/>
              <w:right w:val="single" w:sz="4" w:space="0" w:color="auto"/>
            </w:tcBorders>
            <w:shd w:val="clear" w:color="auto" w:fill="auto"/>
            <w:noWrap/>
            <w:vAlign w:val="bottom"/>
            <w:hideMark/>
          </w:tcPr>
          <w:p w:rsidR="007D6D8B" w:rsidRPr="007D6D8B" w:rsidRDefault="007D6D8B">
            <w:pPr>
              <w:jc w:val="right"/>
              <w:rPr>
                <w:rFonts w:asciiTheme="majorBidi" w:hAnsiTheme="majorBidi" w:cstheme="majorBidi"/>
                <w:b/>
                <w:bCs/>
                <w:sz w:val="18"/>
                <w:szCs w:val="18"/>
              </w:rPr>
            </w:pPr>
            <w:r w:rsidRPr="007D6D8B">
              <w:rPr>
                <w:rFonts w:asciiTheme="majorBidi" w:hAnsiTheme="majorBidi" w:cstheme="majorBidi"/>
                <w:b/>
                <w:bCs/>
                <w:sz w:val="18"/>
                <w:szCs w:val="18"/>
              </w:rPr>
              <w:t>131,2</w:t>
            </w:r>
          </w:p>
        </w:tc>
      </w:tr>
      <w:tr w:rsidR="007D6D8B" w:rsidRPr="007D6D8B" w:rsidTr="007D6D8B">
        <w:trPr>
          <w:trHeight w:val="533"/>
        </w:trPr>
        <w:tc>
          <w:tcPr>
            <w:tcW w:w="1188" w:type="pct"/>
            <w:tcBorders>
              <w:top w:val="single" w:sz="8" w:space="0" w:color="auto"/>
              <w:left w:val="single" w:sz="4" w:space="0" w:color="auto"/>
              <w:bottom w:val="single" w:sz="8" w:space="0" w:color="auto"/>
              <w:right w:val="single" w:sz="8" w:space="0" w:color="auto"/>
            </w:tcBorders>
            <w:shd w:val="clear" w:color="000000" w:fill="C0C0C0"/>
            <w:noWrap/>
            <w:vAlign w:val="center"/>
            <w:hideMark/>
          </w:tcPr>
          <w:p w:rsidR="007D6D8B" w:rsidRPr="000247A5" w:rsidRDefault="007D6D8B" w:rsidP="007D6D8B">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 xml:space="preserve">  INDICE  GENERAL    </w:t>
            </w:r>
          </w:p>
        </w:tc>
        <w:tc>
          <w:tcPr>
            <w:tcW w:w="291" w:type="pct"/>
            <w:tcBorders>
              <w:top w:val="single" w:sz="8" w:space="0" w:color="auto"/>
              <w:left w:val="single" w:sz="4" w:space="0" w:color="auto"/>
              <w:bottom w:val="single" w:sz="8" w:space="0" w:color="auto"/>
              <w:right w:val="single" w:sz="4" w:space="0" w:color="auto"/>
            </w:tcBorders>
            <w:shd w:val="clear" w:color="000000" w:fill="C0C0C0"/>
            <w:noWrap/>
            <w:vAlign w:val="bottom"/>
            <w:hideMark/>
          </w:tcPr>
          <w:p w:rsidR="007D6D8B" w:rsidRPr="007D6D8B" w:rsidRDefault="007D6D8B">
            <w:pPr>
              <w:jc w:val="right"/>
              <w:rPr>
                <w:rFonts w:asciiTheme="majorBidi" w:hAnsiTheme="majorBidi" w:cstheme="majorBidi"/>
                <w:b/>
                <w:bCs/>
                <w:sz w:val="18"/>
                <w:szCs w:val="18"/>
              </w:rPr>
            </w:pPr>
            <w:r w:rsidRPr="007D6D8B">
              <w:rPr>
                <w:rFonts w:asciiTheme="majorBidi" w:hAnsiTheme="majorBidi" w:cstheme="majorBidi"/>
                <w:b/>
                <w:bCs/>
                <w:sz w:val="18"/>
                <w:szCs w:val="18"/>
              </w:rPr>
              <w:t>118,2</w:t>
            </w:r>
          </w:p>
        </w:tc>
        <w:tc>
          <w:tcPr>
            <w:tcW w:w="291" w:type="pct"/>
            <w:tcBorders>
              <w:top w:val="single" w:sz="8" w:space="0" w:color="auto"/>
              <w:left w:val="nil"/>
              <w:bottom w:val="single" w:sz="8" w:space="0" w:color="auto"/>
              <w:right w:val="single" w:sz="4" w:space="0" w:color="auto"/>
            </w:tcBorders>
            <w:shd w:val="clear" w:color="000000" w:fill="C0C0C0"/>
            <w:noWrap/>
            <w:vAlign w:val="bottom"/>
            <w:hideMark/>
          </w:tcPr>
          <w:p w:rsidR="007D6D8B" w:rsidRPr="007D6D8B" w:rsidRDefault="007D6D8B">
            <w:pPr>
              <w:jc w:val="right"/>
              <w:rPr>
                <w:rFonts w:asciiTheme="majorBidi" w:hAnsiTheme="majorBidi" w:cstheme="majorBidi"/>
                <w:b/>
                <w:bCs/>
                <w:sz w:val="18"/>
                <w:szCs w:val="18"/>
              </w:rPr>
            </w:pPr>
            <w:r w:rsidRPr="007D6D8B">
              <w:rPr>
                <w:rFonts w:asciiTheme="majorBidi" w:hAnsiTheme="majorBidi" w:cstheme="majorBidi"/>
                <w:b/>
                <w:bCs/>
                <w:sz w:val="18"/>
                <w:szCs w:val="18"/>
              </w:rPr>
              <w:t>117,9</w:t>
            </w:r>
          </w:p>
        </w:tc>
        <w:tc>
          <w:tcPr>
            <w:tcW w:w="294" w:type="pct"/>
            <w:tcBorders>
              <w:top w:val="single" w:sz="8" w:space="0" w:color="auto"/>
              <w:left w:val="nil"/>
              <w:bottom w:val="single" w:sz="8" w:space="0" w:color="auto"/>
              <w:right w:val="single" w:sz="4" w:space="0" w:color="auto"/>
            </w:tcBorders>
            <w:shd w:val="clear" w:color="000000" w:fill="C0C0C0"/>
            <w:noWrap/>
            <w:vAlign w:val="bottom"/>
            <w:hideMark/>
          </w:tcPr>
          <w:p w:rsidR="007D6D8B" w:rsidRPr="007D6D8B" w:rsidRDefault="007D6D8B">
            <w:pPr>
              <w:jc w:val="right"/>
              <w:rPr>
                <w:rFonts w:asciiTheme="majorBidi" w:hAnsiTheme="majorBidi" w:cstheme="majorBidi"/>
                <w:b/>
                <w:bCs/>
                <w:sz w:val="18"/>
                <w:szCs w:val="18"/>
              </w:rPr>
            </w:pPr>
            <w:r w:rsidRPr="007D6D8B">
              <w:rPr>
                <w:rFonts w:asciiTheme="majorBidi" w:hAnsiTheme="majorBidi" w:cstheme="majorBidi"/>
                <w:b/>
                <w:bCs/>
                <w:sz w:val="18"/>
                <w:szCs w:val="18"/>
              </w:rPr>
              <w:t>118,5</w:t>
            </w:r>
          </w:p>
        </w:tc>
        <w:tc>
          <w:tcPr>
            <w:tcW w:w="291" w:type="pct"/>
            <w:tcBorders>
              <w:top w:val="single" w:sz="8" w:space="0" w:color="auto"/>
              <w:left w:val="nil"/>
              <w:bottom w:val="single" w:sz="8" w:space="0" w:color="auto"/>
              <w:right w:val="single" w:sz="4" w:space="0" w:color="auto"/>
            </w:tcBorders>
            <w:shd w:val="clear" w:color="000000" w:fill="C0C0C0"/>
            <w:noWrap/>
            <w:vAlign w:val="bottom"/>
            <w:hideMark/>
          </w:tcPr>
          <w:p w:rsidR="007D6D8B" w:rsidRPr="007D6D8B" w:rsidRDefault="007D6D8B">
            <w:pPr>
              <w:jc w:val="right"/>
              <w:rPr>
                <w:rFonts w:asciiTheme="majorBidi" w:hAnsiTheme="majorBidi" w:cstheme="majorBidi"/>
                <w:b/>
                <w:bCs/>
                <w:sz w:val="18"/>
                <w:szCs w:val="18"/>
              </w:rPr>
            </w:pPr>
            <w:r w:rsidRPr="007D6D8B">
              <w:rPr>
                <w:rFonts w:asciiTheme="majorBidi" w:hAnsiTheme="majorBidi" w:cstheme="majorBidi"/>
                <w:b/>
                <w:bCs/>
                <w:sz w:val="18"/>
                <w:szCs w:val="18"/>
              </w:rPr>
              <w:t>118,5</w:t>
            </w:r>
          </w:p>
        </w:tc>
        <w:tc>
          <w:tcPr>
            <w:tcW w:w="291" w:type="pct"/>
            <w:tcBorders>
              <w:top w:val="single" w:sz="8" w:space="0" w:color="auto"/>
              <w:left w:val="nil"/>
              <w:bottom w:val="single" w:sz="8" w:space="0" w:color="auto"/>
              <w:right w:val="single" w:sz="4" w:space="0" w:color="auto"/>
            </w:tcBorders>
            <w:shd w:val="clear" w:color="000000" w:fill="C0C0C0"/>
            <w:noWrap/>
            <w:vAlign w:val="bottom"/>
            <w:hideMark/>
          </w:tcPr>
          <w:p w:rsidR="007D6D8B" w:rsidRPr="007D6D8B" w:rsidRDefault="007D6D8B">
            <w:pPr>
              <w:jc w:val="right"/>
              <w:rPr>
                <w:rFonts w:asciiTheme="majorBidi" w:hAnsiTheme="majorBidi" w:cstheme="majorBidi"/>
                <w:b/>
                <w:bCs/>
                <w:sz w:val="18"/>
                <w:szCs w:val="18"/>
              </w:rPr>
            </w:pPr>
            <w:r w:rsidRPr="007D6D8B">
              <w:rPr>
                <w:rFonts w:asciiTheme="majorBidi" w:hAnsiTheme="majorBidi" w:cstheme="majorBidi"/>
                <w:b/>
                <w:bCs/>
                <w:sz w:val="18"/>
                <w:szCs w:val="18"/>
              </w:rPr>
              <w:t>119,6</w:t>
            </w:r>
          </w:p>
        </w:tc>
        <w:tc>
          <w:tcPr>
            <w:tcW w:w="291" w:type="pct"/>
            <w:tcBorders>
              <w:top w:val="single" w:sz="8" w:space="0" w:color="auto"/>
              <w:left w:val="nil"/>
              <w:bottom w:val="single" w:sz="8" w:space="0" w:color="auto"/>
              <w:right w:val="single" w:sz="4" w:space="0" w:color="auto"/>
            </w:tcBorders>
            <w:shd w:val="clear" w:color="000000" w:fill="C0C0C0"/>
            <w:noWrap/>
            <w:vAlign w:val="bottom"/>
            <w:hideMark/>
          </w:tcPr>
          <w:p w:rsidR="007D6D8B" w:rsidRPr="007D6D8B" w:rsidRDefault="007D6D8B">
            <w:pPr>
              <w:jc w:val="right"/>
              <w:rPr>
                <w:rFonts w:asciiTheme="majorBidi" w:hAnsiTheme="majorBidi" w:cstheme="majorBidi"/>
                <w:b/>
                <w:bCs/>
                <w:sz w:val="18"/>
                <w:szCs w:val="18"/>
              </w:rPr>
            </w:pPr>
            <w:r w:rsidRPr="007D6D8B">
              <w:rPr>
                <w:rFonts w:asciiTheme="majorBidi" w:hAnsiTheme="majorBidi" w:cstheme="majorBidi"/>
                <w:b/>
                <w:bCs/>
                <w:sz w:val="18"/>
                <w:szCs w:val="18"/>
              </w:rPr>
              <w:t>119,9</w:t>
            </w:r>
          </w:p>
        </w:tc>
        <w:tc>
          <w:tcPr>
            <w:tcW w:w="291" w:type="pct"/>
            <w:tcBorders>
              <w:top w:val="single" w:sz="8" w:space="0" w:color="auto"/>
              <w:left w:val="nil"/>
              <w:bottom w:val="single" w:sz="8" w:space="0" w:color="auto"/>
              <w:right w:val="single" w:sz="4" w:space="0" w:color="auto"/>
            </w:tcBorders>
            <w:shd w:val="clear" w:color="000000" w:fill="C0C0C0"/>
            <w:noWrap/>
            <w:vAlign w:val="bottom"/>
            <w:hideMark/>
          </w:tcPr>
          <w:p w:rsidR="007D6D8B" w:rsidRPr="007D6D8B" w:rsidRDefault="007D6D8B">
            <w:pPr>
              <w:jc w:val="right"/>
              <w:rPr>
                <w:rFonts w:asciiTheme="majorBidi" w:hAnsiTheme="majorBidi" w:cstheme="majorBidi"/>
                <w:b/>
                <w:bCs/>
                <w:sz w:val="18"/>
                <w:szCs w:val="18"/>
              </w:rPr>
            </w:pPr>
            <w:r w:rsidRPr="007D6D8B">
              <w:rPr>
                <w:rFonts w:asciiTheme="majorBidi" w:hAnsiTheme="majorBidi" w:cstheme="majorBidi"/>
                <w:b/>
                <w:bCs/>
                <w:sz w:val="18"/>
                <w:szCs w:val="18"/>
              </w:rPr>
              <w:t>117,8</w:t>
            </w:r>
          </w:p>
        </w:tc>
        <w:tc>
          <w:tcPr>
            <w:tcW w:w="291" w:type="pct"/>
            <w:tcBorders>
              <w:top w:val="single" w:sz="8" w:space="0" w:color="auto"/>
              <w:left w:val="nil"/>
              <w:bottom w:val="single" w:sz="8" w:space="0" w:color="auto"/>
              <w:right w:val="single" w:sz="4" w:space="0" w:color="auto"/>
            </w:tcBorders>
            <w:shd w:val="clear" w:color="000000" w:fill="C0C0C0"/>
            <w:noWrap/>
            <w:vAlign w:val="bottom"/>
            <w:hideMark/>
          </w:tcPr>
          <w:p w:rsidR="007D6D8B" w:rsidRPr="007D6D8B" w:rsidRDefault="007D6D8B">
            <w:pPr>
              <w:jc w:val="right"/>
              <w:rPr>
                <w:rFonts w:asciiTheme="majorBidi" w:hAnsiTheme="majorBidi" w:cstheme="majorBidi"/>
                <w:b/>
                <w:bCs/>
                <w:sz w:val="18"/>
                <w:szCs w:val="18"/>
              </w:rPr>
            </w:pPr>
            <w:r w:rsidRPr="007D6D8B">
              <w:rPr>
                <w:rFonts w:asciiTheme="majorBidi" w:hAnsiTheme="majorBidi" w:cstheme="majorBidi"/>
                <w:b/>
                <w:bCs/>
                <w:sz w:val="18"/>
                <w:szCs w:val="18"/>
              </w:rPr>
              <w:t>118,1</w:t>
            </w:r>
          </w:p>
        </w:tc>
        <w:tc>
          <w:tcPr>
            <w:tcW w:w="291" w:type="pct"/>
            <w:tcBorders>
              <w:top w:val="single" w:sz="8" w:space="0" w:color="auto"/>
              <w:left w:val="nil"/>
              <w:bottom w:val="single" w:sz="8" w:space="0" w:color="auto"/>
              <w:right w:val="single" w:sz="4" w:space="0" w:color="auto"/>
            </w:tcBorders>
            <w:shd w:val="clear" w:color="000000" w:fill="C0C0C0"/>
            <w:noWrap/>
            <w:vAlign w:val="bottom"/>
            <w:hideMark/>
          </w:tcPr>
          <w:p w:rsidR="007D6D8B" w:rsidRPr="007D6D8B" w:rsidRDefault="007D6D8B">
            <w:pPr>
              <w:jc w:val="right"/>
              <w:rPr>
                <w:rFonts w:asciiTheme="majorBidi" w:hAnsiTheme="majorBidi" w:cstheme="majorBidi"/>
                <w:b/>
                <w:bCs/>
                <w:sz w:val="18"/>
                <w:szCs w:val="18"/>
              </w:rPr>
            </w:pPr>
            <w:r w:rsidRPr="007D6D8B">
              <w:rPr>
                <w:rFonts w:asciiTheme="majorBidi" w:hAnsiTheme="majorBidi" w:cstheme="majorBidi"/>
                <w:b/>
                <w:bCs/>
                <w:sz w:val="18"/>
                <w:szCs w:val="18"/>
              </w:rPr>
              <w:t>118,6</w:t>
            </w:r>
          </w:p>
        </w:tc>
        <w:tc>
          <w:tcPr>
            <w:tcW w:w="291" w:type="pct"/>
            <w:tcBorders>
              <w:top w:val="nil"/>
              <w:left w:val="nil"/>
              <w:bottom w:val="single" w:sz="8" w:space="0" w:color="auto"/>
              <w:right w:val="single" w:sz="4" w:space="0" w:color="auto"/>
            </w:tcBorders>
            <w:shd w:val="clear" w:color="000000" w:fill="C0C0C0"/>
            <w:noWrap/>
            <w:vAlign w:val="bottom"/>
            <w:hideMark/>
          </w:tcPr>
          <w:p w:rsidR="007D6D8B" w:rsidRPr="007D6D8B" w:rsidRDefault="007D6D8B">
            <w:pPr>
              <w:jc w:val="right"/>
              <w:rPr>
                <w:rFonts w:asciiTheme="majorBidi" w:hAnsiTheme="majorBidi" w:cstheme="majorBidi"/>
                <w:b/>
                <w:bCs/>
                <w:sz w:val="18"/>
                <w:szCs w:val="18"/>
              </w:rPr>
            </w:pPr>
            <w:r w:rsidRPr="007D6D8B">
              <w:rPr>
                <w:rFonts w:asciiTheme="majorBidi" w:hAnsiTheme="majorBidi" w:cstheme="majorBidi"/>
                <w:b/>
                <w:bCs/>
                <w:sz w:val="18"/>
                <w:szCs w:val="18"/>
              </w:rPr>
              <w:t>118,3</w:t>
            </w:r>
          </w:p>
        </w:tc>
        <w:tc>
          <w:tcPr>
            <w:tcW w:w="291" w:type="pct"/>
            <w:tcBorders>
              <w:top w:val="nil"/>
              <w:left w:val="nil"/>
              <w:bottom w:val="single" w:sz="8" w:space="0" w:color="auto"/>
              <w:right w:val="single" w:sz="4" w:space="0" w:color="auto"/>
            </w:tcBorders>
            <w:shd w:val="clear" w:color="000000" w:fill="C0C0C0"/>
            <w:noWrap/>
            <w:vAlign w:val="bottom"/>
            <w:hideMark/>
          </w:tcPr>
          <w:p w:rsidR="007D6D8B" w:rsidRPr="007D6D8B" w:rsidRDefault="007D6D8B">
            <w:pPr>
              <w:jc w:val="right"/>
              <w:rPr>
                <w:rFonts w:asciiTheme="majorBidi" w:hAnsiTheme="majorBidi" w:cstheme="majorBidi"/>
                <w:b/>
                <w:bCs/>
                <w:sz w:val="18"/>
                <w:szCs w:val="18"/>
              </w:rPr>
            </w:pPr>
            <w:r w:rsidRPr="007D6D8B">
              <w:rPr>
                <w:rFonts w:asciiTheme="majorBidi" w:hAnsiTheme="majorBidi" w:cstheme="majorBidi"/>
                <w:b/>
                <w:bCs/>
                <w:sz w:val="18"/>
                <w:szCs w:val="18"/>
              </w:rPr>
              <w:t>118,6</w:t>
            </w:r>
          </w:p>
        </w:tc>
        <w:tc>
          <w:tcPr>
            <w:tcW w:w="292" w:type="pct"/>
            <w:tcBorders>
              <w:top w:val="nil"/>
              <w:left w:val="nil"/>
              <w:bottom w:val="single" w:sz="8" w:space="0" w:color="auto"/>
              <w:right w:val="single" w:sz="4" w:space="0" w:color="auto"/>
            </w:tcBorders>
            <w:shd w:val="clear" w:color="000000" w:fill="C0C0C0"/>
            <w:noWrap/>
            <w:vAlign w:val="bottom"/>
            <w:hideMark/>
          </w:tcPr>
          <w:p w:rsidR="007D6D8B" w:rsidRPr="007D6D8B" w:rsidRDefault="007D6D8B">
            <w:pPr>
              <w:jc w:val="right"/>
              <w:rPr>
                <w:rFonts w:asciiTheme="majorBidi" w:hAnsiTheme="majorBidi" w:cstheme="majorBidi"/>
                <w:b/>
                <w:bCs/>
                <w:sz w:val="18"/>
                <w:szCs w:val="18"/>
              </w:rPr>
            </w:pPr>
            <w:r w:rsidRPr="007D6D8B">
              <w:rPr>
                <w:rFonts w:asciiTheme="majorBidi" w:hAnsiTheme="majorBidi" w:cstheme="majorBidi"/>
                <w:b/>
                <w:bCs/>
                <w:sz w:val="18"/>
                <w:szCs w:val="18"/>
              </w:rPr>
              <w:t>118,4</w:t>
            </w:r>
          </w:p>
        </w:tc>
        <w:tc>
          <w:tcPr>
            <w:tcW w:w="316" w:type="pct"/>
            <w:tcBorders>
              <w:top w:val="nil"/>
              <w:left w:val="nil"/>
              <w:bottom w:val="single" w:sz="8" w:space="0" w:color="auto"/>
              <w:right w:val="single" w:sz="4" w:space="0" w:color="auto"/>
            </w:tcBorders>
            <w:shd w:val="clear" w:color="000000" w:fill="C0C0C0"/>
            <w:noWrap/>
            <w:vAlign w:val="bottom"/>
            <w:hideMark/>
          </w:tcPr>
          <w:p w:rsidR="007D6D8B" w:rsidRPr="007D6D8B" w:rsidRDefault="007D6D8B">
            <w:pPr>
              <w:jc w:val="right"/>
              <w:rPr>
                <w:rFonts w:asciiTheme="majorBidi" w:hAnsiTheme="majorBidi" w:cstheme="majorBidi"/>
                <w:b/>
                <w:bCs/>
                <w:sz w:val="18"/>
                <w:szCs w:val="18"/>
              </w:rPr>
            </w:pPr>
            <w:r w:rsidRPr="007D6D8B">
              <w:rPr>
                <w:rFonts w:asciiTheme="majorBidi" w:hAnsiTheme="majorBidi" w:cstheme="majorBidi"/>
                <w:b/>
                <w:bCs/>
                <w:sz w:val="18"/>
                <w:szCs w:val="18"/>
              </w:rPr>
              <w:t>118,5</w:t>
            </w:r>
          </w:p>
        </w:tc>
      </w:tr>
    </w:tbl>
    <w:p w:rsidR="00BB5DB3" w:rsidRPr="00483003" w:rsidRDefault="00BB5DB3" w:rsidP="00BB5DB3">
      <w:pPr>
        <w:pStyle w:val="Lgende"/>
        <w:rPr>
          <w:rFonts w:ascii="Times New Roman" w:hAnsi="Times New Roman"/>
          <w:i/>
          <w:iCs/>
          <w:sz w:val="22"/>
        </w:rPr>
      </w:pPr>
      <w:r w:rsidRPr="00483003">
        <w:rPr>
          <w:rFonts w:ascii="Times New Roman" w:hAnsi="Times New Roman"/>
          <w:i/>
          <w:iCs/>
          <w:sz w:val="22"/>
        </w:rPr>
        <w:t>Source : HCP</w:t>
      </w:r>
    </w:p>
    <w:p w:rsidR="007D6D8B" w:rsidRDefault="007D6D8B">
      <w:r>
        <w:br w:type="page"/>
      </w:r>
    </w:p>
    <w:p w:rsidR="007D6D8B" w:rsidRDefault="007D6D8B"/>
    <w:tbl>
      <w:tblPr>
        <w:tblW w:w="5000" w:type="pct"/>
        <w:tblCellMar>
          <w:left w:w="70" w:type="dxa"/>
          <w:right w:w="70" w:type="dxa"/>
        </w:tblCellMar>
        <w:tblLook w:val="04A0"/>
      </w:tblPr>
      <w:tblGrid>
        <w:gridCol w:w="3227"/>
        <w:gridCol w:w="790"/>
        <w:gridCol w:w="790"/>
        <w:gridCol w:w="798"/>
        <w:gridCol w:w="790"/>
        <w:gridCol w:w="790"/>
        <w:gridCol w:w="790"/>
        <w:gridCol w:w="790"/>
        <w:gridCol w:w="790"/>
        <w:gridCol w:w="790"/>
        <w:gridCol w:w="790"/>
        <w:gridCol w:w="790"/>
        <w:gridCol w:w="793"/>
        <w:gridCol w:w="858"/>
      </w:tblGrid>
      <w:tr w:rsidR="000247A5" w:rsidRPr="00951E73" w:rsidTr="000247A5">
        <w:trPr>
          <w:trHeight w:val="390"/>
        </w:trPr>
        <w:tc>
          <w:tcPr>
            <w:tcW w:w="5000" w:type="pct"/>
            <w:gridSpan w:val="14"/>
            <w:tcBorders>
              <w:top w:val="nil"/>
              <w:left w:val="nil"/>
              <w:bottom w:val="single" w:sz="8" w:space="0" w:color="auto"/>
              <w:right w:val="nil"/>
            </w:tcBorders>
            <w:shd w:val="clear" w:color="auto" w:fill="auto"/>
            <w:noWrap/>
            <w:vAlign w:val="bottom"/>
            <w:hideMark/>
          </w:tcPr>
          <w:p w:rsidR="000247A5" w:rsidRPr="00951E73" w:rsidRDefault="00951E73" w:rsidP="007D6D8B">
            <w:pPr>
              <w:spacing w:after="0" w:line="240" w:lineRule="auto"/>
              <w:rPr>
                <w:rFonts w:asciiTheme="majorBidi" w:eastAsia="Times New Roman" w:hAnsiTheme="majorBidi" w:cstheme="majorBidi"/>
                <w:b/>
                <w:bCs/>
                <w:color w:val="4F81BD" w:themeColor="accent1"/>
                <w:lang w:eastAsia="fr-FR"/>
              </w:rPr>
            </w:pPr>
            <w:r w:rsidRPr="00951E73">
              <w:rPr>
                <w:rFonts w:asciiTheme="majorBidi" w:hAnsiTheme="majorBidi" w:cstheme="majorBidi"/>
                <w:b/>
                <w:bCs/>
                <w:color w:val="4F81BD" w:themeColor="accent1"/>
              </w:rPr>
              <w:t xml:space="preserve">Tableau A </w:t>
            </w:r>
            <w:r w:rsidR="007D6D8B">
              <w:rPr>
                <w:rFonts w:asciiTheme="majorBidi" w:hAnsiTheme="majorBidi" w:cstheme="majorBidi"/>
                <w:b/>
                <w:bCs/>
                <w:color w:val="4F81BD" w:themeColor="accent1"/>
              </w:rPr>
              <w:t>4</w:t>
            </w:r>
            <w:r w:rsidRPr="00951E73">
              <w:rPr>
                <w:rFonts w:asciiTheme="majorBidi" w:hAnsiTheme="majorBidi" w:cstheme="majorBidi"/>
                <w:b/>
                <w:bCs/>
                <w:color w:val="4F81BD" w:themeColor="accent1"/>
              </w:rPr>
              <w:t xml:space="preserve">: </w:t>
            </w:r>
            <w:r w:rsidR="000247A5" w:rsidRPr="00951E73">
              <w:rPr>
                <w:rFonts w:asciiTheme="majorBidi" w:eastAsia="Times New Roman" w:hAnsiTheme="majorBidi" w:cstheme="majorBidi"/>
                <w:b/>
                <w:bCs/>
                <w:color w:val="4F81BD" w:themeColor="accent1"/>
                <w:lang w:eastAsia="fr-FR"/>
              </w:rPr>
              <w:t xml:space="preserve">IPC de la ville de </w:t>
            </w:r>
            <w:proofErr w:type="spellStart"/>
            <w:r w:rsidR="000247A5" w:rsidRPr="00951E73">
              <w:rPr>
                <w:rFonts w:asciiTheme="majorBidi" w:eastAsia="Times New Roman" w:hAnsiTheme="majorBidi" w:cstheme="majorBidi"/>
                <w:b/>
                <w:bCs/>
                <w:color w:val="4F81BD" w:themeColor="accent1"/>
                <w:lang w:eastAsia="fr-FR"/>
              </w:rPr>
              <w:t>Kénitra</w:t>
            </w:r>
            <w:proofErr w:type="spellEnd"/>
            <w:r w:rsidR="000247A5" w:rsidRPr="00951E73">
              <w:rPr>
                <w:rFonts w:asciiTheme="majorBidi" w:eastAsia="Times New Roman" w:hAnsiTheme="majorBidi" w:cstheme="majorBidi"/>
                <w:b/>
                <w:bCs/>
                <w:color w:val="4F81BD" w:themeColor="accent1"/>
                <w:lang w:eastAsia="fr-FR"/>
              </w:rPr>
              <w:t xml:space="preserve"> par division et par mois</w:t>
            </w:r>
            <w:r w:rsidR="00F67E78">
              <w:rPr>
                <w:rFonts w:asciiTheme="majorBidi" w:eastAsia="Times New Roman" w:hAnsiTheme="majorBidi" w:cstheme="majorBidi"/>
                <w:b/>
                <w:bCs/>
                <w:color w:val="4F81BD" w:themeColor="accent1"/>
                <w:lang w:eastAsia="fr-FR"/>
              </w:rPr>
              <w:t xml:space="preserve"> </w:t>
            </w:r>
            <w:r w:rsidR="000247A5" w:rsidRPr="00951E73">
              <w:rPr>
                <w:rFonts w:asciiTheme="majorBidi" w:eastAsia="Times New Roman" w:hAnsiTheme="majorBidi" w:cstheme="majorBidi"/>
                <w:b/>
                <w:bCs/>
                <w:color w:val="4F81BD" w:themeColor="accent1"/>
                <w:lang w:eastAsia="fr-FR"/>
              </w:rPr>
              <w:t>- Année 2017-</w:t>
            </w:r>
            <w:bookmarkEnd w:id="48"/>
          </w:p>
        </w:tc>
      </w:tr>
      <w:tr w:rsidR="000247A5" w:rsidRPr="000247A5" w:rsidTr="007D6D8B">
        <w:trPr>
          <w:trHeight w:val="595"/>
        </w:trPr>
        <w:tc>
          <w:tcPr>
            <w:tcW w:w="1188" w:type="pct"/>
            <w:tcBorders>
              <w:top w:val="single" w:sz="8" w:space="0" w:color="auto"/>
              <w:left w:val="single" w:sz="4" w:space="0" w:color="auto"/>
              <w:bottom w:val="single" w:sz="8" w:space="0" w:color="auto"/>
              <w:right w:val="single" w:sz="8" w:space="0" w:color="auto"/>
            </w:tcBorders>
            <w:shd w:val="clear" w:color="000000" w:fill="C0C0C0"/>
            <w:noWrap/>
            <w:vAlign w:val="center"/>
            <w:hideMark/>
          </w:tcPr>
          <w:p w:rsidR="000247A5" w:rsidRPr="00FD10A2" w:rsidRDefault="000247A5" w:rsidP="004F39E8">
            <w:pPr>
              <w:spacing w:after="0" w:line="240" w:lineRule="auto"/>
              <w:rPr>
                <w:rFonts w:ascii="Times New Roman" w:eastAsia="Times New Roman" w:hAnsi="Times New Roman" w:cs="Times New Roman"/>
                <w:b/>
                <w:bCs/>
                <w:sz w:val="20"/>
                <w:szCs w:val="20"/>
                <w:lang w:eastAsia="fr-FR"/>
              </w:rPr>
            </w:pPr>
            <w:r w:rsidRPr="00FD10A2">
              <w:rPr>
                <w:rFonts w:ascii="Times New Roman" w:eastAsia="Times New Roman" w:hAnsi="Times New Roman" w:cs="Times New Roman"/>
                <w:b/>
                <w:bCs/>
                <w:sz w:val="20"/>
                <w:szCs w:val="20"/>
                <w:lang w:eastAsia="fr-FR"/>
              </w:rPr>
              <w:t xml:space="preserve"> DIVISIONS</w:t>
            </w:r>
          </w:p>
        </w:tc>
        <w:tc>
          <w:tcPr>
            <w:tcW w:w="291" w:type="pct"/>
            <w:tcBorders>
              <w:top w:val="single" w:sz="8" w:space="0" w:color="auto"/>
              <w:left w:val="single" w:sz="4" w:space="0" w:color="auto"/>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Jan</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rPr>
                <w:rFonts w:ascii="Times New Roman" w:eastAsia="Times New Roman" w:hAnsi="Times New Roman" w:cs="Times New Roman"/>
                <w:b/>
                <w:bCs/>
                <w:sz w:val="18"/>
                <w:szCs w:val="18"/>
                <w:lang w:eastAsia="fr-FR"/>
              </w:rPr>
            </w:pPr>
            <w:proofErr w:type="spellStart"/>
            <w:r w:rsidRPr="000247A5">
              <w:rPr>
                <w:rFonts w:ascii="Times New Roman" w:eastAsia="Times New Roman" w:hAnsi="Times New Roman" w:cs="Times New Roman"/>
                <w:b/>
                <w:bCs/>
                <w:sz w:val="18"/>
                <w:szCs w:val="18"/>
                <w:lang w:eastAsia="fr-FR"/>
              </w:rPr>
              <w:t>Fev</w:t>
            </w:r>
            <w:proofErr w:type="spellEnd"/>
          </w:p>
        </w:tc>
        <w:tc>
          <w:tcPr>
            <w:tcW w:w="294"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Mars</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rPr>
                <w:rFonts w:ascii="Times New Roman" w:eastAsia="Times New Roman" w:hAnsi="Times New Roman" w:cs="Times New Roman"/>
                <w:b/>
                <w:bCs/>
                <w:sz w:val="18"/>
                <w:szCs w:val="18"/>
                <w:lang w:eastAsia="fr-FR"/>
              </w:rPr>
            </w:pPr>
            <w:proofErr w:type="spellStart"/>
            <w:r w:rsidRPr="000247A5">
              <w:rPr>
                <w:rFonts w:ascii="Times New Roman" w:eastAsia="Times New Roman" w:hAnsi="Times New Roman" w:cs="Times New Roman"/>
                <w:b/>
                <w:bCs/>
                <w:sz w:val="18"/>
                <w:szCs w:val="18"/>
                <w:lang w:eastAsia="fr-FR"/>
              </w:rPr>
              <w:t>Avr</w:t>
            </w:r>
            <w:proofErr w:type="spellEnd"/>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Mai</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Juin</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rPr>
                <w:rFonts w:ascii="Times New Roman" w:eastAsia="Times New Roman" w:hAnsi="Times New Roman" w:cs="Times New Roman"/>
                <w:b/>
                <w:bCs/>
                <w:sz w:val="18"/>
                <w:szCs w:val="18"/>
                <w:lang w:eastAsia="fr-FR"/>
              </w:rPr>
            </w:pPr>
            <w:proofErr w:type="spellStart"/>
            <w:r w:rsidRPr="000247A5">
              <w:rPr>
                <w:rFonts w:ascii="Times New Roman" w:eastAsia="Times New Roman" w:hAnsi="Times New Roman" w:cs="Times New Roman"/>
                <w:b/>
                <w:bCs/>
                <w:sz w:val="18"/>
                <w:szCs w:val="18"/>
                <w:lang w:eastAsia="fr-FR"/>
              </w:rPr>
              <w:t>Jul</w:t>
            </w:r>
            <w:proofErr w:type="spellEnd"/>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Août</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Sep</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rPr>
                <w:rFonts w:ascii="Times New Roman" w:eastAsia="Times New Roman" w:hAnsi="Times New Roman" w:cs="Times New Roman"/>
                <w:b/>
                <w:bCs/>
                <w:sz w:val="18"/>
                <w:szCs w:val="18"/>
                <w:lang w:eastAsia="fr-FR"/>
              </w:rPr>
            </w:pPr>
            <w:proofErr w:type="spellStart"/>
            <w:r w:rsidRPr="000247A5">
              <w:rPr>
                <w:rFonts w:ascii="Times New Roman" w:eastAsia="Times New Roman" w:hAnsi="Times New Roman" w:cs="Times New Roman"/>
                <w:b/>
                <w:bCs/>
                <w:sz w:val="18"/>
                <w:szCs w:val="18"/>
                <w:lang w:eastAsia="fr-FR"/>
              </w:rPr>
              <w:t>Oct</w:t>
            </w:r>
            <w:proofErr w:type="spellEnd"/>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rPr>
                <w:rFonts w:ascii="Times New Roman" w:eastAsia="Times New Roman" w:hAnsi="Times New Roman" w:cs="Times New Roman"/>
                <w:b/>
                <w:bCs/>
                <w:sz w:val="18"/>
                <w:szCs w:val="18"/>
                <w:lang w:eastAsia="fr-FR"/>
              </w:rPr>
            </w:pPr>
            <w:proofErr w:type="spellStart"/>
            <w:r w:rsidRPr="000247A5">
              <w:rPr>
                <w:rFonts w:ascii="Times New Roman" w:eastAsia="Times New Roman" w:hAnsi="Times New Roman" w:cs="Times New Roman"/>
                <w:b/>
                <w:bCs/>
                <w:sz w:val="18"/>
                <w:szCs w:val="18"/>
                <w:lang w:eastAsia="fr-FR"/>
              </w:rPr>
              <w:t>Nov</w:t>
            </w:r>
            <w:proofErr w:type="spellEnd"/>
          </w:p>
        </w:tc>
        <w:tc>
          <w:tcPr>
            <w:tcW w:w="292" w:type="pct"/>
            <w:tcBorders>
              <w:top w:val="single" w:sz="8" w:space="0" w:color="auto"/>
              <w:left w:val="single" w:sz="8" w:space="0" w:color="auto"/>
              <w:bottom w:val="single" w:sz="8" w:space="0" w:color="auto"/>
              <w:right w:val="nil"/>
            </w:tcBorders>
            <w:shd w:val="clear" w:color="000000" w:fill="C0C0C0"/>
            <w:noWrap/>
            <w:vAlign w:val="center"/>
            <w:hideMark/>
          </w:tcPr>
          <w:p w:rsidR="000247A5" w:rsidRPr="000247A5" w:rsidRDefault="000247A5" w:rsidP="004F39E8">
            <w:pPr>
              <w:spacing w:after="0" w:line="240" w:lineRule="auto"/>
              <w:rPr>
                <w:rFonts w:ascii="Times New Roman" w:eastAsia="Times New Roman" w:hAnsi="Times New Roman" w:cs="Times New Roman"/>
                <w:b/>
                <w:bCs/>
                <w:sz w:val="18"/>
                <w:szCs w:val="18"/>
                <w:lang w:eastAsia="fr-FR"/>
              </w:rPr>
            </w:pPr>
            <w:proofErr w:type="spellStart"/>
            <w:r w:rsidRPr="000247A5">
              <w:rPr>
                <w:rFonts w:ascii="Times New Roman" w:eastAsia="Times New Roman" w:hAnsi="Times New Roman" w:cs="Times New Roman"/>
                <w:b/>
                <w:bCs/>
                <w:sz w:val="18"/>
                <w:szCs w:val="18"/>
                <w:lang w:eastAsia="fr-FR"/>
              </w:rPr>
              <w:t>Dec</w:t>
            </w:r>
            <w:proofErr w:type="spellEnd"/>
          </w:p>
        </w:tc>
        <w:tc>
          <w:tcPr>
            <w:tcW w:w="316" w:type="pct"/>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0247A5" w:rsidRPr="000247A5" w:rsidRDefault="000247A5" w:rsidP="004F39E8">
            <w:pPr>
              <w:spacing w:after="0" w:line="240" w:lineRule="auto"/>
              <w:rPr>
                <w:rFonts w:ascii="Times New Roman" w:eastAsia="Times New Roman" w:hAnsi="Times New Roman" w:cs="Times New Roman"/>
                <w:b/>
                <w:bCs/>
                <w:sz w:val="18"/>
                <w:szCs w:val="18"/>
                <w:lang w:eastAsia="fr-FR"/>
              </w:rPr>
            </w:pPr>
            <w:proofErr w:type="spellStart"/>
            <w:r w:rsidRPr="000247A5">
              <w:rPr>
                <w:rFonts w:ascii="Times New Roman" w:eastAsia="Times New Roman" w:hAnsi="Times New Roman" w:cs="Times New Roman"/>
                <w:b/>
                <w:bCs/>
                <w:sz w:val="18"/>
                <w:szCs w:val="18"/>
                <w:lang w:eastAsia="fr-FR"/>
              </w:rPr>
              <w:t>Moy</w:t>
            </w:r>
            <w:proofErr w:type="spellEnd"/>
          </w:p>
        </w:tc>
      </w:tr>
      <w:tr w:rsidR="000247A5" w:rsidRPr="000247A5" w:rsidTr="007D6D8B">
        <w:trPr>
          <w:trHeight w:val="744"/>
        </w:trPr>
        <w:tc>
          <w:tcPr>
            <w:tcW w:w="118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47A5" w:rsidRPr="000247A5" w:rsidRDefault="000247A5" w:rsidP="004F39E8">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01. PRODUITS ALIMENTAIRES ET BOISSONS NON ALCOOLISÉES</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125,6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124,6</w:t>
            </w:r>
          </w:p>
        </w:tc>
        <w:tc>
          <w:tcPr>
            <w:tcW w:w="294"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122,9</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122,7</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123,7</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124,7</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123,2</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123,2</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126,8</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125,5</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126,8</w:t>
            </w:r>
          </w:p>
        </w:tc>
        <w:tc>
          <w:tcPr>
            <w:tcW w:w="292"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128,3</w:t>
            </w:r>
          </w:p>
        </w:tc>
        <w:tc>
          <w:tcPr>
            <w:tcW w:w="316" w:type="pct"/>
            <w:tcBorders>
              <w:top w:val="nil"/>
              <w:left w:val="nil"/>
              <w:bottom w:val="single" w:sz="4" w:space="0" w:color="auto"/>
              <w:right w:val="single" w:sz="4" w:space="0" w:color="auto"/>
            </w:tcBorders>
            <w:shd w:val="clear" w:color="auto" w:fill="auto"/>
            <w:noWrap/>
            <w:vAlign w:val="center"/>
            <w:hideMark/>
          </w:tcPr>
          <w:p w:rsidR="000247A5" w:rsidRPr="007D6D8B" w:rsidRDefault="000247A5" w:rsidP="004F39E8">
            <w:pPr>
              <w:spacing w:after="0" w:line="240" w:lineRule="auto"/>
              <w:jc w:val="right"/>
              <w:rPr>
                <w:rFonts w:asciiTheme="majorBidi" w:eastAsia="Times New Roman" w:hAnsiTheme="majorBidi" w:cstheme="majorBidi"/>
                <w:b/>
                <w:bCs/>
                <w:sz w:val="18"/>
                <w:szCs w:val="18"/>
                <w:lang w:eastAsia="fr-FR"/>
              </w:rPr>
            </w:pPr>
            <w:r w:rsidRPr="007D6D8B">
              <w:rPr>
                <w:rFonts w:asciiTheme="majorBidi" w:eastAsia="Times New Roman" w:hAnsiTheme="majorBidi" w:cstheme="majorBidi"/>
                <w:b/>
                <w:bCs/>
                <w:sz w:val="18"/>
                <w:szCs w:val="18"/>
                <w:lang w:eastAsia="fr-FR"/>
              </w:rPr>
              <w:t>124,8</w:t>
            </w:r>
          </w:p>
        </w:tc>
      </w:tr>
      <w:tr w:rsidR="000247A5" w:rsidRPr="000247A5" w:rsidTr="007D6D8B">
        <w:trPr>
          <w:trHeight w:val="693"/>
        </w:trPr>
        <w:tc>
          <w:tcPr>
            <w:tcW w:w="1188" w:type="pct"/>
            <w:tcBorders>
              <w:top w:val="nil"/>
              <w:left w:val="single" w:sz="4" w:space="0" w:color="auto"/>
              <w:bottom w:val="single" w:sz="4" w:space="0" w:color="auto"/>
              <w:right w:val="single" w:sz="4" w:space="0" w:color="auto"/>
            </w:tcBorders>
            <w:shd w:val="clear" w:color="000000" w:fill="FFFFFF"/>
            <w:vAlign w:val="center"/>
            <w:hideMark/>
          </w:tcPr>
          <w:p w:rsidR="000247A5" w:rsidRPr="000247A5" w:rsidRDefault="000247A5" w:rsidP="004F39E8">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02. BOISSONS ALCOOLISÉES, TABAC ET STUPÉFIANTS</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122,4</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122,4</w:t>
            </w:r>
          </w:p>
        </w:tc>
        <w:tc>
          <w:tcPr>
            <w:tcW w:w="294"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122,4</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122,4</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122,4</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122,4</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124,6</w:t>
            </w:r>
          </w:p>
        </w:tc>
        <w:tc>
          <w:tcPr>
            <w:tcW w:w="292"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124,6</w:t>
            </w:r>
          </w:p>
        </w:tc>
        <w:tc>
          <w:tcPr>
            <w:tcW w:w="316" w:type="pct"/>
            <w:tcBorders>
              <w:top w:val="nil"/>
              <w:left w:val="nil"/>
              <w:bottom w:val="single" w:sz="4" w:space="0" w:color="auto"/>
              <w:right w:val="single" w:sz="4" w:space="0" w:color="auto"/>
            </w:tcBorders>
            <w:shd w:val="clear" w:color="auto" w:fill="auto"/>
            <w:noWrap/>
            <w:vAlign w:val="center"/>
            <w:hideMark/>
          </w:tcPr>
          <w:p w:rsidR="000247A5" w:rsidRPr="007D6D8B" w:rsidRDefault="000247A5" w:rsidP="004F39E8">
            <w:pPr>
              <w:spacing w:after="0" w:line="240" w:lineRule="auto"/>
              <w:jc w:val="right"/>
              <w:rPr>
                <w:rFonts w:asciiTheme="majorBidi" w:eastAsia="Times New Roman" w:hAnsiTheme="majorBidi" w:cstheme="majorBidi"/>
                <w:b/>
                <w:bCs/>
                <w:sz w:val="18"/>
                <w:szCs w:val="18"/>
                <w:lang w:eastAsia="fr-FR"/>
              </w:rPr>
            </w:pPr>
            <w:r w:rsidRPr="007D6D8B">
              <w:rPr>
                <w:rFonts w:asciiTheme="majorBidi" w:eastAsia="Times New Roman" w:hAnsiTheme="majorBidi" w:cstheme="majorBidi"/>
                <w:b/>
                <w:bCs/>
                <w:sz w:val="18"/>
                <w:szCs w:val="18"/>
                <w:lang w:eastAsia="fr-FR"/>
              </w:rPr>
              <w:t>123,5</w:t>
            </w:r>
          </w:p>
        </w:tc>
      </w:tr>
      <w:tr w:rsidR="000247A5" w:rsidRPr="000247A5" w:rsidTr="007D6D8B">
        <w:trPr>
          <w:trHeight w:val="642"/>
        </w:trPr>
        <w:tc>
          <w:tcPr>
            <w:tcW w:w="1188" w:type="pct"/>
            <w:tcBorders>
              <w:top w:val="nil"/>
              <w:left w:val="single" w:sz="4" w:space="0" w:color="auto"/>
              <w:bottom w:val="single" w:sz="4" w:space="0" w:color="auto"/>
              <w:right w:val="single" w:sz="4" w:space="0" w:color="auto"/>
            </w:tcBorders>
            <w:shd w:val="clear" w:color="000000" w:fill="FFFFFF"/>
            <w:vAlign w:val="center"/>
            <w:hideMark/>
          </w:tcPr>
          <w:p w:rsidR="000247A5" w:rsidRPr="000247A5" w:rsidRDefault="000247A5" w:rsidP="004F39E8">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03. ARTICLES D'HABILLEMENT ET CHAUSSURES</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110,2</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110,2</w:t>
            </w:r>
          </w:p>
        </w:tc>
        <w:tc>
          <w:tcPr>
            <w:tcW w:w="294"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110,3</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110,3</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111,3</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111,3</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111,4</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111,4</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111,4</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111,5</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111,6</w:t>
            </w:r>
          </w:p>
        </w:tc>
        <w:tc>
          <w:tcPr>
            <w:tcW w:w="292"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111,8</w:t>
            </w:r>
          </w:p>
        </w:tc>
        <w:tc>
          <w:tcPr>
            <w:tcW w:w="316" w:type="pct"/>
            <w:tcBorders>
              <w:top w:val="nil"/>
              <w:left w:val="nil"/>
              <w:bottom w:val="single" w:sz="4" w:space="0" w:color="auto"/>
              <w:right w:val="single" w:sz="4" w:space="0" w:color="auto"/>
            </w:tcBorders>
            <w:shd w:val="clear" w:color="auto" w:fill="auto"/>
            <w:noWrap/>
            <w:vAlign w:val="center"/>
            <w:hideMark/>
          </w:tcPr>
          <w:p w:rsidR="000247A5" w:rsidRPr="007D6D8B" w:rsidRDefault="000247A5" w:rsidP="004F39E8">
            <w:pPr>
              <w:spacing w:after="0" w:line="240" w:lineRule="auto"/>
              <w:jc w:val="right"/>
              <w:rPr>
                <w:rFonts w:asciiTheme="majorBidi" w:eastAsia="Times New Roman" w:hAnsiTheme="majorBidi" w:cstheme="majorBidi"/>
                <w:b/>
                <w:bCs/>
                <w:sz w:val="18"/>
                <w:szCs w:val="18"/>
                <w:lang w:eastAsia="fr-FR"/>
              </w:rPr>
            </w:pPr>
            <w:r w:rsidRPr="007D6D8B">
              <w:rPr>
                <w:rFonts w:asciiTheme="majorBidi" w:eastAsia="Times New Roman" w:hAnsiTheme="majorBidi" w:cstheme="majorBidi"/>
                <w:b/>
                <w:bCs/>
                <w:sz w:val="18"/>
                <w:szCs w:val="18"/>
                <w:lang w:eastAsia="fr-FR"/>
              </w:rPr>
              <w:t>111,1</w:t>
            </w:r>
          </w:p>
        </w:tc>
      </w:tr>
      <w:tr w:rsidR="000247A5" w:rsidRPr="000247A5" w:rsidTr="007D6D8B">
        <w:trPr>
          <w:trHeight w:val="695"/>
        </w:trPr>
        <w:tc>
          <w:tcPr>
            <w:tcW w:w="1188" w:type="pct"/>
            <w:tcBorders>
              <w:top w:val="nil"/>
              <w:left w:val="single" w:sz="4" w:space="0" w:color="auto"/>
              <w:bottom w:val="single" w:sz="4" w:space="0" w:color="auto"/>
              <w:right w:val="single" w:sz="4" w:space="0" w:color="auto"/>
            </w:tcBorders>
            <w:shd w:val="clear" w:color="000000" w:fill="FFFFFF"/>
            <w:vAlign w:val="center"/>
            <w:hideMark/>
          </w:tcPr>
          <w:p w:rsidR="000247A5" w:rsidRPr="000247A5" w:rsidRDefault="000247A5" w:rsidP="004F39E8">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04. LOGEMENT, EAU, GAZ, ELECTRICITE ET AUTRES COMBUSTIBLES</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108,4</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108,4</w:t>
            </w:r>
          </w:p>
        </w:tc>
        <w:tc>
          <w:tcPr>
            <w:tcW w:w="294"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108,4</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108,4</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108,4</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108,4</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108,4</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108,7</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108,6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108,5</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108,5</w:t>
            </w:r>
          </w:p>
        </w:tc>
        <w:tc>
          <w:tcPr>
            <w:tcW w:w="292"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108,5</w:t>
            </w:r>
          </w:p>
        </w:tc>
        <w:tc>
          <w:tcPr>
            <w:tcW w:w="316" w:type="pct"/>
            <w:tcBorders>
              <w:top w:val="nil"/>
              <w:left w:val="nil"/>
              <w:bottom w:val="single" w:sz="4" w:space="0" w:color="auto"/>
              <w:right w:val="single" w:sz="4" w:space="0" w:color="auto"/>
            </w:tcBorders>
            <w:shd w:val="clear" w:color="auto" w:fill="auto"/>
            <w:noWrap/>
            <w:vAlign w:val="center"/>
            <w:hideMark/>
          </w:tcPr>
          <w:p w:rsidR="000247A5" w:rsidRPr="007D6D8B" w:rsidRDefault="000247A5" w:rsidP="004F39E8">
            <w:pPr>
              <w:spacing w:after="0" w:line="240" w:lineRule="auto"/>
              <w:jc w:val="right"/>
              <w:rPr>
                <w:rFonts w:asciiTheme="majorBidi" w:eastAsia="Times New Roman" w:hAnsiTheme="majorBidi" w:cstheme="majorBidi"/>
                <w:b/>
                <w:bCs/>
                <w:sz w:val="18"/>
                <w:szCs w:val="18"/>
                <w:lang w:eastAsia="fr-FR"/>
              </w:rPr>
            </w:pPr>
            <w:r w:rsidRPr="007D6D8B">
              <w:rPr>
                <w:rFonts w:asciiTheme="majorBidi" w:eastAsia="Times New Roman" w:hAnsiTheme="majorBidi" w:cstheme="majorBidi"/>
                <w:b/>
                <w:bCs/>
                <w:sz w:val="18"/>
                <w:szCs w:val="18"/>
                <w:lang w:eastAsia="fr-FR"/>
              </w:rPr>
              <w:t>108,5</w:t>
            </w:r>
          </w:p>
        </w:tc>
      </w:tr>
      <w:tr w:rsidR="000247A5" w:rsidRPr="000247A5" w:rsidTr="007D6D8B">
        <w:trPr>
          <w:trHeight w:val="549"/>
        </w:trPr>
        <w:tc>
          <w:tcPr>
            <w:tcW w:w="1188" w:type="pct"/>
            <w:tcBorders>
              <w:top w:val="nil"/>
              <w:left w:val="single" w:sz="4" w:space="0" w:color="auto"/>
              <w:bottom w:val="single" w:sz="4" w:space="0" w:color="auto"/>
              <w:right w:val="single" w:sz="4" w:space="0" w:color="auto"/>
            </w:tcBorders>
            <w:shd w:val="clear" w:color="000000" w:fill="FFFFFF"/>
            <w:vAlign w:val="center"/>
            <w:hideMark/>
          </w:tcPr>
          <w:p w:rsidR="000247A5" w:rsidRPr="000247A5" w:rsidRDefault="000247A5" w:rsidP="004F39E8">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05. MEUBLES, ARTICLES DE MENAGE ET ENTRETIEN COURANT DU FOYER</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107,1</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107,1</w:t>
            </w:r>
          </w:p>
        </w:tc>
        <w:tc>
          <w:tcPr>
            <w:tcW w:w="294"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107,1</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106,6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106,6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106,6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106,5</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106,6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106,3</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106,4</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106,5</w:t>
            </w:r>
          </w:p>
        </w:tc>
        <w:tc>
          <w:tcPr>
            <w:tcW w:w="292"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106,5</w:t>
            </w:r>
          </w:p>
        </w:tc>
        <w:tc>
          <w:tcPr>
            <w:tcW w:w="316" w:type="pct"/>
            <w:tcBorders>
              <w:top w:val="nil"/>
              <w:left w:val="nil"/>
              <w:bottom w:val="single" w:sz="4" w:space="0" w:color="auto"/>
              <w:right w:val="single" w:sz="4" w:space="0" w:color="auto"/>
            </w:tcBorders>
            <w:shd w:val="clear" w:color="auto" w:fill="auto"/>
            <w:noWrap/>
            <w:vAlign w:val="center"/>
            <w:hideMark/>
          </w:tcPr>
          <w:p w:rsidR="000247A5" w:rsidRPr="007D6D8B" w:rsidRDefault="000247A5" w:rsidP="004F39E8">
            <w:pPr>
              <w:spacing w:after="0" w:line="240" w:lineRule="auto"/>
              <w:jc w:val="right"/>
              <w:rPr>
                <w:rFonts w:asciiTheme="majorBidi" w:eastAsia="Times New Roman" w:hAnsiTheme="majorBidi" w:cstheme="majorBidi"/>
                <w:b/>
                <w:bCs/>
                <w:sz w:val="18"/>
                <w:szCs w:val="18"/>
                <w:lang w:eastAsia="fr-FR"/>
              </w:rPr>
            </w:pPr>
            <w:r w:rsidRPr="007D6D8B">
              <w:rPr>
                <w:rFonts w:asciiTheme="majorBidi" w:eastAsia="Times New Roman" w:hAnsiTheme="majorBidi" w:cstheme="majorBidi"/>
                <w:b/>
                <w:bCs/>
                <w:sz w:val="18"/>
                <w:szCs w:val="18"/>
                <w:lang w:eastAsia="fr-FR"/>
              </w:rPr>
              <w:t>106,7</w:t>
            </w:r>
          </w:p>
        </w:tc>
      </w:tr>
      <w:tr w:rsidR="000247A5" w:rsidRPr="000247A5" w:rsidTr="007D6D8B">
        <w:trPr>
          <w:trHeight w:val="413"/>
        </w:trPr>
        <w:tc>
          <w:tcPr>
            <w:tcW w:w="1188" w:type="pct"/>
            <w:tcBorders>
              <w:top w:val="nil"/>
              <w:left w:val="single" w:sz="4" w:space="0" w:color="auto"/>
              <w:bottom w:val="single" w:sz="4" w:space="0" w:color="auto"/>
              <w:right w:val="single" w:sz="4" w:space="0" w:color="auto"/>
            </w:tcBorders>
            <w:shd w:val="clear" w:color="000000" w:fill="FFFFFF"/>
            <w:vAlign w:val="center"/>
            <w:hideMark/>
          </w:tcPr>
          <w:p w:rsidR="000247A5" w:rsidRPr="000247A5" w:rsidRDefault="000247A5" w:rsidP="004F39E8">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06. SANTÉ</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109,2</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109,2</w:t>
            </w:r>
          </w:p>
        </w:tc>
        <w:tc>
          <w:tcPr>
            <w:tcW w:w="294"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112,9</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112,9</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112,9</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112,9</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112,8</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112,8</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112,8</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112,8</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112,8</w:t>
            </w:r>
          </w:p>
        </w:tc>
        <w:tc>
          <w:tcPr>
            <w:tcW w:w="292"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112,8</w:t>
            </w:r>
          </w:p>
        </w:tc>
        <w:tc>
          <w:tcPr>
            <w:tcW w:w="316" w:type="pct"/>
            <w:tcBorders>
              <w:top w:val="nil"/>
              <w:left w:val="nil"/>
              <w:bottom w:val="single" w:sz="4" w:space="0" w:color="auto"/>
              <w:right w:val="single" w:sz="4" w:space="0" w:color="auto"/>
            </w:tcBorders>
            <w:shd w:val="clear" w:color="auto" w:fill="auto"/>
            <w:noWrap/>
            <w:vAlign w:val="center"/>
            <w:hideMark/>
          </w:tcPr>
          <w:p w:rsidR="000247A5" w:rsidRPr="007D6D8B" w:rsidRDefault="000247A5" w:rsidP="004F39E8">
            <w:pPr>
              <w:spacing w:after="0" w:line="240" w:lineRule="auto"/>
              <w:jc w:val="right"/>
              <w:rPr>
                <w:rFonts w:asciiTheme="majorBidi" w:eastAsia="Times New Roman" w:hAnsiTheme="majorBidi" w:cstheme="majorBidi"/>
                <w:b/>
                <w:bCs/>
                <w:sz w:val="18"/>
                <w:szCs w:val="18"/>
                <w:lang w:eastAsia="fr-FR"/>
              </w:rPr>
            </w:pPr>
            <w:r w:rsidRPr="007D6D8B">
              <w:rPr>
                <w:rFonts w:asciiTheme="majorBidi" w:eastAsia="Times New Roman" w:hAnsiTheme="majorBidi" w:cstheme="majorBidi"/>
                <w:b/>
                <w:bCs/>
                <w:sz w:val="18"/>
                <w:szCs w:val="18"/>
                <w:lang w:eastAsia="fr-FR"/>
              </w:rPr>
              <w:t>112,2</w:t>
            </w:r>
          </w:p>
        </w:tc>
      </w:tr>
      <w:tr w:rsidR="000247A5" w:rsidRPr="000247A5" w:rsidTr="007D6D8B">
        <w:trPr>
          <w:trHeight w:val="419"/>
        </w:trPr>
        <w:tc>
          <w:tcPr>
            <w:tcW w:w="1188" w:type="pct"/>
            <w:tcBorders>
              <w:top w:val="nil"/>
              <w:left w:val="single" w:sz="4" w:space="0" w:color="auto"/>
              <w:bottom w:val="single" w:sz="4" w:space="0" w:color="auto"/>
              <w:right w:val="single" w:sz="4" w:space="0" w:color="auto"/>
            </w:tcBorders>
            <w:shd w:val="clear" w:color="000000" w:fill="FFFFFF"/>
            <w:vAlign w:val="center"/>
            <w:hideMark/>
          </w:tcPr>
          <w:p w:rsidR="000247A5" w:rsidRPr="000247A5" w:rsidRDefault="000247A5" w:rsidP="004F39E8">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07. TRANSPORTS</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112,9</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113,6</w:t>
            </w:r>
          </w:p>
        </w:tc>
        <w:tc>
          <w:tcPr>
            <w:tcW w:w="294"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114,7</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114,0</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113,5</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111,8</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111,6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112,6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113,1</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113,7</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114,4</w:t>
            </w:r>
          </w:p>
        </w:tc>
        <w:tc>
          <w:tcPr>
            <w:tcW w:w="292"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113,4</w:t>
            </w:r>
          </w:p>
        </w:tc>
        <w:tc>
          <w:tcPr>
            <w:tcW w:w="316" w:type="pct"/>
            <w:tcBorders>
              <w:top w:val="nil"/>
              <w:left w:val="nil"/>
              <w:bottom w:val="single" w:sz="4" w:space="0" w:color="auto"/>
              <w:right w:val="single" w:sz="4" w:space="0" w:color="auto"/>
            </w:tcBorders>
            <w:shd w:val="clear" w:color="auto" w:fill="auto"/>
            <w:noWrap/>
            <w:vAlign w:val="center"/>
            <w:hideMark/>
          </w:tcPr>
          <w:p w:rsidR="000247A5" w:rsidRPr="007D6D8B" w:rsidRDefault="000247A5" w:rsidP="004F39E8">
            <w:pPr>
              <w:spacing w:after="0" w:line="240" w:lineRule="auto"/>
              <w:jc w:val="right"/>
              <w:rPr>
                <w:rFonts w:asciiTheme="majorBidi" w:eastAsia="Times New Roman" w:hAnsiTheme="majorBidi" w:cstheme="majorBidi"/>
                <w:b/>
                <w:bCs/>
                <w:sz w:val="18"/>
                <w:szCs w:val="18"/>
                <w:lang w:eastAsia="fr-FR"/>
              </w:rPr>
            </w:pPr>
            <w:r w:rsidRPr="007D6D8B">
              <w:rPr>
                <w:rFonts w:asciiTheme="majorBidi" w:eastAsia="Times New Roman" w:hAnsiTheme="majorBidi" w:cstheme="majorBidi"/>
                <w:b/>
                <w:bCs/>
                <w:sz w:val="18"/>
                <w:szCs w:val="18"/>
                <w:lang w:eastAsia="fr-FR"/>
              </w:rPr>
              <w:t>113,3</w:t>
            </w:r>
          </w:p>
        </w:tc>
      </w:tr>
      <w:tr w:rsidR="000247A5" w:rsidRPr="000247A5" w:rsidTr="007D6D8B">
        <w:trPr>
          <w:trHeight w:val="397"/>
        </w:trPr>
        <w:tc>
          <w:tcPr>
            <w:tcW w:w="1188" w:type="pct"/>
            <w:tcBorders>
              <w:top w:val="nil"/>
              <w:left w:val="single" w:sz="4" w:space="0" w:color="auto"/>
              <w:bottom w:val="single" w:sz="4" w:space="0" w:color="auto"/>
              <w:right w:val="single" w:sz="4" w:space="0" w:color="auto"/>
            </w:tcBorders>
            <w:shd w:val="clear" w:color="000000" w:fill="FFFFFF"/>
            <w:vAlign w:val="center"/>
            <w:hideMark/>
          </w:tcPr>
          <w:p w:rsidR="000247A5" w:rsidRPr="000247A5" w:rsidRDefault="000247A5" w:rsidP="004F39E8">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08. COMMUNICATIONS</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58,6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58,6</w:t>
            </w:r>
          </w:p>
        </w:tc>
        <w:tc>
          <w:tcPr>
            <w:tcW w:w="294"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58,6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58,6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58,6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58,6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58,6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58,6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58,6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58,6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58,6</w:t>
            </w:r>
          </w:p>
        </w:tc>
        <w:tc>
          <w:tcPr>
            <w:tcW w:w="292"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58,6</w:t>
            </w:r>
          </w:p>
        </w:tc>
        <w:tc>
          <w:tcPr>
            <w:tcW w:w="316" w:type="pct"/>
            <w:tcBorders>
              <w:top w:val="nil"/>
              <w:left w:val="nil"/>
              <w:bottom w:val="single" w:sz="4" w:space="0" w:color="auto"/>
              <w:right w:val="single" w:sz="4" w:space="0" w:color="auto"/>
            </w:tcBorders>
            <w:shd w:val="clear" w:color="auto" w:fill="auto"/>
            <w:noWrap/>
            <w:vAlign w:val="center"/>
            <w:hideMark/>
          </w:tcPr>
          <w:p w:rsidR="000247A5" w:rsidRPr="007D6D8B" w:rsidRDefault="000247A5" w:rsidP="004F39E8">
            <w:pPr>
              <w:spacing w:after="0" w:line="240" w:lineRule="auto"/>
              <w:jc w:val="right"/>
              <w:rPr>
                <w:rFonts w:asciiTheme="majorBidi" w:eastAsia="Times New Roman" w:hAnsiTheme="majorBidi" w:cstheme="majorBidi"/>
                <w:b/>
                <w:bCs/>
                <w:sz w:val="18"/>
                <w:szCs w:val="18"/>
                <w:lang w:eastAsia="fr-FR"/>
              </w:rPr>
            </w:pPr>
            <w:r w:rsidRPr="007D6D8B">
              <w:rPr>
                <w:rFonts w:asciiTheme="majorBidi" w:eastAsia="Times New Roman" w:hAnsiTheme="majorBidi" w:cstheme="majorBidi"/>
                <w:b/>
                <w:bCs/>
                <w:sz w:val="18"/>
                <w:szCs w:val="18"/>
                <w:lang w:eastAsia="fr-FR"/>
              </w:rPr>
              <w:t>58,6</w:t>
            </w:r>
          </w:p>
        </w:tc>
      </w:tr>
      <w:tr w:rsidR="000247A5" w:rsidRPr="000247A5" w:rsidTr="007D6D8B">
        <w:trPr>
          <w:trHeight w:val="431"/>
        </w:trPr>
        <w:tc>
          <w:tcPr>
            <w:tcW w:w="1188" w:type="pct"/>
            <w:tcBorders>
              <w:top w:val="nil"/>
              <w:left w:val="single" w:sz="4" w:space="0" w:color="auto"/>
              <w:bottom w:val="single" w:sz="4" w:space="0" w:color="auto"/>
              <w:right w:val="single" w:sz="4" w:space="0" w:color="auto"/>
            </w:tcBorders>
            <w:shd w:val="clear" w:color="000000" w:fill="FFFFFF"/>
            <w:vAlign w:val="center"/>
            <w:hideMark/>
          </w:tcPr>
          <w:p w:rsidR="000247A5" w:rsidRPr="000247A5" w:rsidRDefault="000247A5" w:rsidP="004F39E8">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09. LOISIRS ET CULTURE</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101,9</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101,8</w:t>
            </w:r>
          </w:p>
        </w:tc>
        <w:tc>
          <w:tcPr>
            <w:tcW w:w="294"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101,8</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101,8</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101,8</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101,8</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101,8</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101,9</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101,9</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101,9</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101,9</w:t>
            </w:r>
          </w:p>
        </w:tc>
        <w:tc>
          <w:tcPr>
            <w:tcW w:w="292"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101,9</w:t>
            </w:r>
          </w:p>
        </w:tc>
        <w:tc>
          <w:tcPr>
            <w:tcW w:w="316" w:type="pct"/>
            <w:tcBorders>
              <w:top w:val="nil"/>
              <w:left w:val="nil"/>
              <w:bottom w:val="single" w:sz="4" w:space="0" w:color="auto"/>
              <w:right w:val="single" w:sz="4" w:space="0" w:color="auto"/>
            </w:tcBorders>
            <w:shd w:val="clear" w:color="auto" w:fill="auto"/>
            <w:noWrap/>
            <w:vAlign w:val="center"/>
            <w:hideMark/>
          </w:tcPr>
          <w:p w:rsidR="000247A5" w:rsidRPr="007D6D8B" w:rsidRDefault="000247A5" w:rsidP="004F39E8">
            <w:pPr>
              <w:spacing w:after="0" w:line="240" w:lineRule="auto"/>
              <w:jc w:val="right"/>
              <w:rPr>
                <w:rFonts w:asciiTheme="majorBidi" w:eastAsia="Times New Roman" w:hAnsiTheme="majorBidi" w:cstheme="majorBidi"/>
                <w:b/>
                <w:bCs/>
                <w:sz w:val="18"/>
                <w:szCs w:val="18"/>
                <w:lang w:eastAsia="fr-FR"/>
              </w:rPr>
            </w:pPr>
            <w:r w:rsidRPr="007D6D8B">
              <w:rPr>
                <w:rFonts w:asciiTheme="majorBidi" w:eastAsia="Times New Roman" w:hAnsiTheme="majorBidi" w:cstheme="majorBidi"/>
                <w:b/>
                <w:bCs/>
                <w:sz w:val="18"/>
                <w:szCs w:val="18"/>
                <w:lang w:eastAsia="fr-FR"/>
              </w:rPr>
              <w:t>101,9</w:t>
            </w:r>
          </w:p>
        </w:tc>
      </w:tr>
      <w:tr w:rsidR="000247A5" w:rsidRPr="000247A5" w:rsidTr="007D6D8B">
        <w:trPr>
          <w:trHeight w:val="283"/>
        </w:trPr>
        <w:tc>
          <w:tcPr>
            <w:tcW w:w="1188" w:type="pct"/>
            <w:tcBorders>
              <w:top w:val="nil"/>
              <w:left w:val="single" w:sz="4" w:space="0" w:color="auto"/>
              <w:bottom w:val="single" w:sz="4" w:space="0" w:color="auto"/>
              <w:right w:val="single" w:sz="4" w:space="0" w:color="auto"/>
            </w:tcBorders>
            <w:shd w:val="clear" w:color="000000" w:fill="FFFFFF"/>
            <w:vAlign w:val="center"/>
            <w:hideMark/>
          </w:tcPr>
          <w:p w:rsidR="000247A5" w:rsidRPr="000247A5" w:rsidRDefault="000247A5" w:rsidP="004F39E8">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10. ENSEIGNEMENT</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115,8</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115,8</w:t>
            </w:r>
          </w:p>
        </w:tc>
        <w:tc>
          <w:tcPr>
            <w:tcW w:w="294"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115,8</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115,8</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115,8</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115,8</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115,8</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115,8</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116,1</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116,1</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116,1</w:t>
            </w:r>
          </w:p>
        </w:tc>
        <w:tc>
          <w:tcPr>
            <w:tcW w:w="292"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116,1</w:t>
            </w:r>
          </w:p>
        </w:tc>
        <w:tc>
          <w:tcPr>
            <w:tcW w:w="316" w:type="pct"/>
            <w:tcBorders>
              <w:top w:val="nil"/>
              <w:left w:val="nil"/>
              <w:bottom w:val="single" w:sz="4" w:space="0" w:color="auto"/>
              <w:right w:val="single" w:sz="4" w:space="0" w:color="auto"/>
            </w:tcBorders>
            <w:shd w:val="clear" w:color="auto" w:fill="auto"/>
            <w:noWrap/>
            <w:vAlign w:val="center"/>
            <w:hideMark/>
          </w:tcPr>
          <w:p w:rsidR="000247A5" w:rsidRPr="007D6D8B" w:rsidRDefault="000247A5" w:rsidP="004F39E8">
            <w:pPr>
              <w:spacing w:after="0" w:line="240" w:lineRule="auto"/>
              <w:jc w:val="right"/>
              <w:rPr>
                <w:rFonts w:asciiTheme="majorBidi" w:eastAsia="Times New Roman" w:hAnsiTheme="majorBidi" w:cstheme="majorBidi"/>
                <w:b/>
                <w:bCs/>
                <w:sz w:val="18"/>
                <w:szCs w:val="18"/>
                <w:lang w:eastAsia="fr-FR"/>
              </w:rPr>
            </w:pPr>
            <w:r w:rsidRPr="007D6D8B">
              <w:rPr>
                <w:rFonts w:asciiTheme="majorBidi" w:eastAsia="Times New Roman" w:hAnsiTheme="majorBidi" w:cstheme="majorBidi"/>
                <w:b/>
                <w:bCs/>
                <w:sz w:val="18"/>
                <w:szCs w:val="18"/>
                <w:lang w:eastAsia="fr-FR"/>
              </w:rPr>
              <w:t>115,9</w:t>
            </w:r>
          </w:p>
        </w:tc>
      </w:tr>
      <w:tr w:rsidR="000247A5" w:rsidRPr="000247A5" w:rsidTr="007D6D8B">
        <w:trPr>
          <w:trHeight w:val="414"/>
        </w:trPr>
        <w:tc>
          <w:tcPr>
            <w:tcW w:w="1188" w:type="pct"/>
            <w:tcBorders>
              <w:top w:val="nil"/>
              <w:left w:val="single" w:sz="4" w:space="0" w:color="auto"/>
              <w:bottom w:val="single" w:sz="4" w:space="0" w:color="auto"/>
              <w:right w:val="single" w:sz="4" w:space="0" w:color="auto"/>
            </w:tcBorders>
            <w:shd w:val="clear" w:color="000000" w:fill="FFFFFF"/>
            <w:vAlign w:val="center"/>
            <w:hideMark/>
          </w:tcPr>
          <w:p w:rsidR="000247A5" w:rsidRPr="000247A5" w:rsidRDefault="000247A5" w:rsidP="004F39E8">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11. RESTAURANTS ET HÔTELS</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147,0</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146,2</w:t>
            </w:r>
          </w:p>
        </w:tc>
        <w:tc>
          <w:tcPr>
            <w:tcW w:w="294"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146,2</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147,8</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148,0</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148,0</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148,0</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148,0</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149,2</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150,3</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152,7</w:t>
            </w:r>
          </w:p>
        </w:tc>
        <w:tc>
          <w:tcPr>
            <w:tcW w:w="292"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152,7</w:t>
            </w:r>
          </w:p>
        </w:tc>
        <w:tc>
          <w:tcPr>
            <w:tcW w:w="316" w:type="pct"/>
            <w:tcBorders>
              <w:top w:val="nil"/>
              <w:left w:val="nil"/>
              <w:bottom w:val="single" w:sz="4" w:space="0" w:color="auto"/>
              <w:right w:val="single" w:sz="4" w:space="0" w:color="auto"/>
            </w:tcBorders>
            <w:shd w:val="clear" w:color="auto" w:fill="auto"/>
            <w:noWrap/>
            <w:vAlign w:val="center"/>
            <w:hideMark/>
          </w:tcPr>
          <w:p w:rsidR="000247A5" w:rsidRPr="007D6D8B" w:rsidRDefault="000247A5" w:rsidP="004F39E8">
            <w:pPr>
              <w:spacing w:after="0" w:line="240" w:lineRule="auto"/>
              <w:jc w:val="right"/>
              <w:rPr>
                <w:rFonts w:asciiTheme="majorBidi" w:eastAsia="Times New Roman" w:hAnsiTheme="majorBidi" w:cstheme="majorBidi"/>
                <w:b/>
                <w:bCs/>
                <w:sz w:val="18"/>
                <w:szCs w:val="18"/>
                <w:lang w:eastAsia="fr-FR"/>
              </w:rPr>
            </w:pPr>
            <w:r w:rsidRPr="007D6D8B">
              <w:rPr>
                <w:rFonts w:asciiTheme="majorBidi" w:eastAsia="Times New Roman" w:hAnsiTheme="majorBidi" w:cstheme="majorBidi"/>
                <w:b/>
                <w:bCs/>
                <w:sz w:val="18"/>
                <w:szCs w:val="18"/>
                <w:lang w:eastAsia="fr-FR"/>
              </w:rPr>
              <w:t>148,7</w:t>
            </w:r>
          </w:p>
        </w:tc>
      </w:tr>
      <w:tr w:rsidR="000247A5" w:rsidRPr="000247A5" w:rsidTr="007D6D8B">
        <w:trPr>
          <w:trHeight w:val="491"/>
        </w:trPr>
        <w:tc>
          <w:tcPr>
            <w:tcW w:w="1188" w:type="pct"/>
            <w:tcBorders>
              <w:top w:val="nil"/>
              <w:left w:val="single" w:sz="4" w:space="0" w:color="auto"/>
              <w:bottom w:val="single" w:sz="4" w:space="0" w:color="auto"/>
              <w:right w:val="single" w:sz="4" w:space="0" w:color="auto"/>
            </w:tcBorders>
            <w:shd w:val="clear" w:color="000000" w:fill="FFFFFF"/>
            <w:vAlign w:val="center"/>
            <w:hideMark/>
          </w:tcPr>
          <w:p w:rsidR="000247A5" w:rsidRPr="000247A5" w:rsidRDefault="000247A5" w:rsidP="004F39E8">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12. BIENS ET SERVICES DIVERS</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124,0</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124,0</w:t>
            </w:r>
          </w:p>
        </w:tc>
        <w:tc>
          <w:tcPr>
            <w:tcW w:w="294"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124,0</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124,0</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124,0</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124,0</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124,1</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124,0</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124,0</w:t>
            </w:r>
          </w:p>
        </w:tc>
        <w:tc>
          <w:tcPr>
            <w:tcW w:w="291" w:type="pct"/>
            <w:tcBorders>
              <w:top w:val="nil"/>
              <w:left w:val="nil"/>
              <w:bottom w:val="single" w:sz="8"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124,0</w:t>
            </w:r>
          </w:p>
        </w:tc>
        <w:tc>
          <w:tcPr>
            <w:tcW w:w="291" w:type="pct"/>
            <w:tcBorders>
              <w:top w:val="nil"/>
              <w:left w:val="nil"/>
              <w:bottom w:val="single" w:sz="8"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124,1</w:t>
            </w:r>
          </w:p>
        </w:tc>
        <w:tc>
          <w:tcPr>
            <w:tcW w:w="292" w:type="pct"/>
            <w:tcBorders>
              <w:top w:val="nil"/>
              <w:left w:val="nil"/>
              <w:bottom w:val="single" w:sz="8"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124,1</w:t>
            </w:r>
          </w:p>
        </w:tc>
        <w:tc>
          <w:tcPr>
            <w:tcW w:w="316" w:type="pct"/>
            <w:tcBorders>
              <w:top w:val="nil"/>
              <w:left w:val="nil"/>
              <w:bottom w:val="single" w:sz="8" w:space="0" w:color="auto"/>
              <w:right w:val="single" w:sz="4" w:space="0" w:color="auto"/>
            </w:tcBorders>
            <w:shd w:val="clear" w:color="auto" w:fill="auto"/>
            <w:noWrap/>
            <w:vAlign w:val="center"/>
            <w:hideMark/>
          </w:tcPr>
          <w:p w:rsidR="000247A5" w:rsidRPr="007D6D8B" w:rsidRDefault="000247A5" w:rsidP="004F39E8">
            <w:pPr>
              <w:spacing w:after="0" w:line="240" w:lineRule="auto"/>
              <w:jc w:val="right"/>
              <w:rPr>
                <w:rFonts w:asciiTheme="majorBidi" w:eastAsia="Times New Roman" w:hAnsiTheme="majorBidi" w:cstheme="majorBidi"/>
                <w:b/>
                <w:bCs/>
                <w:sz w:val="18"/>
                <w:szCs w:val="18"/>
                <w:lang w:eastAsia="fr-FR"/>
              </w:rPr>
            </w:pPr>
            <w:r w:rsidRPr="007D6D8B">
              <w:rPr>
                <w:rFonts w:asciiTheme="majorBidi" w:eastAsia="Times New Roman" w:hAnsiTheme="majorBidi" w:cstheme="majorBidi"/>
                <w:b/>
                <w:bCs/>
                <w:sz w:val="18"/>
                <w:szCs w:val="18"/>
                <w:lang w:eastAsia="fr-FR"/>
              </w:rPr>
              <w:t>124,0</w:t>
            </w:r>
          </w:p>
        </w:tc>
      </w:tr>
      <w:tr w:rsidR="000247A5" w:rsidRPr="000247A5" w:rsidTr="007D6D8B">
        <w:trPr>
          <w:trHeight w:val="533"/>
        </w:trPr>
        <w:tc>
          <w:tcPr>
            <w:tcW w:w="1188" w:type="pct"/>
            <w:tcBorders>
              <w:top w:val="single" w:sz="8" w:space="0" w:color="auto"/>
              <w:left w:val="single" w:sz="4" w:space="0" w:color="auto"/>
              <w:bottom w:val="single" w:sz="8" w:space="0" w:color="auto"/>
              <w:right w:val="single" w:sz="8" w:space="0" w:color="auto"/>
            </w:tcBorders>
            <w:shd w:val="clear" w:color="000000" w:fill="C0C0C0"/>
            <w:noWrap/>
            <w:vAlign w:val="center"/>
            <w:hideMark/>
          </w:tcPr>
          <w:p w:rsidR="000247A5" w:rsidRPr="000247A5" w:rsidRDefault="000247A5" w:rsidP="004F39E8">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 xml:space="preserve">  INDICE  GENERAL    </w:t>
            </w:r>
          </w:p>
        </w:tc>
        <w:tc>
          <w:tcPr>
            <w:tcW w:w="291" w:type="pct"/>
            <w:tcBorders>
              <w:top w:val="single" w:sz="8" w:space="0" w:color="auto"/>
              <w:left w:val="single" w:sz="4" w:space="0" w:color="auto"/>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jc w:val="right"/>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116,4</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jc w:val="right"/>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116,1</w:t>
            </w:r>
          </w:p>
        </w:tc>
        <w:tc>
          <w:tcPr>
            <w:tcW w:w="294"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jc w:val="right"/>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115,8</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jc w:val="right"/>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115,7</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jc w:val="right"/>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116,1</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jc w:val="right"/>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116,3</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jc w:val="right"/>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115,7</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jc w:val="right"/>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115,8</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jc w:val="right"/>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117,3</w:t>
            </w:r>
          </w:p>
        </w:tc>
        <w:tc>
          <w:tcPr>
            <w:tcW w:w="291" w:type="pct"/>
            <w:tcBorders>
              <w:top w:val="nil"/>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jc w:val="right"/>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116,9</w:t>
            </w:r>
          </w:p>
        </w:tc>
        <w:tc>
          <w:tcPr>
            <w:tcW w:w="291" w:type="pct"/>
            <w:tcBorders>
              <w:top w:val="nil"/>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jc w:val="right"/>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117,6</w:t>
            </w:r>
          </w:p>
        </w:tc>
        <w:tc>
          <w:tcPr>
            <w:tcW w:w="292" w:type="pct"/>
            <w:tcBorders>
              <w:top w:val="nil"/>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jc w:val="right"/>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118,1</w:t>
            </w:r>
          </w:p>
        </w:tc>
        <w:tc>
          <w:tcPr>
            <w:tcW w:w="316" w:type="pct"/>
            <w:tcBorders>
              <w:top w:val="nil"/>
              <w:left w:val="nil"/>
              <w:bottom w:val="single" w:sz="8" w:space="0" w:color="auto"/>
              <w:right w:val="single" w:sz="4" w:space="0" w:color="auto"/>
            </w:tcBorders>
            <w:shd w:val="clear" w:color="000000" w:fill="C0C0C0"/>
            <w:noWrap/>
            <w:vAlign w:val="center"/>
            <w:hideMark/>
          </w:tcPr>
          <w:p w:rsidR="000247A5" w:rsidRPr="007D6D8B" w:rsidRDefault="000247A5" w:rsidP="004F39E8">
            <w:pPr>
              <w:spacing w:after="0" w:line="240" w:lineRule="auto"/>
              <w:jc w:val="right"/>
              <w:rPr>
                <w:rFonts w:asciiTheme="majorBidi" w:eastAsia="Times New Roman" w:hAnsiTheme="majorBidi" w:cstheme="majorBidi"/>
                <w:b/>
                <w:bCs/>
                <w:sz w:val="18"/>
                <w:szCs w:val="18"/>
                <w:lang w:eastAsia="fr-FR"/>
              </w:rPr>
            </w:pPr>
            <w:r w:rsidRPr="007D6D8B">
              <w:rPr>
                <w:rFonts w:asciiTheme="majorBidi" w:eastAsia="Times New Roman" w:hAnsiTheme="majorBidi" w:cstheme="majorBidi"/>
                <w:b/>
                <w:bCs/>
                <w:sz w:val="18"/>
                <w:szCs w:val="18"/>
                <w:lang w:eastAsia="fr-FR"/>
              </w:rPr>
              <w:t>116,5</w:t>
            </w:r>
          </w:p>
        </w:tc>
      </w:tr>
    </w:tbl>
    <w:p w:rsidR="00BB5DB3" w:rsidRPr="00483003" w:rsidRDefault="00BB5DB3" w:rsidP="00BB5DB3">
      <w:pPr>
        <w:pStyle w:val="Lgende"/>
        <w:rPr>
          <w:rFonts w:ascii="Times New Roman" w:hAnsi="Times New Roman"/>
          <w:i/>
          <w:iCs/>
          <w:sz w:val="22"/>
        </w:rPr>
      </w:pPr>
      <w:r w:rsidRPr="00483003">
        <w:rPr>
          <w:rFonts w:ascii="Times New Roman" w:hAnsi="Times New Roman"/>
          <w:i/>
          <w:iCs/>
          <w:sz w:val="22"/>
        </w:rPr>
        <w:t>Source : HCP</w:t>
      </w:r>
    </w:p>
    <w:p w:rsidR="00F67B0C" w:rsidRDefault="00F67B0C">
      <w:r>
        <w:br w:type="page"/>
      </w:r>
    </w:p>
    <w:tbl>
      <w:tblPr>
        <w:tblW w:w="5000" w:type="pct"/>
        <w:tblCellMar>
          <w:left w:w="70" w:type="dxa"/>
          <w:right w:w="70" w:type="dxa"/>
        </w:tblCellMar>
        <w:tblLook w:val="04A0"/>
      </w:tblPr>
      <w:tblGrid>
        <w:gridCol w:w="3259"/>
        <w:gridCol w:w="791"/>
        <w:gridCol w:w="790"/>
        <w:gridCol w:w="798"/>
        <w:gridCol w:w="790"/>
        <w:gridCol w:w="790"/>
        <w:gridCol w:w="790"/>
        <w:gridCol w:w="790"/>
        <w:gridCol w:w="790"/>
        <w:gridCol w:w="790"/>
        <w:gridCol w:w="790"/>
        <w:gridCol w:w="790"/>
        <w:gridCol w:w="790"/>
        <w:gridCol w:w="828"/>
      </w:tblGrid>
      <w:tr w:rsidR="000247A5" w:rsidRPr="00BC2DF5" w:rsidTr="000247A5">
        <w:trPr>
          <w:trHeight w:val="390"/>
        </w:trPr>
        <w:tc>
          <w:tcPr>
            <w:tcW w:w="5000" w:type="pct"/>
            <w:gridSpan w:val="14"/>
            <w:tcBorders>
              <w:top w:val="nil"/>
              <w:left w:val="nil"/>
              <w:bottom w:val="single" w:sz="8" w:space="0" w:color="auto"/>
              <w:right w:val="nil"/>
            </w:tcBorders>
            <w:shd w:val="clear" w:color="auto" w:fill="auto"/>
            <w:noWrap/>
            <w:vAlign w:val="bottom"/>
            <w:hideMark/>
          </w:tcPr>
          <w:p w:rsidR="000247A5" w:rsidRPr="00951E73" w:rsidRDefault="00951E73" w:rsidP="007D6D8B">
            <w:pPr>
              <w:spacing w:after="0" w:line="240" w:lineRule="auto"/>
              <w:rPr>
                <w:rFonts w:asciiTheme="majorBidi" w:eastAsia="Times New Roman" w:hAnsiTheme="majorBidi" w:cstheme="majorBidi"/>
                <w:b/>
                <w:bCs/>
                <w:color w:val="4F81BD" w:themeColor="accent1"/>
                <w:lang w:eastAsia="fr-FR"/>
              </w:rPr>
            </w:pPr>
            <w:bookmarkStart w:id="49" w:name="_Toc515274115"/>
            <w:r w:rsidRPr="00951E73">
              <w:rPr>
                <w:rFonts w:asciiTheme="majorBidi" w:hAnsiTheme="majorBidi" w:cstheme="majorBidi"/>
                <w:b/>
                <w:bCs/>
                <w:color w:val="4F81BD" w:themeColor="accent1"/>
              </w:rPr>
              <w:lastRenderedPageBreak/>
              <w:t xml:space="preserve">Tableau A </w:t>
            </w:r>
            <w:r w:rsidR="007D6D8B">
              <w:rPr>
                <w:rFonts w:asciiTheme="majorBidi" w:hAnsiTheme="majorBidi" w:cstheme="majorBidi"/>
                <w:b/>
                <w:bCs/>
                <w:color w:val="4F81BD" w:themeColor="accent1"/>
              </w:rPr>
              <w:t>5</w:t>
            </w:r>
            <w:r w:rsidRPr="00951E73">
              <w:rPr>
                <w:rFonts w:asciiTheme="majorBidi" w:hAnsiTheme="majorBidi" w:cstheme="majorBidi"/>
                <w:b/>
                <w:bCs/>
                <w:color w:val="4F81BD" w:themeColor="accent1"/>
              </w:rPr>
              <w:t xml:space="preserve"> : </w:t>
            </w:r>
            <w:r w:rsidR="000247A5" w:rsidRPr="00951E73">
              <w:rPr>
                <w:rFonts w:asciiTheme="majorBidi" w:eastAsia="Times New Roman" w:hAnsiTheme="majorBidi" w:cstheme="majorBidi"/>
                <w:b/>
                <w:bCs/>
                <w:color w:val="4F81BD" w:themeColor="accent1"/>
                <w:lang w:eastAsia="fr-FR"/>
              </w:rPr>
              <w:t xml:space="preserve">IPC de la ville de </w:t>
            </w:r>
            <w:proofErr w:type="spellStart"/>
            <w:r w:rsidR="000247A5" w:rsidRPr="00951E73">
              <w:rPr>
                <w:rFonts w:asciiTheme="majorBidi" w:eastAsia="Times New Roman" w:hAnsiTheme="majorBidi" w:cstheme="majorBidi"/>
                <w:b/>
                <w:bCs/>
                <w:color w:val="4F81BD" w:themeColor="accent1"/>
                <w:lang w:eastAsia="fr-FR"/>
              </w:rPr>
              <w:t>Kénitra</w:t>
            </w:r>
            <w:proofErr w:type="spellEnd"/>
            <w:r w:rsidR="000247A5" w:rsidRPr="00951E73">
              <w:rPr>
                <w:rFonts w:asciiTheme="majorBidi" w:eastAsia="Times New Roman" w:hAnsiTheme="majorBidi" w:cstheme="majorBidi"/>
                <w:b/>
                <w:bCs/>
                <w:color w:val="4F81BD" w:themeColor="accent1"/>
                <w:lang w:eastAsia="fr-FR"/>
              </w:rPr>
              <w:t xml:space="preserve"> par division et par mois</w:t>
            </w:r>
            <w:r w:rsidR="00F67E78">
              <w:rPr>
                <w:rFonts w:asciiTheme="majorBidi" w:eastAsia="Times New Roman" w:hAnsiTheme="majorBidi" w:cstheme="majorBidi"/>
                <w:b/>
                <w:bCs/>
                <w:color w:val="4F81BD" w:themeColor="accent1"/>
                <w:lang w:eastAsia="fr-FR"/>
              </w:rPr>
              <w:t xml:space="preserve"> </w:t>
            </w:r>
            <w:r w:rsidR="000247A5" w:rsidRPr="00951E73">
              <w:rPr>
                <w:rFonts w:asciiTheme="majorBidi" w:eastAsia="Times New Roman" w:hAnsiTheme="majorBidi" w:cstheme="majorBidi"/>
                <w:b/>
                <w:bCs/>
                <w:color w:val="4F81BD" w:themeColor="accent1"/>
                <w:lang w:eastAsia="fr-FR"/>
              </w:rPr>
              <w:t>- Année 2016-</w:t>
            </w:r>
            <w:bookmarkEnd w:id="49"/>
          </w:p>
        </w:tc>
      </w:tr>
      <w:tr w:rsidR="000247A5" w:rsidRPr="00E678BE" w:rsidTr="00BB5DB3">
        <w:trPr>
          <w:trHeight w:val="586"/>
        </w:trPr>
        <w:tc>
          <w:tcPr>
            <w:tcW w:w="1200" w:type="pct"/>
            <w:tcBorders>
              <w:top w:val="single" w:sz="8" w:space="0" w:color="auto"/>
              <w:left w:val="single" w:sz="4" w:space="0" w:color="auto"/>
              <w:bottom w:val="single" w:sz="8" w:space="0" w:color="auto"/>
              <w:right w:val="single" w:sz="8" w:space="0" w:color="auto"/>
            </w:tcBorders>
            <w:shd w:val="clear" w:color="000000" w:fill="C0C0C0"/>
            <w:noWrap/>
            <w:vAlign w:val="center"/>
            <w:hideMark/>
          </w:tcPr>
          <w:p w:rsidR="000247A5" w:rsidRPr="00E678BE" w:rsidRDefault="000247A5" w:rsidP="00BD5911">
            <w:pPr>
              <w:spacing w:after="0" w:line="240" w:lineRule="auto"/>
              <w:jc w:val="center"/>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DIVISIONS</w:t>
            </w:r>
          </w:p>
        </w:tc>
        <w:tc>
          <w:tcPr>
            <w:tcW w:w="291" w:type="pct"/>
            <w:tcBorders>
              <w:top w:val="single" w:sz="8" w:space="0" w:color="auto"/>
              <w:left w:val="single" w:sz="4" w:space="0" w:color="auto"/>
              <w:bottom w:val="single" w:sz="8" w:space="0" w:color="auto"/>
              <w:right w:val="single" w:sz="4" w:space="0" w:color="auto"/>
            </w:tcBorders>
            <w:shd w:val="clear" w:color="000000" w:fill="C0C0C0"/>
            <w:noWrap/>
            <w:vAlign w:val="center"/>
            <w:hideMark/>
          </w:tcPr>
          <w:p w:rsidR="000247A5" w:rsidRPr="00E678BE" w:rsidRDefault="000247A5" w:rsidP="00BD5911">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Jan</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E678BE" w:rsidRDefault="000247A5" w:rsidP="00BD5911">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Fev</w:t>
            </w:r>
            <w:proofErr w:type="spellEnd"/>
          </w:p>
        </w:tc>
        <w:tc>
          <w:tcPr>
            <w:tcW w:w="294"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E678BE" w:rsidRDefault="000247A5" w:rsidP="00BD5911">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Mars</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E678BE" w:rsidRDefault="000247A5" w:rsidP="00BD5911">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Avr</w:t>
            </w:r>
            <w:proofErr w:type="spellEnd"/>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E678BE" w:rsidRDefault="000247A5" w:rsidP="00BD5911">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Mai</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E678BE" w:rsidRDefault="000247A5" w:rsidP="00BD5911">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Juin</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E678BE" w:rsidRDefault="000247A5" w:rsidP="00BD5911">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Jul</w:t>
            </w:r>
            <w:proofErr w:type="spellEnd"/>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E678BE" w:rsidRDefault="000247A5" w:rsidP="00BD5911">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Août</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E678BE" w:rsidRDefault="000247A5" w:rsidP="00BD5911">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Sep</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E678BE" w:rsidRDefault="000247A5" w:rsidP="00BD5911">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Oct</w:t>
            </w:r>
            <w:proofErr w:type="spellEnd"/>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E678BE" w:rsidRDefault="000247A5" w:rsidP="00BD5911">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Nov</w:t>
            </w:r>
            <w:proofErr w:type="spellEnd"/>
          </w:p>
        </w:tc>
        <w:tc>
          <w:tcPr>
            <w:tcW w:w="291" w:type="pct"/>
            <w:tcBorders>
              <w:top w:val="single" w:sz="8" w:space="0" w:color="auto"/>
              <w:left w:val="single" w:sz="8" w:space="0" w:color="auto"/>
              <w:bottom w:val="single" w:sz="8" w:space="0" w:color="auto"/>
              <w:right w:val="nil"/>
            </w:tcBorders>
            <w:shd w:val="clear" w:color="000000" w:fill="C0C0C0"/>
            <w:noWrap/>
            <w:vAlign w:val="center"/>
            <w:hideMark/>
          </w:tcPr>
          <w:p w:rsidR="000247A5" w:rsidRPr="00E678BE" w:rsidRDefault="000247A5" w:rsidP="00BD5911">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Dec</w:t>
            </w:r>
            <w:proofErr w:type="spellEnd"/>
          </w:p>
        </w:tc>
        <w:tc>
          <w:tcPr>
            <w:tcW w:w="306" w:type="pct"/>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0247A5" w:rsidRPr="00E678BE" w:rsidRDefault="000247A5" w:rsidP="00BD5911">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Moy</w:t>
            </w:r>
            <w:proofErr w:type="spellEnd"/>
          </w:p>
        </w:tc>
      </w:tr>
      <w:tr w:rsidR="000247A5" w:rsidRPr="00E678BE" w:rsidTr="00BB5DB3">
        <w:trPr>
          <w:trHeight w:val="542"/>
        </w:trPr>
        <w:tc>
          <w:tcPr>
            <w:tcW w:w="12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47A5" w:rsidRPr="00E678BE" w:rsidRDefault="000247A5" w:rsidP="004F39E8">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01. PRODUITS ALIMENTAIRES ET BOISSONS NON ALCOOLISÉES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122,6</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125,0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124,6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126,8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127,5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127,0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127,9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128,9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126,4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125,7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126,4</w:t>
            </w:r>
          </w:p>
        </w:tc>
        <w:tc>
          <w:tcPr>
            <w:tcW w:w="306"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125,9</w:t>
            </w:r>
          </w:p>
        </w:tc>
      </w:tr>
      <w:tr w:rsidR="000247A5" w:rsidRPr="00E678BE" w:rsidTr="00BB5DB3">
        <w:trPr>
          <w:trHeight w:val="657"/>
        </w:trPr>
        <w:tc>
          <w:tcPr>
            <w:tcW w:w="1200"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4F39E8">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02. BOISSONS ALCOOLISÉES, TABAC ET STUPÉFIANTS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306"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122,4</w:t>
            </w:r>
          </w:p>
        </w:tc>
      </w:tr>
      <w:tr w:rsidR="000247A5" w:rsidRPr="00E678BE" w:rsidTr="00BB5DB3">
        <w:trPr>
          <w:trHeight w:val="596"/>
        </w:trPr>
        <w:tc>
          <w:tcPr>
            <w:tcW w:w="1200"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4F39E8">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03. ARTICLES D'HABILLEMENT ET CHAUSSURES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109,4</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110,2</w:t>
            </w:r>
          </w:p>
        </w:tc>
        <w:tc>
          <w:tcPr>
            <w:tcW w:w="306"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109,8</w:t>
            </w:r>
          </w:p>
        </w:tc>
      </w:tr>
      <w:tr w:rsidR="000247A5" w:rsidRPr="00E678BE" w:rsidTr="00BB5DB3">
        <w:trPr>
          <w:trHeight w:val="704"/>
        </w:trPr>
        <w:tc>
          <w:tcPr>
            <w:tcW w:w="1200"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4F39E8">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04. LOGEMENT, EAU, GAZ, ELECTRICITE ET AUTRES COMBUSTIBLES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107,5</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306"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107,7</w:t>
            </w:r>
          </w:p>
        </w:tc>
      </w:tr>
      <w:tr w:rsidR="000247A5" w:rsidRPr="00E678BE" w:rsidTr="00BB5DB3">
        <w:trPr>
          <w:trHeight w:val="705"/>
        </w:trPr>
        <w:tc>
          <w:tcPr>
            <w:tcW w:w="1200"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4F39E8">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05. MEUBLES, ARTICLES DE MENAGE ET ENTRETIEN COURANT DU FOYER</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106,0</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107,1</w:t>
            </w:r>
          </w:p>
        </w:tc>
        <w:tc>
          <w:tcPr>
            <w:tcW w:w="306"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106,5</w:t>
            </w:r>
          </w:p>
        </w:tc>
      </w:tr>
      <w:tr w:rsidR="000247A5" w:rsidRPr="00E678BE" w:rsidTr="00BB5DB3">
        <w:trPr>
          <w:trHeight w:val="399"/>
        </w:trPr>
        <w:tc>
          <w:tcPr>
            <w:tcW w:w="1200"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4F39E8">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06. SANTÉ</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108,8</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108,9</w:t>
            </w:r>
          </w:p>
        </w:tc>
        <w:tc>
          <w:tcPr>
            <w:tcW w:w="306"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108,8</w:t>
            </w:r>
          </w:p>
        </w:tc>
      </w:tr>
      <w:tr w:rsidR="000247A5" w:rsidRPr="00E678BE" w:rsidTr="00BB5DB3">
        <w:trPr>
          <w:trHeight w:val="425"/>
        </w:trPr>
        <w:tc>
          <w:tcPr>
            <w:tcW w:w="1200"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4F39E8">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07. TRANSPORTS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106,7</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111,3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111,3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111,4</w:t>
            </w:r>
          </w:p>
        </w:tc>
        <w:tc>
          <w:tcPr>
            <w:tcW w:w="306"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109,6</w:t>
            </w:r>
          </w:p>
        </w:tc>
      </w:tr>
      <w:tr w:rsidR="000247A5" w:rsidRPr="00E678BE" w:rsidTr="00BB5DB3">
        <w:trPr>
          <w:trHeight w:val="417"/>
        </w:trPr>
        <w:tc>
          <w:tcPr>
            <w:tcW w:w="1200"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4F39E8">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08. COMMUNICATIONS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58,6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58,6</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58,6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58,6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58,6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58,6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58,6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58,6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58,6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58,6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58,6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58,6</w:t>
            </w:r>
          </w:p>
        </w:tc>
        <w:tc>
          <w:tcPr>
            <w:tcW w:w="306"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58,6</w:t>
            </w:r>
          </w:p>
        </w:tc>
      </w:tr>
      <w:tr w:rsidR="000247A5" w:rsidRPr="00E678BE" w:rsidTr="00BB5DB3">
        <w:trPr>
          <w:trHeight w:val="410"/>
        </w:trPr>
        <w:tc>
          <w:tcPr>
            <w:tcW w:w="1200"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4F39E8">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09. LOISIRS ET CULTURE</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101,8</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101,8</w:t>
            </w:r>
          </w:p>
        </w:tc>
        <w:tc>
          <w:tcPr>
            <w:tcW w:w="306"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101,8</w:t>
            </w:r>
          </w:p>
        </w:tc>
      </w:tr>
      <w:tr w:rsidR="000247A5" w:rsidRPr="00E678BE" w:rsidTr="00BB5DB3">
        <w:trPr>
          <w:trHeight w:val="415"/>
        </w:trPr>
        <w:tc>
          <w:tcPr>
            <w:tcW w:w="1200"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4F39E8">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10. ENSEIGNEMENT</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306"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115,8</w:t>
            </w:r>
          </w:p>
        </w:tc>
      </w:tr>
      <w:tr w:rsidR="000247A5" w:rsidRPr="00E678BE" w:rsidTr="00BB5DB3">
        <w:trPr>
          <w:trHeight w:val="407"/>
        </w:trPr>
        <w:tc>
          <w:tcPr>
            <w:tcW w:w="1200"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4F39E8">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11. RESTAURANTS ET HÔTELS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145,1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145,1</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145,1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145,1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145,1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145,1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145,1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145,1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145,1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145,1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145,1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145,4</w:t>
            </w:r>
          </w:p>
        </w:tc>
        <w:tc>
          <w:tcPr>
            <w:tcW w:w="306"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145,1</w:t>
            </w:r>
          </w:p>
        </w:tc>
      </w:tr>
      <w:tr w:rsidR="000247A5" w:rsidRPr="00E678BE" w:rsidTr="00BB5DB3">
        <w:trPr>
          <w:trHeight w:val="415"/>
        </w:trPr>
        <w:tc>
          <w:tcPr>
            <w:tcW w:w="1200"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4F39E8">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12. BIENS ET SERVICES DIVERS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121,5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123,9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124,1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124,1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124,1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124,1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124,0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124,0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124,0</w:t>
            </w:r>
          </w:p>
        </w:tc>
        <w:tc>
          <w:tcPr>
            <w:tcW w:w="306"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123,4</w:t>
            </w:r>
          </w:p>
        </w:tc>
      </w:tr>
      <w:tr w:rsidR="000247A5" w:rsidRPr="00E678BE" w:rsidTr="00BB5DB3">
        <w:trPr>
          <w:trHeight w:val="559"/>
        </w:trPr>
        <w:tc>
          <w:tcPr>
            <w:tcW w:w="1200" w:type="pct"/>
            <w:tcBorders>
              <w:top w:val="single" w:sz="8" w:space="0" w:color="auto"/>
              <w:left w:val="single" w:sz="4" w:space="0" w:color="auto"/>
              <w:bottom w:val="single" w:sz="8" w:space="0" w:color="auto"/>
              <w:right w:val="single" w:sz="8" w:space="0" w:color="auto"/>
            </w:tcBorders>
            <w:shd w:val="clear" w:color="000000" w:fill="C0C0C0"/>
            <w:vAlign w:val="center"/>
            <w:hideMark/>
          </w:tcPr>
          <w:p w:rsidR="000247A5" w:rsidRPr="00E678BE" w:rsidRDefault="000247A5" w:rsidP="004F39E8">
            <w:pPr>
              <w:spacing w:after="0" w:line="240" w:lineRule="auto"/>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 xml:space="preserve">  INDICE  GENERAL    </w:t>
            </w:r>
          </w:p>
        </w:tc>
        <w:tc>
          <w:tcPr>
            <w:tcW w:w="291" w:type="pct"/>
            <w:tcBorders>
              <w:top w:val="single" w:sz="8" w:space="0" w:color="auto"/>
              <w:left w:val="single" w:sz="4" w:space="0" w:color="auto"/>
              <w:bottom w:val="single" w:sz="8" w:space="0" w:color="auto"/>
              <w:right w:val="single" w:sz="4" w:space="0" w:color="auto"/>
            </w:tcBorders>
            <w:shd w:val="clear" w:color="000000" w:fill="C0C0C0"/>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114,1</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114,2</w:t>
            </w:r>
          </w:p>
        </w:tc>
        <w:tc>
          <w:tcPr>
            <w:tcW w:w="294"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115,3</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115,3</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116,3</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116,8</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116,6</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116,8</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117,3</w:t>
            </w:r>
          </w:p>
        </w:tc>
        <w:tc>
          <w:tcPr>
            <w:tcW w:w="291" w:type="pct"/>
            <w:tcBorders>
              <w:top w:val="single" w:sz="4" w:space="0" w:color="auto"/>
              <w:left w:val="nil"/>
              <w:bottom w:val="single" w:sz="8" w:space="0" w:color="auto"/>
              <w:right w:val="single" w:sz="4" w:space="0" w:color="auto"/>
            </w:tcBorders>
            <w:shd w:val="clear" w:color="000000" w:fill="C0C0C0"/>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116,4</w:t>
            </w:r>
          </w:p>
        </w:tc>
        <w:tc>
          <w:tcPr>
            <w:tcW w:w="291" w:type="pct"/>
            <w:tcBorders>
              <w:top w:val="single" w:sz="4" w:space="0" w:color="auto"/>
              <w:left w:val="nil"/>
              <w:bottom w:val="single" w:sz="8" w:space="0" w:color="auto"/>
              <w:right w:val="single" w:sz="4" w:space="0" w:color="auto"/>
            </w:tcBorders>
            <w:shd w:val="clear" w:color="000000" w:fill="C0C0C0"/>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116,2</w:t>
            </w:r>
          </w:p>
        </w:tc>
        <w:tc>
          <w:tcPr>
            <w:tcW w:w="291" w:type="pct"/>
            <w:tcBorders>
              <w:top w:val="single" w:sz="4" w:space="0" w:color="auto"/>
              <w:left w:val="nil"/>
              <w:bottom w:val="single" w:sz="8" w:space="0" w:color="auto"/>
              <w:right w:val="single" w:sz="4" w:space="0" w:color="auto"/>
            </w:tcBorders>
            <w:shd w:val="clear" w:color="000000" w:fill="C0C0C0"/>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116,5</w:t>
            </w:r>
          </w:p>
        </w:tc>
        <w:tc>
          <w:tcPr>
            <w:tcW w:w="306" w:type="pct"/>
            <w:tcBorders>
              <w:top w:val="single" w:sz="4" w:space="0" w:color="auto"/>
              <w:left w:val="nil"/>
              <w:bottom w:val="single" w:sz="8" w:space="0" w:color="auto"/>
              <w:right w:val="single" w:sz="4" w:space="0" w:color="auto"/>
            </w:tcBorders>
            <w:shd w:val="clear" w:color="000000" w:fill="C0C0C0"/>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116,0</w:t>
            </w:r>
          </w:p>
        </w:tc>
      </w:tr>
    </w:tbl>
    <w:p w:rsidR="00BB5DB3" w:rsidRPr="00483003" w:rsidRDefault="00BB5DB3" w:rsidP="00BB5DB3">
      <w:pPr>
        <w:pStyle w:val="Lgende"/>
        <w:rPr>
          <w:rFonts w:ascii="Times New Roman" w:hAnsi="Times New Roman"/>
          <w:i/>
          <w:iCs/>
          <w:sz w:val="22"/>
        </w:rPr>
      </w:pPr>
      <w:r w:rsidRPr="00483003">
        <w:rPr>
          <w:rFonts w:ascii="Times New Roman" w:hAnsi="Times New Roman"/>
          <w:i/>
          <w:iCs/>
          <w:sz w:val="22"/>
        </w:rPr>
        <w:t>Source : HCP</w:t>
      </w:r>
    </w:p>
    <w:p w:rsidR="000247A5" w:rsidRDefault="000247A5" w:rsidP="00F7045D">
      <w:pPr>
        <w:rPr>
          <w:sz w:val="16"/>
          <w:szCs w:val="16"/>
        </w:rPr>
      </w:pPr>
    </w:p>
    <w:p w:rsidR="00E678BE" w:rsidRDefault="00E678BE">
      <w:r>
        <w:br w:type="page"/>
      </w:r>
    </w:p>
    <w:tbl>
      <w:tblPr>
        <w:tblW w:w="5000" w:type="pct"/>
        <w:tblCellMar>
          <w:left w:w="70" w:type="dxa"/>
          <w:right w:w="70" w:type="dxa"/>
        </w:tblCellMar>
        <w:tblLook w:val="04A0"/>
      </w:tblPr>
      <w:tblGrid>
        <w:gridCol w:w="3265"/>
        <w:gridCol w:w="790"/>
        <w:gridCol w:w="790"/>
        <w:gridCol w:w="798"/>
        <w:gridCol w:w="790"/>
        <w:gridCol w:w="790"/>
        <w:gridCol w:w="790"/>
        <w:gridCol w:w="790"/>
        <w:gridCol w:w="790"/>
        <w:gridCol w:w="790"/>
        <w:gridCol w:w="790"/>
        <w:gridCol w:w="790"/>
        <w:gridCol w:w="790"/>
        <w:gridCol w:w="823"/>
      </w:tblGrid>
      <w:tr w:rsidR="000247A5" w:rsidRPr="000247A5" w:rsidTr="000247A5">
        <w:trPr>
          <w:trHeight w:val="390"/>
        </w:trPr>
        <w:tc>
          <w:tcPr>
            <w:tcW w:w="5000" w:type="pct"/>
            <w:gridSpan w:val="14"/>
            <w:tcBorders>
              <w:top w:val="nil"/>
              <w:left w:val="nil"/>
              <w:bottom w:val="single" w:sz="8" w:space="0" w:color="auto"/>
              <w:right w:val="nil"/>
            </w:tcBorders>
            <w:shd w:val="clear" w:color="auto" w:fill="auto"/>
            <w:vAlign w:val="center"/>
            <w:hideMark/>
          </w:tcPr>
          <w:p w:rsidR="000247A5" w:rsidRPr="00951E73" w:rsidRDefault="00951E73" w:rsidP="007D6D8B">
            <w:pPr>
              <w:spacing w:after="0" w:line="240" w:lineRule="auto"/>
              <w:rPr>
                <w:rFonts w:asciiTheme="majorBidi" w:eastAsia="Times New Roman" w:hAnsiTheme="majorBidi" w:cstheme="majorBidi"/>
                <w:b/>
                <w:bCs/>
                <w:color w:val="4F81BD" w:themeColor="accent1"/>
                <w:lang w:eastAsia="fr-FR"/>
              </w:rPr>
            </w:pPr>
            <w:bookmarkStart w:id="50" w:name="_Toc515274116"/>
            <w:r w:rsidRPr="00951E73">
              <w:rPr>
                <w:rFonts w:asciiTheme="majorBidi" w:hAnsiTheme="majorBidi" w:cstheme="majorBidi"/>
                <w:b/>
                <w:bCs/>
                <w:color w:val="4F81BD" w:themeColor="accent1"/>
              </w:rPr>
              <w:lastRenderedPageBreak/>
              <w:t xml:space="preserve">Tableau A </w:t>
            </w:r>
            <w:r w:rsidR="007D6D8B">
              <w:rPr>
                <w:rFonts w:asciiTheme="majorBidi" w:hAnsiTheme="majorBidi" w:cstheme="majorBidi"/>
                <w:b/>
                <w:bCs/>
                <w:color w:val="4F81BD" w:themeColor="accent1"/>
              </w:rPr>
              <w:t>6</w:t>
            </w:r>
            <w:r w:rsidRPr="00951E73">
              <w:rPr>
                <w:rFonts w:asciiTheme="majorBidi" w:hAnsiTheme="majorBidi" w:cstheme="majorBidi"/>
                <w:b/>
                <w:bCs/>
                <w:color w:val="4F81BD" w:themeColor="accent1"/>
              </w:rPr>
              <w:t xml:space="preserve"> : </w:t>
            </w:r>
            <w:r w:rsidR="000247A5" w:rsidRPr="00951E73">
              <w:rPr>
                <w:rFonts w:asciiTheme="majorBidi" w:eastAsia="Times New Roman" w:hAnsiTheme="majorBidi" w:cstheme="majorBidi"/>
                <w:b/>
                <w:bCs/>
                <w:color w:val="4F81BD" w:themeColor="accent1"/>
                <w:lang w:eastAsia="fr-FR"/>
              </w:rPr>
              <w:t xml:space="preserve">IPC de la ville de </w:t>
            </w:r>
            <w:proofErr w:type="spellStart"/>
            <w:r w:rsidR="000247A5" w:rsidRPr="00951E73">
              <w:rPr>
                <w:rFonts w:asciiTheme="majorBidi" w:eastAsia="Times New Roman" w:hAnsiTheme="majorBidi" w:cstheme="majorBidi"/>
                <w:b/>
                <w:bCs/>
                <w:color w:val="4F81BD" w:themeColor="accent1"/>
                <w:lang w:eastAsia="fr-FR"/>
              </w:rPr>
              <w:t>Kénitra</w:t>
            </w:r>
            <w:proofErr w:type="spellEnd"/>
            <w:r w:rsidR="000247A5" w:rsidRPr="00951E73">
              <w:rPr>
                <w:rFonts w:asciiTheme="majorBidi" w:eastAsia="Times New Roman" w:hAnsiTheme="majorBidi" w:cstheme="majorBidi"/>
                <w:b/>
                <w:bCs/>
                <w:color w:val="4F81BD" w:themeColor="accent1"/>
                <w:lang w:eastAsia="fr-FR"/>
              </w:rPr>
              <w:t xml:space="preserve"> par division et par mois</w:t>
            </w:r>
            <w:r w:rsidR="00F67E78">
              <w:rPr>
                <w:rFonts w:asciiTheme="majorBidi" w:eastAsia="Times New Roman" w:hAnsiTheme="majorBidi" w:cstheme="majorBidi"/>
                <w:b/>
                <w:bCs/>
                <w:color w:val="4F81BD" w:themeColor="accent1"/>
                <w:lang w:eastAsia="fr-FR"/>
              </w:rPr>
              <w:t xml:space="preserve"> </w:t>
            </w:r>
            <w:r w:rsidR="000247A5" w:rsidRPr="00951E73">
              <w:rPr>
                <w:rFonts w:asciiTheme="majorBidi" w:eastAsia="Times New Roman" w:hAnsiTheme="majorBidi" w:cstheme="majorBidi"/>
                <w:b/>
                <w:bCs/>
                <w:color w:val="4F81BD" w:themeColor="accent1"/>
                <w:lang w:eastAsia="fr-FR"/>
              </w:rPr>
              <w:t>- Année 2015-</w:t>
            </w:r>
            <w:bookmarkEnd w:id="50"/>
          </w:p>
        </w:tc>
      </w:tr>
      <w:tr w:rsidR="000247A5" w:rsidRPr="000247A5" w:rsidTr="00BB5DB3">
        <w:trPr>
          <w:trHeight w:val="586"/>
        </w:trPr>
        <w:tc>
          <w:tcPr>
            <w:tcW w:w="1202" w:type="pct"/>
            <w:tcBorders>
              <w:top w:val="single" w:sz="8" w:space="0" w:color="auto"/>
              <w:left w:val="single" w:sz="4" w:space="0" w:color="auto"/>
              <w:bottom w:val="single" w:sz="8" w:space="0" w:color="auto"/>
              <w:right w:val="single" w:sz="8"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 xml:space="preserve"> DIVISIONS</w:t>
            </w:r>
          </w:p>
        </w:tc>
        <w:tc>
          <w:tcPr>
            <w:tcW w:w="291" w:type="pct"/>
            <w:tcBorders>
              <w:top w:val="single" w:sz="8" w:space="0" w:color="auto"/>
              <w:left w:val="single" w:sz="4" w:space="0" w:color="auto"/>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Jan</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Fev</w:t>
            </w:r>
            <w:proofErr w:type="spellEnd"/>
          </w:p>
        </w:tc>
        <w:tc>
          <w:tcPr>
            <w:tcW w:w="294"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Mars</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Avr</w:t>
            </w:r>
            <w:proofErr w:type="spellEnd"/>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Mai</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Juin</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Jul</w:t>
            </w:r>
            <w:proofErr w:type="spellEnd"/>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Août</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Sep</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Oct</w:t>
            </w:r>
            <w:proofErr w:type="spellEnd"/>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Nov</w:t>
            </w:r>
            <w:proofErr w:type="spellEnd"/>
          </w:p>
        </w:tc>
        <w:tc>
          <w:tcPr>
            <w:tcW w:w="291" w:type="pct"/>
            <w:tcBorders>
              <w:top w:val="single" w:sz="8" w:space="0" w:color="auto"/>
              <w:left w:val="single" w:sz="8" w:space="0" w:color="auto"/>
              <w:bottom w:val="single" w:sz="8" w:space="0" w:color="auto"/>
              <w:right w:val="nil"/>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Dec</w:t>
            </w:r>
            <w:proofErr w:type="spellEnd"/>
          </w:p>
        </w:tc>
        <w:tc>
          <w:tcPr>
            <w:tcW w:w="303" w:type="pct"/>
            <w:tcBorders>
              <w:top w:val="single" w:sz="8" w:space="0" w:color="auto"/>
              <w:left w:val="single" w:sz="8" w:space="0" w:color="auto"/>
              <w:bottom w:val="single" w:sz="8" w:space="0" w:color="auto"/>
              <w:right w:val="single" w:sz="8"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Moy</w:t>
            </w:r>
            <w:proofErr w:type="spellEnd"/>
          </w:p>
        </w:tc>
      </w:tr>
      <w:tr w:rsidR="000247A5" w:rsidRPr="000247A5" w:rsidTr="00BB5DB3">
        <w:trPr>
          <w:trHeight w:val="542"/>
        </w:trPr>
        <w:tc>
          <w:tcPr>
            <w:tcW w:w="12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01. PRODUITS ALIMENTAIRES ET BOISSONS NON ALCOOLISÉES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124,8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123,4</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123,4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123,0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124,5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124,6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124,1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125,0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123,2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122,8</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123,7</w:t>
            </w:r>
          </w:p>
        </w:tc>
      </w:tr>
      <w:tr w:rsidR="000247A5" w:rsidRPr="000247A5" w:rsidTr="00BB5DB3">
        <w:trPr>
          <w:trHeight w:val="560"/>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02. BOISSONS ALCOOLISÉES, TABAC ET STUPÉFIANTS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118,0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118,0</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118,0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118,0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118,0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120,6</w:t>
            </w:r>
          </w:p>
        </w:tc>
      </w:tr>
      <w:tr w:rsidR="000247A5" w:rsidRPr="000247A5" w:rsidTr="00BB5DB3">
        <w:trPr>
          <w:trHeight w:val="569"/>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03. ARTICLES D'HABILLEMENT ET CHAUSSURES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108,8</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109,4</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109,1</w:t>
            </w:r>
          </w:p>
        </w:tc>
      </w:tr>
      <w:tr w:rsidR="000247A5" w:rsidRPr="000247A5" w:rsidTr="00BB5DB3">
        <w:trPr>
          <w:trHeight w:val="689"/>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04. LOGEMENT, EAU, GAZ, ELECTRICITE ET AUTRES COMBUSTIBLES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106,8</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106,9</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106,8</w:t>
            </w:r>
          </w:p>
        </w:tc>
      </w:tr>
      <w:tr w:rsidR="000247A5" w:rsidRPr="000247A5" w:rsidTr="00BB5DB3">
        <w:trPr>
          <w:trHeight w:val="684"/>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05. MEUBLES, ARTICLES DE MENAGE ET ENTRETIEN COURANT DU FOYER</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105,2</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106,0</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105,5</w:t>
            </w:r>
          </w:p>
        </w:tc>
      </w:tr>
      <w:tr w:rsidR="000247A5" w:rsidRPr="000247A5" w:rsidTr="00BB5DB3">
        <w:trPr>
          <w:trHeight w:val="425"/>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06. SANTÉ</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106,0</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108,6</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107,4</w:t>
            </w:r>
          </w:p>
        </w:tc>
      </w:tr>
      <w:tr w:rsidR="000247A5" w:rsidRPr="000247A5" w:rsidTr="00BB5DB3">
        <w:trPr>
          <w:trHeight w:val="413"/>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07. TRANSPORTS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108,7</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111,3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112,5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112,7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112,3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110,1</w:t>
            </w:r>
          </w:p>
        </w:tc>
      </w:tr>
      <w:tr w:rsidR="000247A5" w:rsidRPr="000247A5" w:rsidTr="00BB5DB3">
        <w:trPr>
          <w:trHeight w:val="419"/>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08. COMMUNICATIONS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61,1</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58,6</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61,0</w:t>
            </w:r>
          </w:p>
        </w:tc>
      </w:tr>
      <w:tr w:rsidR="000247A5" w:rsidRPr="000247A5" w:rsidTr="00BB5DB3">
        <w:trPr>
          <w:trHeight w:val="417"/>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09. LOISIRS ET CULTURE</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100,2</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100,3</w:t>
            </w:r>
          </w:p>
        </w:tc>
      </w:tr>
      <w:tr w:rsidR="000247A5" w:rsidRPr="000247A5" w:rsidTr="00BB5DB3">
        <w:trPr>
          <w:trHeight w:val="421"/>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10. ENSEIGNEMENT</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115,8</w:t>
            </w:r>
          </w:p>
        </w:tc>
      </w:tr>
      <w:tr w:rsidR="000247A5" w:rsidRPr="000247A5" w:rsidTr="00BB5DB3">
        <w:trPr>
          <w:trHeight w:val="413"/>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11. RESTAURANTS ET HÔTELS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141,0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141,0</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141,0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141,0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141,0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141,0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141,0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141,0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141,0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145,1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145,1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145,1</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142,0</w:t>
            </w:r>
          </w:p>
        </w:tc>
      </w:tr>
      <w:tr w:rsidR="000247A5" w:rsidRPr="000247A5" w:rsidTr="00BB5DB3">
        <w:trPr>
          <w:trHeight w:val="419"/>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12. BIENS ET SERVICES DIVERS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119,7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119,7</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120,4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120,4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120,4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120,7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121,0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121,2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121,2</w:t>
            </w:r>
          </w:p>
        </w:tc>
        <w:tc>
          <w:tcPr>
            <w:tcW w:w="291" w:type="pct"/>
            <w:tcBorders>
              <w:top w:val="nil"/>
              <w:left w:val="nil"/>
              <w:bottom w:val="single" w:sz="8"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121,4</w:t>
            </w:r>
          </w:p>
        </w:tc>
        <w:tc>
          <w:tcPr>
            <w:tcW w:w="291" w:type="pct"/>
            <w:tcBorders>
              <w:top w:val="nil"/>
              <w:left w:val="nil"/>
              <w:bottom w:val="single" w:sz="8"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121,5</w:t>
            </w:r>
          </w:p>
        </w:tc>
        <w:tc>
          <w:tcPr>
            <w:tcW w:w="291" w:type="pct"/>
            <w:tcBorders>
              <w:top w:val="nil"/>
              <w:left w:val="nil"/>
              <w:bottom w:val="single" w:sz="8"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121,5</w:t>
            </w:r>
          </w:p>
        </w:tc>
        <w:tc>
          <w:tcPr>
            <w:tcW w:w="303" w:type="pct"/>
            <w:tcBorders>
              <w:top w:val="nil"/>
              <w:left w:val="nil"/>
              <w:bottom w:val="single" w:sz="8"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120,8</w:t>
            </w:r>
          </w:p>
        </w:tc>
      </w:tr>
      <w:tr w:rsidR="000247A5" w:rsidRPr="000247A5" w:rsidTr="00BB5DB3">
        <w:trPr>
          <w:trHeight w:val="544"/>
        </w:trPr>
        <w:tc>
          <w:tcPr>
            <w:tcW w:w="1202" w:type="pct"/>
            <w:tcBorders>
              <w:top w:val="single" w:sz="8" w:space="0" w:color="auto"/>
              <w:left w:val="single" w:sz="4" w:space="0" w:color="auto"/>
              <w:bottom w:val="single" w:sz="8" w:space="0" w:color="auto"/>
              <w:right w:val="single" w:sz="8" w:space="0" w:color="auto"/>
            </w:tcBorders>
            <w:shd w:val="clear" w:color="000000" w:fill="C0C0C0"/>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 xml:space="preserve">  INDICE  GENERAL    </w:t>
            </w:r>
          </w:p>
        </w:tc>
        <w:tc>
          <w:tcPr>
            <w:tcW w:w="291" w:type="pct"/>
            <w:tcBorders>
              <w:top w:val="single" w:sz="8" w:space="0" w:color="auto"/>
              <w:left w:val="single" w:sz="4" w:space="0" w:color="auto"/>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114,6</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114,1</w:t>
            </w:r>
          </w:p>
        </w:tc>
        <w:tc>
          <w:tcPr>
            <w:tcW w:w="294"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114,4</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114,1</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114,5</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114,4</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115,3</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115,1</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114,8</w:t>
            </w:r>
          </w:p>
        </w:tc>
        <w:tc>
          <w:tcPr>
            <w:tcW w:w="291"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115,2</w:t>
            </w:r>
          </w:p>
        </w:tc>
        <w:tc>
          <w:tcPr>
            <w:tcW w:w="291"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114,4</w:t>
            </w:r>
          </w:p>
        </w:tc>
        <w:tc>
          <w:tcPr>
            <w:tcW w:w="291"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114,2</w:t>
            </w:r>
          </w:p>
        </w:tc>
        <w:tc>
          <w:tcPr>
            <w:tcW w:w="303"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114,6</w:t>
            </w:r>
          </w:p>
        </w:tc>
      </w:tr>
    </w:tbl>
    <w:p w:rsidR="00BB5DB3" w:rsidRPr="00483003" w:rsidRDefault="00BB5DB3" w:rsidP="00BB5DB3">
      <w:pPr>
        <w:pStyle w:val="Lgende"/>
        <w:rPr>
          <w:rFonts w:ascii="Times New Roman" w:hAnsi="Times New Roman"/>
          <w:i/>
          <w:iCs/>
          <w:sz w:val="22"/>
        </w:rPr>
      </w:pPr>
      <w:r w:rsidRPr="00483003">
        <w:rPr>
          <w:rFonts w:ascii="Times New Roman" w:hAnsi="Times New Roman"/>
          <w:i/>
          <w:iCs/>
          <w:sz w:val="22"/>
        </w:rPr>
        <w:t>Source : HCP</w:t>
      </w:r>
    </w:p>
    <w:p w:rsidR="00BD5911" w:rsidRDefault="00BD5911" w:rsidP="00F7045D">
      <w:pPr>
        <w:rPr>
          <w:sz w:val="16"/>
          <w:szCs w:val="16"/>
        </w:rPr>
        <w:sectPr w:rsidR="00BD5911" w:rsidSect="00BD5911">
          <w:pgSz w:w="16838" w:h="11906" w:orient="landscape"/>
          <w:pgMar w:top="1418" w:right="1701" w:bottom="1276" w:left="1701" w:header="709" w:footer="709" w:gutter="0"/>
          <w:cols w:space="708"/>
          <w:titlePg/>
          <w:docGrid w:linePitch="360"/>
        </w:sectPr>
      </w:pPr>
    </w:p>
    <w:tbl>
      <w:tblPr>
        <w:tblW w:w="5000" w:type="pct"/>
        <w:tblCellMar>
          <w:left w:w="70" w:type="dxa"/>
          <w:right w:w="70" w:type="dxa"/>
        </w:tblCellMar>
        <w:tblLook w:val="04A0"/>
      </w:tblPr>
      <w:tblGrid>
        <w:gridCol w:w="3265"/>
        <w:gridCol w:w="790"/>
        <w:gridCol w:w="790"/>
        <w:gridCol w:w="798"/>
        <w:gridCol w:w="790"/>
        <w:gridCol w:w="790"/>
        <w:gridCol w:w="790"/>
        <w:gridCol w:w="790"/>
        <w:gridCol w:w="790"/>
        <w:gridCol w:w="790"/>
        <w:gridCol w:w="790"/>
        <w:gridCol w:w="790"/>
        <w:gridCol w:w="790"/>
        <w:gridCol w:w="823"/>
      </w:tblGrid>
      <w:tr w:rsidR="000247A5" w:rsidRPr="005405A4" w:rsidTr="000247A5">
        <w:trPr>
          <w:trHeight w:val="390"/>
        </w:trPr>
        <w:tc>
          <w:tcPr>
            <w:tcW w:w="5000" w:type="pct"/>
            <w:gridSpan w:val="14"/>
            <w:tcBorders>
              <w:top w:val="nil"/>
              <w:left w:val="nil"/>
              <w:bottom w:val="single" w:sz="8" w:space="0" w:color="auto"/>
              <w:right w:val="nil"/>
            </w:tcBorders>
            <w:shd w:val="clear" w:color="auto" w:fill="auto"/>
            <w:vAlign w:val="center"/>
            <w:hideMark/>
          </w:tcPr>
          <w:p w:rsidR="000247A5" w:rsidRPr="005405A4" w:rsidRDefault="005405A4" w:rsidP="007D6D8B">
            <w:pPr>
              <w:spacing w:after="0" w:line="240" w:lineRule="auto"/>
              <w:rPr>
                <w:rFonts w:ascii="Times New Roman" w:eastAsia="Times New Roman" w:hAnsi="Times New Roman" w:cs="Times New Roman"/>
                <w:b/>
                <w:bCs/>
                <w:color w:val="548DD4" w:themeColor="text2" w:themeTint="99"/>
                <w:lang w:eastAsia="fr-FR"/>
              </w:rPr>
            </w:pPr>
            <w:bookmarkStart w:id="51" w:name="_Toc515274117"/>
            <w:r w:rsidRPr="005405A4">
              <w:rPr>
                <w:rFonts w:ascii="Times New Roman" w:hAnsi="Times New Roman"/>
                <w:b/>
                <w:color w:val="4F81BD" w:themeColor="accent1"/>
              </w:rPr>
              <w:lastRenderedPageBreak/>
              <w:t xml:space="preserve">Tableau A </w:t>
            </w:r>
            <w:r w:rsidR="007D6D8B">
              <w:rPr>
                <w:rFonts w:ascii="Times New Roman" w:hAnsi="Times New Roman"/>
                <w:b/>
                <w:color w:val="4F81BD" w:themeColor="accent1"/>
              </w:rPr>
              <w:t>7</w:t>
            </w:r>
            <w:r w:rsidRPr="005405A4">
              <w:rPr>
                <w:rFonts w:ascii="Times New Roman" w:hAnsi="Times New Roman"/>
                <w:b/>
                <w:color w:val="4F81BD" w:themeColor="accent1"/>
              </w:rPr>
              <w:t xml:space="preserve"> : </w:t>
            </w:r>
            <w:r w:rsidR="000247A5" w:rsidRPr="005405A4">
              <w:rPr>
                <w:rFonts w:ascii="Times New Roman" w:eastAsia="Times New Roman" w:hAnsi="Times New Roman" w:cs="Times New Roman"/>
                <w:b/>
                <w:bCs/>
                <w:color w:val="548DD4" w:themeColor="text2" w:themeTint="99"/>
                <w:lang w:eastAsia="fr-FR"/>
              </w:rPr>
              <w:t xml:space="preserve">IPC de la ville de </w:t>
            </w:r>
            <w:proofErr w:type="spellStart"/>
            <w:r w:rsidR="000247A5" w:rsidRPr="005405A4">
              <w:rPr>
                <w:rFonts w:ascii="Times New Roman" w:eastAsia="Times New Roman" w:hAnsi="Times New Roman" w:cs="Times New Roman"/>
                <w:b/>
                <w:bCs/>
                <w:color w:val="548DD4" w:themeColor="text2" w:themeTint="99"/>
                <w:lang w:eastAsia="fr-FR"/>
              </w:rPr>
              <w:t>Kénitra</w:t>
            </w:r>
            <w:proofErr w:type="spellEnd"/>
            <w:r w:rsidR="000247A5" w:rsidRPr="005405A4">
              <w:rPr>
                <w:rFonts w:ascii="Times New Roman" w:eastAsia="Times New Roman" w:hAnsi="Times New Roman" w:cs="Times New Roman"/>
                <w:b/>
                <w:bCs/>
                <w:color w:val="548DD4" w:themeColor="text2" w:themeTint="99"/>
                <w:lang w:eastAsia="fr-FR"/>
              </w:rPr>
              <w:t xml:space="preserve"> par division et par mois</w:t>
            </w:r>
            <w:r w:rsidRPr="005405A4">
              <w:rPr>
                <w:rFonts w:ascii="Times New Roman" w:eastAsia="Times New Roman" w:hAnsi="Times New Roman" w:cs="Times New Roman"/>
                <w:b/>
                <w:bCs/>
                <w:color w:val="548DD4" w:themeColor="text2" w:themeTint="99"/>
                <w:lang w:eastAsia="fr-FR"/>
              </w:rPr>
              <w:t xml:space="preserve"> </w:t>
            </w:r>
            <w:r w:rsidR="000247A5" w:rsidRPr="005405A4">
              <w:rPr>
                <w:rFonts w:ascii="Times New Roman" w:eastAsia="Times New Roman" w:hAnsi="Times New Roman" w:cs="Times New Roman"/>
                <w:b/>
                <w:bCs/>
                <w:color w:val="548DD4" w:themeColor="text2" w:themeTint="99"/>
                <w:lang w:eastAsia="fr-FR"/>
              </w:rPr>
              <w:t>- Année 2014</w:t>
            </w:r>
            <w:r w:rsidR="00F67E78">
              <w:rPr>
                <w:rFonts w:ascii="Times New Roman" w:eastAsia="Times New Roman" w:hAnsi="Times New Roman" w:cs="Times New Roman"/>
                <w:b/>
                <w:bCs/>
                <w:color w:val="548DD4" w:themeColor="text2" w:themeTint="99"/>
                <w:lang w:eastAsia="fr-FR"/>
              </w:rPr>
              <w:t xml:space="preserve"> </w:t>
            </w:r>
            <w:r w:rsidR="000247A5" w:rsidRPr="005405A4">
              <w:rPr>
                <w:rFonts w:ascii="Times New Roman" w:eastAsia="Times New Roman" w:hAnsi="Times New Roman" w:cs="Times New Roman"/>
                <w:b/>
                <w:bCs/>
                <w:color w:val="548DD4" w:themeColor="text2" w:themeTint="99"/>
                <w:lang w:eastAsia="fr-FR"/>
              </w:rPr>
              <w:t>-</w:t>
            </w:r>
            <w:bookmarkEnd w:id="51"/>
          </w:p>
        </w:tc>
      </w:tr>
      <w:tr w:rsidR="000247A5" w:rsidRPr="00E678BE" w:rsidTr="00BD5911">
        <w:trPr>
          <w:trHeight w:val="586"/>
        </w:trPr>
        <w:tc>
          <w:tcPr>
            <w:tcW w:w="1202" w:type="pct"/>
            <w:tcBorders>
              <w:top w:val="single" w:sz="8" w:space="0" w:color="auto"/>
              <w:left w:val="single" w:sz="4" w:space="0" w:color="auto"/>
              <w:bottom w:val="single" w:sz="8" w:space="0" w:color="auto"/>
              <w:right w:val="single" w:sz="8"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 xml:space="preserve"> DIVISIONS</w:t>
            </w:r>
          </w:p>
        </w:tc>
        <w:tc>
          <w:tcPr>
            <w:tcW w:w="291" w:type="pct"/>
            <w:tcBorders>
              <w:top w:val="single" w:sz="8" w:space="0" w:color="auto"/>
              <w:left w:val="single" w:sz="4" w:space="0" w:color="auto"/>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Jan</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Fev</w:t>
            </w:r>
            <w:proofErr w:type="spellEnd"/>
          </w:p>
        </w:tc>
        <w:tc>
          <w:tcPr>
            <w:tcW w:w="294"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Mars</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Avr</w:t>
            </w:r>
            <w:proofErr w:type="spellEnd"/>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Mai</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Juin</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Jul</w:t>
            </w:r>
            <w:proofErr w:type="spellEnd"/>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Août</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Sep</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Oct</w:t>
            </w:r>
            <w:proofErr w:type="spellEnd"/>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Nov</w:t>
            </w:r>
            <w:proofErr w:type="spellEnd"/>
          </w:p>
        </w:tc>
        <w:tc>
          <w:tcPr>
            <w:tcW w:w="291" w:type="pct"/>
            <w:tcBorders>
              <w:top w:val="single" w:sz="8" w:space="0" w:color="auto"/>
              <w:left w:val="single" w:sz="8" w:space="0" w:color="auto"/>
              <w:bottom w:val="single" w:sz="8" w:space="0" w:color="auto"/>
              <w:right w:val="nil"/>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Dec</w:t>
            </w:r>
            <w:proofErr w:type="spellEnd"/>
          </w:p>
        </w:tc>
        <w:tc>
          <w:tcPr>
            <w:tcW w:w="303" w:type="pct"/>
            <w:tcBorders>
              <w:top w:val="single" w:sz="8" w:space="0" w:color="auto"/>
              <w:left w:val="single" w:sz="8" w:space="0" w:color="auto"/>
              <w:bottom w:val="single" w:sz="8" w:space="0" w:color="auto"/>
              <w:right w:val="single" w:sz="8"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Moy</w:t>
            </w:r>
            <w:proofErr w:type="spellEnd"/>
          </w:p>
        </w:tc>
      </w:tr>
      <w:tr w:rsidR="000247A5" w:rsidRPr="00E678BE" w:rsidTr="008B74DA">
        <w:trPr>
          <w:trHeight w:val="542"/>
        </w:trPr>
        <w:tc>
          <w:tcPr>
            <w:tcW w:w="12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01. PRODUITS ALIMENTAIRES ET BOISSONS NON ALCOOLISÉES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121,9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120,6</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120,3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119,1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119,5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120,1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119,7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120,0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121,0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123,3</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120,8</w:t>
            </w:r>
          </w:p>
        </w:tc>
      </w:tr>
      <w:tr w:rsidR="000247A5" w:rsidRPr="00E678BE" w:rsidTr="008B74DA">
        <w:trPr>
          <w:trHeight w:val="559"/>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02. BOISSONS ALCOOLISÉES, TABAC ET STUPÉFIANTS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116,2</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116,2</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116,2</w:t>
            </w:r>
          </w:p>
        </w:tc>
      </w:tr>
      <w:tr w:rsidR="000247A5" w:rsidRPr="00E678BE" w:rsidTr="008B74DA">
        <w:trPr>
          <w:trHeight w:val="567"/>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03. ARTICLES D'HABILLEMENT ET CHAUSSURES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108,4</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108,8</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108,6</w:t>
            </w:r>
          </w:p>
        </w:tc>
      </w:tr>
      <w:tr w:rsidR="000247A5" w:rsidRPr="00E678BE" w:rsidTr="008B74DA">
        <w:trPr>
          <w:trHeight w:val="689"/>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04. LOGEMENT, EAU, GAZ, ELECTRICITE ET AUTRES COMBUSTIBLES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106,0</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103,5</w:t>
            </w:r>
          </w:p>
        </w:tc>
      </w:tr>
      <w:tr w:rsidR="000247A5" w:rsidRPr="00E678BE" w:rsidTr="008B74DA">
        <w:trPr>
          <w:trHeight w:val="698"/>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05. MEUBLES, ARTICLES DE MENAGE ET ENTRETIEN COURANT DU FOYER</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103,5</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104,9</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103,9</w:t>
            </w:r>
          </w:p>
        </w:tc>
      </w:tr>
      <w:tr w:rsidR="000247A5" w:rsidRPr="00E678BE" w:rsidTr="008B74DA">
        <w:trPr>
          <w:trHeight w:val="552"/>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06. SANTÉ</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107,3</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106,0</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106,0</w:t>
            </w:r>
          </w:p>
        </w:tc>
      </w:tr>
      <w:tr w:rsidR="000247A5" w:rsidRPr="00E678BE" w:rsidTr="008B74DA">
        <w:trPr>
          <w:trHeight w:val="560"/>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07. TRANSPORTS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111,4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113,3</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112,4</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114,7</w:t>
            </w:r>
          </w:p>
        </w:tc>
      </w:tr>
      <w:tr w:rsidR="000247A5" w:rsidRPr="00E678BE" w:rsidTr="00BD5911">
        <w:trPr>
          <w:trHeight w:val="417"/>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08. COMMUNICATIONS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61,1</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61,1</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61,1</w:t>
            </w:r>
          </w:p>
        </w:tc>
      </w:tr>
      <w:tr w:rsidR="000247A5" w:rsidRPr="00E678BE" w:rsidTr="00BD5911">
        <w:trPr>
          <w:trHeight w:val="423"/>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09. LOISIRS ET CULTURE</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98,2</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100,2</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98,5</w:t>
            </w:r>
          </w:p>
        </w:tc>
      </w:tr>
      <w:tr w:rsidR="000247A5" w:rsidRPr="00E678BE" w:rsidTr="00BD5911">
        <w:trPr>
          <w:trHeight w:val="435"/>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10. ENSEIGNEMENT</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115,8</w:t>
            </w:r>
          </w:p>
        </w:tc>
      </w:tr>
      <w:tr w:rsidR="000247A5" w:rsidRPr="00E678BE" w:rsidTr="00BD5911">
        <w:trPr>
          <w:trHeight w:val="541"/>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11. RESTAURANTS ET HÔTELS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132,4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132,7</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132,7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132,7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132,7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132,7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132,7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134,7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134,7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134,7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141,0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141,0</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134,6</w:t>
            </w:r>
          </w:p>
        </w:tc>
      </w:tr>
      <w:tr w:rsidR="000247A5" w:rsidRPr="00E678BE" w:rsidTr="00BD5911">
        <w:trPr>
          <w:trHeight w:val="543"/>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12. BIENS ET SERVICES DIVERS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118,4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118,4</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118,4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118,5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118,5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119,8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119,8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119,5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119,5</w:t>
            </w:r>
          </w:p>
        </w:tc>
        <w:tc>
          <w:tcPr>
            <w:tcW w:w="291" w:type="pct"/>
            <w:tcBorders>
              <w:top w:val="nil"/>
              <w:left w:val="nil"/>
              <w:bottom w:val="single" w:sz="8"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119,5</w:t>
            </w:r>
          </w:p>
        </w:tc>
        <w:tc>
          <w:tcPr>
            <w:tcW w:w="291" w:type="pct"/>
            <w:tcBorders>
              <w:top w:val="nil"/>
              <w:left w:val="nil"/>
              <w:bottom w:val="single" w:sz="8"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119,5</w:t>
            </w:r>
          </w:p>
        </w:tc>
        <w:tc>
          <w:tcPr>
            <w:tcW w:w="291" w:type="pct"/>
            <w:tcBorders>
              <w:top w:val="nil"/>
              <w:left w:val="nil"/>
              <w:bottom w:val="single" w:sz="8"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119,6</w:t>
            </w:r>
          </w:p>
        </w:tc>
        <w:tc>
          <w:tcPr>
            <w:tcW w:w="303" w:type="pct"/>
            <w:tcBorders>
              <w:top w:val="nil"/>
              <w:left w:val="nil"/>
              <w:bottom w:val="single" w:sz="8"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119,1</w:t>
            </w:r>
          </w:p>
        </w:tc>
      </w:tr>
      <w:tr w:rsidR="000247A5" w:rsidRPr="00E678BE" w:rsidTr="008B74DA">
        <w:trPr>
          <w:trHeight w:val="561"/>
        </w:trPr>
        <w:tc>
          <w:tcPr>
            <w:tcW w:w="1202" w:type="pct"/>
            <w:tcBorders>
              <w:top w:val="single" w:sz="8" w:space="0" w:color="auto"/>
              <w:left w:val="single" w:sz="4" w:space="0" w:color="auto"/>
              <w:bottom w:val="single" w:sz="8" w:space="0" w:color="auto"/>
              <w:right w:val="single" w:sz="8" w:space="0" w:color="auto"/>
            </w:tcBorders>
            <w:shd w:val="clear" w:color="000000" w:fill="C0C0C0"/>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 xml:space="preserve">  INDICE  GENERAL    </w:t>
            </w:r>
          </w:p>
        </w:tc>
        <w:tc>
          <w:tcPr>
            <w:tcW w:w="291" w:type="pct"/>
            <w:tcBorders>
              <w:top w:val="single" w:sz="8" w:space="0" w:color="auto"/>
              <w:left w:val="single" w:sz="4" w:space="0" w:color="auto"/>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112,6</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112,3</w:t>
            </w:r>
          </w:p>
        </w:tc>
        <w:tc>
          <w:tcPr>
            <w:tcW w:w="294"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112,3</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111,9</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112,1</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112,3</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112,3</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113,2</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113,6</w:t>
            </w:r>
          </w:p>
        </w:tc>
        <w:tc>
          <w:tcPr>
            <w:tcW w:w="291"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113,9</w:t>
            </w:r>
          </w:p>
        </w:tc>
        <w:tc>
          <w:tcPr>
            <w:tcW w:w="291"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114,1</w:t>
            </w:r>
          </w:p>
        </w:tc>
        <w:tc>
          <w:tcPr>
            <w:tcW w:w="291"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114,3</w:t>
            </w:r>
          </w:p>
        </w:tc>
        <w:tc>
          <w:tcPr>
            <w:tcW w:w="303"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112,9</w:t>
            </w:r>
          </w:p>
        </w:tc>
      </w:tr>
    </w:tbl>
    <w:p w:rsidR="00BB5DB3" w:rsidRPr="00483003" w:rsidRDefault="00BB5DB3" w:rsidP="00BB5DB3">
      <w:pPr>
        <w:pStyle w:val="Lgende"/>
        <w:rPr>
          <w:rFonts w:ascii="Times New Roman" w:hAnsi="Times New Roman"/>
          <w:i/>
          <w:iCs/>
          <w:sz w:val="22"/>
        </w:rPr>
      </w:pPr>
      <w:r w:rsidRPr="00483003">
        <w:rPr>
          <w:rFonts w:ascii="Times New Roman" w:hAnsi="Times New Roman"/>
          <w:i/>
          <w:iCs/>
          <w:sz w:val="22"/>
        </w:rPr>
        <w:t>Source : HCP</w:t>
      </w:r>
    </w:p>
    <w:p w:rsidR="00E678BE" w:rsidRDefault="00E678BE">
      <w:r>
        <w:br w:type="page"/>
      </w:r>
    </w:p>
    <w:tbl>
      <w:tblPr>
        <w:tblW w:w="5000" w:type="pct"/>
        <w:tblCellMar>
          <w:left w:w="70" w:type="dxa"/>
          <w:right w:w="70" w:type="dxa"/>
        </w:tblCellMar>
        <w:tblLook w:val="04A0"/>
      </w:tblPr>
      <w:tblGrid>
        <w:gridCol w:w="3273"/>
        <w:gridCol w:w="790"/>
        <w:gridCol w:w="790"/>
        <w:gridCol w:w="790"/>
        <w:gridCol w:w="790"/>
        <w:gridCol w:w="790"/>
        <w:gridCol w:w="790"/>
        <w:gridCol w:w="790"/>
        <w:gridCol w:w="790"/>
        <w:gridCol w:w="790"/>
        <w:gridCol w:w="790"/>
        <w:gridCol w:w="790"/>
        <w:gridCol w:w="790"/>
        <w:gridCol w:w="823"/>
      </w:tblGrid>
      <w:tr w:rsidR="000247A5" w:rsidRPr="00E678BE" w:rsidTr="000247A5">
        <w:trPr>
          <w:trHeight w:val="390"/>
        </w:trPr>
        <w:tc>
          <w:tcPr>
            <w:tcW w:w="5000" w:type="pct"/>
            <w:gridSpan w:val="14"/>
            <w:tcBorders>
              <w:top w:val="nil"/>
              <w:left w:val="nil"/>
              <w:bottom w:val="single" w:sz="8" w:space="0" w:color="auto"/>
              <w:right w:val="nil"/>
            </w:tcBorders>
            <w:shd w:val="clear" w:color="auto" w:fill="auto"/>
            <w:vAlign w:val="center"/>
            <w:hideMark/>
          </w:tcPr>
          <w:p w:rsidR="000247A5" w:rsidRPr="00E678BE" w:rsidRDefault="005405A4" w:rsidP="007D6D8B">
            <w:pPr>
              <w:spacing w:after="0" w:line="240" w:lineRule="auto"/>
              <w:rPr>
                <w:rFonts w:asciiTheme="majorBidi" w:eastAsia="Times New Roman" w:hAnsiTheme="majorBidi" w:cstheme="majorBidi"/>
                <w:b/>
                <w:bCs/>
                <w:color w:val="4F81BD" w:themeColor="accent1"/>
                <w:szCs w:val="24"/>
                <w:lang w:eastAsia="fr-FR"/>
              </w:rPr>
            </w:pPr>
            <w:bookmarkStart w:id="52" w:name="_Toc515274118"/>
            <w:r w:rsidRPr="00E678BE">
              <w:rPr>
                <w:rFonts w:asciiTheme="majorBidi" w:hAnsiTheme="majorBidi" w:cstheme="majorBidi"/>
                <w:b/>
                <w:color w:val="4F81BD" w:themeColor="accent1"/>
              </w:rPr>
              <w:lastRenderedPageBreak/>
              <w:t xml:space="preserve">Tableau A </w:t>
            </w:r>
            <w:r w:rsidR="007D6D8B">
              <w:rPr>
                <w:rFonts w:asciiTheme="majorBidi" w:hAnsiTheme="majorBidi" w:cstheme="majorBidi"/>
                <w:b/>
                <w:color w:val="4F81BD" w:themeColor="accent1"/>
              </w:rPr>
              <w:t>8</w:t>
            </w:r>
            <w:r w:rsidRPr="00E678BE">
              <w:rPr>
                <w:rFonts w:asciiTheme="majorBidi" w:hAnsiTheme="majorBidi" w:cstheme="majorBidi"/>
                <w:b/>
                <w:color w:val="4F81BD" w:themeColor="accent1"/>
              </w:rPr>
              <w:t xml:space="preserve"> : </w:t>
            </w:r>
            <w:r w:rsidR="000247A5" w:rsidRPr="00E678BE">
              <w:rPr>
                <w:rFonts w:asciiTheme="majorBidi" w:eastAsia="Times New Roman" w:hAnsiTheme="majorBidi" w:cstheme="majorBidi"/>
                <w:b/>
                <w:bCs/>
                <w:color w:val="4F81BD" w:themeColor="accent1"/>
                <w:szCs w:val="24"/>
                <w:lang w:eastAsia="fr-FR"/>
              </w:rPr>
              <w:t xml:space="preserve">IPC de la ville de </w:t>
            </w:r>
            <w:proofErr w:type="spellStart"/>
            <w:r w:rsidR="000247A5" w:rsidRPr="00E678BE">
              <w:rPr>
                <w:rFonts w:asciiTheme="majorBidi" w:eastAsia="Times New Roman" w:hAnsiTheme="majorBidi" w:cstheme="majorBidi"/>
                <w:b/>
                <w:bCs/>
                <w:color w:val="4F81BD" w:themeColor="accent1"/>
                <w:szCs w:val="24"/>
                <w:lang w:eastAsia="fr-FR"/>
              </w:rPr>
              <w:t>Kénitra</w:t>
            </w:r>
            <w:proofErr w:type="spellEnd"/>
            <w:r w:rsidR="000247A5" w:rsidRPr="00E678BE">
              <w:rPr>
                <w:rFonts w:asciiTheme="majorBidi" w:eastAsia="Times New Roman" w:hAnsiTheme="majorBidi" w:cstheme="majorBidi"/>
                <w:b/>
                <w:bCs/>
                <w:color w:val="4F81BD" w:themeColor="accent1"/>
                <w:szCs w:val="24"/>
                <w:lang w:eastAsia="fr-FR"/>
              </w:rPr>
              <w:t xml:space="preserve"> par division et par mois</w:t>
            </w:r>
            <w:r w:rsidRPr="00E678BE">
              <w:rPr>
                <w:rFonts w:asciiTheme="majorBidi" w:eastAsia="Times New Roman" w:hAnsiTheme="majorBidi" w:cstheme="majorBidi"/>
                <w:b/>
                <w:bCs/>
                <w:color w:val="4F81BD" w:themeColor="accent1"/>
                <w:szCs w:val="24"/>
                <w:lang w:eastAsia="fr-FR"/>
              </w:rPr>
              <w:t xml:space="preserve"> </w:t>
            </w:r>
            <w:r w:rsidR="000247A5" w:rsidRPr="00E678BE">
              <w:rPr>
                <w:rFonts w:asciiTheme="majorBidi" w:eastAsia="Times New Roman" w:hAnsiTheme="majorBidi" w:cstheme="majorBidi"/>
                <w:b/>
                <w:bCs/>
                <w:color w:val="4F81BD" w:themeColor="accent1"/>
                <w:szCs w:val="24"/>
                <w:lang w:eastAsia="fr-FR"/>
              </w:rPr>
              <w:t>- Année 2013-</w:t>
            </w:r>
            <w:bookmarkEnd w:id="52"/>
          </w:p>
        </w:tc>
      </w:tr>
      <w:tr w:rsidR="000247A5" w:rsidRPr="00E678BE" w:rsidTr="00BB5DB3">
        <w:trPr>
          <w:trHeight w:val="444"/>
        </w:trPr>
        <w:tc>
          <w:tcPr>
            <w:tcW w:w="1205" w:type="pct"/>
            <w:tcBorders>
              <w:top w:val="single" w:sz="8" w:space="0" w:color="auto"/>
              <w:left w:val="single" w:sz="4" w:space="0" w:color="auto"/>
              <w:bottom w:val="single" w:sz="8" w:space="0" w:color="auto"/>
              <w:right w:val="single" w:sz="8"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 xml:space="preserve"> DIVISIONS</w:t>
            </w:r>
          </w:p>
        </w:tc>
        <w:tc>
          <w:tcPr>
            <w:tcW w:w="291" w:type="pct"/>
            <w:tcBorders>
              <w:top w:val="single" w:sz="8" w:space="0" w:color="auto"/>
              <w:left w:val="single" w:sz="4" w:space="0" w:color="auto"/>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Jan</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6"/>
                <w:szCs w:val="16"/>
                <w:lang w:eastAsia="fr-FR"/>
              </w:rPr>
            </w:pPr>
            <w:proofErr w:type="spellStart"/>
            <w:r w:rsidRPr="00E678BE">
              <w:rPr>
                <w:rFonts w:asciiTheme="majorBidi" w:eastAsia="Times New Roman" w:hAnsiTheme="majorBidi" w:cstheme="majorBidi"/>
                <w:b/>
                <w:bCs/>
                <w:sz w:val="16"/>
                <w:szCs w:val="16"/>
                <w:lang w:eastAsia="fr-FR"/>
              </w:rPr>
              <w:t>Fev</w:t>
            </w:r>
            <w:proofErr w:type="spellEnd"/>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Mars</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6"/>
                <w:szCs w:val="16"/>
                <w:lang w:eastAsia="fr-FR"/>
              </w:rPr>
            </w:pPr>
            <w:proofErr w:type="spellStart"/>
            <w:r w:rsidRPr="00E678BE">
              <w:rPr>
                <w:rFonts w:asciiTheme="majorBidi" w:eastAsia="Times New Roman" w:hAnsiTheme="majorBidi" w:cstheme="majorBidi"/>
                <w:b/>
                <w:bCs/>
                <w:sz w:val="16"/>
                <w:szCs w:val="16"/>
                <w:lang w:eastAsia="fr-FR"/>
              </w:rPr>
              <w:t>Avr</w:t>
            </w:r>
            <w:proofErr w:type="spellEnd"/>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Mai</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Juin</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6"/>
                <w:szCs w:val="16"/>
                <w:lang w:eastAsia="fr-FR"/>
              </w:rPr>
            </w:pPr>
            <w:proofErr w:type="spellStart"/>
            <w:r w:rsidRPr="00E678BE">
              <w:rPr>
                <w:rFonts w:asciiTheme="majorBidi" w:eastAsia="Times New Roman" w:hAnsiTheme="majorBidi" w:cstheme="majorBidi"/>
                <w:b/>
                <w:bCs/>
                <w:sz w:val="16"/>
                <w:szCs w:val="16"/>
                <w:lang w:eastAsia="fr-FR"/>
              </w:rPr>
              <w:t>Jul</w:t>
            </w:r>
            <w:proofErr w:type="spellEnd"/>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Août</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Sep</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6"/>
                <w:szCs w:val="16"/>
                <w:lang w:eastAsia="fr-FR"/>
              </w:rPr>
            </w:pPr>
            <w:proofErr w:type="spellStart"/>
            <w:r w:rsidRPr="00E678BE">
              <w:rPr>
                <w:rFonts w:asciiTheme="majorBidi" w:eastAsia="Times New Roman" w:hAnsiTheme="majorBidi" w:cstheme="majorBidi"/>
                <w:b/>
                <w:bCs/>
                <w:sz w:val="16"/>
                <w:szCs w:val="16"/>
                <w:lang w:eastAsia="fr-FR"/>
              </w:rPr>
              <w:t>Oct</w:t>
            </w:r>
            <w:proofErr w:type="spellEnd"/>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6"/>
                <w:szCs w:val="16"/>
                <w:lang w:eastAsia="fr-FR"/>
              </w:rPr>
            </w:pPr>
            <w:proofErr w:type="spellStart"/>
            <w:r w:rsidRPr="00E678BE">
              <w:rPr>
                <w:rFonts w:asciiTheme="majorBidi" w:eastAsia="Times New Roman" w:hAnsiTheme="majorBidi" w:cstheme="majorBidi"/>
                <w:b/>
                <w:bCs/>
                <w:sz w:val="16"/>
                <w:szCs w:val="16"/>
                <w:lang w:eastAsia="fr-FR"/>
              </w:rPr>
              <w:t>Nov</w:t>
            </w:r>
            <w:proofErr w:type="spellEnd"/>
          </w:p>
        </w:tc>
        <w:tc>
          <w:tcPr>
            <w:tcW w:w="291" w:type="pct"/>
            <w:tcBorders>
              <w:top w:val="single" w:sz="8" w:space="0" w:color="auto"/>
              <w:left w:val="single" w:sz="8" w:space="0" w:color="auto"/>
              <w:bottom w:val="single" w:sz="8" w:space="0" w:color="auto"/>
              <w:right w:val="nil"/>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6"/>
                <w:szCs w:val="16"/>
                <w:lang w:eastAsia="fr-FR"/>
              </w:rPr>
            </w:pPr>
            <w:proofErr w:type="spellStart"/>
            <w:r w:rsidRPr="00E678BE">
              <w:rPr>
                <w:rFonts w:asciiTheme="majorBidi" w:eastAsia="Times New Roman" w:hAnsiTheme="majorBidi" w:cstheme="majorBidi"/>
                <w:b/>
                <w:bCs/>
                <w:sz w:val="16"/>
                <w:szCs w:val="16"/>
                <w:lang w:eastAsia="fr-FR"/>
              </w:rPr>
              <w:t>Dec</w:t>
            </w:r>
            <w:proofErr w:type="spellEnd"/>
          </w:p>
        </w:tc>
        <w:tc>
          <w:tcPr>
            <w:tcW w:w="303" w:type="pct"/>
            <w:tcBorders>
              <w:top w:val="single" w:sz="8" w:space="0" w:color="auto"/>
              <w:left w:val="single" w:sz="8" w:space="0" w:color="auto"/>
              <w:bottom w:val="single" w:sz="8" w:space="0" w:color="auto"/>
              <w:right w:val="single" w:sz="8"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6"/>
                <w:szCs w:val="16"/>
                <w:lang w:eastAsia="fr-FR"/>
              </w:rPr>
            </w:pPr>
            <w:proofErr w:type="spellStart"/>
            <w:r w:rsidRPr="00E678BE">
              <w:rPr>
                <w:rFonts w:asciiTheme="majorBidi" w:eastAsia="Times New Roman" w:hAnsiTheme="majorBidi" w:cstheme="majorBidi"/>
                <w:b/>
                <w:bCs/>
                <w:sz w:val="16"/>
                <w:szCs w:val="16"/>
                <w:lang w:eastAsia="fr-FR"/>
              </w:rPr>
              <w:t>Moy</w:t>
            </w:r>
            <w:proofErr w:type="spellEnd"/>
          </w:p>
        </w:tc>
      </w:tr>
      <w:tr w:rsidR="000247A5" w:rsidRPr="00E678BE" w:rsidTr="00BB5DB3">
        <w:trPr>
          <w:trHeight w:val="695"/>
        </w:trPr>
        <w:tc>
          <w:tcPr>
            <w:tcW w:w="12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01. PRODUITS ALIMENTAIRES ET BOISSONS NON ALCOOLISÉES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121,6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121,1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120,5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120,4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121,9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124,9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123,3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121,0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121,5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120,6</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121,7</w:t>
            </w:r>
          </w:p>
        </w:tc>
      </w:tr>
      <w:tr w:rsidR="000247A5" w:rsidRPr="00E678BE" w:rsidTr="00BB5DB3">
        <w:trPr>
          <w:trHeight w:val="545"/>
        </w:trPr>
        <w:tc>
          <w:tcPr>
            <w:tcW w:w="1205"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02. BOISSONS ALCOOLISÉES, TABAC ET STUPÉFIANTS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115,6</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114,3</w:t>
            </w:r>
          </w:p>
        </w:tc>
      </w:tr>
      <w:tr w:rsidR="000247A5" w:rsidRPr="00E678BE" w:rsidTr="00BB5DB3">
        <w:trPr>
          <w:trHeight w:val="567"/>
        </w:trPr>
        <w:tc>
          <w:tcPr>
            <w:tcW w:w="1205"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03. ARTICLES D'HABILLEMENT ET CHAUSSURES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108,4</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108,4</w:t>
            </w:r>
          </w:p>
        </w:tc>
      </w:tr>
      <w:tr w:rsidR="000247A5" w:rsidRPr="00E678BE" w:rsidTr="00BB5DB3">
        <w:trPr>
          <w:trHeight w:val="692"/>
        </w:trPr>
        <w:tc>
          <w:tcPr>
            <w:tcW w:w="1205"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04. LOGEMENT, EAU, GAZ, ELECTRICITE ET AUTRES COMBUSTIBLES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101,6</w:t>
            </w:r>
          </w:p>
        </w:tc>
      </w:tr>
      <w:tr w:rsidR="000247A5" w:rsidRPr="00E678BE" w:rsidTr="00BB5DB3">
        <w:trPr>
          <w:trHeight w:val="698"/>
        </w:trPr>
        <w:tc>
          <w:tcPr>
            <w:tcW w:w="1205"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05. MEUBLES, ARTICLES DE MENAGE ET ENTRETIEN COURANT DU FOYER</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103,6</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103,7</w:t>
            </w:r>
          </w:p>
        </w:tc>
      </w:tr>
      <w:tr w:rsidR="000247A5" w:rsidRPr="00E678BE" w:rsidTr="00BB5DB3">
        <w:trPr>
          <w:trHeight w:val="552"/>
        </w:trPr>
        <w:tc>
          <w:tcPr>
            <w:tcW w:w="1205"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06. SANTÉ</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107,1</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107,0</w:t>
            </w:r>
          </w:p>
        </w:tc>
      </w:tr>
      <w:tr w:rsidR="000247A5" w:rsidRPr="00E678BE" w:rsidTr="00BB5DB3">
        <w:trPr>
          <w:trHeight w:val="555"/>
        </w:trPr>
        <w:tc>
          <w:tcPr>
            <w:tcW w:w="1205"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07. TRANSPORTS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111,9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111,7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111,4</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110,4</w:t>
            </w:r>
          </w:p>
        </w:tc>
      </w:tr>
      <w:tr w:rsidR="000247A5" w:rsidRPr="00E678BE" w:rsidTr="00BB5DB3">
        <w:trPr>
          <w:trHeight w:val="419"/>
        </w:trPr>
        <w:tc>
          <w:tcPr>
            <w:tcW w:w="1205"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08. COMMUNICATIONS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67,2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67,2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67,2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67,2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67,2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67,2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60,3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61,1</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64,1</w:t>
            </w:r>
          </w:p>
        </w:tc>
      </w:tr>
      <w:tr w:rsidR="000247A5" w:rsidRPr="00E678BE" w:rsidTr="00BB5DB3">
        <w:trPr>
          <w:trHeight w:val="411"/>
        </w:trPr>
        <w:tc>
          <w:tcPr>
            <w:tcW w:w="1205"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09. LOISIRS ET CULTURE</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97,2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97,4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99,2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98,3</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97,3</w:t>
            </w:r>
          </w:p>
        </w:tc>
      </w:tr>
      <w:tr w:rsidR="000247A5" w:rsidRPr="00E678BE" w:rsidTr="00BB5DB3">
        <w:trPr>
          <w:trHeight w:val="418"/>
        </w:trPr>
        <w:tc>
          <w:tcPr>
            <w:tcW w:w="1205"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10. ENSEIGNEMENT</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114,9</w:t>
            </w:r>
          </w:p>
        </w:tc>
      </w:tr>
      <w:tr w:rsidR="000247A5" w:rsidRPr="00E678BE" w:rsidTr="00BB5DB3">
        <w:trPr>
          <w:trHeight w:val="409"/>
        </w:trPr>
        <w:tc>
          <w:tcPr>
            <w:tcW w:w="1205"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11. RESTAURANTS ET HÔTELS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126,3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126,3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126,3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126,3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126,9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126,8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127,2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130,0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130,0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132,4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132,4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132,4</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128,6</w:t>
            </w:r>
          </w:p>
        </w:tc>
      </w:tr>
      <w:tr w:rsidR="000247A5" w:rsidRPr="00E678BE" w:rsidTr="00BB5DB3">
        <w:trPr>
          <w:trHeight w:val="422"/>
        </w:trPr>
        <w:tc>
          <w:tcPr>
            <w:tcW w:w="1205"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12. BIENS ET SERVICES DIVERS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117,8</w:t>
            </w:r>
          </w:p>
        </w:tc>
        <w:tc>
          <w:tcPr>
            <w:tcW w:w="291" w:type="pct"/>
            <w:tcBorders>
              <w:top w:val="nil"/>
              <w:left w:val="nil"/>
              <w:bottom w:val="single" w:sz="8"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117,8</w:t>
            </w:r>
          </w:p>
        </w:tc>
        <w:tc>
          <w:tcPr>
            <w:tcW w:w="291" w:type="pct"/>
            <w:tcBorders>
              <w:top w:val="nil"/>
              <w:left w:val="nil"/>
              <w:bottom w:val="single" w:sz="8"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117,8</w:t>
            </w:r>
          </w:p>
        </w:tc>
        <w:tc>
          <w:tcPr>
            <w:tcW w:w="291" w:type="pct"/>
            <w:tcBorders>
              <w:top w:val="nil"/>
              <w:left w:val="nil"/>
              <w:bottom w:val="single" w:sz="8"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118,4</w:t>
            </w:r>
          </w:p>
        </w:tc>
        <w:tc>
          <w:tcPr>
            <w:tcW w:w="303" w:type="pct"/>
            <w:tcBorders>
              <w:top w:val="nil"/>
              <w:left w:val="nil"/>
              <w:bottom w:val="single" w:sz="8"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117,7</w:t>
            </w:r>
          </w:p>
        </w:tc>
      </w:tr>
      <w:tr w:rsidR="000247A5" w:rsidRPr="00E678BE" w:rsidTr="00BB5DB3">
        <w:trPr>
          <w:trHeight w:val="690"/>
        </w:trPr>
        <w:tc>
          <w:tcPr>
            <w:tcW w:w="1205" w:type="pct"/>
            <w:tcBorders>
              <w:top w:val="single" w:sz="8" w:space="0" w:color="auto"/>
              <w:left w:val="single" w:sz="4" w:space="0" w:color="auto"/>
              <w:bottom w:val="single" w:sz="8" w:space="0" w:color="auto"/>
              <w:right w:val="single" w:sz="8" w:space="0" w:color="auto"/>
            </w:tcBorders>
            <w:shd w:val="clear" w:color="000000" w:fill="C0C0C0"/>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 xml:space="preserve">  INDICE  GENERAL    </w:t>
            </w:r>
          </w:p>
        </w:tc>
        <w:tc>
          <w:tcPr>
            <w:tcW w:w="291" w:type="pct"/>
            <w:tcBorders>
              <w:top w:val="single" w:sz="8" w:space="0" w:color="auto"/>
              <w:left w:val="single" w:sz="4" w:space="0" w:color="auto"/>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112,0</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111,8</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111,8</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111,7</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112,3</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112,4</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112,3</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113,5</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113,2</w:t>
            </w:r>
          </w:p>
        </w:tc>
        <w:tc>
          <w:tcPr>
            <w:tcW w:w="291"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112,3</w:t>
            </w:r>
          </w:p>
        </w:tc>
        <w:tc>
          <w:tcPr>
            <w:tcW w:w="291"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112,4</w:t>
            </w:r>
          </w:p>
        </w:tc>
        <w:tc>
          <w:tcPr>
            <w:tcW w:w="291"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112,1</w:t>
            </w:r>
          </w:p>
        </w:tc>
        <w:tc>
          <w:tcPr>
            <w:tcW w:w="303"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112,3</w:t>
            </w:r>
          </w:p>
        </w:tc>
      </w:tr>
    </w:tbl>
    <w:p w:rsidR="00BB5DB3" w:rsidRPr="00483003" w:rsidRDefault="00BB5DB3" w:rsidP="00BB5DB3">
      <w:pPr>
        <w:pStyle w:val="Lgende"/>
        <w:rPr>
          <w:rFonts w:ascii="Times New Roman" w:hAnsi="Times New Roman"/>
          <w:i/>
          <w:iCs/>
          <w:sz w:val="22"/>
        </w:rPr>
      </w:pPr>
      <w:r w:rsidRPr="00483003">
        <w:rPr>
          <w:rFonts w:ascii="Times New Roman" w:hAnsi="Times New Roman"/>
          <w:i/>
          <w:iCs/>
          <w:sz w:val="22"/>
        </w:rPr>
        <w:t>Source : HCP</w:t>
      </w:r>
    </w:p>
    <w:p w:rsidR="000247A5" w:rsidRPr="00E678BE" w:rsidRDefault="000247A5" w:rsidP="00F7045D">
      <w:pPr>
        <w:rPr>
          <w:rFonts w:asciiTheme="majorBidi" w:hAnsiTheme="majorBidi" w:cstheme="majorBidi"/>
          <w:sz w:val="16"/>
          <w:szCs w:val="16"/>
        </w:rPr>
      </w:pPr>
    </w:p>
    <w:p w:rsidR="000247A5" w:rsidRPr="00E678BE" w:rsidRDefault="000247A5" w:rsidP="00F7045D">
      <w:pPr>
        <w:rPr>
          <w:rFonts w:asciiTheme="majorBidi" w:hAnsiTheme="majorBidi" w:cstheme="majorBidi"/>
          <w:sz w:val="16"/>
          <w:szCs w:val="16"/>
        </w:rPr>
      </w:pPr>
    </w:p>
    <w:tbl>
      <w:tblPr>
        <w:tblW w:w="5000" w:type="pct"/>
        <w:tblCellMar>
          <w:left w:w="70" w:type="dxa"/>
          <w:right w:w="70" w:type="dxa"/>
        </w:tblCellMar>
        <w:tblLook w:val="04A0"/>
      </w:tblPr>
      <w:tblGrid>
        <w:gridCol w:w="3265"/>
        <w:gridCol w:w="790"/>
        <w:gridCol w:w="790"/>
        <w:gridCol w:w="798"/>
        <w:gridCol w:w="790"/>
        <w:gridCol w:w="790"/>
        <w:gridCol w:w="790"/>
        <w:gridCol w:w="790"/>
        <w:gridCol w:w="790"/>
        <w:gridCol w:w="790"/>
        <w:gridCol w:w="790"/>
        <w:gridCol w:w="790"/>
        <w:gridCol w:w="790"/>
        <w:gridCol w:w="823"/>
      </w:tblGrid>
      <w:tr w:rsidR="000247A5" w:rsidRPr="00E678BE" w:rsidTr="000247A5">
        <w:trPr>
          <w:trHeight w:val="390"/>
        </w:trPr>
        <w:tc>
          <w:tcPr>
            <w:tcW w:w="5000" w:type="pct"/>
            <w:gridSpan w:val="14"/>
            <w:tcBorders>
              <w:top w:val="nil"/>
              <w:left w:val="nil"/>
              <w:bottom w:val="single" w:sz="8" w:space="0" w:color="auto"/>
              <w:right w:val="nil"/>
            </w:tcBorders>
            <w:shd w:val="clear" w:color="auto" w:fill="auto"/>
            <w:vAlign w:val="center"/>
            <w:hideMark/>
          </w:tcPr>
          <w:p w:rsidR="000247A5" w:rsidRPr="00E678BE" w:rsidRDefault="00E678BE" w:rsidP="007D6D8B">
            <w:pPr>
              <w:spacing w:after="0" w:line="240" w:lineRule="auto"/>
              <w:rPr>
                <w:rFonts w:asciiTheme="majorBidi" w:eastAsia="Times New Roman" w:hAnsiTheme="majorBidi" w:cstheme="majorBidi"/>
                <w:b/>
                <w:bCs/>
                <w:color w:val="4F81BD" w:themeColor="accent1"/>
                <w:lang w:eastAsia="fr-FR"/>
              </w:rPr>
            </w:pPr>
            <w:r>
              <w:lastRenderedPageBreak/>
              <w:br w:type="page"/>
            </w:r>
            <w:bookmarkStart w:id="53" w:name="_Toc515274119"/>
            <w:r w:rsidR="005405A4" w:rsidRPr="00E678BE">
              <w:rPr>
                <w:rFonts w:asciiTheme="majorBidi" w:hAnsiTheme="majorBidi" w:cstheme="majorBidi"/>
                <w:b/>
                <w:bCs/>
                <w:color w:val="4F81BD" w:themeColor="accent1"/>
              </w:rPr>
              <w:t xml:space="preserve">Tableau A </w:t>
            </w:r>
            <w:r w:rsidR="007D6D8B">
              <w:rPr>
                <w:rFonts w:asciiTheme="majorBidi" w:hAnsiTheme="majorBidi" w:cstheme="majorBidi"/>
                <w:b/>
                <w:bCs/>
                <w:color w:val="4F81BD" w:themeColor="accent1"/>
              </w:rPr>
              <w:t>9</w:t>
            </w:r>
            <w:r w:rsidR="005405A4" w:rsidRPr="00E678BE">
              <w:rPr>
                <w:rFonts w:asciiTheme="majorBidi" w:hAnsiTheme="majorBidi" w:cstheme="majorBidi"/>
                <w:b/>
                <w:bCs/>
                <w:color w:val="4F81BD" w:themeColor="accent1"/>
              </w:rPr>
              <w:t xml:space="preserve"> : </w:t>
            </w:r>
            <w:r w:rsidR="000247A5" w:rsidRPr="00E678BE">
              <w:rPr>
                <w:rFonts w:asciiTheme="majorBidi" w:eastAsia="Times New Roman" w:hAnsiTheme="majorBidi" w:cstheme="majorBidi"/>
                <w:b/>
                <w:bCs/>
                <w:color w:val="4F81BD" w:themeColor="accent1"/>
                <w:lang w:eastAsia="fr-FR"/>
              </w:rPr>
              <w:t xml:space="preserve">IPC de la ville de </w:t>
            </w:r>
            <w:proofErr w:type="spellStart"/>
            <w:r w:rsidR="000247A5" w:rsidRPr="00E678BE">
              <w:rPr>
                <w:rFonts w:asciiTheme="majorBidi" w:eastAsia="Times New Roman" w:hAnsiTheme="majorBidi" w:cstheme="majorBidi"/>
                <w:b/>
                <w:bCs/>
                <w:color w:val="4F81BD" w:themeColor="accent1"/>
                <w:lang w:eastAsia="fr-FR"/>
              </w:rPr>
              <w:t>Kénitra</w:t>
            </w:r>
            <w:proofErr w:type="spellEnd"/>
            <w:r w:rsidR="000247A5" w:rsidRPr="00E678BE">
              <w:rPr>
                <w:rFonts w:asciiTheme="majorBidi" w:eastAsia="Times New Roman" w:hAnsiTheme="majorBidi" w:cstheme="majorBidi"/>
                <w:b/>
                <w:bCs/>
                <w:color w:val="4F81BD" w:themeColor="accent1"/>
                <w:lang w:eastAsia="fr-FR"/>
              </w:rPr>
              <w:t xml:space="preserve"> par division et par mois</w:t>
            </w:r>
            <w:r w:rsidR="005405A4" w:rsidRPr="00E678BE">
              <w:rPr>
                <w:rFonts w:asciiTheme="majorBidi" w:eastAsia="Times New Roman" w:hAnsiTheme="majorBidi" w:cstheme="majorBidi"/>
                <w:b/>
                <w:bCs/>
                <w:color w:val="4F81BD" w:themeColor="accent1"/>
                <w:lang w:eastAsia="fr-FR"/>
              </w:rPr>
              <w:t xml:space="preserve"> </w:t>
            </w:r>
            <w:r w:rsidR="000247A5" w:rsidRPr="00E678BE">
              <w:rPr>
                <w:rFonts w:asciiTheme="majorBidi" w:eastAsia="Times New Roman" w:hAnsiTheme="majorBidi" w:cstheme="majorBidi"/>
                <w:b/>
                <w:bCs/>
                <w:color w:val="4F81BD" w:themeColor="accent1"/>
                <w:lang w:eastAsia="fr-FR"/>
              </w:rPr>
              <w:t>- Année 2012-</w:t>
            </w:r>
            <w:bookmarkEnd w:id="53"/>
          </w:p>
        </w:tc>
      </w:tr>
      <w:tr w:rsidR="000247A5" w:rsidRPr="00E678BE" w:rsidTr="00BD5911">
        <w:trPr>
          <w:trHeight w:val="330"/>
        </w:trPr>
        <w:tc>
          <w:tcPr>
            <w:tcW w:w="1202" w:type="pct"/>
            <w:tcBorders>
              <w:top w:val="nil"/>
              <w:left w:val="single" w:sz="4" w:space="0" w:color="auto"/>
              <w:bottom w:val="single" w:sz="8" w:space="0" w:color="auto"/>
              <w:right w:val="single" w:sz="8"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 xml:space="preserve"> DIVISIONS</w:t>
            </w:r>
          </w:p>
        </w:tc>
        <w:tc>
          <w:tcPr>
            <w:tcW w:w="291" w:type="pct"/>
            <w:tcBorders>
              <w:top w:val="nil"/>
              <w:left w:val="single" w:sz="4" w:space="0" w:color="auto"/>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Jan</w:t>
            </w:r>
          </w:p>
        </w:tc>
        <w:tc>
          <w:tcPr>
            <w:tcW w:w="291"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Fev</w:t>
            </w:r>
            <w:proofErr w:type="spellEnd"/>
          </w:p>
        </w:tc>
        <w:tc>
          <w:tcPr>
            <w:tcW w:w="294"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Mars</w:t>
            </w:r>
          </w:p>
        </w:tc>
        <w:tc>
          <w:tcPr>
            <w:tcW w:w="291"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Avr</w:t>
            </w:r>
            <w:proofErr w:type="spellEnd"/>
          </w:p>
        </w:tc>
        <w:tc>
          <w:tcPr>
            <w:tcW w:w="291"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Mai</w:t>
            </w:r>
          </w:p>
        </w:tc>
        <w:tc>
          <w:tcPr>
            <w:tcW w:w="291"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Juin</w:t>
            </w:r>
          </w:p>
        </w:tc>
        <w:tc>
          <w:tcPr>
            <w:tcW w:w="291"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Jul</w:t>
            </w:r>
            <w:proofErr w:type="spellEnd"/>
          </w:p>
        </w:tc>
        <w:tc>
          <w:tcPr>
            <w:tcW w:w="291"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Août</w:t>
            </w:r>
          </w:p>
        </w:tc>
        <w:tc>
          <w:tcPr>
            <w:tcW w:w="291"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Sep</w:t>
            </w:r>
          </w:p>
        </w:tc>
        <w:tc>
          <w:tcPr>
            <w:tcW w:w="291"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Oct</w:t>
            </w:r>
            <w:proofErr w:type="spellEnd"/>
          </w:p>
        </w:tc>
        <w:tc>
          <w:tcPr>
            <w:tcW w:w="291"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Nov</w:t>
            </w:r>
            <w:proofErr w:type="spellEnd"/>
          </w:p>
        </w:tc>
        <w:tc>
          <w:tcPr>
            <w:tcW w:w="291" w:type="pct"/>
            <w:tcBorders>
              <w:top w:val="nil"/>
              <w:left w:val="single" w:sz="8" w:space="0" w:color="auto"/>
              <w:bottom w:val="single" w:sz="8" w:space="0" w:color="auto"/>
              <w:right w:val="nil"/>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Dec</w:t>
            </w:r>
            <w:proofErr w:type="spellEnd"/>
          </w:p>
        </w:tc>
        <w:tc>
          <w:tcPr>
            <w:tcW w:w="303" w:type="pct"/>
            <w:tcBorders>
              <w:top w:val="nil"/>
              <w:left w:val="single" w:sz="8" w:space="0" w:color="auto"/>
              <w:bottom w:val="single" w:sz="8" w:space="0" w:color="auto"/>
              <w:right w:val="single" w:sz="8"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Moy</w:t>
            </w:r>
            <w:proofErr w:type="spellEnd"/>
          </w:p>
        </w:tc>
      </w:tr>
      <w:tr w:rsidR="000247A5" w:rsidRPr="00E678BE" w:rsidTr="008B74DA">
        <w:trPr>
          <w:trHeight w:val="651"/>
        </w:trPr>
        <w:tc>
          <w:tcPr>
            <w:tcW w:w="12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01. PRODUITS ALIMENTAIRES ET BOISSONS NON ALCOOLISÉES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117,6</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118,5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118,9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120,0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120,8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121,5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121,2</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119,1</w:t>
            </w:r>
          </w:p>
        </w:tc>
      </w:tr>
      <w:tr w:rsidR="000247A5" w:rsidRPr="00E678BE" w:rsidTr="008B74DA">
        <w:trPr>
          <w:trHeight w:val="557"/>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02. BOISSONS ALCOOLISÉES, TABAC ET STUPÉFIANTS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107,9</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107,8</w:t>
            </w:r>
          </w:p>
        </w:tc>
      </w:tr>
      <w:tr w:rsidR="000247A5" w:rsidRPr="00E678BE" w:rsidTr="008B74DA">
        <w:trPr>
          <w:trHeight w:val="564"/>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03. ARTICLES D'HABILLEMENT ET CHAUSSURES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107,5</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108,0</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107,8</w:t>
            </w:r>
          </w:p>
        </w:tc>
      </w:tr>
      <w:tr w:rsidR="000247A5" w:rsidRPr="00E678BE" w:rsidTr="00BD5911">
        <w:trPr>
          <w:trHeight w:val="705"/>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04. LOGEMENT, EAU, GAZ, ELECTRICITE ET AUTRES COMBUSTIBLES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101,3</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101,5</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101,3</w:t>
            </w:r>
          </w:p>
        </w:tc>
      </w:tr>
      <w:tr w:rsidR="000247A5" w:rsidRPr="00E678BE" w:rsidTr="008B74DA">
        <w:trPr>
          <w:trHeight w:val="696"/>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05. MEUBLES, ARTICLES DE MENAGE ET ENTRETIEN COURANT DU FOYER</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104,5</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103,7</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103,9</w:t>
            </w:r>
          </w:p>
        </w:tc>
      </w:tr>
      <w:tr w:rsidR="000247A5" w:rsidRPr="00E678BE" w:rsidTr="00BD5911">
        <w:trPr>
          <w:trHeight w:val="416"/>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06. SANTÉ</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106,2</w:t>
            </w:r>
          </w:p>
        </w:tc>
      </w:tr>
      <w:tr w:rsidR="000247A5" w:rsidRPr="00E678BE" w:rsidTr="00BD5911">
        <w:trPr>
          <w:trHeight w:val="421"/>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07. TRANSPORTS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104,0</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110,0</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107,0</w:t>
            </w:r>
          </w:p>
        </w:tc>
      </w:tr>
      <w:tr w:rsidR="000247A5" w:rsidRPr="00E678BE" w:rsidTr="00BD5911">
        <w:trPr>
          <w:trHeight w:val="413"/>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08. COMMUNICATIONS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81,9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81,9</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74,3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74,4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67,2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67,2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67,2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67,2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67,2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67,2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67,2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67,2</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70,8</w:t>
            </w:r>
          </w:p>
        </w:tc>
      </w:tr>
      <w:tr w:rsidR="000247A5" w:rsidRPr="00E678BE" w:rsidTr="00BD5911">
        <w:trPr>
          <w:trHeight w:val="419"/>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09. LOISIRS ET CULTURE</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95,9</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95,9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95,6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95,6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95,7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95,9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96,2</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95,9</w:t>
            </w:r>
          </w:p>
        </w:tc>
      </w:tr>
      <w:tr w:rsidR="000247A5" w:rsidRPr="00E678BE" w:rsidTr="00BD5911">
        <w:trPr>
          <w:trHeight w:val="411"/>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10. ENSEIGNEMENT</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110,0</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114,4</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111,5</w:t>
            </w:r>
          </w:p>
        </w:tc>
      </w:tr>
      <w:tr w:rsidR="000247A5" w:rsidRPr="00E678BE" w:rsidTr="00BD5911">
        <w:trPr>
          <w:trHeight w:val="418"/>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11. RESTAURANTS ET HÔTELS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117,0</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126,3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126,3</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119,4</w:t>
            </w:r>
          </w:p>
        </w:tc>
      </w:tr>
      <w:tr w:rsidR="000247A5" w:rsidRPr="00E678BE" w:rsidTr="00BD5911">
        <w:trPr>
          <w:trHeight w:val="565"/>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12. BIENS ET SERVICES DIVERS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113,4</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114,6</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113,9</w:t>
            </w:r>
          </w:p>
        </w:tc>
      </w:tr>
      <w:tr w:rsidR="000247A5" w:rsidRPr="00E678BE" w:rsidTr="00BD5911">
        <w:trPr>
          <w:trHeight w:val="535"/>
        </w:trPr>
        <w:tc>
          <w:tcPr>
            <w:tcW w:w="1202" w:type="pct"/>
            <w:tcBorders>
              <w:top w:val="single" w:sz="8" w:space="0" w:color="auto"/>
              <w:left w:val="single" w:sz="4" w:space="0" w:color="auto"/>
              <w:bottom w:val="single" w:sz="8" w:space="0" w:color="auto"/>
              <w:right w:val="single" w:sz="8" w:space="0" w:color="auto"/>
            </w:tcBorders>
            <w:shd w:val="clear" w:color="000000" w:fill="C0C0C0"/>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 xml:space="preserve">  INDICE  GENERAL    </w:t>
            </w:r>
          </w:p>
        </w:tc>
        <w:tc>
          <w:tcPr>
            <w:tcW w:w="291" w:type="pct"/>
            <w:tcBorders>
              <w:top w:val="single" w:sz="8" w:space="0" w:color="auto"/>
              <w:left w:val="single" w:sz="4" w:space="0" w:color="auto"/>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109,3</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109,5</w:t>
            </w:r>
          </w:p>
        </w:tc>
        <w:tc>
          <w:tcPr>
            <w:tcW w:w="294"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109,3</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108,7</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109,1</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109,9</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110,1</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110,7</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111,2</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112,2</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111,8</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111,7</w:t>
            </w:r>
          </w:p>
        </w:tc>
        <w:tc>
          <w:tcPr>
            <w:tcW w:w="303"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110,3</w:t>
            </w:r>
          </w:p>
        </w:tc>
      </w:tr>
    </w:tbl>
    <w:p w:rsidR="00BB5DB3" w:rsidRPr="00483003" w:rsidRDefault="00BB5DB3" w:rsidP="00BB5DB3">
      <w:pPr>
        <w:pStyle w:val="Lgende"/>
        <w:rPr>
          <w:rFonts w:ascii="Times New Roman" w:hAnsi="Times New Roman"/>
          <w:i/>
          <w:iCs/>
          <w:sz w:val="22"/>
        </w:rPr>
      </w:pPr>
      <w:r w:rsidRPr="00483003">
        <w:rPr>
          <w:rFonts w:ascii="Times New Roman" w:hAnsi="Times New Roman"/>
          <w:i/>
          <w:iCs/>
          <w:sz w:val="22"/>
        </w:rPr>
        <w:t>Source : HCP</w:t>
      </w:r>
    </w:p>
    <w:p w:rsidR="000247A5" w:rsidRPr="00E678BE" w:rsidRDefault="000247A5" w:rsidP="00F7045D">
      <w:pPr>
        <w:rPr>
          <w:rFonts w:asciiTheme="majorBidi" w:hAnsiTheme="majorBidi" w:cstheme="majorBidi"/>
          <w:sz w:val="16"/>
          <w:szCs w:val="16"/>
        </w:rPr>
      </w:pPr>
    </w:p>
    <w:p w:rsidR="008B74DA" w:rsidRDefault="008B74DA">
      <w:r>
        <w:br w:type="page"/>
      </w:r>
    </w:p>
    <w:tbl>
      <w:tblPr>
        <w:tblW w:w="5000" w:type="pct"/>
        <w:tblCellMar>
          <w:left w:w="70" w:type="dxa"/>
          <w:right w:w="70" w:type="dxa"/>
        </w:tblCellMar>
        <w:tblLook w:val="04A0"/>
      </w:tblPr>
      <w:tblGrid>
        <w:gridCol w:w="3265"/>
        <w:gridCol w:w="790"/>
        <w:gridCol w:w="790"/>
        <w:gridCol w:w="798"/>
        <w:gridCol w:w="790"/>
        <w:gridCol w:w="790"/>
        <w:gridCol w:w="790"/>
        <w:gridCol w:w="790"/>
        <w:gridCol w:w="790"/>
        <w:gridCol w:w="790"/>
        <w:gridCol w:w="790"/>
        <w:gridCol w:w="790"/>
        <w:gridCol w:w="790"/>
        <w:gridCol w:w="823"/>
      </w:tblGrid>
      <w:tr w:rsidR="00861415" w:rsidRPr="00E678BE" w:rsidTr="00861415">
        <w:trPr>
          <w:trHeight w:val="390"/>
        </w:trPr>
        <w:tc>
          <w:tcPr>
            <w:tcW w:w="5000" w:type="pct"/>
            <w:gridSpan w:val="14"/>
            <w:tcBorders>
              <w:top w:val="nil"/>
              <w:left w:val="nil"/>
              <w:bottom w:val="single" w:sz="8" w:space="0" w:color="auto"/>
              <w:right w:val="nil"/>
            </w:tcBorders>
            <w:shd w:val="clear" w:color="auto" w:fill="auto"/>
            <w:vAlign w:val="center"/>
            <w:hideMark/>
          </w:tcPr>
          <w:p w:rsidR="00861415" w:rsidRPr="00E678BE" w:rsidRDefault="001F4DDA" w:rsidP="007D6D8B">
            <w:pPr>
              <w:spacing w:after="0" w:line="240" w:lineRule="auto"/>
              <w:rPr>
                <w:rFonts w:asciiTheme="majorBidi" w:eastAsia="Times New Roman" w:hAnsiTheme="majorBidi" w:cstheme="majorBidi"/>
                <w:b/>
                <w:bCs/>
                <w:color w:val="548DD4" w:themeColor="text2" w:themeTint="99"/>
                <w:sz w:val="24"/>
                <w:szCs w:val="24"/>
                <w:lang w:eastAsia="fr-FR"/>
              </w:rPr>
            </w:pPr>
            <w:r>
              <w:lastRenderedPageBreak/>
              <w:br w:type="page"/>
            </w:r>
            <w:bookmarkStart w:id="54" w:name="_Toc515274120"/>
            <w:r w:rsidR="005405A4" w:rsidRPr="00E678BE">
              <w:rPr>
                <w:rFonts w:asciiTheme="majorBidi" w:hAnsiTheme="majorBidi" w:cstheme="majorBidi"/>
                <w:b/>
                <w:bCs/>
                <w:color w:val="4F81BD" w:themeColor="accent1"/>
              </w:rPr>
              <w:t xml:space="preserve">Tableau A </w:t>
            </w:r>
            <w:r w:rsidR="007D6D8B">
              <w:rPr>
                <w:rFonts w:asciiTheme="majorBidi" w:hAnsiTheme="majorBidi" w:cstheme="majorBidi"/>
                <w:b/>
                <w:bCs/>
                <w:color w:val="4F81BD" w:themeColor="accent1"/>
              </w:rPr>
              <w:t>10</w:t>
            </w:r>
            <w:r w:rsidR="005405A4" w:rsidRPr="00E678BE">
              <w:rPr>
                <w:rFonts w:asciiTheme="majorBidi" w:hAnsiTheme="majorBidi" w:cstheme="majorBidi"/>
                <w:b/>
                <w:bCs/>
                <w:color w:val="4F81BD" w:themeColor="accent1"/>
              </w:rPr>
              <w:t xml:space="preserve"> : </w:t>
            </w:r>
            <w:r w:rsidR="00861415" w:rsidRPr="00E678BE">
              <w:rPr>
                <w:rFonts w:asciiTheme="majorBidi" w:eastAsia="Times New Roman" w:hAnsiTheme="majorBidi" w:cstheme="majorBidi"/>
                <w:b/>
                <w:bCs/>
                <w:color w:val="4F81BD" w:themeColor="accent1"/>
                <w:lang w:eastAsia="fr-FR"/>
              </w:rPr>
              <w:t xml:space="preserve">IPC de la ville de </w:t>
            </w:r>
            <w:proofErr w:type="spellStart"/>
            <w:r w:rsidR="00861415" w:rsidRPr="00E678BE">
              <w:rPr>
                <w:rFonts w:asciiTheme="majorBidi" w:eastAsia="Times New Roman" w:hAnsiTheme="majorBidi" w:cstheme="majorBidi"/>
                <w:b/>
                <w:bCs/>
                <w:color w:val="4F81BD" w:themeColor="accent1"/>
                <w:lang w:eastAsia="fr-FR"/>
              </w:rPr>
              <w:t>Kénitra</w:t>
            </w:r>
            <w:proofErr w:type="spellEnd"/>
            <w:r w:rsidR="00861415" w:rsidRPr="00E678BE">
              <w:rPr>
                <w:rFonts w:asciiTheme="majorBidi" w:eastAsia="Times New Roman" w:hAnsiTheme="majorBidi" w:cstheme="majorBidi"/>
                <w:b/>
                <w:bCs/>
                <w:color w:val="4F81BD" w:themeColor="accent1"/>
                <w:lang w:eastAsia="fr-FR"/>
              </w:rPr>
              <w:t xml:space="preserve"> par division et par mois</w:t>
            </w:r>
            <w:r w:rsidR="00F67E78" w:rsidRPr="00E678BE">
              <w:rPr>
                <w:rFonts w:asciiTheme="majorBidi" w:eastAsia="Times New Roman" w:hAnsiTheme="majorBidi" w:cstheme="majorBidi"/>
                <w:b/>
                <w:bCs/>
                <w:color w:val="4F81BD" w:themeColor="accent1"/>
                <w:lang w:eastAsia="fr-FR"/>
              </w:rPr>
              <w:t xml:space="preserve"> </w:t>
            </w:r>
            <w:r w:rsidR="00861415" w:rsidRPr="00E678BE">
              <w:rPr>
                <w:rFonts w:asciiTheme="majorBidi" w:eastAsia="Times New Roman" w:hAnsiTheme="majorBidi" w:cstheme="majorBidi"/>
                <w:b/>
                <w:bCs/>
                <w:color w:val="4F81BD" w:themeColor="accent1"/>
                <w:lang w:eastAsia="fr-FR"/>
              </w:rPr>
              <w:t>- Année 2011</w:t>
            </w:r>
            <w:r w:rsidR="00861415" w:rsidRPr="00E678BE">
              <w:rPr>
                <w:rFonts w:asciiTheme="majorBidi" w:eastAsia="Times New Roman" w:hAnsiTheme="majorBidi" w:cstheme="majorBidi"/>
                <w:b/>
                <w:bCs/>
                <w:color w:val="548DD4" w:themeColor="text2" w:themeTint="99"/>
                <w:sz w:val="24"/>
                <w:szCs w:val="24"/>
                <w:lang w:eastAsia="fr-FR"/>
              </w:rPr>
              <w:t>-</w:t>
            </w:r>
            <w:bookmarkEnd w:id="54"/>
          </w:p>
        </w:tc>
      </w:tr>
      <w:tr w:rsidR="00861415" w:rsidRPr="00E678BE" w:rsidTr="00BD5911">
        <w:trPr>
          <w:trHeight w:val="330"/>
        </w:trPr>
        <w:tc>
          <w:tcPr>
            <w:tcW w:w="1202" w:type="pct"/>
            <w:tcBorders>
              <w:top w:val="nil"/>
              <w:left w:val="single" w:sz="4" w:space="0" w:color="auto"/>
              <w:bottom w:val="single" w:sz="8" w:space="0" w:color="auto"/>
              <w:right w:val="single" w:sz="8"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 xml:space="preserve"> DIVISIONS</w:t>
            </w:r>
          </w:p>
        </w:tc>
        <w:tc>
          <w:tcPr>
            <w:tcW w:w="291" w:type="pct"/>
            <w:tcBorders>
              <w:top w:val="nil"/>
              <w:left w:val="single" w:sz="4" w:space="0" w:color="auto"/>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Jan</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Fev</w:t>
            </w:r>
            <w:proofErr w:type="spellEnd"/>
          </w:p>
        </w:tc>
        <w:tc>
          <w:tcPr>
            <w:tcW w:w="294"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Mars</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Avr</w:t>
            </w:r>
            <w:proofErr w:type="spellEnd"/>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Mai</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Juin</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Jul</w:t>
            </w:r>
            <w:proofErr w:type="spellEnd"/>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Août</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Sep</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Oct</w:t>
            </w:r>
            <w:proofErr w:type="spellEnd"/>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Nov</w:t>
            </w:r>
            <w:proofErr w:type="spellEnd"/>
          </w:p>
        </w:tc>
        <w:tc>
          <w:tcPr>
            <w:tcW w:w="291" w:type="pct"/>
            <w:tcBorders>
              <w:top w:val="nil"/>
              <w:left w:val="single" w:sz="8" w:space="0" w:color="auto"/>
              <w:bottom w:val="single" w:sz="8" w:space="0" w:color="auto"/>
              <w:right w:val="nil"/>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Dec</w:t>
            </w:r>
            <w:proofErr w:type="spellEnd"/>
          </w:p>
        </w:tc>
        <w:tc>
          <w:tcPr>
            <w:tcW w:w="303" w:type="pct"/>
            <w:tcBorders>
              <w:top w:val="nil"/>
              <w:left w:val="single" w:sz="8" w:space="0" w:color="auto"/>
              <w:bottom w:val="single" w:sz="8" w:space="0" w:color="auto"/>
              <w:right w:val="single" w:sz="8"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Moy</w:t>
            </w:r>
            <w:proofErr w:type="spellEnd"/>
          </w:p>
        </w:tc>
      </w:tr>
      <w:tr w:rsidR="00861415" w:rsidRPr="00E678BE" w:rsidTr="008B74DA">
        <w:trPr>
          <w:trHeight w:val="651"/>
        </w:trPr>
        <w:tc>
          <w:tcPr>
            <w:tcW w:w="12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01. PRODUITS ALIMENTAIRES ET BOISSONS NON ALCOOLISÉES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117,9</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118,1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119,3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120,4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119,4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118,3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116,4</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117,2</w:t>
            </w:r>
          </w:p>
        </w:tc>
      </w:tr>
      <w:tr w:rsidR="00861415" w:rsidRPr="00E678BE" w:rsidTr="008B74DA">
        <w:trPr>
          <w:trHeight w:val="557"/>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02. BOISSONS ALCOOLISÉES, TABAC ET STUPÉFIANTS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107,8</w:t>
            </w:r>
          </w:p>
        </w:tc>
      </w:tr>
      <w:tr w:rsidR="00861415" w:rsidRPr="00E678BE" w:rsidTr="00BD5911">
        <w:trPr>
          <w:trHeight w:val="563"/>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03. ARTICLES D'HABILLEMENT ET CHAUSSURES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105,5</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107,3</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106,4</w:t>
            </w:r>
          </w:p>
        </w:tc>
      </w:tr>
      <w:tr w:rsidR="00861415" w:rsidRPr="00E678BE" w:rsidTr="008B74DA">
        <w:trPr>
          <w:trHeight w:val="687"/>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04. LOGEMENT, EAU, GAZ, ELECTRICITE ET AUTRES COMBUSTIBLES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101,2</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101,3</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101,2</w:t>
            </w:r>
          </w:p>
        </w:tc>
      </w:tr>
      <w:tr w:rsidR="00861415" w:rsidRPr="00E678BE" w:rsidTr="00BD5911">
        <w:trPr>
          <w:trHeight w:val="711"/>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05. MEUBLES, ARTICLES DE MENAGE ET ENTRETIEN COURANT DU FOYER</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103,7</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104,4</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104,2</w:t>
            </w:r>
          </w:p>
        </w:tc>
      </w:tr>
      <w:tr w:rsidR="00861415" w:rsidRPr="00E678BE" w:rsidTr="008B74DA">
        <w:trPr>
          <w:trHeight w:val="565"/>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06. SANTÉ</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103,5</w:t>
            </w:r>
          </w:p>
        </w:tc>
      </w:tr>
      <w:tr w:rsidR="00861415" w:rsidRPr="00E678BE" w:rsidTr="00BD5911">
        <w:trPr>
          <w:trHeight w:val="415"/>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07. TRANSPORTS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102,5</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104,0</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102,7</w:t>
            </w:r>
          </w:p>
        </w:tc>
      </w:tr>
      <w:tr w:rsidR="00861415" w:rsidRPr="00E678BE" w:rsidTr="00BD5911">
        <w:trPr>
          <w:trHeight w:val="421"/>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08. COMMUNICATIONS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91,7</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81,9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81,9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81,9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81,9</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88,4</w:t>
            </w:r>
          </w:p>
        </w:tc>
      </w:tr>
      <w:tr w:rsidR="00861415" w:rsidRPr="00E678BE" w:rsidTr="00BD5911">
        <w:trPr>
          <w:trHeight w:val="429"/>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09. LOISIRS ET CULTURE</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98,6</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97,9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97,6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97,5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96,0</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97,9</w:t>
            </w:r>
          </w:p>
        </w:tc>
      </w:tr>
      <w:tr w:rsidR="00861415" w:rsidRPr="00E678BE" w:rsidTr="00BD5911">
        <w:trPr>
          <w:trHeight w:val="405"/>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10. ENSEIGNEMENT</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110,0</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106,9</w:t>
            </w:r>
          </w:p>
        </w:tc>
      </w:tr>
      <w:tr w:rsidR="00861415" w:rsidRPr="00E678BE" w:rsidTr="00BD5911">
        <w:trPr>
          <w:trHeight w:val="553"/>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11. RESTAURANTS ET HÔTELS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113,2</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117,0</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114,6</w:t>
            </w:r>
          </w:p>
        </w:tc>
      </w:tr>
      <w:tr w:rsidR="00861415" w:rsidRPr="00E678BE" w:rsidTr="00BD5911">
        <w:trPr>
          <w:trHeight w:val="547"/>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12. BIENS ET SERVICES DIVERS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112,9</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112,9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112,9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112,9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112,9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112,9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113,4</w:t>
            </w:r>
          </w:p>
        </w:tc>
        <w:tc>
          <w:tcPr>
            <w:tcW w:w="303" w:type="pct"/>
            <w:tcBorders>
              <w:top w:val="nil"/>
              <w:left w:val="nil"/>
              <w:bottom w:val="nil"/>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112,6</w:t>
            </w:r>
          </w:p>
        </w:tc>
      </w:tr>
      <w:tr w:rsidR="00861415" w:rsidRPr="00E678BE" w:rsidTr="00BD5911">
        <w:trPr>
          <w:trHeight w:val="545"/>
        </w:trPr>
        <w:tc>
          <w:tcPr>
            <w:tcW w:w="1202" w:type="pct"/>
            <w:tcBorders>
              <w:top w:val="single" w:sz="8" w:space="0" w:color="auto"/>
              <w:left w:val="single" w:sz="4" w:space="0" w:color="auto"/>
              <w:bottom w:val="single" w:sz="8" w:space="0" w:color="auto"/>
              <w:right w:val="single" w:sz="8" w:space="0" w:color="auto"/>
            </w:tcBorders>
            <w:shd w:val="clear" w:color="000000" w:fill="C0C0C0"/>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 xml:space="preserve">  INDICE  GENERAL    </w:t>
            </w:r>
          </w:p>
        </w:tc>
        <w:tc>
          <w:tcPr>
            <w:tcW w:w="291" w:type="pct"/>
            <w:tcBorders>
              <w:top w:val="single" w:sz="8" w:space="0" w:color="auto"/>
              <w:left w:val="single" w:sz="4" w:space="0" w:color="auto"/>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107,9</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109,1</w:t>
            </w:r>
          </w:p>
        </w:tc>
        <w:tc>
          <w:tcPr>
            <w:tcW w:w="294"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109,2</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107,9</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108,5</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108,0</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108,3</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109,8</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110,3</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109,9</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109,5</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109,1</w:t>
            </w:r>
          </w:p>
        </w:tc>
        <w:tc>
          <w:tcPr>
            <w:tcW w:w="303" w:type="pct"/>
            <w:tcBorders>
              <w:top w:val="single" w:sz="8" w:space="0" w:color="auto"/>
              <w:left w:val="nil"/>
              <w:bottom w:val="single" w:sz="8" w:space="0" w:color="auto"/>
              <w:right w:val="single" w:sz="8" w:space="0" w:color="auto"/>
            </w:tcBorders>
            <w:shd w:val="clear" w:color="000000" w:fill="BFBFBF"/>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109,0</w:t>
            </w:r>
          </w:p>
        </w:tc>
      </w:tr>
    </w:tbl>
    <w:p w:rsidR="00BB5DB3" w:rsidRPr="00483003" w:rsidRDefault="00BB5DB3" w:rsidP="00BB5DB3">
      <w:pPr>
        <w:pStyle w:val="Lgende"/>
        <w:rPr>
          <w:rFonts w:ascii="Times New Roman" w:hAnsi="Times New Roman"/>
          <w:i/>
          <w:iCs/>
          <w:sz w:val="22"/>
        </w:rPr>
      </w:pPr>
      <w:r w:rsidRPr="00483003">
        <w:rPr>
          <w:rFonts w:ascii="Times New Roman" w:hAnsi="Times New Roman"/>
          <w:i/>
          <w:iCs/>
          <w:sz w:val="22"/>
        </w:rPr>
        <w:t>Source : HCP</w:t>
      </w:r>
    </w:p>
    <w:p w:rsidR="000247A5" w:rsidRPr="00E678BE" w:rsidRDefault="000247A5" w:rsidP="00F7045D">
      <w:pPr>
        <w:rPr>
          <w:rFonts w:asciiTheme="majorBidi" w:hAnsiTheme="majorBidi" w:cstheme="majorBidi"/>
          <w:sz w:val="16"/>
          <w:szCs w:val="16"/>
        </w:rPr>
      </w:pPr>
    </w:p>
    <w:p w:rsidR="001F4DDA" w:rsidRDefault="001F4DDA">
      <w:r>
        <w:br w:type="page"/>
      </w:r>
    </w:p>
    <w:tbl>
      <w:tblPr>
        <w:tblW w:w="5000" w:type="pct"/>
        <w:tblCellMar>
          <w:left w:w="70" w:type="dxa"/>
          <w:right w:w="70" w:type="dxa"/>
        </w:tblCellMar>
        <w:tblLook w:val="04A0"/>
      </w:tblPr>
      <w:tblGrid>
        <w:gridCol w:w="3265"/>
        <w:gridCol w:w="790"/>
        <w:gridCol w:w="790"/>
        <w:gridCol w:w="798"/>
        <w:gridCol w:w="790"/>
        <w:gridCol w:w="790"/>
        <w:gridCol w:w="790"/>
        <w:gridCol w:w="790"/>
        <w:gridCol w:w="790"/>
        <w:gridCol w:w="790"/>
        <w:gridCol w:w="790"/>
        <w:gridCol w:w="790"/>
        <w:gridCol w:w="790"/>
        <w:gridCol w:w="823"/>
      </w:tblGrid>
      <w:tr w:rsidR="00861415" w:rsidRPr="00E678BE" w:rsidTr="00861415">
        <w:trPr>
          <w:trHeight w:val="390"/>
        </w:trPr>
        <w:tc>
          <w:tcPr>
            <w:tcW w:w="5000" w:type="pct"/>
            <w:gridSpan w:val="14"/>
            <w:tcBorders>
              <w:top w:val="nil"/>
              <w:left w:val="nil"/>
              <w:bottom w:val="single" w:sz="8" w:space="0" w:color="auto"/>
              <w:right w:val="nil"/>
            </w:tcBorders>
            <w:shd w:val="clear" w:color="auto" w:fill="auto"/>
            <w:vAlign w:val="center"/>
            <w:hideMark/>
          </w:tcPr>
          <w:p w:rsidR="00861415" w:rsidRPr="00E678BE" w:rsidRDefault="005405A4" w:rsidP="007D6D8B">
            <w:pPr>
              <w:spacing w:after="0" w:line="240" w:lineRule="auto"/>
              <w:rPr>
                <w:rFonts w:asciiTheme="majorBidi" w:eastAsia="Times New Roman" w:hAnsiTheme="majorBidi" w:cstheme="majorBidi"/>
                <w:b/>
                <w:bCs/>
                <w:color w:val="4F81BD" w:themeColor="accent1"/>
                <w:lang w:eastAsia="fr-FR"/>
              </w:rPr>
            </w:pPr>
            <w:bookmarkStart w:id="55" w:name="_Toc515274121"/>
            <w:r w:rsidRPr="00E678BE">
              <w:rPr>
                <w:rFonts w:asciiTheme="majorBidi" w:hAnsiTheme="majorBidi" w:cstheme="majorBidi"/>
                <w:b/>
                <w:bCs/>
                <w:color w:val="4F81BD" w:themeColor="accent1"/>
              </w:rPr>
              <w:lastRenderedPageBreak/>
              <w:t>Tableau A</w:t>
            </w:r>
            <w:r w:rsidR="007D6D8B">
              <w:rPr>
                <w:rFonts w:asciiTheme="majorBidi" w:hAnsiTheme="majorBidi" w:cstheme="majorBidi"/>
                <w:b/>
                <w:bCs/>
                <w:color w:val="4F81BD" w:themeColor="accent1"/>
              </w:rPr>
              <w:t>11</w:t>
            </w:r>
            <w:r w:rsidRPr="00E678BE">
              <w:rPr>
                <w:rFonts w:asciiTheme="majorBidi" w:hAnsiTheme="majorBidi" w:cstheme="majorBidi"/>
                <w:b/>
                <w:bCs/>
                <w:color w:val="4F81BD" w:themeColor="accent1"/>
              </w:rPr>
              <w:t xml:space="preserve"> : </w:t>
            </w:r>
            <w:r w:rsidR="00861415" w:rsidRPr="00E678BE">
              <w:rPr>
                <w:rFonts w:asciiTheme="majorBidi" w:eastAsia="Times New Roman" w:hAnsiTheme="majorBidi" w:cstheme="majorBidi"/>
                <w:b/>
                <w:bCs/>
                <w:color w:val="4F81BD" w:themeColor="accent1"/>
                <w:lang w:eastAsia="fr-FR"/>
              </w:rPr>
              <w:t xml:space="preserve">IPC de la ville de </w:t>
            </w:r>
            <w:proofErr w:type="spellStart"/>
            <w:r w:rsidR="00861415" w:rsidRPr="00E678BE">
              <w:rPr>
                <w:rFonts w:asciiTheme="majorBidi" w:eastAsia="Times New Roman" w:hAnsiTheme="majorBidi" w:cstheme="majorBidi"/>
                <w:b/>
                <w:bCs/>
                <w:color w:val="4F81BD" w:themeColor="accent1"/>
                <w:lang w:eastAsia="fr-FR"/>
              </w:rPr>
              <w:t>Kénitra</w:t>
            </w:r>
            <w:proofErr w:type="spellEnd"/>
            <w:r w:rsidR="00861415" w:rsidRPr="00E678BE">
              <w:rPr>
                <w:rFonts w:asciiTheme="majorBidi" w:eastAsia="Times New Roman" w:hAnsiTheme="majorBidi" w:cstheme="majorBidi"/>
                <w:b/>
                <w:bCs/>
                <w:color w:val="4F81BD" w:themeColor="accent1"/>
                <w:lang w:eastAsia="fr-FR"/>
              </w:rPr>
              <w:t xml:space="preserve"> par division et par mois</w:t>
            </w:r>
            <w:r w:rsidR="00F67E78" w:rsidRPr="00E678BE">
              <w:rPr>
                <w:rFonts w:asciiTheme="majorBidi" w:eastAsia="Times New Roman" w:hAnsiTheme="majorBidi" w:cstheme="majorBidi"/>
                <w:b/>
                <w:bCs/>
                <w:color w:val="4F81BD" w:themeColor="accent1"/>
                <w:lang w:eastAsia="fr-FR"/>
              </w:rPr>
              <w:t xml:space="preserve"> </w:t>
            </w:r>
            <w:r w:rsidR="00861415" w:rsidRPr="00E678BE">
              <w:rPr>
                <w:rFonts w:asciiTheme="majorBidi" w:eastAsia="Times New Roman" w:hAnsiTheme="majorBidi" w:cstheme="majorBidi"/>
                <w:b/>
                <w:bCs/>
                <w:color w:val="4F81BD" w:themeColor="accent1"/>
                <w:lang w:eastAsia="fr-FR"/>
              </w:rPr>
              <w:t>- Année 2010</w:t>
            </w:r>
            <w:r w:rsidR="00F67E78" w:rsidRPr="00E678BE">
              <w:rPr>
                <w:rFonts w:asciiTheme="majorBidi" w:eastAsia="Times New Roman" w:hAnsiTheme="majorBidi" w:cstheme="majorBidi"/>
                <w:b/>
                <w:bCs/>
                <w:color w:val="4F81BD" w:themeColor="accent1"/>
                <w:lang w:eastAsia="fr-FR"/>
              </w:rPr>
              <w:t xml:space="preserve"> </w:t>
            </w:r>
            <w:r w:rsidR="00861415" w:rsidRPr="00E678BE">
              <w:rPr>
                <w:rFonts w:asciiTheme="majorBidi" w:eastAsia="Times New Roman" w:hAnsiTheme="majorBidi" w:cstheme="majorBidi"/>
                <w:b/>
                <w:bCs/>
                <w:color w:val="4F81BD" w:themeColor="accent1"/>
                <w:lang w:eastAsia="fr-FR"/>
              </w:rPr>
              <w:t>-</w:t>
            </w:r>
            <w:bookmarkEnd w:id="55"/>
          </w:p>
        </w:tc>
      </w:tr>
      <w:tr w:rsidR="00861415" w:rsidRPr="00E678BE" w:rsidTr="00BB5DB3">
        <w:trPr>
          <w:trHeight w:val="444"/>
        </w:trPr>
        <w:tc>
          <w:tcPr>
            <w:tcW w:w="1202" w:type="pct"/>
            <w:tcBorders>
              <w:top w:val="nil"/>
              <w:left w:val="single" w:sz="4" w:space="0" w:color="auto"/>
              <w:bottom w:val="single" w:sz="8" w:space="0" w:color="auto"/>
              <w:right w:val="single" w:sz="8"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 xml:space="preserve"> DIVISIONS</w:t>
            </w:r>
          </w:p>
        </w:tc>
        <w:tc>
          <w:tcPr>
            <w:tcW w:w="291" w:type="pct"/>
            <w:tcBorders>
              <w:top w:val="nil"/>
              <w:left w:val="single" w:sz="4" w:space="0" w:color="auto"/>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Jan</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Fev</w:t>
            </w:r>
            <w:proofErr w:type="spellEnd"/>
          </w:p>
        </w:tc>
        <w:tc>
          <w:tcPr>
            <w:tcW w:w="294"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Mars</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Avr</w:t>
            </w:r>
            <w:proofErr w:type="spellEnd"/>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Mai</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Juin</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Jul</w:t>
            </w:r>
            <w:proofErr w:type="spellEnd"/>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Août</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Sep</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Oct</w:t>
            </w:r>
            <w:proofErr w:type="spellEnd"/>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Nov</w:t>
            </w:r>
            <w:proofErr w:type="spellEnd"/>
          </w:p>
        </w:tc>
        <w:tc>
          <w:tcPr>
            <w:tcW w:w="291" w:type="pct"/>
            <w:tcBorders>
              <w:top w:val="nil"/>
              <w:left w:val="single" w:sz="8" w:space="0" w:color="auto"/>
              <w:bottom w:val="single" w:sz="8" w:space="0" w:color="auto"/>
              <w:right w:val="nil"/>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Dec</w:t>
            </w:r>
            <w:proofErr w:type="spellEnd"/>
          </w:p>
        </w:tc>
        <w:tc>
          <w:tcPr>
            <w:tcW w:w="303" w:type="pct"/>
            <w:tcBorders>
              <w:top w:val="nil"/>
              <w:left w:val="single" w:sz="8" w:space="0" w:color="auto"/>
              <w:bottom w:val="single" w:sz="8" w:space="0" w:color="auto"/>
              <w:right w:val="single" w:sz="8"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Moy</w:t>
            </w:r>
            <w:proofErr w:type="spellEnd"/>
          </w:p>
        </w:tc>
      </w:tr>
      <w:tr w:rsidR="00861415" w:rsidRPr="00E678BE" w:rsidTr="00BB5DB3">
        <w:trPr>
          <w:trHeight w:val="553"/>
        </w:trPr>
        <w:tc>
          <w:tcPr>
            <w:tcW w:w="12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01. PRODUITS ALIMENTAIRES ET BOISSONS NON ALCOOLISÉES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111,5</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112,4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114,6</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114,0</w:t>
            </w:r>
          </w:p>
        </w:tc>
      </w:tr>
      <w:tr w:rsidR="00861415" w:rsidRPr="00E678BE" w:rsidTr="00BB5DB3">
        <w:trPr>
          <w:trHeight w:val="543"/>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02. BOISSONS ALCOOLISÉES, TABAC ET STUPÉFIANTS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107,8</w:t>
            </w:r>
          </w:p>
        </w:tc>
      </w:tr>
      <w:tr w:rsidR="00861415" w:rsidRPr="00E678BE" w:rsidTr="00BB5DB3">
        <w:trPr>
          <w:trHeight w:val="551"/>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03. ARTICLES D'HABILLEMENT ET CHAUSSURES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105,7</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104,9</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105,4</w:t>
            </w:r>
          </w:p>
        </w:tc>
      </w:tr>
      <w:tr w:rsidR="00861415" w:rsidRPr="00E678BE" w:rsidTr="00BB5DB3">
        <w:trPr>
          <w:trHeight w:val="678"/>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04. LOGEMENT, EAU, GAZ, ELECTRICITE ET AUTRES COMBUSTIBLES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101,0</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101,2</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101,1</w:t>
            </w:r>
          </w:p>
        </w:tc>
      </w:tr>
      <w:tr w:rsidR="00861415" w:rsidRPr="00E678BE" w:rsidTr="00BB5DB3">
        <w:trPr>
          <w:trHeight w:val="725"/>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05. MEUBLES, ARTICLES DE MENAGE ET ENTRETIEN COURANT DU FOYER</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104,7</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103,6</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103,9</w:t>
            </w:r>
          </w:p>
        </w:tc>
      </w:tr>
      <w:tr w:rsidR="00861415" w:rsidRPr="00E678BE" w:rsidTr="00BB5DB3">
        <w:trPr>
          <w:trHeight w:val="417"/>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06. SANTÉ</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103,2</w:t>
            </w:r>
          </w:p>
        </w:tc>
      </w:tr>
      <w:tr w:rsidR="00861415" w:rsidRPr="00E678BE" w:rsidTr="00BB5DB3">
        <w:trPr>
          <w:trHeight w:val="409"/>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07. TRANSPORTS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102,4</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102,2</w:t>
            </w:r>
          </w:p>
        </w:tc>
      </w:tr>
      <w:tr w:rsidR="00861415" w:rsidRPr="00E678BE" w:rsidTr="00BB5DB3">
        <w:trPr>
          <w:trHeight w:val="415"/>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08. COMMUNICATIONS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92,7</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91,7</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92,5</w:t>
            </w:r>
          </w:p>
        </w:tc>
      </w:tr>
      <w:tr w:rsidR="00861415" w:rsidRPr="00E678BE" w:rsidTr="00BB5DB3">
        <w:trPr>
          <w:trHeight w:val="407"/>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09. LOISIRS ET CULTURE</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99,8</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99,8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99,2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99,2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99,0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98,6</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99,1</w:t>
            </w:r>
          </w:p>
        </w:tc>
      </w:tr>
      <w:tr w:rsidR="00861415" w:rsidRPr="00E678BE" w:rsidTr="00BB5DB3">
        <w:trPr>
          <w:trHeight w:val="433"/>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10. ENSEIGNEMENT</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102,9</w:t>
            </w:r>
          </w:p>
        </w:tc>
      </w:tr>
      <w:tr w:rsidR="00861415" w:rsidRPr="00E678BE" w:rsidTr="00BB5DB3">
        <w:trPr>
          <w:trHeight w:val="431"/>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11. RESTAURANTS ET HÔTELS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108,4</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113,2</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110,3</w:t>
            </w:r>
          </w:p>
        </w:tc>
      </w:tr>
      <w:tr w:rsidR="00861415" w:rsidRPr="00E678BE" w:rsidTr="00BB5DB3">
        <w:trPr>
          <w:trHeight w:val="551"/>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12. BIENS ET SERVICES DIVERS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106,3</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107,2</w:t>
            </w:r>
          </w:p>
        </w:tc>
        <w:tc>
          <w:tcPr>
            <w:tcW w:w="303" w:type="pct"/>
            <w:tcBorders>
              <w:top w:val="nil"/>
              <w:left w:val="nil"/>
              <w:bottom w:val="nil"/>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106,6</w:t>
            </w:r>
          </w:p>
        </w:tc>
      </w:tr>
      <w:tr w:rsidR="00861415" w:rsidRPr="00E678BE" w:rsidTr="00BB5DB3">
        <w:trPr>
          <w:trHeight w:val="529"/>
        </w:trPr>
        <w:tc>
          <w:tcPr>
            <w:tcW w:w="1202" w:type="pct"/>
            <w:tcBorders>
              <w:top w:val="single" w:sz="8" w:space="0" w:color="auto"/>
              <w:left w:val="single" w:sz="4" w:space="0" w:color="auto"/>
              <w:bottom w:val="single" w:sz="8" w:space="0" w:color="auto"/>
              <w:right w:val="single" w:sz="8" w:space="0" w:color="auto"/>
            </w:tcBorders>
            <w:shd w:val="clear" w:color="000000" w:fill="C0C0C0"/>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 xml:space="preserve">  INDICE  GENERAL    </w:t>
            </w:r>
          </w:p>
        </w:tc>
        <w:tc>
          <w:tcPr>
            <w:tcW w:w="291" w:type="pct"/>
            <w:tcBorders>
              <w:top w:val="single" w:sz="8" w:space="0" w:color="auto"/>
              <w:left w:val="single" w:sz="4" w:space="0" w:color="auto"/>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105,2</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106,0</w:t>
            </w:r>
          </w:p>
        </w:tc>
        <w:tc>
          <w:tcPr>
            <w:tcW w:w="294"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107,2</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107,4</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107,6</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106,3</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106,4</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107,2</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108,3</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108,1</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108,1</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107,5</w:t>
            </w:r>
          </w:p>
        </w:tc>
        <w:tc>
          <w:tcPr>
            <w:tcW w:w="303" w:type="pct"/>
            <w:tcBorders>
              <w:top w:val="single" w:sz="8" w:space="0" w:color="auto"/>
              <w:left w:val="nil"/>
              <w:bottom w:val="single" w:sz="8" w:space="0" w:color="auto"/>
              <w:right w:val="single" w:sz="8" w:space="0" w:color="auto"/>
            </w:tcBorders>
            <w:shd w:val="clear" w:color="000000" w:fill="BFBFBF"/>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107,1</w:t>
            </w:r>
          </w:p>
        </w:tc>
      </w:tr>
    </w:tbl>
    <w:p w:rsidR="00BB5DB3" w:rsidRPr="00483003" w:rsidRDefault="00BB5DB3" w:rsidP="00BB5DB3">
      <w:pPr>
        <w:pStyle w:val="Lgende"/>
        <w:rPr>
          <w:rFonts w:ascii="Times New Roman" w:hAnsi="Times New Roman"/>
          <w:i/>
          <w:iCs/>
          <w:sz w:val="22"/>
        </w:rPr>
      </w:pPr>
      <w:r w:rsidRPr="00483003">
        <w:rPr>
          <w:rFonts w:ascii="Times New Roman" w:hAnsi="Times New Roman"/>
          <w:i/>
          <w:iCs/>
          <w:sz w:val="22"/>
        </w:rPr>
        <w:t>Source : HCP</w:t>
      </w:r>
    </w:p>
    <w:p w:rsidR="00861415" w:rsidRPr="00E678BE" w:rsidRDefault="00861415" w:rsidP="00F7045D">
      <w:pPr>
        <w:rPr>
          <w:rFonts w:asciiTheme="majorBidi" w:hAnsiTheme="majorBidi" w:cstheme="majorBidi"/>
          <w:sz w:val="16"/>
          <w:szCs w:val="16"/>
        </w:rPr>
      </w:pPr>
    </w:p>
    <w:p w:rsidR="001F4DDA" w:rsidRDefault="001F4DDA">
      <w:r>
        <w:br w:type="page"/>
      </w:r>
    </w:p>
    <w:tbl>
      <w:tblPr>
        <w:tblW w:w="5000" w:type="pct"/>
        <w:tblCellMar>
          <w:left w:w="70" w:type="dxa"/>
          <w:right w:w="70" w:type="dxa"/>
        </w:tblCellMar>
        <w:tblLook w:val="04A0"/>
      </w:tblPr>
      <w:tblGrid>
        <w:gridCol w:w="3265"/>
        <w:gridCol w:w="790"/>
        <w:gridCol w:w="790"/>
        <w:gridCol w:w="798"/>
        <w:gridCol w:w="790"/>
        <w:gridCol w:w="790"/>
        <w:gridCol w:w="790"/>
        <w:gridCol w:w="790"/>
        <w:gridCol w:w="790"/>
        <w:gridCol w:w="790"/>
        <w:gridCol w:w="790"/>
        <w:gridCol w:w="790"/>
        <w:gridCol w:w="790"/>
        <w:gridCol w:w="823"/>
      </w:tblGrid>
      <w:tr w:rsidR="00861415" w:rsidRPr="00E678BE" w:rsidTr="00861415">
        <w:trPr>
          <w:trHeight w:val="390"/>
        </w:trPr>
        <w:tc>
          <w:tcPr>
            <w:tcW w:w="5000" w:type="pct"/>
            <w:gridSpan w:val="14"/>
            <w:tcBorders>
              <w:top w:val="nil"/>
              <w:left w:val="nil"/>
              <w:bottom w:val="single" w:sz="8" w:space="0" w:color="auto"/>
              <w:right w:val="nil"/>
            </w:tcBorders>
            <w:shd w:val="clear" w:color="auto" w:fill="auto"/>
            <w:vAlign w:val="center"/>
            <w:hideMark/>
          </w:tcPr>
          <w:p w:rsidR="00861415" w:rsidRPr="00E678BE" w:rsidRDefault="005405A4" w:rsidP="007D6D8B">
            <w:pPr>
              <w:spacing w:after="0" w:line="240" w:lineRule="auto"/>
              <w:rPr>
                <w:rFonts w:asciiTheme="majorBidi" w:eastAsia="Times New Roman" w:hAnsiTheme="majorBidi" w:cstheme="majorBidi"/>
                <w:b/>
                <w:bCs/>
                <w:color w:val="4F81BD" w:themeColor="accent1"/>
                <w:szCs w:val="24"/>
                <w:lang w:eastAsia="fr-FR"/>
              </w:rPr>
            </w:pPr>
            <w:bookmarkStart w:id="56" w:name="_Toc515274122"/>
            <w:r w:rsidRPr="00E678BE">
              <w:rPr>
                <w:rFonts w:asciiTheme="majorBidi" w:hAnsiTheme="majorBidi" w:cstheme="majorBidi"/>
                <w:b/>
                <w:color w:val="4F81BD" w:themeColor="accent1"/>
              </w:rPr>
              <w:lastRenderedPageBreak/>
              <w:t xml:space="preserve">Tableau A </w:t>
            </w:r>
            <w:r w:rsidR="007D6D8B">
              <w:rPr>
                <w:rFonts w:asciiTheme="majorBidi" w:hAnsiTheme="majorBidi" w:cstheme="majorBidi"/>
                <w:b/>
                <w:color w:val="4F81BD" w:themeColor="accent1"/>
              </w:rPr>
              <w:t>12</w:t>
            </w:r>
            <w:r w:rsidRPr="00E678BE">
              <w:rPr>
                <w:rFonts w:asciiTheme="majorBidi" w:hAnsiTheme="majorBidi" w:cstheme="majorBidi"/>
                <w:b/>
                <w:color w:val="4F81BD" w:themeColor="accent1"/>
              </w:rPr>
              <w:t xml:space="preserve"> : </w:t>
            </w:r>
            <w:r w:rsidR="00861415" w:rsidRPr="00E678BE">
              <w:rPr>
                <w:rFonts w:asciiTheme="majorBidi" w:eastAsia="Times New Roman" w:hAnsiTheme="majorBidi" w:cstheme="majorBidi"/>
                <w:b/>
                <w:bCs/>
                <w:color w:val="4F81BD" w:themeColor="accent1"/>
                <w:szCs w:val="24"/>
                <w:lang w:eastAsia="fr-FR"/>
              </w:rPr>
              <w:t xml:space="preserve">IPC de la ville de </w:t>
            </w:r>
            <w:proofErr w:type="spellStart"/>
            <w:r w:rsidR="00861415" w:rsidRPr="00E678BE">
              <w:rPr>
                <w:rFonts w:asciiTheme="majorBidi" w:eastAsia="Times New Roman" w:hAnsiTheme="majorBidi" w:cstheme="majorBidi"/>
                <w:b/>
                <w:bCs/>
                <w:color w:val="4F81BD" w:themeColor="accent1"/>
                <w:szCs w:val="24"/>
                <w:lang w:eastAsia="fr-FR"/>
              </w:rPr>
              <w:t>Kénitra</w:t>
            </w:r>
            <w:proofErr w:type="spellEnd"/>
            <w:r w:rsidR="00861415" w:rsidRPr="00E678BE">
              <w:rPr>
                <w:rFonts w:asciiTheme="majorBidi" w:eastAsia="Times New Roman" w:hAnsiTheme="majorBidi" w:cstheme="majorBidi"/>
                <w:b/>
                <w:bCs/>
                <w:color w:val="4F81BD" w:themeColor="accent1"/>
                <w:szCs w:val="24"/>
                <w:lang w:eastAsia="fr-FR"/>
              </w:rPr>
              <w:t xml:space="preserve"> par division et par mois</w:t>
            </w:r>
            <w:r w:rsidR="00F67E78" w:rsidRPr="00E678BE">
              <w:rPr>
                <w:rFonts w:asciiTheme="majorBidi" w:eastAsia="Times New Roman" w:hAnsiTheme="majorBidi" w:cstheme="majorBidi"/>
                <w:b/>
                <w:bCs/>
                <w:color w:val="4F81BD" w:themeColor="accent1"/>
                <w:szCs w:val="24"/>
                <w:lang w:eastAsia="fr-FR"/>
              </w:rPr>
              <w:t xml:space="preserve"> </w:t>
            </w:r>
            <w:r w:rsidR="00861415" w:rsidRPr="00E678BE">
              <w:rPr>
                <w:rFonts w:asciiTheme="majorBidi" w:eastAsia="Times New Roman" w:hAnsiTheme="majorBidi" w:cstheme="majorBidi"/>
                <w:b/>
                <w:bCs/>
                <w:color w:val="4F81BD" w:themeColor="accent1"/>
                <w:szCs w:val="24"/>
                <w:lang w:eastAsia="fr-FR"/>
              </w:rPr>
              <w:t>- Année 2009</w:t>
            </w:r>
            <w:r w:rsidR="00F67E78" w:rsidRPr="00E678BE">
              <w:rPr>
                <w:rFonts w:asciiTheme="majorBidi" w:eastAsia="Times New Roman" w:hAnsiTheme="majorBidi" w:cstheme="majorBidi"/>
                <w:b/>
                <w:bCs/>
                <w:color w:val="4F81BD" w:themeColor="accent1"/>
                <w:szCs w:val="24"/>
                <w:lang w:eastAsia="fr-FR"/>
              </w:rPr>
              <w:t xml:space="preserve"> </w:t>
            </w:r>
            <w:r w:rsidR="00861415" w:rsidRPr="00E678BE">
              <w:rPr>
                <w:rFonts w:asciiTheme="majorBidi" w:eastAsia="Times New Roman" w:hAnsiTheme="majorBidi" w:cstheme="majorBidi"/>
                <w:b/>
                <w:bCs/>
                <w:color w:val="4F81BD" w:themeColor="accent1"/>
                <w:szCs w:val="24"/>
                <w:lang w:eastAsia="fr-FR"/>
              </w:rPr>
              <w:t>-</w:t>
            </w:r>
            <w:bookmarkEnd w:id="56"/>
          </w:p>
        </w:tc>
      </w:tr>
      <w:tr w:rsidR="00861415" w:rsidRPr="00E678BE" w:rsidTr="00BB5DB3">
        <w:trPr>
          <w:trHeight w:val="330"/>
        </w:trPr>
        <w:tc>
          <w:tcPr>
            <w:tcW w:w="1202" w:type="pct"/>
            <w:tcBorders>
              <w:top w:val="nil"/>
              <w:left w:val="single" w:sz="4" w:space="0" w:color="auto"/>
              <w:bottom w:val="single" w:sz="8" w:space="0" w:color="auto"/>
              <w:right w:val="single" w:sz="8" w:space="0" w:color="auto"/>
            </w:tcBorders>
            <w:shd w:val="clear" w:color="000000" w:fill="C0C0C0"/>
            <w:vAlign w:val="center"/>
            <w:hideMark/>
          </w:tcPr>
          <w:p w:rsidR="00861415" w:rsidRPr="00E678BE" w:rsidRDefault="00CE722C" w:rsidP="00861415">
            <w:pPr>
              <w:spacing w:after="0" w:line="240" w:lineRule="auto"/>
              <w:jc w:val="center"/>
              <w:rPr>
                <w:rFonts w:asciiTheme="majorBidi" w:eastAsia="Times New Roman" w:hAnsiTheme="majorBidi" w:cstheme="majorBidi"/>
                <w:b/>
                <w:bCs/>
                <w:sz w:val="16"/>
                <w:szCs w:val="16"/>
                <w:lang w:eastAsia="fr-FR"/>
              </w:rPr>
            </w:pPr>
            <w:r>
              <w:rPr>
                <w:rFonts w:asciiTheme="majorBidi" w:eastAsia="Times New Roman" w:hAnsiTheme="majorBidi" w:cstheme="majorBidi"/>
                <w:b/>
                <w:bCs/>
                <w:sz w:val="16"/>
                <w:szCs w:val="16"/>
                <w:lang w:eastAsia="fr-FR"/>
              </w:rPr>
              <w:t>DIVISIONS</w:t>
            </w:r>
          </w:p>
        </w:tc>
        <w:tc>
          <w:tcPr>
            <w:tcW w:w="291" w:type="pct"/>
            <w:tcBorders>
              <w:top w:val="nil"/>
              <w:left w:val="single" w:sz="4" w:space="0" w:color="auto"/>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Jan</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Fev</w:t>
            </w:r>
            <w:proofErr w:type="spellEnd"/>
          </w:p>
        </w:tc>
        <w:tc>
          <w:tcPr>
            <w:tcW w:w="294"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Mars</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Avr</w:t>
            </w:r>
            <w:proofErr w:type="spellEnd"/>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Mai</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Juin</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Jul</w:t>
            </w:r>
            <w:proofErr w:type="spellEnd"/>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Août</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Sep</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Oct</w:t>
            </w:r>
            <w:proofErr w:type="spellEnd"/>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Nov</w:t>
            </w:r>
            <w:proofErr w:type="spellEnd"/>
          </w:p>
        </w:tc>
        <w:tc>
          <w:tcPr>
            <w:tcW w:w="291" w:type="pct"/>
            <w:tcBorders>
              <w:top w:val="nil"/>
              <w:left w:val="single" w:sz="8" w:space="0" w:color="auto"/>
              <w:bottom w:val="single" w:sz="8" w:space="0" w:color="auto"/>
              <w:right w:val="nil"/>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Dec</w:t>
            </w:r>
            <w:proofErr w:type="spellEnd"/>
          </w:p>
        </w:tc>
        <w:tc>
          <w:tcPr>
            <w:tcW w:w="303" w:type="pct"/>
            <w:tcBorders>
              <w:top w:val="nil"/>
              <w:left w:val="single" w:sz="8" w:space="0" w:color="auto"/>
              <w:bottom w:val="single" w:sz="8" w:space="0" w:color="auto"/>
              <w:right w:val="single" w:sz="8"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Moy</w:t>
            </w:r>
            <w:proofErr w:type="spellEnd"/>
          </w:p>
        </w:tc>
      </w:tr>
      <w:tr w:rsidR="00861415" w:rsidRPr="00E678BE" w:rsidTr="00BB5DB3">
        <w:trPr>
          <w:trHeight w:val="651"/>
        </w:trPr>
        <w:tc>
          <w:tcPr>
            <w:tcW w:w="12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01. PRODUITS ALIMENTAIRES ET BOISSONS NON ALCOOLISÉES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115,2</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112,9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119,9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109,3</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114,2</w:t>
            </w:r>
          </w:p>
        </w:tc>
      </w:tr>
      <w:tr w:rsidR="00861415" w:rsidRPr="00E678BE" w:rsidTr="00BB5DB3">
        <w:trPr>
          <w:trHeight w:val="557"/>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02. BOISSONS ALCOOLISÉES, TABAC ET STUPÉFIANTS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107,7</w:t>
            </w:r>
          </w:p>
        </w:tc>
      </w:tr>
      <w:tr w:rsidR="00861415" w:rsidRPr="00E678BE" w:rsidTr="00BB5DB3">
        <w:trPr>
          <w:trHeight w:val="564"/>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03. ARTICLES D'HABILLEMENT ET CHAUSSURES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104,8</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105,7</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105,3</w:t>
            </w:r>
          </w:p>
        </w:tc>
      </w:tr>
      <w:tr w:rsidR="00861415" w:rsidRPr="00E678BE" w:rsidTr="00BB5DB3">
        <w:trPr>
          <w:trHeight w:val="703"/>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04. LOGEMENT, EAU, GAZ, ELECTRICITE ET AUTRES COMBUSTIBLES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100,9</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100,9</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100,9</w:t>
            </w:r>
          </w:p>
        </w:tc>
      </w:tr>
      <w:tr w:rsidR="00861415" w:rsidRPr="00E678BE" w:rsidTr="00BB5DB3">
        <w:trPr>
          <w:trHeight w:val="697"/>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05. MEUBLES, ARTICLES DE MENAGE ET ENTRETIEN COURANT DU FOYER</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105,2</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106,0</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105,8</w:t>
            </w:r>
          </w:p>
        </w:tc>
      </w:tr>
      <w:tr w:rsidR="00861415" w:rsidRPr="00E678BE" w:rsidTr="00BB5DB3">
        <w:trPr>
          <w:trHeight w:val="414"/>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06. SANTÉ</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102,2</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103,5</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103,3</w:t>
            </w:r>
          </w:p>
        </w:tc>
      </w:tr>
      <w:tr w:rsidR="00861415" w:rsidRPr="00E678BE" w:rsidTr="00BB5DB3">
        <w:trPr>
          <w:trHeight w:val="413"/>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07. TRANSPORTS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101,6</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101,6</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101,9</w:t>
            </w:r>
          </w:p>
        </w:tc>
      </w:tr>
      <w:tr w:rsidR="00861415" w:rsidRPr="00E678BE" w:rsidTr="00BB5DB3">
        <w:trPr>
          <w:trHeight w:val="419"/>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08. COMMUNICATIONS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93,6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93,6</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93,6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92,6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92,6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92,6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92,6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92,6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92,7</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92,9</w:t>
            </w:r>
          </w:p>
        </w:tc>
      </w:tr>
      <w:tr w:rsidR="00861415" w:rsidRPr="00E678BE" w:rsidTr="00BB5DB3">
        <w:trPr>
          <w:trHeight w:val="418"/>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09. LOISIRS ET CULTURE</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100,7</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100,2</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100,5</w:t>
            </w:r>
          </w:p>
        </w:tc>
      </w:tr>
      <w:tr w:rsidR="00861415" w:rsidRPr="00E678BE" w:rsidTr="00BB5DB3">
        <w:trPr>
          <w:trHeight w:val="410"/>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10. ENSEIGNEMENT</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101,7</w:t>
            </w:r>
          </w:p>
        </w:tc>
      </w:tr>
      <w:tr w:rsidR="00861415" w:rsidRPr="00E678BE" w:rsidTr="00BB5DB3">
        <w:trPr>
          <w:trHeight w:val="555"/>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11. RESTAURANTS ET HÔTELS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102,7</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108,4</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104,6</w:t>
            </w:r>
          </w:p>
        </w:tc>
      </w:tr>
      <w:tr w:rsidR="00861415" w:rsidRPr="00E678BE" w:rsidTr="00BB5DB3">
        <w:trPr>
          <w:trHeight w:val="565"/>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12. BIENS ET SERVICES DIVERS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102,6</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104,2</w:t>
            </w:r>
          </w:p>
        </w:tc>
      </w:tr>
      <w:tr w:rsidR="00861415" w:rsidRPr="00E678BE" w:rsidTr="00BB5DB3">
        <w:trPr>
          <w:trHeight w:val="545"/>
        </w:trPr>
        <w:tc>
          <w:tcPr>
            <w:tcW w:w="1202" w:type="pct"/>
            <w:tcBorders>
              <w:top w:val="single" w:sz="8" w:space="0" w:color="auto"/>
              <w:left w:val="single" w:sz="4" w:space="0" w:color="auto"/>
              <w:bottom w:val="single" w:sz="8" w:space="0" w:color="auto"/>
              <w:right w:val="single" w:sz="8" w:space="0" w:color="auto"/>
            </w:tcBorders>
            <w:shd w:val="clear" w:color="000000" w:fill="C0C0C0"/>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 xml:space="preserve">  INDICE  GENERAL    </w:t>
            </w:r>
          </w:p>
        </w:tc>
        <w:tc>
          <w:tcPr>
            <w:tcW w:w="291" w:type="pct"/>
            <w:tcBorders>
              <w:top w:val="single" w:sz="8" w:space="0" w:color="auto"/>
              <w:left w:val="single" w:sz="4" w:space="0" w:color="auto"/>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106,6</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107,1</w:t>
            </w:r>
          </w:p>
        </w:tc>
        <w:tc>
          <w:tcPr>
            <w:tcW w:w="294"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107,6</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107,7</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106,2</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105,3</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105,6</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106,7</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109,4</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108,6</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107,0</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105,1</w:t>
            </w:r>
          </w:p>
        </w:tc>
        <w:tc>
          <w:tcPr>
            <w:tcW w:w="303"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106,9</w:t>
            </w:r>
          </w:p>
        </w:tc>
      </w:tr>
    </w:tbl>
    <w:p w:rsidR="00BB5DB3" w:rsidRPr="00483003" w:rsidRDefault="00BB5DB3" w:rsidP="00BB5DB3">
      <w:pPr>
        <w:pStyle w:val="Lgende"/>
        <w:rPr>
          <w:rFonts w:ascii="Times New Roman" w:hAnsi="Times New Roman"/>
          <w:i/>
          <w:iCs/>
          <w:sz w:val="22"/>
        </w:rPr>
      </w:pPr>
      <w:r w:rsidRPr="00483003">
        <w:rPr>
          <w:rFonts w:ascii="Times New Roman" w:hAnsi="Times New Roman"/>
          <w:i/>
          <w:iCs/>
          <w:sz w:val="22"/>
        </w:rPr>
        <w:t>Source : HCP</w:t>
      </w:r>
    </w:p>
    <w:p w:rsidR="00861415" w:rsidRPr="00E678BE" w:rsidRDefault="00861415" w:rsidP="00F7045D">
      <w:pPr>
        <w:rPr>
          <w:rFonts w:asciiTheme="majorBidi" w:hAnsiTheme="majorBidi" w:cstheme="majorBidi"/>
          <w:sz w:val="16"/>
          <w:szCs w:val="16"/>
        </w:rPr>
      </w:pPr>
    </w:p>
    <w:p w:rsidR="008B74DA" w:rsidRDefault="008B74DA">
      <w:pPr>
        <w:rPr>
          <w:rFonts w:asciiTheme="majorBidi" w:hAnsiTheme="majorBidi" w:cstheme="majorBidi"/>
          <w:sz w:val="16"/>
          <w:szCs w:val="16"/>
        </w:rPr>
      </w:pPr>
      <w:r>
        <w:rPr>
          <w:rFonts w:asciiTheme="majorBidi" w:hAnsiTheme="majorBidi" w:cstheme="majorBidi"/>
          <w:sz w:val="16"/>
          <w:szCs w:val="16"/>
        </w:rPr>
        <w:br w:type="page"/>
      </w:r>
    </w:p>
    <w:tbl>
      <w:tblPr>
        <w:tblW w:w="5000" w:type="pct"/>
        <w:tblCellMar>
          <w:left w:w="70" w:type="dxa"/>
          <w:right w:w="70" w:type="dxa"/>
        </w:tblCellMar>
        <w:tblLook w:val="04A0"/>
      </w:tblPr>
      <w:tblGrid>
        <w:gridCol w:w="3265"/>
        <w:gridCol w:w="790"/>
        <w:gridCol w:w="790"/>
        <w:gridCol w:w="798"/>
        <w:gridCol w:w="790"/>
        <w:gridCol w:w="790"/>
        <w:gridCol w:w="790"/>
        <w:gridCol w:w="790"/>
        <w:gridCol w:w="790"/>
        <w:gridCol w:w="790"/>
        <w:gridCol w:w="790"/>
        <w:gridCol w:w="790"/>
        <w:gridCol w:w="790"/>
        <w:gridCol w:w="823"/>
      </w:tblGrid>
      <w:tr w:rsidR="00861415" w:rsidRPr="00E678BE" w:rsidTr="00861415">
        <w:trPr>
          <w:trHeight w:val="390"/>
        </w:trPr>
        <w:tc>
          <w:tcPr>
            <w:tcW w:w="5000" w:type="pct"/>
            <w:gridSpan w:val="14"/>
            <w:tcBorders>
              <w:top w:val="nil"/>
              <w:left w:val="nil"/>
              <w:bottom w:val="single" w:sz="8" w:space="0" w:color="auto"/>
              <w:right w:val="nil"/>
            </w:tcBorders>
            <w:shd w:val="clear" w:color="auto" w:fill="auto"/>
            <w:vAlign w:val="center"/>
            <w:hideMark/>
          </w:tcPr>
          <w:p w:rsidR="00861415" w:rsidRPr="00E678BE" w:rsidRDefault="001F4DDA" w:rsidP="007D6D8B">
            <w:pPr>
              <w:spacing w:after="0" w:line="240" w:lineRule="auto"/>
              <w:rPr>
                <w:rFonts w:asciiTheme="majorBidi" w:eastAsia="Times New Roman" w:hAnsiTheme="majorBidi" w:cstheme="majorBidi"/>
                <w:b/>
                <w:bCs/>
                <w:color w:val="4F81BD" w:themeColor="accent1"/>
                <w:szCs w:val="24"/>
                <w:lang w:eastAsia="fr-FR"/>
              </w:rPr>
            </w:pPr>
            <w:r>
              <w:lastRenderedPageBreak/>
              <w:br w:type="page"/>
            </w:r>
            <w:bookmarkStart w:id="57" w:name="_Toc515274123"/>
            <w:r w:rsidR="005405A4" w:rsidRPr="00E678BE">
              <w:rPr>
                <w:rFonts w:asciiTheme="majorBidi" w:hAnsiTheme="majorBidi" w:cstheme="majorBidi"/>
                <w:b/>
                <w:color w:val="4F81BD" w:themeColor="accent1"/>
              </w:rPr>
              <w:t xml:space="preserve">Tableau A </w:t>
            </w:r>
            <w:r w:rsidR="007D6D8B">
              <w:rPr>
                <w:rFonts w:asciiTheme="majorBidi" w:hAnsiTheme="majorBidi" w:cstheme="majorBidi"/>
                <w:b/>
                <w:color w:val="4F81BD" w:themeColor="accent1"/>
              </w:rPr>
              <w:t>13</w:t>
            </w:r>
            <w:r w:rsidR="005405A4" w:rsidRPr="00E678BE">
              <w:rPr>
                <w:rFonts w:asciiTheme="majorBidi" w:hAnsiTheme="majorBidi" w:cstheme="majorBidi"/>
                <w:b/>
                <w:color w:val="4F81BD" w:themeColor="accent1"/>
              </w:rPr>
              <w:t xml:space="preserve"> : </w:t>
            </w:r>
            <w:r w:rsidR="00861415" w:rsidRPr="00E678BE">
              <w:rPr>
                <w:rFonts w:asciiTheme="majorBidi" w:eastAsia="Times New Roman" w:hAnsiTheme="majorBidi" w:cstheme="majorBidi"/>
                <w:b/>
                <w:bCs/>
                <w:color w:val="4F81BD" w:themeColor="accent1"/>
                <w:szCs w:val="24"/>
                <w:lang w:eastAsia="fr-FR"/>
              </w:rPr>
              <w:t xml:space="preserve">IPC de la ville de </w:t>
            </w:r>
            <w:proofErr w:type="spellStart"/>
            <w:r w:rsidR="00861415" w:rsidRPr="00E678BE">
              <w:rPr>
                <w:rFonts w:asciiTheme="majorBidi" w:eastAsia="Times New Roman" w:hAnsiTheme="majorBidi" w:cstheme="majorBidi"/>
                <w:b/>
                <w:bCs/>
                <w:color w:val="4F81BD" w:themeColor="accent1"/>
                <w:szCs w:val="24"/>
                <w:lang w:eastAsia="fr-FR"/>
              </w:rPr>
              <w:t>Kénitra</w:t>
            </w:r>
            <w:proofErr w:type="spellEnd"/>
            <w:r w:rsidR="00861415" w:rsidRPr="00E678BE">
              <w:rPr>
                <w:rFonts w:asciiTheme="majorBidi" w:eastAsia="Times New Roman" w:hAnsiTheme="majorBidi" w:cstheme="majorBidi"/>
                <w:b/>
                <w:bCs/>
                <w:color w:val="4F81BD" w:themeColor="accent1"/>
                <w:szCs w:val="24"/>
                <w:lang w:eastAsia="fr-FR"/>
              </w:rPr>
              <w:t xml:space="preserve"> par division et par mois</w:t>
            </w:r>
            <w:r w:rsidR="005405A4" w:rsidRPr="00E678BE">
              <w:rPr>
                <w:rFonts w:asciiTheme="majorBidi" w:eastAsia="Times New Roman" w:hAnsiTheme="majorBidi" w:cstheme="majorBidi"/>
                <w:b/>
                <w:bCs/>
                <w:color w:val="4F81BD" w:themeColor="accent1"/>
                <w:szCs w:val="24"/>
                <w:lang w:eastAsia="fr-FR"/>
              </w:rPr>
              <w:t xml:space="preserve"> </w:t>
            </w:r>
            <w:r w:rsidR="00861415" w:rsidRPr="00E678BE">
              <w:rPr>
                <w:rFonts w:asciiTheme="majorBidi" w:eastAsia="Times New Roman" w:hAnsiTheme="majorBidi" w:cstheme="majorBidi"/>
                <w:b/>
                <w:bCs/>
                <w:color w:val="4F81BD" w:themeColor="accent1"/>
                <w:szCs w:val="24"/>
                <w:lang w:eastAsia="fr-FR"/>
              </w:rPr>
              <w:t>- Année 2008</w:t>
            </w:r>
            <w:r w:rsidR="00F67E78" w:rsidRPr="00E678BE">
              <w:rPr>
                <w:rFonts w:asciiTheme="majorBidi" w:eastAsia="Times New Roman" w:hAnsiTheme="majorBidi" w:cstheme="majorBidi"/>
                <w:b/>
                <w:bCs/>
                <w:color w:val="4F81BD" w:themeColor="accent1"/>
                <w:szCs w:val="24"/>
                <w:lang w:eastAsia="fr-FR"/>
              </w:rPr>
              <w:t xml:space="preserve"> </w:t>
            </w:r>
            <w:r w:rsidR="00861415" w:rsidRPr="00E678BE">
              <w:rPr>
                <w:rFonts w:asciiTheme="majorBidi" w:eastAsia="Times New Roman" w:hAnsiTheme="majorBidi" w:cstheme="majorBidi"/>
                <w:b/>
                <w:bCs/>
                <w:color w:val="4F81BD" w:themeColor="accent1"/>
                <w:szCs w:val="24"/>
                <w:lang w:eastAsia="fr-FR"/>
              </w:rPr>
              <w:t>-</w:t>
            </w:r>
            <w:bookmarkEnd w:id="57"/>
          </w:p>
        </w:tc>
      </w:tr>
      <w:tr w:rsidR="00861415" w:rsidRPr="00E678BE" w:rsidTr="00BD5911">
        <w:trPr>
          <w:trHeight w:val="330"/>
        </w:trPr>
        <w:tc>
          <w:tcPr>
            <w:tcW w:w="1202" w:type="pct"/>
            <w:tcBorders>
              <w:top w:val="nil"/>
              <w:left w:val="single" w:sz="4" w:space="0" w:color="auto"/>
              <w:bottom w:val="single" w:sz="8" w:space="0" w:color="auto"/>
              <w:right w:val="single" w:sz="8" w:space="0" w:color="auto"/>
            </w:tcBorders>
            <w:shd w:val="clear" w:color="000000" w:fill="C0C0C0"/>
            <w:vAlign w:val="center"/>
            <w:hideMark/>
          </w:tcPr>
          <w:p w:rsidR="00861415" w:rsidRPr="00E678BE" w:rsidRDefault="00CE722C" w:rsidP="00861415">
            <w:pPr>
              <w:spacing w:after="0" w:line="240" w:lineRule="auto"/>
              <w:jc w:val="center"/>
              <w:rPr>
                <w:rFonts w:asciiTheme="majorBidi" w:eastAsia="Times New Roman" w:hAnsiTheme="majorBidi" w:cstheme="majorBidi"/>
                <w:b/>
                <w:bCs/>
                <w:sz w:val="16"/>
                <w:szCs w:val="16"/>
                <w:lang w:eastAsia="fr-FR"/>
              </w:rPr>
            </w:pPr>
            <w:r>
              <w:rPr>
                <w:rFonts w:asciiTheme="majorBidi" w:eastAsia="Times New Roman" w:hAnsiTheme="majorBidi" w:cstheme="majorBidi"/>
                <w:b/>
                <w:bCs/>
                <w:sz w:val="16"/>
                <w:szCs w:val="16"/>
                <w:lang w:eastAsia="fr-FR"/>
              </w:rPr>
              <w:t>DIVISIONS</w:t>
            </w:r>
          </w:p>
        </w:tc>
        <w:tc>
          <w:tcPr>
            <w:tcW w:w="291" w:type="pct"/>
            <w:tcBorders>
              <w:top w:val="nil"/>
              <w:left w:val="single" w:sz="4" w:space="0" w:color="auto"/>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Jan</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Fev</w:t>
            </w:r>
            <w:proofErr w:type="spellEnd"/>
          </w:p>
        </w:tc>
        <w:tc>
          <w:tcPr>
            <w:tcW w:w="294"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Mars</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Avr</w:t>
            </w:r>
            <w:proofErr w:type="spellEnd"/>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Mai</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Juin</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Jul</w:t>
            </w:r>
            <w:proofErr w:type="spellEnd"/>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Août</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Sep</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Oct</w:t>
            </w:r>
            <w:proofErr w:type="spellEnd"/>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Nov</w:t>
            </w:r>
            <w:proofErr w:type="spellEnd"/>
          </w:p>
        </w:tc>
        <w:tc>
          <w:tcPr>
            <w:tcW w:w="291" w:type="pct"/>
            <w:tcBorders>
              <w:top w:val="nil"/>
              <w:left w:val="single" w:sz="8" w:space="0" w:color="auto"/>
              <w:bottom w:val="single" w:sz="8" w:space="0" w:color="auto"/>
              <w:right w:val="nil"/>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Dec</w:t>
            </w:r>
            <w:proofErr w:type="spellEnd"/>
          </w:p>
        </w:tc>
        <w:tc>
          <w:tcPr>
            <w:tcW w:w="303" w:type="pct"/>
            <w:tcBorders>
              <w:top w:val="nil"/>
              <w:left w:val="single" w:sz="8" w:space="0" w:color="auto"/>
              <w:bottom w:val="single" w:sz="8" w:space="0" w:color="auto"/>
              <w:right w:val="single" w:sz="8"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Moy</w:t>
            </w:r>
            <w:proofErr w:type="spellEnd"/>
          </w:p>
        </w:tc>
      </w:tr>
      <w:tr w:rsidR="00861415" w:rsidRPr="00E678BE" w:rsidTr="008B74DA">
        <w:trPr>
          <w:trHeight w:val="651"/>
        </w:trPr>
        <w:tc>
          <w:tcPr>
            <w:tcW w:w="12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01. PRODUITS ALIMENTAIRES ET BOISSONS NON ALCOOLISÉES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106,5</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112,3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112,5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112,5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115,1</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112,2</w:t>
            </w:r>
          </w:p>
        </w:tc>
      </w:tr>
      <w:tr w:rsidR="00861415" w:rsidRPr="00E678BE" w:rsidTr="008B74DA">
        <w:trPr>
          <w:trHeight w:val="557"/>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02. BOISSONS ALCOOLISÉES, TABAC ET STUPÉFIANTS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104,4</w:t>
            </w:r>
          </w:p>
        </w:tc>
      </w:tr>
      <w:tr w:rsidR="00861415" w:rsidRPr="00E678BE" w:rsidTr="008B74DA">
        <w:trPr>
          <w:trHeight w:val="564"/>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03. ARTICLES D'HABILLEMENT ET CHAUSSURES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103,0</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104,8</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103,8</w:t>
            </w:r>
          </w:p>
        </w:tc>
      </w:tr>
      <w:tr w:rsidR="00861415" w:rsidRPr="00E678BE" w:rsidTr="00BD5911">
        <w:trPr>
          <w:trHeight w:val="703"/>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04. LOGEMENT, EAU, GAZ, ELECTRICITE ET AUTRES COMBUSTIBLES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100,9</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100,5</w:t>
            </w:r>
          </w:p>
        </w:tc>
      </w:tr>
      <w:tr w:rsidR="00861415" w:rsidRPr="00E678BE" w:rsidTr="008B74DA">
        <w:trPr>
          <w:trHeight w:val="555"/>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05. MEUBLES, ARTICLES DE MENAGE ET ENTRETIEN COURANT DU FOYER</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104,0</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105,1</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104,0</w:t>
            </w:r>
          </w:p>
        </w:tc>
      </w:tr>
      <w:tr w:rsidR="00861415" w:rsidRPr="00E678BE" w:rsidTr="008B74DA">
        <w:trPr>
          <w:trHeight w:val="549"/>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06. SANTÉ</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102,3</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102,2</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102,2</w:t>
            </w:r>
          </w:p>
        </w:tc>
      </w:tr>
      <w:tr w:rsidR="00861415" w:rsidRPr="00E678BE" w:rsidTr="00BD5911">
        <w:trPr>
          <w:trHeight w:val="431"/>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07. TRANSPORTS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100,2</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102,5</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101,2</w:t>
            </w:r>
          </w:p>
        </w:tc>
      </w:tr>
      <w:tr w:rsidR="00861415" w:rsidRPr="00E678BE" w:rsidTr="00BD5911">
        <w:trPr>
          <w:trHeight w:val="395"/>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08. COMMUNICATIONS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97,3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97,3</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96,3</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96,7</w:t>
            </w:r>
          </w:p>
        </w:tc>
      </w:tr>
      <w:tr w:rsidR="00861415" w:rsidRPr="00E678BE" w:rsidTr="00BD5911">
        <w:trPr>
          <w:trHeight w:val="415"/>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09. LOISIRS ET CULTURE</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101,0</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100,8</w:t>
            </w:r>
          </w:p>
        </w:tc>
      </w:tr>
      <w:tr w:rsidR="00861415" w:rsidRPr="00E678BE" w:rsidTr="00BD5911">
        <w:trPr>
          <w:trHeight w:val="421"/>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10. ENSEIGNEMENT</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100,9</w:t>
            </w:r>
          </w:p>
        </w:tc>
      </w:tr>
      <w:tr w:rsidR="00861415" w:rsidRPr="00E678BE" w:rsidTr="00BD5911">
        <w:trPr>
          <w:trHeight w:val="413"/>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11. RESTAURANTS ET HÔTELS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99,2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99,2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102,7</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101,5</w:t>
            </w:r>
          </w:p>
        </w:tc>
      </w:tr>
      <w:tr w:rsidR="00861415" w:rsidRPr="00E678BE" w:rsidTr="00BD5911">
        <w:trPr>
          <w:trHeight w:val="419"/>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12. BIENS ET SERVICES DIVERS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102,2</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102,6</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102,4</w:t>
            </w:r>
          </w:p>
        </w:tc>
      </w:tr>
      <w:tr w:rsidR="00861415" w:rsidRPr="00E678BE" w:rsidTr="00BD5911">
        <w:trPr>
          <w:trHeight w:val="541"/>
        </w:trPr>
        <w:tc>
          <w:tcPr>
            <w:tcW w:w="1202" w:type="pct"/>
            <w:tcBorders>
              <w:top w:val="single" w:sz="8" w:space="0" w:color="auto"/>
              <w:left w:val="single" w:sz="4" w:space="0" w:color="auto"/>
              <w:bottom w:val="single" w:sz="8" w:space="0" w:color="auto"/>
              <w:right w:val="single" w:sz="8" w:space="0" w:color="auto"/>
            </w:tcBorders>
            <w:shd w:val="clear" w:color="000000" w:fill="C0C0C0"/>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 xml:space="preserve">  INDICE  GENERAL    </w:t>
            </w:r>
          </w:p>
        </w:tc>
        <w:tc>
          <w:tcPr>
            <w:tcW w:w="291" w:type="pct"/>
            <w:tcBorders>
              <w:top w:val="single" w:sz="8" w:space="0" w:color="auto"/>
              <w:left w:val="single" w:sz="4" w:space="0" w:color="auto"/>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103,0</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103,1</w:t>
            </w:r>
          </w:p>
        </w:tc>
        <w:tc>
          <w:tcPr>
            <w:tcW w:w="294"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104,2</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105,4</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106,1</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105,7</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105,9</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106,6</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107,2</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107,3</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106,7</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107,2</w:t>
            </w:r>
          </w:p>
        </w:tc>
        <w:tc>
          <w:tcPr>
            <w:tcW w:w="303"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105,7</w:t>
            </w:r>
          </w:p>
        </w:tc>
      </w:tr>
    </w:tbl>
    <w:p w:rsidR="00BB5DB3" w:rsidRPr="00483003" w:rsidRDefault="00BB5DB3" w:rsidP="00BB5DB3">
      <w:pPr>
        <w:pStyle w:val="Lgende"/>
        <w:rPr>
          <w:rFonts w:ascii="Times New Roman" w:hAnsi="Times New Roman"/>
          <w:i/>
          <w:iCs/>
          <w:sz w:val="22"/>
        </w:rPr>
      </w:pPr>
      <w:r w:rsidRPr="00483003">
        <w:rPr>
          <w:rFonts w:ascii="Times New Roman" w:hAnsi="Times New Roman"/>
          <w:i/>
          <w:iCs/>
          <w:sz w:val="22"/>
        </w:rPr>
        <w:t>Source : HCP</w:t>
      </w:r>
    </w:p>
    <w:p w:rsidR="00861415" w:rsidRPr="00E678BE" w:rsidRDefault="00861415" w:rsidP="00F7045D">
      <w:pPr>
        <w:rPr>
          <w:rFonts w:asciiTheme="majorBidi" w:hAnsiTheme="majorBidi" w:cstheme="majorBidi"/>
          <w:sz w:val="16"/>
          <w:szCs w:val="16"/>
        </w:rPr>
      </w:pPr>
    </w:p>
    <w:p w:rsidR="001F4DDA" w:rsidRDefault="001F4DDA">
      <w:r>
        <w:br w:type="page"/>
      </w:r>
    </w:p>
    <w:tbl>
      <w:tblPr>
        <w:tblW w:w="5000" w:type="pct"/>
        <w:tblCellMar>
          <w:left w:w="70" w:type="dxa"/>
          <w:right w:w="70" w:type="dxa"/>
        </w:tblCellMar>
        <w:tblLook w:val="04A0"/>
      </w:tblPr>
      <w:tblGrid>
        <w:gridCol w:w="3265"/>
        <w:gridCol w:w="790"/>
        <w:gridCol w:w="790"/>
        <w:gridCol w:w="798"/>
        <w:gridCol w:w="790"/>
        <w:gridCol w:w="790"/>
        <w:gridCol w:w="790"/>
        <w:gridCol w:w="790"/>
        <w:gridCol w:w="790"/>
        <w:gridCol w:w="790"/>
        <w:gridCol w:w="790"/>
        <w:gridCol w:w="790"/>
        <w:gridCol w:w="790"/>
        <w:gridCol w:w="823"/>
      </w:tblGrid>
      <w:tr w:rsidR="00861415" w:rsidRPr="00E678BE" w:rsidTr="00861415">
        <w:trPr>
          <w:trHeight w:val="390"/>
        </w:trPr>
        <w:tc>
          <w:tcPr>
            <w:tcW w:w="5000" w:type="pct"/>
            <w:gridSpan w:val="14"/>
            <w:tcBorders>
              <w:top w:val="nil"/>
              <w:left w:val="nil"/>
              <w:bottom w:val="single" w:sz="8" w:space="0" w:color="auto"/>
              <w:right w:val="nil"/>
            </w:tcBorders>
            <w:shd w:val="clear" w:color="auto" w:fill="auto"/>
            <w:vAlign w:val="center"/>
            <w:hideMark/>
          </w:tcPr>
          <w:p w:rsidR="00861415" w:rsidRPr="00E678BE" w:rsidRDefault="00F67E78" w:rsidP="007D6D8B">
            <w:pPr>
              <w:spacing w:after="0" w:line="240" w:lineRule="auto"/>
              <w:rPr>
                <w:rFonts w:asciiTheme="majorBidi" w:eastAsia="Times New Roman" w:hAnsiTheme="majorBidi" w:cstheme="majorBidi"/>
                <w:b/>
                <w:bCs/>
                <w:color w:val="4F81BD" w:themeColor="accent1"/>
                <w:szCs w:val="24"/>
                <w:lang w:eastAsia="fr-FR"/>
              </w:rPr>
            </w:pPr>
            <w:bookmarkStart w:id="58" w:name="_Toc515274124"/>
            <w:r w:rsidRPr="00E678BE">
              <w:rPr>
                <w:rFonts w:asciiTheme="majorBidi" w:hAnsiTheme="majorBidi" w:cstheme="majorBidi"/>
                <w:b/>
                <w:color w:val="4F81BD" w:themeColor="accent1"/>
              </w:rPr>
              <w:lastRenderedPageBreak/>
              <w:t xml:space="preserve">Tableau A </w:t>
            </w:r>
            <w:r w:rsidR="007D6D8B">
              <w:rPr>
                <w:rFonts w:asciiTheme="majorBidi" w:hAnsiTheme="majorBidi" w:cstheme="majorBidi"/>
                <w:b/>
                <w:color w:val="4F81BD" w:themeColor="accent1"/>
              </w:rPr>
              <w:t>14</w:t>
            </w:r>
            <w:r w:rsidRPr="00E678BE">
              <w:rPr>
                <w:rFonts w:asciiTheme="majorBidi" w:hAnsiTheme="majorBidi" w:cstheme="majorBidi"/>
                <w:b/>
                <w:color w:val="4F81BD" w:themeColor="accent1"/>
              </w:rPr>
              <w:t xml:space="preserve"> : </w:t>
            </w:r>
            <w:r w:rsidR="00861415" w:rsidRPr="00E678BE">
              <w:rPr>
                <w:rFonts w:asciiTheme="majorBidi" w:eastAsia="Times New Roman" w:hAnsiTheme="majorBidi" w:cstheme="majorBidi"/>
                <w:b/>
                <w:bCs/>
                <w:color w:val="4F81BD" w:themeColor="accent1"/>
                <w:szCs w:val="24"/>
                <w:lang w:eastAsia="fr-FR"/>
              </w:rPr>
              <w:t xml:space="preserve">IPC de la ville de </w:t>
            </w:r>
            <w:proofErr w:type="spellStart"/>
            <w:r w:rsidR="00861415" w:rsidRPr="00E678BE">
              <w:rPr>
                <w:rFonts w:asciiTheme="majorBidi" w:eastAsia="Times New Roman" w:hAnsiTheme="majorBidi" w:cstheme="majorBidi"/>
                <w:b/>
                <w:bCs/>
                <w:color w:val="4F81BD" w:themeColor="accent1"/>
                <w:szCs w:val="24"/>
                <w:lang w:eastAsia="fr-FR"/>
              </w:rPr>
              <w:t>Kénitra</w:t>
            </w:r>
            <w:proofErr w:type="spellEnd"/>
            <w:r w:rsidR="00861415" w:rsidRPr="00E678BE">
              <w:rPr>
                <w:rFonts w:asciiTheme="majorBidi" w:eastAsia="Times New Roman" w:hAnsiTheme="majorBidi" w:cstheme="majorBidi"/>
                <w:b/>
                <w:bCs/>
                <w:color w:val="4F81BD" w:themeColor="accent1"/>
                <w:szCs w:val="24"/>
                <w:lang w:eastAsia="fr-FR"/>
              </w:rPr>
              <w:t xml:space="preserve"> par division et par mois</w:t>
            </w:r>
            <w:r w:rsidRPr="00E678BE">
              <w:rPr>
                <w:rFonts w:asciiTheme="majorBidi" w:eastAsia="Times New Roman" w:hAnsiTheme="majorBidi" w:cstheme="majorBidi"/>
                <w:b/>
                <w:bCs/>
                <w:color w:val="4F81BD" w:themeColor="accent1"/>
                <w:szCs w:val="24"/>
                <w:lang w:eastAsia="fr-FR"/>
              </w:rPr>
              <w:t xml:space="preserve"> </w:t>
            </w:r>
            <w:r w:rsidR="00861415" w:rsidRPr="00E678BE">
              <w:rPr>
                <w:rFonts w:asciiTheme="majorBidi" w:eastAsia="Times New Roman" w:hAnsiTheme="majorBidi" w:cstheme="majorBidi"/>
                <w:b/>
                <w:bCs/>
                <w:color w:val="4F81BD" w:themeColor="accent1"/>
                <w:szCs w:val="24"/>
                <w:lang w:eastAsia="fr-FR"/>
              </w:rPr>
              <w:t>- Année 2007-</w:t>
            </w:r>
            <w:bookmarkEnd w:id="58"/>
          </w:p>
        </w:tc>
      </w:tr>
      <w:tr w:rsidR="00861415" w:rsidRPr="00E678BE" w:rsidTr="00BB5DB3">
        <w:trPr>
          <w:trHeight w:val="330"/>
        </w:trPr>
        <w:tc>
          <w:tcPr>
            <w:tcW w:w="1202" w:type="pct"/>
            <w:tcBorders>
              <w:top w:val="nil"/>
              <w:left w:val="single" w:sz="4" w:space="0" w:color="auto"/>
              <w:bottom w:val="single" w:sz="8" w:space="0" w:color="auto"/>
              <w:right w:val="single" w:sz="8" w:space="0" w:color="auto"/>
            </w:tcBorders>
            <w:shd w:val="clear" w:color="000000" w:fill="C0C0C0"/>
            <w:vAlign w:val="center"/>
            <w:hideMark/>
          </w:tcPr>
          <w:p w:rsidR="00861415" w:rsidRPr="00E678BE" w:rsidRDefault="00CE722C" w:rsidP="00861415">
            <w:pPr>
              <w:spacing w:after="0" w:line="240" w:lineRule="auto"/>
              <w:jc w:val="center"/>
              <w:rPr>
                <w:rFonts w:asciiTheme="majorBidi" w:eastAsia="Times New Roman" w:hAnsiTheme="majorBidi" w:cstheme="majorBidi"/>
                <w:b/>
                <w:bCs/>
                <w:sz w:val="16"/>
                <w:szCs w:val="16"/>
                <w:lang w:eastAsia="fr-FR"/>
              </w:rPr>
            </w:pPr>
            <w:r>
              <w:rPr>
                <w:rFonts w:asciiTheme="majorBidi" w:eastAsia="Times New Roman" w:hAnsiTheme="majorBidi" w:cstheme="majorBidi"/>
                <w:b/>
                <w:bCs/>
                <w:sz w:val="16"/>
                <w:szCs w:val="16"/>
                <w:lang w:eastAsia="fr-FR"/>
              </w:rPr>
              <w:t>DIVISIONS</w:t>
            </w:r>
          </w:p>
        </w:tc>
        <w:tc>
          <w:tcPr>
            <w:tcW w:w="291" w:type="pct"/>
            <w:tcBorders>
              <w:top w:val="nil"/>
              <w:left w:val="single" w:sz="4" w:space="0" w:color="auto"/>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Jan</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Fev</w:t>
            </w:r>
            <w:proofErr w:type="spellEnd"/>
          </w:p>
        </w:tc>
        <w:tc>
          <w:tcPr>
            <w:tcW w:w="294"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Mars</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Avr</w:t>
            </w:r>
            <w:proofErr w:type="spellEnd"/>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Mai</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Juin</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Jul</w:t>
            </w:r>
            <w:proofErr w:type="spellEnd"/>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Août</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Sep</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Oct</w:t>
            </w:r>
            <w:proofErr w:type="spellEnd"/>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Nov</w:t>
            </w:r>
            <w:proofErr w:type="spellEnd"/>
          </w:p>
        </w:tc>
        <w:tc>
          <w:tcPr>
            <w:tcW w:w="291" w:type="pct"/>
            <w:tcBorders>
              <w:top w:val="nil"/>
              <w:left w:val="single" w:sz="8" w:space="0" w:color="auto"/>
              <w:bottom w:val="single" w:sz="8" w:space="0" w:color="auto"/>
              <w:right w:val="nil"/>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Dec</w:t>
            </w:r>
            <w:proofErr w:type="spellEnd"/>
          </w:p>
        </w:tc>
        <w:tc>
          <w:tcPr>
            <w:tcW w:w="303" w:type="pct"/>
            <w:tcBorders>
              <w:top w:val="nil"/>
              <w:left w:val="single" w:sz="8" w:space="0" w:color="auto"/>
              <w:bottom w:val="single" w:sz="8" w:space="0" w:color="auto"/>
              <w:right w:val="single" w:sz="8"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Moy</w:t>
            </w:r>
            <w:proofErr w:type="spellEnd"/>
          </w:p>
        </w:tc>
      </w:tr>
      <w:tr w:rsidR="00861415" w:rsidRPr="00E678BE" w:rsidTr="00BB5DB3">
        <w:trPr>
          <w:trHeight w:val="651"/>
        </w:trPr>
        <w:tc>
          <w:tcPr>
            <w:tcW w:w="12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01. PRODUITS ALIMENTAIRES ET BOISSONS NON ALCOOLISÉES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100,6</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105,9</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103,8</w:t>
            </w:r>
          </w:p>
        </w:tc>
      </w:tr>
      <w:tr w:rsidR="00861415" w:rsidRPr="00E678BE" w:rsidTr="00BB5DB3">
        <w:trPr>
          <w:trHeight w:val="557"/>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02. BOISSONS ALCOOLISÉES, TABAC ET STUPÉFIANTS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102,1</w:t>
            </w:r>
          </w:p>
        </w:tc>
      </w:tr>
      <w:tr w:rsidR="00861415" w:rsidRPr="00E678BE" w:rsidTr="00BB5DB3">
        <w:trPr>
          <w:trHeight w:val="564"/>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03. ARTICLES D'HABILLEMENT ET CHAUSSURES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100,7</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103,0</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101,1</w:t>
            </w:r>
          </w:p>
        </w:tc>
      </w:tr>
      <w:tr w:rsidR="00861415" w:rsidRPr="00E678BE" w:rsidTr="00BB5DB3">
        <w:trPr>
          <w:trHeight w:val="705"/>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04. LOGEMENT, EAU, GAZ, ELECTRICITE ET AUTRES COMBUSTIBLES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100,1</w:t>
            </w:r>
          </w:p>
        </w:tc>
      </w:tr>
      <w:tr w:rsidR="00861415" w:rsidRPr="00E678BE" w:rsidTr="00BB5DB3">
        <w:trPr>
          <w:trHeight w:val="686"/>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05. MEUBLES, ARTICLES DE MENAGE ET ENTRETIEN COURANT DU FOYER</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101,4</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104,0</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102,1</w:t>
            </w:r>
          </w:p>
        </w:tc>
      </w:tr>
      <w:tr w:rsidR="00861415" w:rsidRPr="00E678BE" w:rsidTr="00BB5DB3">
        <w:trPr>
          <w:trHeight w:val="565"/>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06. SANTÉ</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102,2</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102,3</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102,2</w:t>
            </w:r>
          </w:p>
        </w:tc>
      </w:tr>
      <w:tr w:rsidR="00861415" w:rsidRPr="00E678BE" w:rsidTr="00BB5DB3">
        <w:trPr>
          <w:trHeight w:val="419"/>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07. TRANSPORTS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100,4</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100,3</w:t>
            </w:r>
          </w:p>
        </w:tc>
      </w:tr>
      <w:tr w:rsidR="00861415" w:rsidRPr="00E678BE" w:rsidTr="00BB5DB3">
        <w:trPr>
          <w:trHeight w:val="411"/>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08. COMMUNICATIONS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97,3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97,3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97,3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97,3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97,3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97,3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97,3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97,3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97,3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97,3</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97,8</w:t>
            </w:r>
          </w:p>
        </w:tc>
      </w:tr>
      <w:tr w:rsidR="00861415" w:rsidRPr="00E678BE" w:rsidTr="00BB5DB3">
        <w:trPr>
          <w:trHeight w:val="405"/>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09. LOISIRS ET CULTURE</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101,1</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101,0</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101,1</w:t>
            </w:r>
          </w:p>
        </w:tc>
      </w:tr>
      <w:tr w:rsidR="00861415" w:rsidRPr="00E678BE" w:rsidTr="00BB5DB3">
        <w:trPr>
          <w:trHeight w:val="437"/>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10. ENSEIGNEMENT</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100,2</w:t>
            </w:r>
          </w:p>
        </w:tc>
      </w:tr>
      <w:tr w:rsidR="00861415" w:rsidRPr="00E678BE" w:rsidTr="00BB5DB3">
        <w:trPr>
          <w:trHeight w:val="415"/>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11. RESTAURANTS ET HÔTELS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100,0</w:t>
            </w:r>
          </w:p>
        </w:tc>
      </w:tr>
      <w:tr w:rsidR="00861415" w:rsidRPr="00E678BE" w:rsidTr="00BB5DB3">
        <w:trPr>
          <w:trHeight w:val="549"/>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12. BIENS ET SERVICES DIVERS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100,2</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101,1</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100,4</w:t>
            </w:r>
          </w:p>
        </w:tc>
      </w:tr>
      <w:tr w:rsidR="00861415" w:rsidRPr="00E678BE" w:rsidTr="00BB5DB3">
        <w:trPr>
          <w:trHeight w:val="542"/>
        </w:trPr>
        <w:tc>
          <w:tcPr>
            <w:tcW w:w="1202" w:type="pct"/>
            <w:tcBorders>
              <w:top w:val="single" w:sz="8" w:space="0" w:color="auto"/>
              <w:left w:val="single" w:sz="4" w:space="0" w:color="auto"/>
              <w:bottom w:val="single" w:sz="8" w:space="0" w:color="auto"/>
              <w:right w:val="single" w:sz="8" w:space="0" w:color="auto"/>
            </w:tcBorders>
            <w:shd w:val="clear" w:color="000000" w:fill="C0C0C0"/>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 xml:space="preserve">  INDICE  GENERAL    </w:t>
            </w:r>
          </w:p>
        </w:tc>
        <w:tc>
          <w:tcPr>
            <w:tcW w:w="291" w:type="pct"/>
            <w:tcBorders>
              <w:top w:val="single" w:sz="8" w:space="0" w:color="auto"/>
              <w:left w:val="single" w:sz="4" w:space="0" w:color="auto"/>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100,4</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100,6</w:t>
            </w:r>
          </w:p>
        </w:tc>
        <w:tc>
          <w:tcPr>
            <w:tcW w:w="294"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100,5</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101,4</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100,8</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101,4</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101,4</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102,6</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103,3</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103,7</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103,0</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102,9</w:t>
            </w:r>
          </w:p>
        </w:tc>
        <w:tc>
          <w:tcPr>
            <w:tcW w:w="303"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101,8</w:t>
            </w:r>
          </w:p>
        </w:tc>
      </w:tr>
    </w:tbl>
    <w:p w:rsidR="00BB5DB3" w:rsidRPr="00483003" w:rsidRDefault="00BB5DB3" w:rsidP="00BB5DB3">
      <w:pPr>
        <w:pStyle w:val="Lgende"/>
        <w:rPr>
          <w:rFonts w:ascii="Times New Roman" w:hAnsi="Times New Roman"/>
          <w:i/>
          <w:iCs/>
          <w:sz w:val="22"/>
        </w:rPr>
      </w:pPr>
      <w:r w:rsidRPr="00483003">
        <w:rPr>
          <w:rFonts w:ascii="Times New Roman" w:hAnsi="Times New Roman"/>
          <w:i/>
          <w:iCs/>
          <w:sz w:val="22"/>
        </w:rPr>
        <w:t>Source : HCP</w:t>
      </w:r>
    </w:p>
    <w:p w:rsidR="00BD5911" w:rsidRDefault="00BD5911" w:rsidP="00F7045D">
      <w:pPr>
        <w:rPr>
          <w:rFonts w:asciiTheme="majorBidi" w:hAnsiTheme="majorBidi" w:cstheme="majorBidi"/>
          <w:sz w:val="16"/>
          <w:szCs w:val="16"/>
        </w:rPr>
        <w:sectPr w:rsidR="00BD5911" w:rsidSect="00BD5911">
          <w:pgSz w:w="16838" w:h="11906" w:orient="landscape"/>
          <w:pgMar w:top="1418" w:right="1701" w:bottom="1276" w:left="1701" w:header="709" w:footer="709" w:gutter="0"/>
          <w:cols w:space="708"/>
          <w:titlePg/>
          <w:docGrid w:linePitch="360"/>
        </w:sectPr>
      </w:pPr>
    </w:p>
    <w:p w:rsidR="00E8089E" w:rsidRPr="00E678BE" w:rsidRDefault="00F67E78" w:rsidP="007D6D8B">
      <w:pPr>
        <w:pStyle w:val="Lgende"/>
        <w:spacing w:after="0"/>
        <w:rPr>
          <w:rFonts w:asciiTheme="majorBidi" w:hAnsiTheme="majorBidi" w:cstheme="majorBidi"/>
          <w:bCs w:val="0"/>
          <w:sz w:val="22"/>
        </w:rPr>
      </w:pPr>
      <w:bookmarkStart w:id="59" w:name="_Toc515274125"/>
      <w:r w:rsidRPr="00E678BE">
        <w:rPr>
          <w:rFonts w:asciiTheme="majorBidi" w:hAnsiTheme="majorBidi" w:cstheme="majorBidi"/>
          <w:sz w:val="22"/>
        </w:rPr>
        <w:lastRenderedPageBreak/>
        <w:t xml:space="preserve">Tableau A </w:t>
      </w:r>
      <w:r w:rsidR="007D6D8B">
        <w:rPr>
          <w:rFonts w:asciiTheme="majorBidi" w:hAnsiTheme="majorBidi" w:cstheme="majorBidi"/>
          <w:sz w:val="22"/>
        </w:rPr>
        <w:t>15</w:t>
      </w:r>
      <w:r w:rsidRPr="00E678BE">
        <w:rPr>
          <w:rFonts w:asciiTheme="majorBidi" w:hAnsiTheme="majorBidi" w:cstheme="majorBidi"/>
          <w:sz w:val="22"/>
        </w:rPr>
        <w:t xml:space="preserve"> : </w:t>
      </w:r>
      <w:r w:rsidR="00E8089E" w:rsidRPr="00E678BE">
        <w:rPr>
          <w:rFonts w:asciiTheme="majorBidi" w:hAnsiTheme="majorBidi" w:cstheme="majorBidi"/>
          <w:bCs w:val="0"/>
          <w:sz w:val="22"/>
        </w:rPr>
        <w:t xml:space="preserve">Evolution de l'IPC  général de la ville de  </w:t>
      </w:r>
      <w:r w:rsidR="00D075F5" w:rsidRPr="00E678BE">
        <w:rPr>
          <w:rFonts w:asciiTheme="majorBidi" w:hAnsiTheme="majorBidi" w:cstheme="majorBidi"/>
          <w:bCs w:val="0"/>
          <w:sz w:val="22"/>
        </w:rPr>
        <w:t>Kenitra</w:t>
      </w:r>
      <w:r w:rsidR="00E8089E" w:rsidRPr="00E678BE">
        <w:rPr>
          <w:rFonts w:asciiTheme="majorBidi" w:hAnsiTheme="majorBidi" w:cstheme="majorBidi"/>
          <w:bCs w:val="0"/>
          <w:sz w:val="22"/>
        </w:rPr>
        <w:t xml:space="preserve"> et du Maroc entre 2007 et 201</w:t>
      </w:r>
      <w:bookmarkEnd w:id="59"/>
      <w:r w:rsidR="007D6D8B">
        <w:rPr>
          <w:rFonts w:asciiTheme="majorBidi" w:hAnsiTheme="majorBidi" w:cstheme="majorBidi"/>
          <w:bCs w:val="0"/>
          <w:sz w:val="22"/>
        </w:rPr>
        <w:t>9</w:t>
      </w:r>
    </w:p>
    <w:tbl>
      <w:tblPr>
        <w:tblW w:w="0" w:type="auto"/>
        <w:tblCellMar>
          <w:left w:w="70" w:type="dxa"/>
          <w:right w:w="70" w:type="dxa"/>
        </w:tblCellMar>
        <w:tblLook w:val="04A0"/>
      </w:tblPr>
      <w:tblGrid>
        <w:gridCol w:w="690"/>
        <w:gridCol w:w="635"/>
        <w:gridCol w:w="635"/>
        <w:gridCol w:w="635"/>
        <w:gridCol w:w="635"/>
        <w:gridCol w:w="635"/>
        <w:gridCol w:w="635"/>
        <w:gridCol w:w="635"/>
        <w:gridCol w:w="635"/>
        <w:gridCol w:w="635"/>
        <w:gridCol w:w="635"/>
        <w:gridCol w:w="635"/>
        <w:gridCol w:w="635"/>
        <w:gridCol w:w="635"/>
        <w:gridCol w:w="160"/>
      </w:tblGrid>
      <w:tr w:rsidR="00610776" w:rsidRPr="00E678BE" w:rsidTr="002007CB">
        <w:trPr>
          <w:trHeight w:val="300"/>
        </w:trPr>
        <w:tc>
          <w:tcPr>
            <w:tcW w:w="0" w:type="auto"/>
            <w:tcBorders>
              <w:bottom w:val="single" w:sz="12" w:space="0" w:color="000000" w:themeColor="text1"/>
            </w:tcBorders>
            <w:shd w:val="clear" w:color="auto" w:fill="auto"/>
            <w:noWrap/>
            <w:vAlign w:val="bottom"/>
            <w:hideMark/>
          </w:tcPr>
          <w:p w:rsidR="00610776" w:rsidRPr="00E678BE" w:rsidRDefault="00610776" w:rsidP="000977A7">
            <w:pPr>
              <w:spacing w:after="0" w:line="240" w:lineRule="auto"/>
              <w:rPr>
                <w:rFonts w:asciiTheme="majorBidi" w:eastAsia="Times New Roman" w:hAnsiTheme="majorBidi" w:cstheme="majorBidi"/>
                <w:color w:val="000000"/>
                <w:lang w:eastAsia="fr-FR"/>
              </w:rPr>
            </w:pPr>
          </w:p>
        </w:tc>
        <w:tc>
          <w:tcPr>
            <w:tcW w:w="0" w:type="auto"/>
            <w:tcBorders>
              <w:top w:val="single" w:sz="12" w:space="0" w:color="000000" w:themeColor="text1"/>
              <w:bottom w:val="single" w:sz="12" w:space="0" w:color="000000" w:themeColor="text1"/>
            </w:tcBorders>
            <w:shd w:val="clear" w:color="auto" w:fill="BFBFBF" w:themeFill="background1" w:themeFillShade="BF"/>
            <w:noWrap/>
            <w:vAlign w:val="center"/>
            <w:hideMark/>
          </w:tcPr>
          <w:p w:rsidR="00610776" w:rsidRPr="00E678BE" w:rsidRDefault="00610776" w:rsidP="002007CB">
            <w:pPr>
              <w:spacing w:after="0" w:line="240" w:lineRule="auto"/>
              <w:jc w:val="center"/>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2007</w:t>
            </w:r>
          </w:p>
        </w:tc>
        <w:tc>
          <w:tcPr>
            <w:tcW w:w="0" w:type="auto"/>
            <w:tcBorders>
              <w:top w:val="single" w:sz="12" w:space="0" w:color="000000" w:themeColor="text1"/>
              <w:bottom w:val="single" w:sz="12" w:space="0" w:color="000000" w:themeColor="text1"/>
            </w:tcBorders>
            <w:shd w:val="clear" w:color="auto" w:fill="BFBFBF" w:themeFill="background1" w:themeFillShade="BF"/>
            <w:noWrap/>
            <w:vAlign w:val="center"/>
            <w:hideMark/>
          </w:tcPr>
          <w:p w:rsidR="00610776" w:rsidRPr="00E678BE" w:rsidRDefault="00610776" w:rsidP="002007CB">
            <w:pPr>
              <w:spacing w:after="0" w:line="240" w:lineRule="auto"/>
              <w:jc w:val="center"/>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2008</w:t>
            </w:r>
          </w:p>
        </w:tc>
        <w:tc>
          <w:tcPr>
            <w:tcW w:w="0" w:type="auto"/>
            <w:tcBorders>
              <w:top w:val="single" w:sz="12" w:space="0" w:color="000000" w:themeColor="text1"/>
              <w:bottom w:val="single" w:sz="12" w:space="0" w:color="000000" w:themeColor="text1"/>
            </w:tcBorders>
            <w:shd w:val="clear" w:color="auto" w:fill="BFBFBF" w:themeFill="background1" w:themeFillShade="BF"/>
            <w:noWrap/>
            <w:vAlign w:val="center"/>
            <w:hideMark/>
          </w:tcPr>
          <w:p w:rsidR="00610776" w:rsidRPr="00E678BE" w:rsidRDefault="00610776" w:rsidP="002007CB">
            <w:pPr>
              <w:spacing w:after="0" w:line="240" w:lineRule="auto"/>
              <w:jc w:val="center"/>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2009</w:t>
            </w:r>
          </w:p>
        </w:tc>
        <w:tc>
          <w:tcPr>
            <w:tcW w:w="0" w:type="auto"/>
            <w:tcBorders>
              <w:top w:val="single" w:sz="12" w:space="0" w:color="000000" w:themeColor="text1"/>
              <w:bottom w:val="single" w:sz="12" w:space="0" w:color="000000" w:themeColor="text1"/>
            </w:tcBorders>
            <w:shd w:val="clear" w:color="auto" w:fill="BFBFBF" w:themeFill="background1" w:themeFillShade="BF"/>
            <w:noWrap/>
            <w:vAlign w:val="center"/>
            <w:hideMark/>
          </w:tcPr>
          <w:p w:rsidR="00610776" w:rsidRPr="00E678BE" w:rsidRDefault="00610776" w:rsidP="002007CB">
            <w:pPr>
              <w:spacing w:after="0" w:line="240" w:lineRule="auto"/>
              <w:jc w:val="center"/>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2010</w:t>
            </w:r>
          </w:p>
        </w:tc>
        <w:tc>
          <w:tcPr>
            <w:tcW w:w="0" w:type="auto"/>
            <w:tcBorders>
              <w:top w:val="single" w:sz="12" w:space="0" w:color="000000" w:themeColor="text1"/>
              <w:bottom w:val="single" w:sz="12" w:space="0" w:color="000000" w:themeColor="text1"/>
            </w:tcBorders>
            <w:shd w:val="clear" w:color="auto" w:fill="BFBFBF" w:themeFill="background1" w:themeFillShade="BF"/>
            <w:noWrap/>
            <w:vAlign w:val="center"/>
            <w:hideMark/>
          </w:tcPr>
          <w:p w:rsidR="00610776" w:rsidRPr="00E678BE" w:rsidRDefault="00610776" w:rsidP="002007CB">
            <w:pPr>
              <w:spacing w:after="0" w:line="240" w:lineRule="auto"/>
              <w:jc w:val="center"/>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2011</w:t>
            </w:r>
          </w:p>
        </w:tc>
        <w:tc>
          <w:tcPr>
            <w:tcW w:w="0" w:type="auto"/>
            <w:tcBorders>
              <w:top w:val="single" w:sz="12" w:space="0" w:color="000000" w:themeColor="text1"/>
              <w:bottom w:val="single" w:sz="12" w:space="0" w:color="000000" w:themeColor="text1"/>
            </w:tcBorders>
            <w:shd w:val="clear" w:color="auto" w:fill="BFBFBF" w:themeFill="background1" w:themeFillShade="BF"/>
            <w:noWrap/>
            <w:vAlign w:val="center"/>
            <w:hideMark/>
          </w:tcPr>
          <w:p w:rsidR="00610776" w:rsidRPr="00E678BE" w:rsidRDefault="00610776" w:rsidP="002007CB">
            <w:pPr>
              <w:spacing w:after="0" w:line="240" w:lineRule="auto"/>
              <w:jc w:val="center"/>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2012</w:t>
            </w:r>
          </w:p>
        </w:tc>
        <w:tc>
          <w:tcPr>
            <w:tcW w:w="0" w:type="auto"/>
            <w:tcBorders>
              <w:top w:val="single" w:sz="12" w:space="0" w:color="000000" w:themeColor="text1"/>
              <w:bottom w:val="single" w:sz="12" w:space="0" w:color="000000" w:themeColor="text1"/>
            </w:tcBorders>
            <w:shd w:val="clear" w:color="auto" w:fill="BFBFBF" w:themeFill="background1" w:themeFillShade="BF"/>
            <w:noWrap/>
            <w:vAlign w:val="center"/>
            <w:hideMark/>
          </w:tcPr>
          <w:p w:rsidR="00610776" w:rsidRPr="00E678BE" w:rsidRDefault="00610776" w:rsidP="002007CB">
            <w:pPr>
              <w:spacing w:after="0" w:line="240" w:lineRule="auto"/>
              <w:jc w:val="center"/>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2013</w:t>
            </w:r>
          </w:p>
        </w:tc>
        <w:tc>
          <w:tcPr>
            <w:tcW w:w="0" w:type="auto"/>
            <w:tcBorders>
              <w:top w:val="single" w:sz="12" w:space="0" w:color="000000" w:themeColor="text1"/>
              <w:bottom w:val="single" w:sz="12" w:space="0" w:color="000000" w:themeColor="text1"/>
            </w:tcBorders>
            <w:shd w:val="clear" w:color="auto" w:fill="BFBFBF" w:themeFill="background1" w:themeFillShade="BF"/>
            <w:noWrap/>
            <w:vAlign w:val="center"/>
            <w:hideMark/>
          </w:tcPr>
          <w:p w:rsidR="00610776" w:rsidRPr="00E678BE" w:rsidRDefault="00610776" w:rsidP="002007CB">
            <w:pPr>
              <w:spacing w:after="0" w:line="240" w:lineRule="auto"/>
              <w:jc w:val="center"/>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2014</w:t>
            </w:r>
          </w:p>
        </w:tc>
        <w:tc>
          <w:tcPr>
            <w:tcW w:w="0" w:type="auto"/>
            <w:tcBorders>
              <w:top w:val="single" w:sz="12" w:space="0" w:color="000000" w:themeColor="text1"/>
              <w:bottom w:val="single" w:sz="12" w:space="0" w:color="000000" w:themeColor="text1"/>
            </w:tcBorders>
            <w:shd w:val="clear" w:color="auto" w:fill="BFBFBF" w:themeFill="background1" w:themeFillShade="BF"/>
            <w:noWrap/>
            <w:vAlign w:val="center"/>
            <w:hideMark/>
          </w:tcPr>
          <w:p w:rsidR="00610776" w:rsidRPr="00E678BE" w:rsidRDefault="00610776" w:rsidP="002007CB">
            <w:pPr>
              <w:spacing w:after="0" w:line="240" w:lineRule="auto"/>
              <w:jc w:val="center"/>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2015</w:t>
            </w:r>
          </w:p>
        </w:tc>
        <w:tc>
          <w:tcPr>
            <w:tcW w:w="0" w:type="auto"/>
            <w:tcBorders>
              <w:top w:val="single" w:sz="12" w:space="0" w:color="000000" w:themeColor="text1"/>
              <w:bottom w:val="single" w:sz="12" w:space="0" w:color="000000" w:themeColor="text1"/>
            </w:tcBorders>
            <w:shd w:val="clear" w:color="auto" w:fill="BFBFBF" w:themeFill="background1" w:themeFillShade="BF"/>
            <w:noWrap/>
            <w:vAlign w:val="center"/>
            <w:hideMark/>
          </w:tcPr>
          <w:p w:rsidR="00610776" w:rsidRPr="00E678BE" w:rsidRDefault="00610776" w:rsidP="002007CB">
            <w:pPr>
              <w:spacing w:after="0" w:line="240" w:lineRule="auto"/>
              <w:jc w:val="center"/>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2016</w:t>
            </w:r>
          </w:p>
        </w:tc>
        <w:tc>
          <w:tcPr>
            <w:tcW w:w="0" w:type="auto"/>
            <w:tcBorders>
              <w:top w:val="single" w:sz="12" w:space="0" w:color="000000" w:themeColor="text1"/>
              <w:bottom w:val="single" w:sz="12" w:space="0" w:color="000000" w:themeColor="text1"/>
            </w:tcBorders>
            <w:shd w:val="clear" w:color="auto" w:fill="BFBFBF" w:themeFill="background1" w:themeFillShade="BF"/>
            <w:noWrap/>
            <w:vAlign w:val="center"/>
            <w:hideMark/>
          </w:tcPr>
          <w:p w:rsidR="00610776" w:rsidRPr="00E678BE" w:rsidRDefault="00610776" w:rsidP="002007CB">
            <w:pPr>
              <w:spacing w:after="0" w:line="240" w:lineRule="auto"/>
              <w:jc w:val="center"/>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2017</w:t>
            </w:r>
          </w:p>
        </w:tc>
        <w:tc>
          <w:tcPr>
            <w:tcW w:w="0" w:type="auto"/>
            <w:tcBorders>
              <w:top w:val="single" w:sz="12" w:space="0" w:color="000000" w:themeColor="text1"/>
              <w:bottom w:val="single" w:sz="12" w:space="0" w:color="000000" w:themeColor="text1"/>
            </w:tcBorders>
            <w:shd w:val="clear" w:color="auto" w:fill="BFBFBF" w:themeFill="background1" w:themeFillShade="BF"/>
            <w:vAlign w:val="center"/>
          </w:tcPr>
          <w:p w:rsidR="00610776" w:rsidRPr="00E678BE" w:rsidRDefault="00610776" w:rsidP="002007CB">
            <w:pPr>
              <w:spacing w:after="0" w:line="240" w:lineRule="auto"/>
              <w:jc w:val="center"/>
              <w:rPr>
                <w:rFonts w:asciiTheme="majorBidi" w:eastAsia="Times New Roman" w:hAnsiTheme="majorBidi" w:cstheme="majorBidi"/>
                <w:b/>
                <w:bCs/>
                <w:color w:val="000000"/>
                <w:lang w:eastAsia="fr-FR"/>
              </w:rPr>
            </w:pPr>
            <w:r>
              <w:rPr>
                <w:rFonts w:asciiTheme="majorBidi" w:eastAsia="Times New Roman" w:hAnsiTheme="majorBidi" w:cstheme="majorBidi"/>
                <w:b/>
                <w:bCs/>
                <w:color w:val="000000"/>
                <w:lang w:eastAsia="fr-FR"/>
              </w:rPr>
              <w:t>2018</w:t>
            </w:r>
          </w:p>
        </w:tc>
        <w:tc>
          <w:tcPr>
            <w:tcW w:w="635" w:type="dxa"/>
            <w:tcBorders>
              <w:top w:val="single" w:sz="12" w:space="0" w:color="000000" w:themeColor="text1"/>
              <w:bottom w:val="single" w:sz="12" w:space="0" w:color="000000" w:themeColor="text1"/>
            </w:tcBorders>
            <w:shd w:val="clear" w:color="auto" w:fill="BFBFBF" w:themeFill="background1" w:themeFillShade="BF"/>
            <w:vAlign w:val="center"/>
          </w:tcPr>
          <w:p w:rsidR="00610776" w:rsidRDefault="00610776" w:rsidP="002007CB">
            <w:pPr>
              <w:spacing w:after="0" w:line="240" w:lineRule="auto"/>
              <w:jc w:val="center"/>
              <w:rPr>
                <w:rFonts w:asciiTheme="majorBidi" w:eastAsia="Times New Roman" w:hAnsiTheme="majorBidi" w:cstheme="majorBidi"/>
                <w:b/>
                <w:bCs/>
                <w:color w:val="000000"/>
                <w:lang w:eastAsia="fr-FR"/>
              </w:rPr>
            </w:pPr>
            <w:r>
              <w:rPr>
                <w:rFonts w:asciiTheme="majorBidi" w:eastAsia="Times New Roman" w:hAnsiTheme="majorBidi" w:cstheme="majorBidi"/>
                <w:b/>
                <w:bCs/>
                <w:color w:val="000000"/>
                <w:lang w:eastAsia="fr-FR"/>
              </w:rPr>
              <w:t>2019</w:t>
            </w:r>
          </w:p>
        </w:tc>
        <w:tc>
          <w:tcPr>
            <w:tcW w:w="160" w:type="dxa"/>
            <w:tcBorders>
              <w:top w:val="single" w:sz="12" w:space="0" w:color="000000" w:themeColor="text1"/>
              <w:bottom w:val="single" w:sz="12" w:space="0" w:color="000000" w:themeColor="text1"/>
            </w:tcBorders>
            <w:shd w:val="clear" w:color="auto" w:fill="BFBFBF" w:themeFill="background1" w:themeFillShade="BF"/>
            <w:vAlign w:val="center"/>
          </w:tcPr>
          <w:p w:rsidR="00610776" w:rsidRDefault="00610776" w:rsidP="00610776">
            <w:pPr>
              <w:spacing w:after="0" w:line="240" w:lineRule="auto"/>
              <w:jc w:val="right"/>
              <w:rPr>
                <w:rFonts w:asciiTheme="majorBidi" w:eastAsia="Times New Roman" w:hAnsiTheme="majorBidi" w:cstheme="majorBidi"/>
                <w:b/>
                <w:bCs/>
                <w:color w:val="000000"/>
                <w:lang w:eastAsia="fr-FR"/>
              </w:rPr>
            </w:pPr>
          </w:p>
        </w:tc>
      </w:tr>
      <w:tr w:rsidR="00610776" w:rsidRPr="00E678BE" w:rsidTr="002007CB">
        <w:trPr>
          <w:trHeight w:val="300"/>
        </w:trPr>
        <w:tc>
          <w:tcPr>
            <w:tcW w:w="0" w:type="auto"/>
            <w:tcBorders>
              <w:top w:val="single" w:sz="12" w:space="0" w:color="000000" w:themeColor="text1"/>
              <w:bottom w:val="single" w:sz="12" w:space="0" w:color="000000" w:themeColor="text1"/>
            </w:tcBorders>
            <w:shd w:val="clear" w:color="auto" w:fill="BFBFBF" w:themeFill="background1" w:themeFillShade="BF"/>
            <w:noWrap/>
            <w:vAlign w:val="center"/>
            <w:hideMark/>
          </w:tcPr>
          <w:p w:rsidR="00610776" w:rsidRPr="00E678BE" w:rsidRDefault="00610776" w:rsidP="002007CB">
            <w:pPr>
              <w:spacing w:after="0" w:line="240" w:lineRule="auto"/>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IPCK</w:t>
            </w:r>
          </w:p>
        </w:tc>
        <w:tc>
          <w:tcPr>
            <w:tcW w:w="0" w:type="auto"/>
            <w:tcBorders>
              <w:top w:val="single" w:sz="12" w:space="0" w:color="000000" w:themeColor="text1"/>
              <w:bottom w:val="single" w:sz="12" w:space="0" w:color="000000" w:themeColor="text1"/>
            </w:tcBorders>
            <w:shd w:val="clear" w:color="auto" w:fill="auto"/>
            <w:noWrap/>
            <w:vAlign w:val="center"/>
            <w:hideMark/>
          </w:tcPr>
          <w:p w:rsidR="00610776" w:rsidRPr="00E678BE" w:rsidRDefault="00610776"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101,8</w:t>
            </w:r>
          </w:p>
        </w:tc>
        <w:tc>
          <w:tcPr>
            <w:tcW w:w="0" w:type="auto"/>
            <w:tcBorders>
              <w:top w:val="single" w:sz="12" w:space="0" w:color="000000" w:themeColor="text1"/>
              <w:bottom w:val="single" w:sz="12" w:space="0" w:color="000000" w:themeColor="text1"/>
            </w:tcBorders>
            <w:shd w:val="clear" w:color="auto" w:fill="auto"/>
            <w:noWrap/>
            <w:vAlign w:val="center"/>
            <w:hideMark/>
          </w:tcPr>
          <w:p w:rsidR="00610776" w:rsidRPr="00E678BE" w:rsidRDefault="00610776"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105,7</w:t>
            </w:r>
          </w:p>
        </w:tc>
        <w:tc>
          <w:tcPr>
            <w:tcW w:w="0" w:type="auto"/>
            <w:tcBorders>
              <w:top w:val="single" w:sz="12" w:space="0" w:color="000000" w:themeColor="text1"/>
              <w:bottom w:val="single" w:sz="12" w:space="0" w:color="000000" w:themeColor="text1"/>
            </w:tcBorders>
            <w:shd w:val="clear" w:color="auto" w:fill="auto"/>
            <w:noWrap/>
            <w:vAlign w:val="center"/>
            <w:hideMark/>
          </w:tcPr>
          <w:p w:rsidR="00610776" w:rsidRPr="00E678BE" w:rsidRDefault="00610776"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106,9</w:t>
            </w:r>
          </w:p>
        </w:tc>
        <w:tc>
          <w:tcPr>
            <w:tcW w:w="0" w:type="auto"/>
            <w:tcBorders>
              <w:top w:val="single" w:sz="12" w:space="0" w:color="000000" w:themeColor="text1"/>
              <w:bottom w:val="single" w:sz="12" w:space="0" w:color="000000" w:themeColor="text1"/>
            </w:tcBorders>
            <w:shd w:val="clear" w:color="auto" w:fill="auto"/>
            <w:noWrap/>
            <w:vAlign w:val="center"/>
            <w:hideMark/>
          </w:tcPr>
          <w:p w:rsidR="00610776" w:rsidRPr="00E678BE" w:rsidRDefault="00610776"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107,1</w:t>
            </w:r>
          </w:p>
        </w:tc>
        <w:tc>
          <w:tcPr>
            <w:tcW w:w="0" w:type="auto"/>
            <w:tcBorders>
              <w:top w:val="single" w:sz="12" w:space="0" w:color="000000" w:themeColor="text1"/>
              <w:bottom w:val="single" w:sz="12" w:space="0" w:color="000000" w:themeColor="text1"/>
            </w:tcBorders>
            <w:shd w:val="clear" w:color="auto" w:fill="auto"/>
            <w:noWrap/>
            <w:vAlign w:val="center"/>
            <w:hideMark/>
          </w:tcPr>
          <w:p w:rsidR="00610776" w:rsidRPr="00E678BE" w:rsidRDefault="00610776"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109,0</w:t>
            </w:r>
          </w:p>
        </w:tc>
        <w:tc>
          <w:tcPr>
            <w:tcW w:w="0" w:type="auto"/>
            <w:tcBorders>
              <w:top w:val="single" w:sz="12" w:space="0" w:color="000000" w:themeColor="text1"/>
              <w:bottom w:val="single" w:sz="12" w:space="0" w:color="000000" w:themeColor="text1"/>
            </w:tcBorders>
            <w:shd w:val="clear" w:color="auto" w:fill="auto"/>
            <w:noWrap/>
            <w:vAlign w:val="center"/>
            <w:hideMark/>
          </w:tcPr>
          <w:p w:rsidR="00610776" w:rsidRPr="00E678BE" w:rsidRDefault="00610776"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110,3</w:t>
            </w:r>
          </w:p>
        </w:tc>
        <w:tc>
          <w:tcPr>
            <w:tcW w:w="0" w:type="auto"/>
            <w:tcBorders>
              <w:top w:val="single" w:sz="12" w:space="0" w:color="000000" w:themeColor="text1"/>
              <w:bottom w:val="single" w:sz="12" w:space="0" w:color="000000" w:themeColor="text1"/>
            </w:tcBorders>
            <w:shd w:val="clear" w:color="auto" w:fill="auto"/>
            <w:noWrap/>
            <w:vAlign w:val="center"/>
            <w:hideMark/>
          </w:tcPr>
          <w:p w:rsidR="00610776" w:rsidRPr="00E678BE" w:rsidRDefault="00610776"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112,3</w:t>
            </w:r>
          </w:p>
        </w:tc>
        <w:tc>
          <w:tcPr>
            <w:tcW w:w="0" w:type="auto"/>
            <w:tcBorders>
              <w:top w:val="single" w:sz="12" w:space="0" w:color="000000" w:themeColor="text1"/>
              <w:bottom w:val="single" w:sz="12" w:space="0" w:color="000000" w:themeColor="text1"/>
            </w:tcBorders>
            <w:shd w:val="clear" w:color="auto" w:fill="auto"/>
            <w:noWrap/>
            <w:vAlign w:val="center"/>
            <w:hideMark/>
          </w:tcPr>
          <w:p w:rsidR="00610776" w:rsidRPr="00E678BE" w:rsidRDefault="00610776"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112,9</w:t>
            </w:r>
          </w:p>
        </w:tc>
        <w:tc>
          <w:tcPr>
            <w:tcW w:w="0" w:type="auto"/>
            <w:tcBorders>
              <w:top w:val="single" w:sz="12" w:space="0" w:color="000000" w:themeColor="text1"/>
              <w:bottom w:val="single" w:sz="12" w:space="0" w:color="000000" w:themeColor="text1"/>
            </w:tcBorders>
            <w:shd w:val="clear" w:color="auto" w:fill="auto"/>
            <w:noWrap/>
            <w:vAlign w:val="center"/>
            <w:hideMark/>
          </w:tcPr>
          <w:p w:rsidR="00610776" w:rsidRPr="00E678BE" w:rsidRDefault="00610776"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114,6</w:t>
            </w:r>
          </w:p>
        </w:tc>
        <w:tc>
          <w:tcPr>
            <w:tcW w:w="0" w:type="auto"/>
            <w:tcBorders>
              <w:top w:val="single" w:sz="12" w:space="0" w:color="000000" w:themeColor="text1"/>
              <w:bottom w:val="single" w:sz="12" w:space="0" w:color="000000" w:themeColor="text1"/>
            </w:tcBorders>
            <w:shd w:val="clear" w:color="auto" w:fill="auto"/>
            <w:noWrap/>
            <w:vAlign w:val="center"/>
            <w:hideMark/>
          </w:tcPr>
          <w:p w:rsidR="00610776" w:rsidRPr="00E678BE" w:rsidRDefault="00610776"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116,0</w:t>
            </w:r>
          </w:p>
        </w:tc>
        <w:tc>
          <w:tcPr>
            <w:tcW w:w="0" w:type="auto"/>
            <w:tcBorders>
              <w:top w:val="single" w:sz="12" w:space="0" w:color="000000" w:themeColor="text1"/>
              <w:bottom w:val="single" w:sz="12" w:space="0" w:color="000000" w:themeColor="text1"/>
            </w:tcBorders>
            <w:shd w:val="clear" w:color="auto" w:fill="auto"/>
            <w:noWrap/>
            <w:vAlign w:val="center"/>
            <w:hideMark/>
          </w:tcPr>
          <w:p w:rsidR="00610776" w:rsidRPr="00E678BE" w:rsidRDefault="00610776"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116,5</w:t>
            </w:r>
          </w:p>
        </w:tc>
        <w:tc>
          <w:tcPr>
            <w:tcW w:w="0" w:type="auto"/>
            <w:tcBorders>
              <w:top w:val="single" w:sz="12" w:space="0" w:color="000000" w:themeColor="text1"/>
              <w:bottom w:val="single" w:sz="12" w:space="0" w:color="000000" w:themeColor="text1"/>
            </w:tcBorders>
            <w:vAlign w:val="center"/>
          </w:tcPr>
          <w:p w:rsidR="00610776" w:rsidRPr="00610776" w:rsidRDefault="00610776" w:rsidP="002007CB">
            <w:pPr>
              <w:spacing w:after="0" w:line="240" w:lineRule="auto"/>
              <w:jc w:val="right"/>
              <w:rPr>
                <w:rFonts w:asciiTheme="majorBidi" w:eastAsia="Times New Roman" w:hAnsiTheme="majorBidi" w:cstheme="majorBidi"/>
                <w:color w:val="000000"/>
                <w:lang w:eastAsia="fr-FR"/>
              </w:rPr>
            </w:pPr>
            <w:r>
              <w:rPr>
                <w:rFonts w:asciiTheme="majorBidi" w:eastAsia="Times New Roman" w:hAnsiTheme="majorBidi" w:cstheme="majorBidi"/>
                <w:color w:val="000000"/>
                <w:lang w:eastAsia="fr-FR"/>
              </w:rPr>
              <w:t>118</w:t>
            </w:r>
            <w:r w:rsidRPr="00E678BE">
              <w:rPr>
                <w:rFonts w:asciiTheme="majorBidi" w:eastAsia="Times New Roman" w:hAnsiTheme="majorBidi" w:cstheme="majorBidi"/>
                <w:color w:val="000000"/>
                <w:lang w:eastAsia="fr-FR"/>
              </w:rPr>
              <w:t>,</w:t>
            </w:r>
            <w:r>
              <w:rPr>
                <w:rFonts w:asciiTheme="majorBidi" w:eastAsia="Times New Roman" w:hAnsiTheme="majorBidi" w:cstheme="majorBidi"/>
                <w:color w:val="000000"/>
                <w:lang w:eastAsia="fr-FR"/>
              </w:rPr>
              <w:t>5</w:t>
            </w:r>
          </w:p>
        </w:tc>
        <w:tc>
          <w:tcPr>
            <w:tcW w:w="635" w:type="dxa"/>
            <w:tcBorders>
              <w:top w:val="single" w:sz="12" w:space="0" w:color="000000" w:themeColor="text1"/>
              <w:bottom w:val="single" w:sz="12" w:space="0" w:color="000000" w:themeColor="text1"/>
            </w:tcBorders>
            <w:vAlign w:val="center"/>
          </w:tcPr>
          <w:p w:rsidR="00610776" w:rsidRPr="00610776" w:rsidRDefault="00610776" w:rsidP="002007CB">
            <w:pPr>
              <w:spacing w:after="0" w:line="240" w:lineRule="auto"/>
              <w:jc w:val="right"/>
              <w:rPr>
                <w:rFonts w:asciiTheme="majorBidi" w:eastAsia="Times New Roman" w:hAnsiTheme="majorBidi" w:cstheme="majorBidi"/>
                <w:color w:val="000000"/>
                <w:lang w:eastAsia="fr-FR"/>
              </w:rPr>
            </w:pPr>
            <w:r>
              <w:rPr>
                <w:rFonts w:asciiTheme="majorBidi" w:eastAsia="Times New Roman" w:hAnsiTheme="majorBidi" w:cstheme="majorBidi"/>
                <w:color w:val="000000"/>
                <w:lang w:eastAsia="fr-FR"/>
              </w:rPr>
              <w:t>118</w:t>
            </w:r>
            <w:r w:rsidRPr="00E678BE">
              <w:rPr>
                <w:rFonts w:asciiTheme="majorBidi" w:eastAsia="Times New Roman" w:hAnsiTheme="majorBidi" w:cstheme="majorBidi"/>
                <w:color w:val="000000"/>
                <w:lang w:eastAsia="fr-FR"/>
              </w:rPr>
              <w:t>,</w:t>
            </w:r>
            <w:r>
              <w:rPr>
                <w:rFonts w:asciiTheme="majorBidi" w:eastAsia="Times New Roman" w:hAnsiTheme="majorBidi" w:cstheme="majorBidi"/>
                <w:color w:val="000000"/>
                <w:lang w:eastAsia="fr-FR"/>
              </w:rPr>
              <w:t>7</w:t>
            </w:r>
          </w:p>
        </w:tc>
        <w:tc>
          <w:tcPr>
            <w:tcW w:w="160" w:type="dxa"/>
            <w:tcBorders>
              <w:top w:val="single" w:sz="12" w:space="0" w:color="000000" w:themeColor="text1"/>
              <w:bottom w:val="single" w:sz="12" w:space="0" w:color="000000" w:themeColor="text1"/>
            </w:tcBorders>
          </w:tcPr>
          <w:p w:rsidR="00610776" w:rsidRPr="00610776" w:rsidRDefault="00610776" w:rsidP="000977A7">
            <w:pPr>
              <w:spacing w:after="0" w:line="240" w:lineRule="auto"/>
              <w:jc w:val="right"/>
              <w:rPr>
                <w:rFonts w:asciiTheme="majorBidi" w:eastAsia="Times New Roman" w:hAnsiTheme="majorBidi" w:cstheme="majorBidi"/>
                <w:color w:val="000000"/>
                <w:lang w:eastAsia="fr-FR"/>
              </w:rPr>
            </w:pPr>
          </w:p>
        </w:tc>
      </w:tr>
      <w:tr w:rsidR="00610776" w:rsidRPr="00E678BE" w:rsidTr="002007CB">
        <w:trPr>
          <w:trHeight w:val="300"/>
        </w:trPr>
        <w:tc>
          <w:tcPr>
            <w:tcW w:w="0" w:type="auto"/>
            <w:tcBorders>
              <w:top w:val="single" w:sz="12" w:space="0" w:color="000000" w:themeColor="text1"/>
              <w:bottom w:val="single" w:sz="12" w:space="0" w:color="000000" w:themeColor="text1"/>
            </w:tcBorders>
            <w:shd w:val="clear" w:color="auto" w:fill="BFBFBF" w:themeFill="background1" w:themeFillShade="BF"/>
            <w:noWrap/>
            <w:vAlign w:val="center"/>
            <w:hideMark/>
          </w:tcPr>
          <w:p w:rsidR="00610776" w:rsidRPr="00E678BE" w:rsidRDefault="00A46239" w:rsidP="002007CB">
            <w:pPr>
              <w:spacing w:after="0" w:line="240" w:lineRule="auto"/>
              <w:rPr>
                <w:rFonts w:asciiTheme="majorBidi" w:eastAsia="Times New Roman" w:hAnsiTheme="majorBidi" w:cstheme="majorBidi"/>
                <w:b/>
                <w:bCs/>
                <w:color w:val="000000"/>
                <w:lang w:eastAsia="fr-FR"/>
              </w:rPr>
            </w:pPr>
            <w:r>
              <w:rPr>
                <w:rFonts w:asciiTheme="majorBidi" w:eastAsia="Times New Roman" w:hAnsiTheme="majorBidi" w:cstheme="majorBidi"/>
                <w:b/>
                <w:bCs/>
                <w:color w:val="000000"/>
                <w:lang w:eastAsia="fr-FR"/>
              </w:rPr>
              <w:t>IPC</w:t>
            </w:r>
            <w:r w:rsidR="00610776" w:rsidRPr="00E678BE">
              <w:rPr>
                <w:rFonts w:asciiTheme="majorBidi" w:eastAsia="Times New Roman" w:hAnsiTheme="majorBidi" w:cstheme="majorBidi"/>
                <w:b/>
                <w:bCs/>
                <w:color w:val="000000"/>
                <w:lang w:eastAsia="fr-FR"/>
              </w:rPr>
              <w:t>N</w:t>
            </w:r>
          </w:p>
        </w:tc>
        <w:tc>
          <w:tcPr>
            <w:tcW w:w="0" w:type="auto"/>
            <w:tcBorders>
              <w:top w:val="single" w:sz="12" w:space="0" w:color="000000" w:themeColor="text1"/>
              <w:bottom w:val="single" w:sz="12" w:space="0" w:color="000000" w:themeColor="text1"/>
            </w:tcBorders>
            <w:shd w:val="clear" w:color="auto" w:fill="auto"/>
            <w:noWrap/>
            <w:vAlign w:val="center"/>
            <w:hideMark/>
          </w:tcPr>
          <w:p w:rsidR="00610776" w:rsidRPr="00E678BE" w:rsidRDefault="00610776"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102,5</w:t>
            </w:r>
          </w:p>
        </w:tc>
        <w:tc>
          <w:tcPr>
            <w:tcW w:w="0" w:type="auto"/>
            <w:tcBorders>
              <w:top w:val="single" w:sz="12" w:space="0" w:color="000000" w:themeColor="text1"/>
              <w:bottom w:val="single" w:sz="12" w:space="0" w:color="000000" w:themeColor="text1"/>
            </w:tcBorders>
            <w:shd w:val="clear" w:color="auto" w:fill="auto"/>
            <w:noWrap/>
            <w:vAlign w:val="center"/>
            <w:hideMark/>
          </w:tcPr>
          <w:p w:rsidR="00610776" w:rsidRPr="00E678BE" w:rsidRDefault="00610776"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106,3</w:t>
            </w:r>
          </w:p>
        </w:tc>
        <w:tc>
          <w:tcPr>
            <w:tcW w:w="0" w:type="auto"/>
            <w:tcBorders>
              <w:top w:val="single" w:sz="12" w:space="0" w:color="000000" w:themeColor="text1"/>
              <w:bottom w:val="single" w:sz="12" w:space="0" w:color="000000" w:themeColor="text1"/>
            </w:tcBorders>
            <w:shd w:val="clear" w:color="auto" w:fill="auto"/>
            <w:noWrap/>
            <w:vAlign w:val="center"/>
            <w:hideMark/>
          </w:tcPr>
          <w:p w:rsidR="00610776" w:rsidRPr="00E678BE" w:rsidRDefault="00610776"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107,4</w:t>
            </w:r>
          </w:p>
        </w:tc>
        <w:tc>
          <w:tcPr>
            <w:tcW w:w="0" w:type="auto"/>
            <w:tcBorders>
              <w:top w:val="single" w:sz="12" w:space="0" w:color="000000" w:themeColor="text1"/>
              <w:bottom w:val="single" w:sz="12" w:space="0" w:color="000000" w:themeColor="text1"/>
            </w:tcBorders>
            <w:shd w:val="clear" w:color="auto" w:fill="auto"/>
            <w:noWrap/>
            <w:vAlign w:val="center"/>
            <w:hideMark/>
          </w:tcPr>
          <w:p w:rsidR="00610776" w:rsidRPr="00E678BE" w:rsidRDefault="00610776"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108,4</w:t>
            </w:r>
          </w:p>
        </w:tc>
        <w:tc>
          <w:tcPr>
            <w:tcW w:w="0" w:type="auto"/>
            <w:tcBorders>
              <w:top w:val="single" w:sz="12" w:space="0" w:color="000000" w:themeColor="text1"/>
              <w:bottom w:val="single" w:sz="12" w:space="0" w:color="000000" w:themeColor="text1"/>
            </w:tcBorders>
            <w:shd w:val="clear" w:color="auto" w:fill="auto"/>
            <w:noWrap/>
            <w:vAlign w:val="center"/>
            <w:hideMark/>
          </w:tcPr>
          <w:p w:rsidR="00610776" w:rsidRPr="00E678BE" w:rsidRDefault="00610776"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109,4</w:t>
            </w:r>
          </w:p>
        </w:tc>
        <w:tc>
          <w:tcPr>
            <w:tcW w:w="0" w:type="auto"/>
            <w:tcBorders>
              <w:top w:val="single" w:sz="12" w:space="0" w:color="000000" w:themeColor="text1"/>
              <w:bottom w:val="single" w:sz="12" w:space="0" w:color="000000" w:themeColor="text1"/>
            </w:tcBorders>
            <w:shd w:val="clear" w:color="auto" w:fill="auto"/>
            <w:noWrap/>
            <w:vAlign w:val="center"/>
            <w:hideMark/>
          </w:tcPr>
          <w:p w:rsidR="00610776" w:rsidRPr="00E678BE" w:rsidRDefault="00610776"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110,8</w:t>
            </w:r>
          </w:p>
        </w:tc>
        <w:tc>
          <w:tcPr>
            <w:tcW w:w="0" w:type="auto"/>
            <w:tcBorders>
              <w:top w:val="single" w:sz="12" w:space="0" w:color="000000" w:themeColor="text1"/>
              <w:bottom w:val="single" w:sz="12" w:space="0" w:color="000000" w:themeColor="text1"/>
            </w:tcBorders>
            <w:shd w:val="clear" w:color="auto" w:fill="auto"/>
            <w:noWrap/>
            <w:vAlign w:val="center"/>
            <w:hideMark/>
          </w:tcPr>
          <w:p w:rsidR="00610776" w:rsidRPr="00E678BE" w:rsidRDefault="00610776"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112,9</w:t>
            </w:r>
          </w:p>
        </w:tc>
        <w:tc>
          <w:tcPr>
            <w:tcW w:w="0" w:type="auto"/>
            <w:tcBorders>
              <w:top w:val="single" w:sz="12" w:space="0" w:color="000000" w:themeColor="text1"/>
              <w:bottom w:val="single" w:sz="12" w:space="0" w:color="000000" w:themeColor="text1"/>
            </w:tcBorders>
            <w:shd w:val="clear" w:color="auto" w:fill="auto"/>
            <w:noWrap/>
            <w:vAlign w:val="center"/>
            <w:hideMark/>
          </w:tcPr>
          <w:p w:rsidR="00610776" w:rsidRPr="00E678BE" w:rsidRDefault="00610776"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113,4</w:t>
            </w:r>
          </w:p>
        </w:tc>
        <w:tc>
          <w:tcPr>
            <w:tcW w:w="0" w:type="auto"/>
            <w:tcBorders>
              <w:top w:val="single" w:sz="12" w:space="0" w:color="000000" w:themeColor="text1"/>
              <w:bottom w:val="single" w:sz="12" w:space="0" w:color="000000" w:themeColor="text1"/>
            </w:tcBorders>
            <w:shd w:val="clear" w:color="auto" w:fill="auto"/>
            <w:noWrap/>
            <w:vAlign w:val="center"/>
            <w:hideMark/>
          </w:tcPr>
          <w:p w:rsidR="00610776" w:rsidRPr="00E678BE" w:rsidRDefault="00610776"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115,2</w:t>
            </w:r>
          </w:p>
        </w:tc>
        <w:tc>
          <w:tcPr>
            <w:tcW w:w="0" w:type="auto"/>
            <w:tcBorders>
              <w:top w:val="single" w:sz="12" w:space="0" w:color="000000" w:themeColor="text1"/>
              <w:bottom w:val="single" w:sz="12" w:space="0" w:color="000000" w:themeColor="text1"/>
            </w:tcBorders>
            <w:shd w:val="clear" w:color="auto" w:fill="auto"/>
            <w:noWrap/>
            <w:vAlign w:val="center"/>
            <w:hideMark/>
          </w:tcPr>
          <w:p w:rsidR="00610776" w:rsidRPr="00E678BE" w:rsidRDefault="00610776"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117,1</w:t>
            </w:r>
          </w:p>
        </w:tc>
        <w:tc>
          <w:tcPr>
            <w:tcW w:w="0" w:type="auto"/>
            <w:tcBorders>
              <w:top w:val="single" w:sz="12" w:space="0" w:color="000000" w:themeColor="text1"/>
              <w:bottom w:val="single" w:sz="12" w:space="0" w:color="000000" w:themeColor="text1"/>
            </w:tcBorders>
            <w:shd w:val="clear" w:color="auto" w:fill="auto"/>
            <w:noWrap/>
            <w:vAlign w:val="center"/>
            <w:hideMark/>
          </w:tcPr>
          <w:p w:rsidR="00610776" w:rsidRPr="00E678BE" w:rsidRDefault="00610776"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117,9</w:t>
            </w:r>
          </w:p>
        </w:tc>
        <w:tc>
          <w:tcPr>
            <w:tcW w:w="0" w:type="auto"/>
            <w:tcBorders>
              <w:top w:val="single" w:sz="12" w:space="0" w:color="000000" w:themeColor="text1"/>
              <w:bottom w:val="single" w:sz="12" w:space="0" w:color="000000" w:themeColor="text1"/>
            </w:tcBorders>
            <w:vAlign w:val="center"/>
          </w:tcPr>
          <w:p w:rsidR="00610776" w:rsidRPr="00610776" w:rsidRDefault="00610776" w:rsidP="002007CB">
            <w:pPr>
              <w:spacing w:after="0" w:line="240" w:lineRule="auto"/>
              <w:jc w:val="right"/>
              <w:rPr>
                <w:rFonts w:asciiTheme="majorBidi" w:eastAsia="Times New Roman" w:hAnsiTheme="majorBidi" w:cstheme="majorBidi"/>
                <w:color w:val="000000"/>
                <w:lang w:eastAsia="fr-FR"/>
              </w:rPr>
            </w:pPr>
            <w:r w:rsidRPr="00610776">
              <w:rPr>
                <w:rFonts w:asciiTheme="majorBidi" w:eastAsia="Times New Roman" w:hAnsiTheme="majorBidi" w:cstheme="majorBidi"/>
                <w:color w:val="000000"/>
                <w:lang w:eastAsia="fr-FR"/>
              </w:rPr>
              <w:t>120,1</w:t>
            </w:r>
          </w:p>
        </w:tc>
        <w:tc>
          <w:tcPr>
            <w:tcW w:w="635" w:type="dxa"/>
            <w:tcBorders>
              <w:top w:val="single" w:sz="12" w:space="0" w:color="000000" w:themeColor="text1"/>
              <w:bottom w:val="single" w:sz="12" w:space="0" w:color="000000" w:themeColor="text1"/>
            </w:tcBorders>
            <w:vAlign w:val="center"/>
          </w:tcPr>
          <w:p w:rsidR="00610776" w:rsidRPr="00610776" w:rsidRDefault="00610776" w:rsidP="002007CB">
            <w:pPr>
              <w:spacing w:after="0" w:line="240" w:lineRule="auto"/>
              <w:jc w:val="right"/>
              <w:rPr>
                <w:rFonts w:asciiTheme="majorBidi" w:eastAsia="Times New Roman" w:hAnsiTheme="majorBidi" w:cstheme="majorBidi"/>
                <w:color w:val="000000"/>
                <w:lang w:eastAsia="fr-FR"/>
              </w:rPr>
            </w:pPr>
            <w:r w:rsidRPr="00610776">
              <w:rPr>
                <w:rFonts w:asciiTheme="majorBidi" w:eastAsia="Times New Roman" w:hAnsiTheme="majorBidi" w:cstheme="majorBidi"/>
                <w:color w:val="000000"/>
                <w:lang w:eastAsia="fr-FR"/>
              </w:rPr>
              <w:t>120,4</w:t>
            </w:r>
          </w:p>
        </w:tc>
        <w:tc>
          <w:tcPr>
            <w:tcW w:w="160" w:type="dxa"/>
            <w:tcBorders>
              <w:top w:val="single" w:sz="12" w:space="0" w:color="000000" w:themeColor="text1"/>
              <w:bottom w:val="single" w:sz="12" w:space="0" w:color="000000" w:themeColor="text1"/>
            </w:tcBorders>
          </w:tcPr>
          <w:p w:rsidR="00610776" w:rsidRPr="00610776" w:rsidRDefault="00610776" w:rsidP="000977A7">
            <w:pPr>
              <w:spacing w:after="0" w:line="240" w:lineRule="auto"/>
              <w:jc w:val="right"/>
              <w:rPr>
                <w:rFonts w:asciiTheme="majorBidi" w:eastAsia="Times New Roman" w:hAnsiTheme="majorBidi" w:cstheme="majorBidi"/>
                <w:color w:val="000000"/>
                <w:lang w:eastAsia="fr-FR"/>
              </w:rPr>
            </w:pPr>
          </w:p>
        </w:tc>
      </w:tr>
    </w:tbl>
    <w:p w:rsidR="00BB5DB3" w:rsidRPr="00483003" w:rsidRDefault="00BB5DB3" w:rsidP="00BB5DB3">
      <w:pPr>
        <w:pStyle w:val="Lgende"/>
        <w:rPr>
          <w:rFonts w:ascii="Times New Roman" w:hAnsi="Times New Roman"/>
          <w:i/>
          <w:iCs/>
          <w:sz w:val="22"/>
        </w:rPr>
      </w:pPr>
      <w:r w:rsidRPr="00483003">
        <w:rPr>
          <w:rFonts w:ascii="Times New Roman" w:hAnsi="Times New Roman"/>
          <w:i/>
          <w:iCs/>
          <w:sz w:val="22"/>
        </w:rPr>
        <w:t>Source : HCP</w:t>
      </w:r>
    </w:p>
    <w:p w:rsidR="00E8089E" w:rsidRPr="00E678BE" w:rsidRDefault="00F67E78" w:rsidP="00FA4900">
      <w:pPr>
        <w:pStyle w:val="Lgende"/>
        <w:spacing w:after="0"/>
        <w:rPr>
          <w:rFonts w:asciiTheme="majorBidi" w:hAnsiTheme="majorBidi" w:cstheme="majorBidi"/>
          <w:bCs w:val="0"/>
          <w:sz w:val="22"/>
        </w:rPr>
      </w:pPr>
      <w:bookmarkStart w:id="60" w:name="_Toc515274126"/>
      <w:r w:rsidRPr="00E678BE">
        <w:rPr>
          <w:rFonts w:asciiTheme="majorBidi" w:hAnsiTheme="majorBidi" w:cstheme="majorBidi"/>
          <w:sz w:val="22"/>
        </w:rPr>
        <w:t xml:space="preserve">Tableau A </w:t>
      </w:r>
      <w:r w:rsidR="00DE78CE" w:rsidRPr="00E678BE">
        <w:rPr>
          <w:rFonts w:asciiTheme="majorBidi" w:hAnsiTheme="majorBidi" w:cstheme="majorBidi"/>
          <w:sz w:val="22"/>
        </w:rPr>
        <w:fldChar w:fldCharType="begin"/>
      </w:r>
      <w:r w:rsidRPr="00E678BE">
        <w:rPr>
          <w:rFonts w:asciiTheme="majorBidi" w:hAnsiTheme="majorBidi" w:cstheme="majorBidi"/>
          <w:sz w:val="22"/>
        </w:rPr>
        <w:instrText xml:space="preserve"> SEQ Tableau_A \* ARABIC </w:instrText>
      </w:r>
      <w:r w:rsidR="00DE78CE" w:rsidRPr="00E678BE">
        <w:rPr>
          <w:rFonts w:asciiTheme="majorBidi" w:hAnsiTheme="majorBidi" w:cstheme="majorBidi"/>
          <w:sz w:val="22"/>
        </w:rPr>
        <w:fldChar w:fldCharType="separate"/>
      </w:r>
      <w:r w:rsidR="00477549">
        <w:rPr>
          <w:rFonts w:asciiTheme="majorBidi" w:hAnsiTheme="majorBidi" w:cstheme="majorBidi"/>
          <w:noProof/>
          <w:sz w:val="22"/>
        </w:rPr>
        <w:t>3</w:t>
      </w:r>
      <w:r w:rsidR="00DE78CE" w:rsidRPr="00E678BE">
        <w:rPr>
          <w:rFonts w:asciiTheme="majorBidi" w:hAnsiTheme="majorBidi" w:cstheme="majorBidi"/>
          <w:sz w:val="22"/>
        </w:rPr>
        <w:fldChar w:fldCharType="end"/>
      </w:r>
      <w:r w:rsidRPr="00E678BE">
        <w:rPr>
          <w:rFonts w:asciiTheme="majorBidi" w:hAnsiTheme="majorBidi" w:cstheme="majorBidi"/>
          <w:sz w:val="22"/>
        </w:rPr>
        <w:t xml:space="preserve"> : </w:t>
      </w:r>
      <w:r w:rsidR="00E8089E" w:rsidRPr="00E678BE">
        <w:rPr>
          <w:rFonts w:asciiTheme="majorBidi" w:hAnsiTheme="majorBidi" w:cstheme="majorBidi"/>
          <w:bCs w:val="0"/>
          <w:sz w:val="22"/>
        </w:rPr>
        <w:t xml:space="preserve">Evolution de l'IPC de la ville de </w:t>
      </w:r>
      <w:r w:rsidR="00D075F5" w:rsidRPr="00E678BE">
        <w:rPr>
          <w:rFonts w:asciiTheme="majorBidi" w:hAnsiTheme="majorBidi" w:cstheme="majorBidi"/>
          <w:bCs w:val="0"/>
          <w:sz w:val="22"/>
        </w:rPr>
        <w:t>Kenitra</w:t>
      </w:r>
      <w:r w:rsidR="00E8089E" w:rsidRPr="00E678BE">
        <w:rPr>
          <w:rFonts w:asciiTheme="majorBidi" w:hAnsiTheme="majorBidi" w:cstheme="majorBidi"/>
          <w:bCs w:val="0"/>
          <w:sz w:val="22"/>
        </w:rPr>
        <w:t xml:space="preserve"> entre 2007 et 201</w:t>
      </w:r>
      <w:r w:rsidR="00FA4900">
        <w:rPr>
          <w:rFonts w:asciiTheme="majorBidi" w:hAnsiTheme="majorBidi" w:cstheme="majorBidi"/>
          <w:bCs w:val="0"/>
          <w:sz w:val="22"/>
        </w:rPr>
        <w:t>9</w:t>
      </w:r>
      <w:r w:rsidR="00E8089E" w:rsidRPr="00E678BE">
        <w:rPr>
          <w:rFonts w:asciiTheme="majorBidi" w:hAnsiTheme="majorBidi" w:cstheme="majorBidi"/>
          <w:bCs w:val="0"/>
          <w:sz w:val="22"/>
        </w:rPr>
        <w:t xml:space="preserve"> par grande division</w:t>
      </w:r>
      <w:bookmarkEnd w:id="60"/>
    </w:p>
    <w:tbl>
      <w:tblPr>
        <w:tblW w:w="5000" w:type="pct"/>
        <w:tblCellMar>
          <w:left w:w="70" w:type="dxa"/>
          <w:right w:w="70" w:type="dxa"/>
        </w:tblCellMar>
        <w:tblLook w:val="04A0"/>
      </w:tblPr>
      <w:tblGrid>
        <w:gridCol w:w="978"/>
        <w:gridCol w:w="645"/>
        <w:gridCol w:w="647"/>
        <w:gridCol w:w="647"/>
        <w:gridCol w:w="647"/>
        <w:gridCol w:w="647"/>
        <w:gridCol w:w="647"/>
        <w:gridCol w:w="647"/>
        <w:gridCol w:w="647"/>
        <w:gridCol w:w="647"/>
        <w:gridCol w:w="647"/>
        <w:gridCol w:w="638"/>
        <w:gridCol w:w="635"/>
        <w:gridCol w:w="635"/>
      </w:tblGrid>
      <w:tr w:rsidR="00FA4900" w:rsidRPr="00E678BE" w:rsidTr="00BB5DB3">
        <w:trPr>
          <w:trHeight w:val="300"/>
        </w:trPr>
        <w:tc>
          <w:tcPr>
            <w:tcW w:w="522" w:type="pct"/>
            <w:tcBorders>
              <w:bottom w:val="single" w:sz="12" w:space="0" w:color="000000" w:themeColor="text1"/>
            </w:tcBorders>
            <w:shd w:val="clear" w:color="auto" w:fill="auto"/>
            <w:noWrap/>
            <w:vAlign w:val="bottom"/>
            <w:hideMark/>
          </w:tcPr>
          <w:p w:rsidR="00FA4900" w:rsidRPr="00E678BE" w:rsidRDefault="00FA4900" w:rsidP="00E8089E">
            <w:pPr>
              <w:spacing w:after="0" w:line="240" w:lineRule="auto"/>
              <w:rPr>
                <w:rFonts w:asciiTheme="majorBidi" w:eastAsia="Times New Roman" w:hAnsiTheme="majorBidi" w:cstheme="majorBidi"/>
                <w:color w:val="000000"/>
                <w:lang w:eastAsia="fr-FR"/>
              </w:rPr>
            </w:pPr>
          </w:p>
        </w:tc>
        <w:tc>
          <w:tcPr>
            <w:tcW w:w="345" w:type="pct"/>
            <w:tcBorders>
              <w:top w:val="single" w:sz="12" w:space="0" w:color="000000" w:themeColor="text1"/>
              <w:bottom w:val="single" w:sz="12" w:space="0" w:color="000000" w:themeColor="text1"/>
            </w:tcBorders>
            <w:shd w:val="clear" w:color="auto" w:fill="BFBFBF" w:themeFill="background1" w:themeFillShade="BF"/>
            <w:noWrap/>
            <w:vAlign w:val="center"/>
            <w:hideMark/>
          </w:tcPr>
          <w:p w:rsidR="00FA4900" w:rsidRPr="00E678BE" w:rsidRDefault="00FA4900" w:rsidP="002007CB">
            <w:pPr>
              <w:spacing w:after="0" w:line="240" w:lineRule="auto"/>
              <w:jc w:val="center"/>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2007</w:t>
            </w:r>
          </w:p>
        </w:tc>
        <w:tc>
          <w:tcPr>
            <w:tcW w:w="346" w:type="pct"/>
            <w:tcBorders>
              <w:top w:val="single" w:sz="12" w:space="0" w:color="000000" w:themeColor="text1"/>
              <w:bottom w:val="single" w:sz="12" w:space="0" w:color="000000" w:themeColor="text1"/>
            </w:tcBorders>
            <w:shd w:val="clear" w:color="auto" w:fill="BFBFBF" w:themeFill="background1" w:themeFillShade="BF"/>
            <w:noWrap/>
            <w:vAlign w:val="center"/>
            <w:hideMark/>
          </w:tcPr>
          <w:p w:rsidR="00FA4900" w:rsidRPr="00E678BE" w:rsidRDefault="00FA4900" w:rsidP="002007CB">
            <w:pPr>
              <w:spacing w:after="0" w:line="240" w:lineRule="auto"/>
              <w:jc w:val="center"/>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2008</w:t>
            </w:r>
          </w:p>
        </w:tc>
        <w:tc>
          <w:tcPr>
            <w:tcW w:w="346" w:type="pct"/>
            <w:tcBorders>
              <w:top w:val="single" w:sz="12" w:space="0" w:color="000000" w:themeColor="text1"/>
              <w:bottom w:val="single" w:sz="12" w:space="0" w:color="000000" w:themeColor="text1"/>
            </w:tcBorders>
            <w:shd w:val="clear" w:color="auto" w:fill="BFBFBF" w:themeFill="background1" w:themeFillShade="BF"/>
            <w:noWrap/>
            <w:vAlign w:val="center"/>
            <w:hideMark/>
          </w:tcPr>
          <w:p w:rsidR="00FA4900" w:rsidRPr="00E678BE" w:rsidRDefault="00FA4900" w:rsidP="002007CB">
            <w:pPr>
              <w:spacing w:after="0" w:line="240" w:lineRule="auto"/>
              <w:jc w:val="center"/>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2009</w:t>
            </w:r>
          </w:p>
        </w:tc>
        <w:tc>
          <w:tcPr>
            <w:tcW w:w="346" w:type="pct"/>
            <w:tcBorders>
              <w:top w:val="single" w:sz="12" w:space="0" w:color="000000" w:themeColor="text1"/>
              <w:bottom w:val="single" w:sz="12" w:space="0" w:color="000000" w:themeColor="text1"/>
            </w:tcBorders>
            <w:shd w:val="clear" w:color="auto" w:fill="BFBFBF" w:themeFill="background1" w:themeFillShade="BF"/>
            <w:noWrap/>
            <w:vAlign w:val="center"/>
            <w:hideMark/>
          </w:tcPr>
          <w:p w:rsidR="00FA4900" w:rsidRPr="00E678BE" w:rsidRDefault="00FA4900" w:rsidP="002007CB">
            <w:pPr>
              <w:spacing w:after="0" w:line="240" w:lineRule="auto"/>
              <w:jc w:val="center"/>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2010</w:t>
            </w:r>
          </w:p>
        </w:tc>
        <w:tc>
          <w:tcPr>
            <w:tcW w:w="346" w:type="pct"/>
            <w:tcBorders>
              <w:top w:val="single" w:sz="12" w:space="0" w:color="000000" w:themeColor="text1"/>
              <w:bottom w:val="single" w:sz="12" w:space="0" w:color="000000" w:themeColor="text1"/>
            </w:tcBorders>
            <w:shd w:val="clear" w:color="auto" w:fill="BFBFBF" w:themeFill="background1" w:themeFillShade="BF"/>
            <w:noWrap/>
            <w:vAlign w:val="center"/>
            <w:hideMark/>
          </w:tcPr>
          <w:p w:rsidR="00FA4900" w:rsidRPr="00E678BE" w:rsidRDefault="00FA4900" w:rsidP="002007CB">
            <w:pPr>
              <w:spacing w:after="0" w:line="240" w:lineRule="auto"/>
              <w:jc w:val="center"/>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2011</w:t>
            </w:r>
          </w:p>
        </w:tc>
        <w:tc>
          <w:tcPr>
            <w:tcW w:w="346" w:type="pct"/>
            <w:tcBorders>
              <w:top w:val="single" w:sz="12" w:space="0" w:color="000000" w:themeColor="text1"/>
              <w:bottom w:val="single" w:sz="12" w:space="0" w:color="000000" w:themeColor="text1"/>
            </w:tcBorders>
            <w:shd w:val="clear" w:color="auto" w:fill="BFBFBF" w:themeFill="background1" w:themeFillShade="BF"/>
            <w:noWrap/>
            <w:vAlign w:val="center"/>
            <w:hideMark/>
          </w:tcPr>
          <w:p w:rsidR="00FA4900" w:rsidRPr="00E678BE" w:rsidRDefault="00FA4900" w:rsidP="002007CB">
            <w:pPr>
              <w:spacing w:after="0" w:line="240" w:lineRule="auto"/>
              <w:jc w:val="center"/>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2012</w:t>
            </w:r>
          </w:p>
        </w:tc>
        <w:tc>
          <w:tcPr>
            <w:tcW w:w="346" w:type="pct"/>
            <w:tcBorders>
              <w:top w:val="single" w:sz="12" w:space="0" w:color="000000" w:themeColor="text1"/>
              <w:bottom w:val="single" w:sz="12" w:space="0" w:color="000000" w:themeColor="text1"/>
            </w:tcBorders>
            <w:shd w:val="clear" w:color="auto" w:fill="BFBFBF" w:themeFill="background1" w:themeFillShade="BF"/>
            <w:noWrap/>
            <w:vAlign w:val="center"/>
            <w:hideMark/>
          </w:tcPr>
          <w:p w:rsidR="00FA4900" w:rsidRPr="00E678BE" w:rsidRDefault="00FA4900" w:rsidP="002007CB">
            <w:pPr>
              <w:spacing w:after="0" w:line="240" w:lineRule="auto"/>
              <w:jc w:val="center"/>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2013</w:t>
            </w:r>
          </w:p>
        </w:tc>
        <w:tc>
          <w:tcPr>
            <w:tcW w:w="346" w:type="pct"/>
            <w:tcBorders>
              <w:top w:val="single" w:sz="12" w:space="0" w:color="000000" w:themeColor="text1"/>
              <w:bottom w:val="single" w:sz="12" w:space="0" w:color="000000" w:themeColor="text1"/>
            </w:tcBorders>
            <w:shd w:val="clear" w:color="auto" w:fill="BFBFBF" w:themeFill="background1" w:themeFillShade="BF"/>
            <w:noWrap/>
            <w:vAlign w:val="center"/>
            <w:hideMark/>
          </w:tcPr>
          <w:p w:rsidR="00FA4900" w:rsidRPr="00E678BE" w:rsidRDefault="00FA4900" w:rsidP="002007CB">
            <w:pPr>
              <w:spacing w:after="0" w:line="240" w:lineRule="auto"/>
              <w:jc w:val="center"/>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2014</w:t>
            </w:r>
          </w:p>
        </w:tc>
        <w:tc>
          <w:tcPr>
            <w:tcW w:w="346" w:type="pct"/>
            <w:tcBorders>
              <w:top w:val="single" w:sz="12" w:space="0" w:color="000000" w:themeColor="text1"/>
              <w:bottom w:val="single" w:sz="12" w:space="0" w:color="000000" w:themeColor="text1"/>
            </w:tcBorders>
            <w:shd w:val="clear" w:color="auto" w:fill="BFBFBF" w:themeFill="background1" w:themeFillShade="BF"/>
            <w:noWrap/>
            <w:vAlign w:val="center"/>
            <w:hideMark/>
          </w:tcPr>
          <w:p w:rsidR="00FA4900" w:rsidRPr="00E678BE" w:rsidRDefault="00FA4900" w:rsidP="002007CB">
            <w:pPr>
              <w:spacing w:after="0" w:line="240" w:lineRule="auto"/>
              <w:jc w:val="center"/>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2015</w:t>
            </w:r>
          </w:p>
        </w:tc>
        <w:tc>
          <w:tcPr>
            <w:tcW w:w="346" w:type="pct"/>
            <w:tcBorders>
              <w:top w:val="single" w:sz="12" w:space="0" w:color="000000" w:themeColor="text1"/>
              <w:bottom w:val="single" w:sz="12" w:space="0" w:color="000000" w:themeColor="text1"/>
            </w:tcBorders>
            <w:shd w:val="clear" w:color="auto" w:fill="BFBFBF" w:themeFill="background1" w:themeFillShade="BF"/>
            <w:noWrap/>
            <w:vAlign w:val="center"/>
            <w:hideMark/>
          </w:tcPr>
          <w:p w:rsidR="00FA4900" w:rsidRPr="00E678BE" w:rsidRDefault="00FA4900" w:rsidP="002007CB">
            <w:pPr>
              <w:spacing w:after="0" w:line="240" w:lineRule="auto"/>
              <w:jc w:val="center"/>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2016</w:t>
            </w:r>
          </w:p>
        </w:tc>
        <w:tc>
          <w:tcPr>
            <w:tcW w:w="341" w:type="pct"/>
            <w:tcBorders>
              <w:top w:val="single" w:sz="12" w:space="0" w:color="000000" w:themeColor="text1"/>
              <w:bottom w:val="single" w:sz="12" w:space="0" w:color="000000" w:themeColor="text1"/>
            </w:tcBorders>
            <w:shd w:val="clear" w:color="auto" w:fill="BFBFBF" w:themeFill="background1" w:themeFillShade="BF"/>
            <w:noWrap/>
            <w:vAlign w:val="center"/>
            <w:hideMark/>
          </w:tcPr>
          <w:p w:rsidR="00FA4900" w:rsidRPr="00E678BE" w:rsidRDefault="00FA4900" w:rsidP="002007CB">
            <w:pPr>
              <w:spacing w:after="0" w:line="240" w:lineRule="auto"/>
              <w:jc w:val="center"/>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2017</w:t>
            </w:r>
          </w:p>
        </w:tc>
        <w:tc>
          <w:tcPr>
            <w:tcW w:w="339" w:type="pct"/>
            <w:tcBorders>
              <w:top w:val="single" w:sz="12" w:space="0" w:color="000000" w:themeColor="text1"/>
              <w:bottom w:val="single" w:sz="12" w:space="0" w:color="000000" w:themeColor="text1"/>
            </w:tcBorders>
            <w:shd w:val="clear" w:color="auto" w:fill="BFBFBF" w:themeFill="background1" w:themeFillShade="BF"/>
            <w:vAlign w:val="center"/>
          </w:tcPr>
          <w:p w:rsidR="00FA4900" w:rsidRPr="00E678BE" w:rsidRDefault="00FA4900" w:rsidP="002007CB">
            <w:pPr>
              <w:spacing w:after="0" w:line="240" w:lineRule="auto"/>
              <w:jc w:val="center"/>
              <w:rPr>
                <w:rFonts w:asciiTheme="majorBidi" w:eastAsia="Times New Roman" w:hAnsiTheme="majorBidi" w:cstheme="majorBidi"/>
                <w:b/>
                <w:bCs/>
                <w:color w:val="000000"/>
                <w:lang w:eastAsia="fr-FR"/>
              </w:rPr>
            </w:pPr>
            <w:r>
              <w:rPr>
                <w:rFonts w:asciiTheme="majorBidi" w:eastAsia="Times New Roman" w:hAnsiTheme="majorBidi" w:cstheme="majorBidi"/>
                <w:b/>
                <w:bCs/>
                <w:color w:val="000000"/>
                <w:lang w:eastAsia="fr-FR"/>
              </w:rPr>
              <w:t>2018</w:t>
            </w:r>
          </w:p>
        </w:tc>
        <w:tc>
          <w:tcPr>
            <w:tcW w:w="339" w:type="pct"/>
            <w:tcBorders>
              <w:top w:val="single" w:sz="12" w:space="0" w:color="000000" w:themeColor="text1"/>
              <w:bottom w:val="single" w:sz="12" w:space="0" w:color="000000" w:themeColor="text1"/>
            </w:tcBorders>
            <w:shd w:val="clear" w:color="auto" w:fill="BFBFBF" w:themeFill="background1" w:themeFillShade="BF"/>
            <w:vAlign w:val="center"/>
          </w:tcPr>
          <w:p w:rsidR="00FA4900" w:rsidRPr="00E678BE" w:rsidRDefault="00FA4900" w:rsidP="002007CB">
            <w:pPr>
              <w:spacing w:after="0" w:line="240" w:lineRule="auto"/>
              <w:jc w:val="center"/>
              <w:rPr>
                <w:rFonts w:asciiTheme="majorBidi" w:eastAsia="Times New Roman" w:hAnsiTheme="majorBidi" w:cstheme="majorBidi"/>
                <w:b/>
                <w:bCs/>
                <w:color w:val="000000"/>
                <w:lang w:eastAsia="fr-FR"/>
              </w:rPr>
            </w:pPr>
            <w:r>
              <w:rPr>
                <w:rFonts w:asciiTheme="majorBidi" w:eastAsia="Times New Roman" w:hAnsiTheme="majorBidi" w:cstheme="majorBidi"/>
                <w:b/>
                <w:bCs/>
                <w:color w:val="000000"/>
                <w:lang w:eastAsia="fr-FR"/>
              </w:rPr>
              <w:t>2019</w:t>
            </w:r>
          </w:p>
        </w:tc>
      </w:tr>
      <w:tr w:rsidR="00FA4900" w:rsidRPr="00E678BE" w:rsidTr="00BB5DB3">
        <w:trPr>
          <w:trHeight w:val="300"/>
        </w:trPr>
        <w:tc>
          <w:tcPr>
            <w:tcW w:w="522" w:type="pct"/>
            <w:tcBorders>
              <w:top w:val="single" w:sz="12" w:space="0" w:color="000000" w:themeColor="text1"/>
              <w:bottom w:val="single" w:sz="12" w:space="0" w:color="000000" w:themeColor="text1"/>
            </w:tcBorders>
            <w:shd w:val="clear" w:color="auto" w:fill="FFFFFF" w:themeFill="background1"/>
            <w:noWrap/>
            <w:vAlign w:val="center"/>
            <w:hideMark/>
          </w:tcPr>
          <w:p w:rsidR="00FA4900" w:rsidRPr="00E678BE" w:rsidRDefault="00FA4900" w:rsidP="002007CB">
            <w:pPr>
              <w:spacing w:after="0" w:line="240" w:lineRule="auto"/>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IAK</w:t>
            </w:r>
          </w:p>
        </w:tc>
        <w:tc>
          <w:tcPr>
            <w:tcW w:w="345" w:type="pct"/>
            <w:tcBorders>
              <w:top w:val="single" w:sz="12" w:space="0" w:color="000000" w:themeColor="text1"/>
              <w:bottom w:val="single" w:sz="12" w:space="0" w:color="000000" w:themeColor="text1"/>
            </w:tcBorders>
            <w:shd w:val="clear" w:color="auto" w:fill="auto"/>
            <w:noWrap/>
            <w:vAlign w:val="center"/>
            <w:hideMark/>
          </w:tcPr>
          <w:p w:rsidR="00FA4900" w:rsidRPr="00E678BE" w:rsidRDefault="00FA4900" w:rsidP="002007CB">
            <w:pPr>
              <w:spacing w:after="0" w:line="240" w:lineRule="auto"/>
              <w:jc w:val="right"/>
              <w:rPr>
                <w:rFonts w:asciiTheme="majorBidi" w:eastAsia="Times New Roman" w:hAnsiTheme="majorBidi" w:cstheme="majorBidi"/>
                <w:lang w:eastAsia="fr-FR"/>
              </w:rPr>
            </w:pPr>
            <w:r w:rsidRPr="00E678BE">
              <w:rPr>
                <w:rFonts w:asciiTheme="majorBidi" w:eastAsia="Times New Roman" w:hAnsiTheme="majorBidi" w:cstheme="majorBidi"/>
                <w:lang w:eastAsia="fr-FR"/>
              </w:rPr>
              <w:t>103,7</w:t>
            </w:r>
          </w:p>
        </w:tc>
        <w:tc>
          <w:tcPr>
            <w:tcW w:w="346" w:type="pct"/>
            <w:tcBorders>
              <w:top w:val="single" w:sz="12" w:space="0" w:color="000000" w:themeColor="text1"/>
              <w:bottom w:val="single" w:sz="12" w:space="0" w:color="000000" w:themeColor="text1"/>
            </w:tcBorders>
            <w:shd w:val="clear" w:color="auto" w:fill="auto"/>
            <w:noWrap/>
            <w:vAlign w:val="center"/>
            <w:hideMark/>
          </w:tcPr>
          <w:p w:rsidR="00FA4900" w:rsidRPr="00E678BE" w:rsidRDefault="00FA4900"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111,8</w:t>
            </w:r>
          </w:p>
        </w:tc>
        <w:tc>
          <w:tcPr>
            <w:tcW w:w="346" w:type="pct"/>
            <w:tcBorders>
              <w:top w:val="single" w:sz="12" w:space="0" w:color="000000" w:themeColor="text1"/>
              <w:bottom w:val="single" w:sz="12" w:space="0" w:color="000000" w:themeColor="text1"/>
            </w:tcBorders>
            <w:shd w:val="clear" w:color="auto" w:fill="auto"/>
            <w:noWrap/>
            <w:vAlign w:val="center"/>
            <w:hideMark/>
          </w:tcPr>
          <w:p w:rsidR="00FA4900" w:rsidRPr="00E678BE" w:rsidRDefault="00FA4900"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113,8</w:t>
            </w:r>
          </w:p>
        </w:tc>
        <w:tc>
          <w:tcPr>
            <w:tcW w:w="346" w:type="pct"/>
            <w:tcBorders>
              <w:top w:val="single" w:sz="12" w:space="0" w:color="000000" w:themeColor="text1"/>
              <w:bottom w:val="single" w:sz="12" w:space="0" w:color="000000" w:themeColor="text1"/>
            </w:tcBorders>
            <w:shd w:val="clear" w:color="auto" w:fill="auto"/>
            <w:noWrap/>
            <w:vAlign w:val="center"/>
            <w:hideMark/>
          </w:tcPr>
          <w:p w:rsidR="00FA4900" w:rsidRPr="00E678BE" w:rsidRDefault="00FA4900"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113,7</w:t>
            </w:r>
          </w:p>
        </w:tc>
        <w:tc>
          <w:tcPr>
            <w:tcW w:w="346" w:type="pct"/>
            <w:tcBorders>
              <w:top w:val="single" w:sz="12" w:space="0" w:color="000000" w:themeColor="text1"/>
              <w:bottom w:val="single" w:sz="12" w:space="0" w:color="000000" w:themeColor="text1"/>
            </w:tcBorders>
            <w:shd w:val="clear" w:color="auto" w:fill="auto"/>
            <w:noWrap/>
            <w:vAlign w:val="center"/>
            <w:hideMark/>
          </w:tcPr>
          <w:p w:rsidR="00FA4900" w:rsidRPr="00E678BE" w:rsidRDefault="00FA4900"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116,7</w:t>
            </w:r>
          </w:p>
        </w:tc>
        <w:tc>
          <w:tcPr>
            <w:tcW w:w="346" w:type="pct"/>
            <w:tcBorders>
              <w:top w:val="single" w:sz="12" w:space="0" w:color="000000" w:themeColor="text1"/>
              <w:bottom w:val="single" w:sz="12" w:space="0" w:color="000000" w:themeColor="text1"/>
            </w:tcBorders>
            <w:shd w:val="clear" w:color="auto" w:fill="auto"/>
            <w:noWrap/>
            <w:vAlign w:val="center"/>
            <w:hideMark/>
          </w:tcPr>
          <w:p w:rsidR="00FA4900" w:rsidRPr="00E678BE" w:rsidRDefault="00FA4900"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118,5</w:t>
            </w:r>
          </w:p>
        </w:tc>
        <w:tc>
          <w:tcPr>
            <w:tcW w:w="346" w:type="pct"/>
            <w:tcBorders>
              <w:top w:val="single" w:sz="12" w:space="0" w:color="000000" w:themeColor="text1"/>
              <w:bottom w:val="single" w:sz="12" w:space="0" w:color="000000" w:themeColor="text1"/>
            </w:tcBorders>
            <w:shd w:val="clear" w:color="auto" w:fill="auto"/>
            <w:noWrap/>
            <w:vAlign w:val="center"/>
            <w:hideMark/>
          </w:tcPr>
          <w:p w:rsidR="00FA4900" w:rsidRPr="00E678BE" w:rsidRDefault="00FA4900"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121,3</w:t>
            </w:r>
          </w:p>
        </w:tc>
        <w:tc>
          <w:tcPr>
            <w:tcW w:w="346" w:type="pct"/>
            <w:tcBorders>
              <w:top w:val="single" w:sz="12" w:space="0" w:color="000000" w:themeColor="text1"/>
              <w:bottom w:val="single" w:sz="12" w:space="0" w:color="000000" w:themeColor="text1"/>
            </w:tcBorders>
            <w:shd w:val="clear" w:color="auto" w:fill="auto"/>
            <w:noWrap/>
            <w:vAlign w:val="center"/>
            <w:hideMark/>
          </w:tcPr>
          <w:p w:rsidR="00FA4900" w:rsidRPr="00E678BE" w:rsidRDefault="00FA4900"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120,6</w:t>
            </w:r>
          </w:p>
        </w:tc>
        <w:tc>
          <w:tcPr>
            <w:tcW w:w="346" w:type="pct"/>
            <w:tcBorders>
              <w:top w:val="single" w:sz="12" w:space="0" w:color="000000" w:themeColor="text1"/>
              <w:bottom w:val="single" w:sz="12" w:space="0" w:color="000000" w:themeColor="text1"/>
            </w:tcBorders>
            <w:shd w:val="clear" w:color="auto" w:fill="auto"/>
            <w:noWrap/>
            <w:vAlign w:val="center"/>
            <w:hideMark/>
          </w:tcPr>
          <w:p w:rsidR="00FA4900" w:rsidRPr="00E678BE" w:rsidRDefault="00FA4900"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123,5</w:t>
            </w:r>
          </w:p>
        </w:tc>
        <w:tc>
          <w:tcPr>
            <w:tcW w:w="346" w:type="pct"/>
            <w:tcBorders>
              <w:top w:val="single" w:sz="12" w:space="0" w:color="000000" w:themeColor="text1"/>
              <w:bottom w:val="single" w:sz="12" w:space="0" w:color="000000" w:themeColor="text1"/>
            </w:tcBorders>
            <w:shd w:val="clear" w:color="auto" w:fill="auto"/>
            <w:noWrap/>
            <w:vAlign w:val="center"/>
            <w:hideMark/>
          </w:tcPr>
          <w:p w:rsidR="00FA4900" w:rsidRPr="00E678BE" w:rsidRDefault="00FA4900"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125,7</w:t>
            </w:r>
          </w:p>
        </w:tc>
        <w:tc>
          <w:tcPr>
            <w:tcW w:w="341" w:type="pct"/>
            <w:tcBorders>
              <w:top w:val="single" w:sz="12" w:space="0" w:color="000000" w:themeColor="text1"/>
              <w:bottom w:val="single" w:sz="12" w:space="0" w:color="000000" w:themeColor="text1"/>
            </w:tcBorders>
            <w:shd w:val="clear" w:color="auto" w:fill="auto"/>
            <w:noWrap/>
            <w:vAlign w:val="center"/>
            <w:hideMark/>
          </w:tcPr>
          <w:p w:rsidR="00FA4900" w:rsidRPr="00E678BE" w:rsidRDefault="00FA4900"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124,8</w:t>
            </w:r>
          </w:p>
        </w:tc>
        <w:tc>
          <w:tcPr>
            <w:tcW w:w="339" w:type="pct"/>
            <w:tcBorders>
              <w:top w:val="single" w:sz="12" w:space="0" w:color="000000" w:themeColor="text1"/>
              <w:bottom w:val="single" w:sz="12" w:space="0" w:color="000000" w:themeColor="text1"/>
            </w:tcBorders>
            <w:vAlign w:val="center"/>
          </w:tcPr>
          <w:p w:rsidR="00FA4900" w:rsidRPr="00E678BE" w:rsidRDefault="002C3C7C" w:rsidP="002007CB">
            <w:pPr>
              <w:spacing w:after="0" w:line="240" w:lineRule="auto"/>
              <w:jc w:val="right"/>
              <w:rPr>
                <w:rFonts w:asciiTheme="majorBidi" w:eastAsia="Times New Roman" w:hAnsiTheme="majorBidi" w:cstheme="majorBidi"/>
                <w:color w:val="000000"/>
                <w:lang w:eastAsia="fr-FR"/>
              </w:rPr>
            </w:pPr>
            <w:r>
              <w:rPr>
                <w:rFonts w:asciiTheme="majorBidi" w:eastAsia="Times New Roman" w:hAnsiTheme="majorBidi" w:cstheme="majorBidi"/>
                <w:color w:val="000000"/>
                <w:lang w:eastAsia="fr-FR"/>
              </w:rPr>
              <w:t>127,4</w:t>
            </w:r>
          </w:p>
        </w:tc>
        <w:tc>
          <w:tcPr>
            <w:tcW w:w="339" w:type="pct"/>
            <w:tcBorders>
              <w:top w:val="single" w:sz="12" w:space="0" w:color="000000" w:themeColor="text1"/>
              <w:bottom w:val="single" w:sz="12" w:space="0" w:color="000000" w:themeColor="text1"/>
            </w:tcBorders>
            <w:vAlign w:val="center"/>
          </w:tcPr>
          <w:p w:rsidR="00FA4900" w:rsidRPr="00E678BE" w:rsidRDefault="002C3C7C" w:rsidP="002007CB">
            <w:pPr>
              <w:spacing w:after="0" w:line="240" w:lineRule="auto"/>
              <w:jc w:val="right"/>
              <w:rPr>
                <w:rFonts w:asciiTheme="majorBidi" w:eastAsia="Times New Roman" w:hAnsiTheme="majorBidi" w:cstheme="majorBidi"/>
                <w:color w:val="000000"/>
                <w:lang w:eastAsia="fr-FR"/>
              </w:rPr>
            </w:pPr>
            <w:r>
              <w:rPr>
                <w:rFonts w:asciiTheme="majorBidi" w:eastAsia="Times New Roman" w:hAnsiTheme="majorBidi" w:cstheme="majorBidi"/>
                <w:color w:val="000000"/>
                <w:lang w:eastAsia="fr-FR"/>
              </w:rPr>
              <w:t>127,1</w:t>
            </w:r>
          </w:p>
        </w:tc>
      </w:tr>
      <w:tr w:rsidR="00FA4900" w:rsidRPr="00E678BE" w:rsidTr="00BB5DB3">
        <w:trPr>
          <w:trHeight w:val="300"/>
        </w:trPr>
        <w:tc>
          <w:tcPr>
            <w:tcW w:w="522" w:type="pct"/>
            <w:tcBorders>
              <w:top w:val="single" w:sz="12" w:space="0" w:color="000000" w:themeColor="text1"/>
              <w:bottom w:val="single" w:sz="12" w:space="0" w:color="000000" w:themeColor="text1"/>
            </w:tcBorders>
            <w:shd w:val="clear" w:color="auto" w:fill="FFFFFF" w:themeFill="background1"/>
            <w:noWrap/>
            <w:vAlign w:val="center"/>
            <w:hideMark/>
          </w:tcPr>
          <w:p w:rsidR="00FA4900" w:rsidRPr="00E678BE" w:rsidRDefault="00FA4900" w:rsidP="002007CB">
            <w:pPr>
              <w:spacing w:after="0" w:line="240" w:lineRule="auto"/>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INAK</w:t>
            </w:r>
          </w:p>
        </w:tc>
        <w:tc>
          <w:tcPr>
            <w:tcW w:w="345" w:type="pct"/>
            <w:tcBorders>
              <w:top w:val="single" w:sz="12" w:space="0" w:color="000000" w:themeColor="text1"/>
              <w:bottom w:val="single" w:sz="12" w:space="0" w:color="000000" w:themeColor="text1"/>
            </w:tcBorders>
            <w:shd w:val="clear" w:color="auto" w:fill="auto"/>
            <w:noWrap/>
            <w:vAlign w:val="center"/>
            <w:hideMark/>
          </w:tcPr>
          <w:p w:rsidR="00FA4900" w:rsidRPr="00E678BE" w:rsidRDefault="00FA4900"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100,5</w:t>
            </w:r>
          </w:p>
        </w:tc>
        <w:tc>
          <w:tcPr>
            <w:tcW w:w="346" w:type="pct"/>
            <w:tcBorders>
              <w:top w:val="single" w:sz="12" w:space="0" w:color="000000" w:themeColor="text1"/>
              <w:bottom w:val="single" w:sz="12" w:space="0" w:color="000000" w:themeColor="text1"/>
            </w:tcBorders>
            <w:shd w:val="clear" w:color="auto" w:fill="auto"/>
            <w:noWrap/>
            <w:vAlign w:val="center"/>
            <w:hideMark/>
          </w:tcPr>
          <w:p w:rsidR="00FA4900" w:rsidRPr="00E678BE" w:rsidRDefault="00FA4900"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101,4</w:t>
            </w:r>
          </w:p>
        </w:tc>
        <w:tc>
          <w:tcPr>
            <w:tcW w:w="346" w:type="pct"/>
            <w:tcBorders>
              <w:top w:val="single" w:sz="12" w:space="0" w:color="000000" w:themeColor="text1"/>
              <w:bottom w:val="single" w:sz="12" w:space="0" w:color="000000" w:themeColor="text1"/>
            </w:tcBorders>
            <w:shd w:val="clear" w:color="auto" w:fill="auto"/>
            <w:noWrap/>
            <w:vAlign w:val="center"/>
            <w:hideMark/>
          </w:tcPr>
          <w:p w:rsidR="00FA4900" w:rsidRPr="00E678BE" w:rsidRDefault="00FA4900"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102,0</w:t>
            </w:r>
          </w:p>
        </w:tc>
        <w:tc>
          <w:tcPr>
            <w:tcW w:w="346" w:type="pct"/>
            <w:tcBorders>
              <w:top w:val="single" w:sz="12" w:space="0" w:color="000000" w:themeColor="text1"/>
              <w:bottom w:val="single" w:sz="12" w:space="0" w:color="000000" w:themeColor="text1"/>
            </w:tcBorders>
            <w:shd w:val="clear" w:color="auto" w:fill="auto"/>
            <w:noWrap/>
            <w:vAlign w:val="center"/>
            <w:hideMark/>
          </w:tcPr>
          <w:p w:rsidR="00FA4900" w:rsidRPr="00E678BE" w:rsidRDefault="00FA4900"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102,4</w:t>
            </w:r>
          </w:p>
        </w:tc>
        <w:tc>
          <w:tcPr>
            <w:tcW w:w="346" w:type="pct"/>
            <w:tcBorders>
              <w:top w:val="single" w:sz="12" w:space="0" w:color="000000" w:themeColor="text1"/>
              <w:bottom w:val="single" w:sz="12" w:space="0" w:color="000000" w:themeColor="text1"/>
            </w:tcBorders>
            <w:shd w:val="clear" w:color="auto" w:fill="auto"/>
            <w:noWrap/>
            <w:vAlign w:val="center"/>
            <w:hideMark/>
          </w:tcPr>
          <w:p w:rsidR="00FA4900" w:rsidRPr="00E678BE" w:rsidRDefault="00FA4900"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103,5</w:t>
            </w:r>
          </w:p>
        </w:tc>
        <w:tc>
          <w:tcPr>
            <w:tcW w:w="346" w:type="pct"/>
            <w:tcBorders>
              <w:top w:val="single" w:sz="12" w:space="0" w:color="000000" w:themeColor="text1"/>
              <w:bottom w:val="single" w:sz="12" w:space="0" w:color="000000" w:themeColor="text1"/>
            </w:tcBorders>
            <w:shd w:val="clear" w:color="auto" w:fill="auto"/>
            <w:noWrap/>
            <w:vAlign w:val="center"/>
            <w:hideMark/>
          </w:tcPr>
          <w:p w:rsidR="00FA4900" w:rsidRPr="00E678BE" w:rsidRDefault="00FA4900"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104,5</w:t>
            </w:r>
          </w:p>
        </w:tc>
        <w:tc>
          <w:tcPr>
            <w:tcW w:w="346" w:type="pct"/>
            <w:tcBorders>
              <w:top w:val="single" w:sz="12" w:space="0" w:color="000000" w:themeColor="text1"/>
              <w:bottom w:val="single" w:sz="12" w:space="0" w:color="000000" w:themeColor="text1"/>
            </w:tcBorders>
            <w:shd w:val="clear" w:color="auto" w:fill="auto"/>
            <w:noWrap/>
            <w:vAlign w:val="center"/>
            <w:hideMark/>
          </w:tcPr>
          <w:p w:rsidR="00FA4900" w:rsidRPr="00E678BE" w:rsidRDefault="00FA4900"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105,9</w:t>
            </w:r>
          </w:p>
        </w:tc>
        <w:tc>
          <w:tcPr>
            <w:tcW w:w="346" w:type="pct"/>
            <w:tcBorders>
              <w:top w:val="single" w:sz="12" w:space="0" w:color="000000" w:themeColor="text1"/>
              <w:bottom w:val="single" w:sz="12" w:space="0" w:color="000000" w:themeColor="text1"/>
            </w:tcBorders>
            <w:shd w:val="clear" w:color="auto" w:fill="auto"/>
            <w:noWrap/>
            <w:vAlign w:val="center"/>
            <w:hideMark/>
          </w:tcPr>
          <w:p w:rsidR="00FA4900" w:rsidRPr="00E678BE" w:rsidRDefault="00FA4900"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107,5</w:t>
            </w:r>
          </w:p>
        </w:tc>
        <w:tc>
          <w:tcPr>
            <w:tcW w:w="346" w:type="pct"/>
            <w:tcBorders>
              <w:top w:val="single" w:sz="12" w:space="0" w:color="000000" w:themeColor="text1"/>
              <w:bottom w:val="single" w:sz="12" w:space="0" w:color="000000" w:themeColor="text1"/>
            </w:tcBorders>
            <w:shd w:val="clear" w:color="auto" w:fill="auto"/>
            <w:noWrap/>
            <w:vAlign w:val="center"/>
            <w:hideMark/>
          </w:tcPr>
          <w:p w:rsidR="00FA4900" w:rsidRPr="00E678BE" w:rsidRDefault="00FA4900"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108,3</w:t>
            </w:r>
          </w:p>
        </w:tc>
        <w:tc>
          <w:tcPr>
            <w:tcW w:w="346" w:type="pct"/>
            <w:tcBorders>
              <w:top w:val="single" w:sz="12" w:space="0" w:color="000000" w:themeColor="text1"/>
              <w:bottom w:val="single" w:sz="12" w:space="0" w:color="000000" w:themeColor="text1"/>
            </w:tcBorders>
            <w:shd w:val="clear" w:color="auto" w:fill="auto"/>
            <w:noWrap/>
            <w:vAlign w:val="center"/>
            <w:hideMark/>
          </w:tcPr>
          <w:p w:rsidR="00FA4900" w:rsidRPr="00E678BE" w:rsidRDefault="00FA4900"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109,1</w:t>
            </w:r>
          </w:p>
        </w:tc>
        <w:tc>
          <w:tcPr>
            <w:tcW w:w="341" w:type="pct"/>
            <w:tcBorders>
              <w:top w:val="single" w:sz="12" w:space="0" w:color="000000" w:themeColor="text1"/>
              <w:bottom w:val="single" w:sz="12" w:space="0" w:color="000000" w:themeColor="text1"/>
            </w:tcBorders>
            <w:shd w:val="clear" w:color="auto" w:fill="auto"/>
            <w:noWrap/>
            <w:vAlign w:val="center"/>
            <w:hideMark/>
          </w:tcPr>
          <w:p w:rsidR="00FA4900" w:rsidRPr="00E678BE" w:rsidRDefault="00FA4900"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110,6</w:t>
            </w:r>
          </w:p>
        </w:tc>
        <w:tc>
          <w:tcPr>
            <w:tcW w:w="339" w:type="pct"/>
            <w:tcBorders>
              <w:top w:val="single" w:sz="12" w:space="0" w:color="000000" w:themeColor="text1"/>
              <w:bottom w:val="single" w:sz="12" w:space="0" w:color="000000" w:themeColor="text1"/>
            </w:tcBorders>
            <w:vAlign w:val="center"/>
          </w:tcPr>
          <w:p w:rsidR="00FA4900" w:rsidRPr="00E678BE" w:rsidRDefault="002C3C7C" w:rsidP="002007CB">
            <w:pPr>
              <w:spacing w:after="0" w:line="240" w:lineRule="auto"/>
              <w:jc w:val="right"/>
              <w:rPr>
                <w:rFonts w:asciiTheme="majorBidi" w:eastAsia="Times New Roman" w:hAnsiTheme="majorBidi" w:cstheme="majorBidi"/>
                <w:color w:val="000000"/>
                <w:lang w:eastAsia="fr-FR"/>
              </w:rPr>
            </w:pPr>
            <w:r>
              <w:rPr>
                <w:rFonts w:asciiTheme="majorBidi" w:eastAsia="Times New Roman" w:hAnsiTheme="majorBidi" w:cstheme="majorBidi"/>
                <w:color w:val="000000"/>
                <w:lang w:eastAsia="fr-FR"/>
              </w:rPr>
              <w:t>112,3</w:t>
            </w:r>
          </w:p>
        </w:tc>
        <w:tc>
          <w:tcPr>
            <w:tcW w:w="339" w:type="pct"/>
            <w:tcBorders>
              <w:top w:val="single" w:sz="12" w:space="0" w:color="000000" w:themeColor="text1"/>
              <w:bottom w:val="single" w:sz="12" w:space="0" w:color="000000" w:themeColor="text1"/>
            </w:tcBorders>
            <w:vAlign w:val="center"/>
          </w:tcPr>
          <w:p w:rsidR="00FA4900" w:rsidRPr="00E678BE" w:rsidRDefault="002C3C7C" w:rsidP="002007CB">
            <w:pPr>
              <w:spacing w:after="0" w:line="240" w:lineRule="auto"/>
              <w:jc w:val="right"/>
              <w:rPr>
                <w:rFonts w:asciiTheme="majorBidi" w:eastAsia="Times New Roman" w:hAnsiTheme="majorBidi" w:cstheme="majorBidi"/>
                <w:color w:val="000000"/>
                <w:lang w:eastAsia="fr-FR"/>
              </w:rPr>
            </w:pPr>
            <w:r>
              <w:rPr>
                <w:rFonts w:asciiTheme="majorBidi" w:eastAsia="Times New Roman" w:hAnsiTheme="majorBidi" w:cstheme="majorBidi"/>
                <w:color w:val="000000"/>
                <w:lang w:eastAsia="fr-FR"/>
              </w:rPr>
              <w:t>112,9</w:t>
            </w:r>
          </w:p>
        </w:tc>
      </w:tr>
      <w:tr w:rsidR="00FA4900" w:rsidRPr="00E678BE" w:rsidTr="00BB5DB3">
        <w:trPr>
          <w:trHeight w:val="300"/>
        </w:trPr>
        <w:tc>
          <w:tcPr>
            <w:tcW w:w="522" w:type="pct"/>
            <w:tcBorders>
              <w:top w:val="single" w:sz="12" w:space="0" w:color="000000" w:themeColor="text1"/>
              <w:bottom w:val="single" w:sz="12" w:space="0" w:color="000000" w:themeColor="text1"/>
            </w:tcBorders>
            <w:shd w:val="clear" w:color="auto" w:fill="BFBFBF" w:themeFill="background1" w:themeFillShade="BF"/>
            <w:noWrap/>
            <w:vAlign w:val="center"/>
            <w:hideMark/>
          </w:tcPr>
          <w:p w:rsidR="00FA4900" w:rsidRPr="00E678BE" w:rsidRDefault="00FA4900" w:rsidP="002007CB">
            <w:pPr>
              <w:spacing w:after="0" w:line="240" w:lineRule="auto"/>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IGK</w:t>
            </w:r>
          </w:p>
        </w:tc>
        <w:tc>
          <w:tcPr>
            <w:tcW w:w="345" w:type="pct"/>
            <w:tcBorders>
              <w:top w:val="single" w:sz="12" w:space="0" w:color="000000" w:themeColor="text1"/>
              <w:bottom w:val="single" w:sz="12" w:space="0" w:color="000000" w:themeColor="text1"/>
            </w:tcBorders>
            <w:shd w:val="clear" w:color="auto" w:fill="BFBFBF" w:themeFill="background1" w:themeFillShade="BF"/>
            <w:noWrap/>
            <w:vAlign w:val="center"/>
            <w:hideMark/>
          </w:tcPr>
          <w:p w:rsidR="00FA4900" w:rsidRPr="00E678BE" w:rsidRDefault="00FA4900"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101,8</w:t>
            </w:r>
          </w:p>
        </w:tc>
        <w:tc>
          <w:tcPr>
            <w:tcW w:w="346" w:type="pct"/>
            <w:tcBorders>
              <w:top w:val="single" w:sz="12" w:space="0" w:color="000000" w:themeColor="text1"/>
              <w:bottom w:val="single" w:sz="12" w:space="0" w:color="000000" w:themeColor="text1"/>
            </w:tcBorders>
            <w:shd w:val="clear" w:color="auto" w:fill="BFBFBF" w:themeFill="background1" w:themeFillShade="BF"/>
            <w:noWrap/>
            <w:vAlign w:val="center"/>
            <w:hideMark/>
          </w:tcPr>
          <w:p w:rsidR="00FA4900" w:rsidRPr="00E678BE" w:rsidRDefault="00FA4900"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105,7</w:t>
            </w:r>
          </w:p>
        </w:tc>
        <w:tc>
          <w:tcPr>
            <w:tcW w:w="346" w:type="pct"/>
            <w:tcBorders>
              <w:top w:val="single" w:sz="12" w:space="0" w:color="000000" w:themeColor="text1"/>
              <w:bottom w:val="single" w:sz="12" w:space="0" w:color="000000" w:themeColor="text1"/>
            </w:tcBorders>
            <w:shd w:val="clear" w:color="auto" w:fill="BFBFBF" w:themeFill="background1" w:themeFillShade="BF"/>
            <w:noWrap/>
            <w:vAlign w:val="center"/>
            <w:hideMark/>
          </w:tcPr>
          <w:p w:rsidR="00FA4900" w:rsidRPr="00E678BE" w:rsidRDefault="00FA4900"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106,9</w:t>
            </w:r>
          </w:p>
        </w:tc>
        <w:tc>
          <w:tcPr>
            <w:tcW w:w="346" w:type="pct"/>
            <w:tcBorders>
              <w:top w:val="single" w:sz="12" w:space="0" w:color="000000" w:themeColor="text1"/>
              <w:bottom w:val="single" w:sz="12" w:space="0" w:color="000000" w:themeColor="text1"/>
            </w:tcBorders>
            <w:shd w:val="clear" w:color="auto" w:fill="BFBFBF" w:themeFill="background1" w:themeFillShade="BF"/>
            <w:noWrap/>
            <w:vAlign w:val="center"/>
            <w:hideMark/>
          </w:tcPr>
          <w:p w:rsidR="00FA4900" w:rsidRPr="00E678BE" w:rsidRDefault="00FA4900"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107,1</w:t>
            </w:r>
          </w:p>
        </w:tc>
        <w:tc>
          <w:tcPr>
            <w:tcW w:w="346" w:type="pct"/>
            <w:tcBorders>
              <w:top w:val="single" w:sz="12" w:space="0" w:color="000000" w:themeColor="text1"/>
              <w:bottom w:val="single" w:sz="12" w:space="0" w:color="000000" w:themeColor="text1"/>
            </w:tcBorders>
            <w:shd w:val="clear" w:color="auto" w:fill="BFBFBF" w:themeFill="background1" w:themeFillShade="BF"/>
            <w:noWrap/>
            <w:vAlign w:val="center"/>
            <w:hideMark/>
          </w:tcPr>
          <w:p w:rsidR="00FA4900" w:rsidRPr="00E678BE" w:rsidRDefault="00FA4900"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109,0</w:t>
            </w:r>
          </w:p>
        </w:tc>
        <w:tc>
          <w:tcPr>
            <w:tcW w:w="346" w:type="pct"/>
            <w:tcBorders>
              <w:top w:val="single" w:sz="12" w:space="0" w:color="000000" w:themeColor="text1"/>
              <w:bottom w:val="single" w:sz="12" w:space="0" w:color="000000" w:themeColor="text1"/>
            </w:tcBorders>
            <w:shd w:val="clear" w:color="auto" w:fill="BFBFBF" w:themeFill="background1" w:themeFillShade="BF"/>
            <w:noWrap/>
            <w:vAlign w:val="center"/>
            <w:hideMark/>
          </w:tcPr>
          <w:p w:rsidR="00FA4900" w:rsidRPr="00E678BE" w:rsidRDefault="00FA4900"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110,3</w:t>
            </w:r>
          </w:p>
        </w:tc>
        <w:tc>
          <w:tcPr>
            <w:tcW w:w="346" w:type="pct"/>
            <w:tcBorders>
              <w:top w:val="single" w:sz="12" w:space="0" w:color="000000" w:themeColor="text1"/>
              <w:bottom w:val="single" w:sz="12" w:space="0" w:color="000000" w:themeColor="text1"/>
            </w:tcBorders>
            <w:shd w:val="clear" w:color="auto" w:fill="BFBFBF" w:themeFill="background1" w:themeFillShade="BF"/>
            <w:noWrap/>
            <w:vAlign w:val="center"/>
            <w:hideMark/>
          </w:tcPr>
          <w:p w:rsidR="00FA4900" w:rsidRPr="00E678BE" w:rsidRDefault="00FA4900"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112,3</w:t>
            </w:r>
          </w:p>
        </w:tc>
        <w:tc>
          <w:tcPr>
            <w:tcW w:w="346" w:type="pct"/>
            <w:tcBorders>
              <w:top w:val="single" w:sz="12" w:space="0" w:color="000000" w:themeColor="text1"/>
              <w:bottom w:val="single" w:sz="12" w:space="0" w:color="000000" w:themeColor="text1"/>
            </w:tcBorders>
            <w:shd w:val="clear" w:color="auto" w:fill="BFBFBF" w:themeFill="background1" w:themeFillShade="BF"/>
            <w:noWrap/>
            <w:vAlign w:val="center"/>
            <w:hideMark/>
          </w:tcPr>
          <w:p w:rsidR="00FA4900" w:rsidRPr="00E678BE" w:rsidRDefault="00FA4900"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112,9</w:t>
            </w:r>
          </w:p>
        </w:tc>
        <w:tc>
          <w:tcPr>
            <w:tcW w:w="346" w:type="pct"/>
            <w:tcBorders>
              <w:top w:val="single" w:sz="12" w:space="0" w:color="000000" w:themeColor="text1"/>
              <w:bottom w:val="single" w:sz="12" w:space="0" w:color="000000" w:themeColor="text1"/>
            </w:tcBorders>
            <w:shd w:val="clear" w:color="auto" w:fill="BFBFBF" w:themeFill="background1" w:themeFillShade="BF"/>
            <w:noWrap/>
            <w:vAlign w:val="center"/>
            <w:hideMark/>
          </w:tcPr>
          <w:p w:rsidR="00FA4900" w:rsidRPr="00E678BE" w:rsidRDefault="00FA4900"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114,6</w:t>
            </w:r>
          </w:p>
        </w:tc>
        <w:tc>
          <w:tcPr>
            <w:tcW w:w="346" w:type="pct"/>
            <w:tcBorders>
              <w:top w:val="single" w:sz="12" w:space="0" w:color="000000" w:themeColor="text1"/>
              <w:bottom w:val="single" w:sz="12" w:space="0" w:color="000000" w:themeColor="text1"/>
            </w:tcBorders>
            <w:shd w:val="clear" w:color="auto" w:fill="BFBFBF" w:themeFill="background1" w:themeFillShade="BF"/>
            <w:noWrap/>
            <w:vAlign w:val="center"/>
            <w:hideMark/>
          </w:tcPr>
          <w:p w:rsidR="00FA4900" w:rsidRPr="00E678BE" w:rsidRDefault="00FA4900"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116,0</w:t>
            </w:r>
          </w:p>
        </w:tc>
        <w:tc>
          <w:tcPr>
            <w:tcW w:w="341" w:type="pct"/>
            <w:tcBorders>
              <w:top w:val="single" w:sz="12" w:space="0" w:color="000000" w:themeColor="text1"/>
              <w:bottom w:val="single" w:sz="12" w:space="0" w:color="000000" w:themeColor="text1"/>
            </w:tcBorders>
            <w:shd w:val="clear" w:color="auto" w:fill="BFBFBF" w:themeFill="background1" w:themeFillShade="BF"/>
            <w:noWrap/>
            <w:vAlign w:val="center"/>
            <w:hideMark/>
          </w:tcPr>
          <w:p w:rsidR="00FA4900" w:rsidRPr="00E678BE" w:rsidRDefault="00FA4900"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116,5</w:t>
            </w:r>
          </w:p>
        </w:tc>
        <w:tc>
          <w:tcPr>
            <w:tcW w:w="339" w:type="pct"/>
            <w:tcBorders>
              <w:top w:val="single" w:sz="12" w:space="0" w:color="000000" w:themeColor="text1"/>
              <w:bottom w:val="single" w:sz="12" w:space="0" w:color="000000" w:themeColor="text1"/>
            </w:tcBorders>
            <w:shd w:val="clear" w:color="auto" w:fill="BFBFBF" w:themeFill="background1" w:themeFillShade="BF"/>
            <w:vAlign w:val="center"/>
          </w:tcPr>
          <w:p w:rsidR="00FA4900" w:rsidRPr="00E678BE" w:rsidRDefault="002C3C7C" w:rsidP="002007CB">
            <w:pPr>
              <w:spacing w:after="0" w:line="240" w:lineRule="auto"/>
              <w:jc w:val="right"/>
              <w:rPr>
                <w:rFonts w:asciiTheme="majorBidi" w:eastAsia="Times New Roman" w:hAnsiTheme="majorBidi" w:cstheme="majorBidi"/>
                <w:color w:val="000000"/>
                <w:lang w:eastAsia="fr-FR"/>
              </w:rPr>
            </w:pPr>
            <w:r>
              <w:rPr>
                <w:rFonts w:asciiTheme="majorBidi" w:eastAsia="Times New Roman" w:hAnsiTheme="majorBidi" w:cstheme="majorBidi"/>
                <w:color w:val="000000"/>
                <w:lang w:eastAsia="fr-FR"/>
              </w:rPr>
              <w:t>118,5</w:t>
            </w:r>
          </w:p>
        </w:tc>
        <w:tc>
          <w:tcPr>
            <w:tcW w:w="339" w:type="pct"/>
            <w:tcBorders>
              <w:top w:val="single" w:sz="12" w:space="0" w:color="000000" w:themeColor="text1"/>
              <w:bottom w:val="single" w:sz="12" w:space="0" w:color="000000" w:themeColor="text1"/>
            </w:tcBorders>
            <w:shd w:val="clear" w:color="auto" w:fill="BFBFBF" w:themeFill="background1" w:themeFillShade="BF"/>
            <w:vAlign w:val="center"/>
          </w:tcPr>
          <w:p w:rsidR="00FA4900" w:rsidRPr="00E678BE" w:rsidRDefault="002C3C7C" w:rsidP="002007CB">
            <w:pPr>
              <w:spacing w:after="0" w:line="240" w:lineRule="auto"/>
              <w:jc w:val="right"/>
              <w:rPr>
                <w:rFonts w:asciiTheme="majorBidi" w:eastAsia="Times New Roman" w:hAnsiTheme="majorBidi" w:cstheme="majorBidi"/>
                <w:color w:val="000000"/>
                <w:lang w:eastAsia="fr-FR"/>
              </w:rPr>
            </w:pPr>
            <w:r>
              <w:rPr>
                <w:rFonts w:asciiTheme="majorBidi" w:eastAsia="Times New Roman" w:hAnsiTheme="majorBidi" w:cstheme="majorBidi"/>
                <w:color w:val="000000"/>
                <w:lang w:eastAsia="fr-FR"/>
              </w:rPr>
              <w:t>118,7</w:t>
            </w:r>
          </w:p>
        </w:tc>
      </w:tr>
    </w:tbl>
    <w:p w:rsidR="00BB5DB3" w:rsidRPr="00483003" w:rsidRDefault="00BB5DB3" w:rsidP="00BB5DB3">
      <w:pPr>
        <w:pStyle w:val="Lgende"/>
        <w:rPr>
          <w:rFonts w:ascii="Times New Roman" w:hAnsi="Times New Roman"/>
          <w:i/>
          <w:iCs/>
          <w:sz w:val="22"/>
        </w:rPr>
      </w:pPr>
      <w:r w:rsidRPr="00483003">
        <w:rPr>
          <w:rFonts w:ascii="Times New Roman" w:hAnsi="Times New Roman"/>
          <w:i/>
          <w:iCs/>
          <w:sz w:val="22"/>
        </w:rPr>
        <w:t>Source : HCP</w:t>
      </w:r>
    </w:p>
    <w:p w:rsidR="00E8089E" w:rsidRPr="00E678BE" w:rsidRDefault="00F67E78" w:rsidP="002C3C7C">
      <w:pPr>
        <w:pStyle w:val="Lgende"/>
        <w:spacing w:after="0"/>
        <w:rPr>
          <w:rFonts w:asciiTheme="majorBidi" w:hAnsiTheme="majorBidi" w:cstheme="majorBidi"/>
          <w:bCs w:val="0"/>
          <w:sz w:val="22"/>
        </w:rPr>
      </w:pPr>
      <w:bookmarkStart w:id="61" w:name="_Toc515274127"/>
      <w:r w:rsidRPr="00E678BE">
        <w:rPr>
          <w:rFonts w:asciiTheme="majorBidi" w:hAnsiTheme="majorBidi" w:cstheme="majorBidi"/>
          <w:sz w:val="22"/>
        </w:rPr>
        <w:t xml:space="preserve">Tableau A </w:t>
      </w:r>
      <w:r w:rsidR="00DE78CE" w:rsidRPr="00E678BE">
        <w:rPr>
          <w:rFonts w:asciiTheme="majorBidi" w:hAnsiTheme="majorBidi" w:cstheme="majorBidi"/>
          <w:sz w:val="22"/>
        </w:rPr>
        <w:fldChar w:fldCharType="begin"/>
      </w:r>
      <w:r w:rsidRPr="00E678BE">
        <w:rPr>
          <w:rFonts w:asciiTheme="majorBidi" w:hAnsiTheme="majorBidi" w:cstheme="majorBidi"/>
          <w:sz w:val="22"/>
        </w:rPr>
        <w:instrText xml:space="preserve"> SEQ Tableau_A \* ARABIC </w:instrText>
      </w:r>
      <w:r w:rsidR="00DE78CE" w:rsidRPr="00E678BE">
        <w:rPr>
          <w:rFonts w:asciiTheme="majorBidi" w:hAnsiTheme="majorBidi" w:cstheme="majorBidi"/>
          <w:sz w:val="22"/>
        </w:rPr>
        <w:fldChar w:fldCharType="separate"/>
      </w:r>
      <w:r w:rsidR="00477549">
        <w:rPr>
          <w:rFonts w:asciiTheme="majorBidi" w:hAnsiTheme="majorBidi" w:cstheme="majorBidi"/>
          <w:noProof/>
          <w:sz w:val="22"/>
        </w:rPr>
        <w:t>4</w:t>
      </w:r>
      <w:r w:rsidR="00DE78CE" w:rsidRPr="00E678BE">
        <w:rPr>
          <w:rFonts w:asciiTheme="majorBidi" w:hAnsiTheme="majorBidi" w:cstheme="majorBidi"/>
          <w:sz w:val="22"/>
        </w:rPr>
        <w:fldChar w:fldCharType="end"/>
      </w:r>
      <w:r w:rsidRPr="00E678BE">
        <w:rPr>
          <w:rFonts w:asciiTheme="majorBidi" w:hAnsiTheme="majorBidi" w:cstheme="majorBidi"/>
          <w:sz w:val="22"/>
        </w:rPr>
        <w:t xml:space="preserve"> : </w:t>
      </w:r>
      <w:r w:rsidR="00E8089E" w:rsidRPr="00E678BE">
        <w:rPr>
          <w:rFonts w:asciiTheme="majorBidi" w:hAnsiTheme="majorBidi" w:cstheme="majorBidi"/>
          <w:bCs w:val="0"/>
          <w:sz w:val="22"/>
        </w:rPr>
        <w:t>Evolution de l'inflation générale entre 2007 et 201</w:t>
      </w:r>
      <w:bookmarkEnd w:id="61"/>
      <w:r w:rsidR="002C3C7C">
        <w:rPr>
          <w:rFonts w:asciiTheme="majorBidi" w:hAnsiTheme="majorBidi" w:cstheme="majorBidi"/>
          <w:bCs w:val="0"/>
          <w:sz w:val="22"/>
        </w:rPr>
        <w:t>9</w:t>
      </w:r>
    </w:p>
    <w:tbl>
      <w:tblPr>
        <w:tblW w:w="5000" w:type="pct"/>
        <w:tblCellMar>
          <w:left w:w="70" w:type="dxa"/>
          <w:right w:w="70" w:type="dxa"/>
        </w:tblCellMar>
        <w:tblLook w:val="04A0"/>
      </w:tblPr>
      <w:tblGrid>
        <w:gridCol w:w="1760"/>
        <w:gridCol w:w="585"/>
        <w:gridCol w:w="585"/>
        <w:gridCol w:w="585"/>
        <w:gridCol w:w="585"/>
        <w:gridCol w:w="585"/>
        <w:gridCol w:w="585"/>
        <w:gridCol w:w="585"/>
        <w:gridCol w:w="586"/>
        <w:gridCol w:w="586"/>
        <w:gridCol w:w="587"/>
        <w:gridCol w:w="580"/>
        <w:gridCol w:w="580"/>
        <w:gridCol w:w="580"/>
      </w:tblGrid>
      <w:tr w:rsidR="00D075F5" w:rsidRPr="00E678BE" w:rsidTr="00BB5DB3">
        <w:trPr>
          <w:trHeight w:val="300"/>
        </w:trPr>
        <w:tc>
          <w:tcPr>
            <w:tcW w:w="941" w:type="pct"/>
            <w:tcBorders>
              <w:bottom w:val="single" w:sz="12" w:space="0" w:color="000000" w:themeColor="text1"/>
            </w:tcBorders>
            <w:shd w:val="clear" w:color="auto" w:fill="auto"/>
            <w:noWrap/>
            <w:vAlign w:val="bottom"/>
            <w:hideMark/>
          </w:tcPr>
          <w:p w:rsidR="00D075F5" w:rsidRPr="00E678BE" w:rsidRDefault="00D075F5" w:rsidP="00E8089E">
            <w:pPr>
              <w:spacing w:after="0" w:line="240" w:lineRule="auto"/>
              <w:rPr>
                <w:rFonts w:asciiTheme="majorBidi" w:eastAsia="Times New Roman" w:hAnsiTheme="majorBidi" w:cstheme="majorBidi"/>
                <w:color w:val="000000"/>
                <w:lang w:eastAsia="fr-FR"/>
              </w:rPr>
            </w:pPr>
          </w:p>
        </w:tc>
        <w:tc>
          <w:tcPr>
            <w:tcW w:w="313" w:type="pct"/>
            <w:tcBorders>
              <w:top w:val="single" w:sz="12" w:space="0" w:color="000000" w:themeColor="text1"/>
              <w:bottom w:val="single" w:sz="12" w:space="0" w:color="000000" w:themeColor="text1"/>
            </w:tcBorders>
            <w:shd w:val="clear" w:color="auto" w:fill="BFBFBF" w:themeFill="background1" w:themeFillShade="BF"/>
            <w:noWrap/>
            <w:vAlign w:val="center"/>
            <w:hideMark/>
          </w:tcPr>
          <w:p w:rsidR="00D075F5" w:rsidRPr="00E678BE" w:rsidRDefault="00D075F5" w:rsidP="002007CB">
            <w:pPr>
              <w:spacing w:after="0" w:line="240" w:lineRule="auto"/>
              <w:jc w:val="center"/>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2007</w:t>
            </w:r>
          </w:p>
        </w:tc>
        <w:tc>
          <w:tcPr>
            <w:tcW w:w="313" w:type="pct"/>
            <w:tcBorders>
              <w:top w:val="single" w:sz="12" w:space="0" w:color="000000" w:themeColor="text1"/>
              <w:bottom w:val="single" w:sz="12" w:space="0" w:color="000000" w:themeColor="text1"/>
            </w:tcBorders>
            <w:shd w:val="clear" w:color="auto" w:fill="BFBFBF" w:themeFill="background1" w:themeFillShade="BF"/>
            <w:noWrap/>
            <w:vAlign w:val="center"/>
            <w:hideMark/>
          </w:tcPr>
          <w:p w:rsidR="00D075F5" w:rsidRPr="00E678BE" w:rsidRDefault="00D075F5" w:rsidP="002007CB">
            <w:pPr>
              <w:spacing w:after="0" w:line="240" w:lineRule="auto"/>
              <w:jc w:val="center"/>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2008</w:t>
            </w:r>
          </w:p>
        </w:tc>
        <w:tc>
          <w:tcPr>
            <w:tcW w:w="313" w:type="pct"/>
            <w:tcBorders>
              <w:top w:val="single" w:sz="12" w:space="0" w:color="000000" w:themeColor="text1"/>
              <w:bottom w:val="single" w:sz="12" w:space="0" w:color="000000" w:themeColor="text1"/>
            </w:tcBorders>
            <w:shd w:val="clear" w:color="auto" w:fill="BFBFBF" w:themeFill="background1" w:themeFillShade="BF"/>
            <w:noWrap/>
            <w:vAlign w:val="center"/>
            <w:hideMark/>
          </w:tcPr>
          <w:p w:rsidR="00D075F5" w:rsidRPr="00E678BE" w:rsidRDefault="00D075F5" w:rsidP="002007CB">
            <w:pPr>
              <w:spacing w:after="0" w:line="240" w:lineRule="auto"/>
              <w:jc w:val="center"/>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2009</w:t>
            </w:r>
          </w:p>
        </w:tc>
        <w:tc>
          <w:tcPr>
            <w:tcW w:w="313" w:type="pct"/>
            <w:tcBorders>
              <w:top w:val="single" w:sz="12" w:space="0" w:color="000000" w:themeColor="text1"/>
              <w:bottom w:val="single" w:sz="12" w:space="0" w:color="000000" w:themeColor="text1"/>
            </w:tcBorders>
            <w:shd w:val="clear" w:color="auto" w:fill="BFBFBF" w:themeFill="background1" w:themeFillShade="BF"/>
            <w:noWrap/>
            <w:vAlign w:val="center"/>
            <w:hideMark/>
          </w:tcPr>
          <w:p w:rsidR="00D075F5" w:rsidRPr="00E678BE" w:rsidRDefault="00D075F5" w:rsidP="002007CB">
            <w:pPr>
              <w:spacing w:after="0" w:line="240" w:lineRule="auto"/>
              <w:jc w:val="center"/>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2010</w:t>
            </w:r>
          </w:p>
        </w:tc>
        <w:tc>
          <w:tcPr>
            <w:tcW w:w="313" w:type="pct"/>
            <w:tcBorders>
              <w:top w:val="single" w:sz="12" w:space="0" w:color="000000" w:themeColor="text1"/>
              <w:bottom w:val="single" w:sz="12" w:space="0" w:color="000000" w:themeColor="text1"/>
            </w:tcBorders>
            <w:shd w:val="clear" w:color="auto" w:fill="BFBFBF" w:themeFill="background1" w:themeFillShade="BF"/>
            <w:noWrap/>
            <w:vAlign w:val="center"/>
            <w:hideMark/>
          </w:tcPr>
          <w:p w:rsidR="00D075F5" w:rsidRPr="00E678BE" w:rsidRDefault="00D075F5" w:rsidP="002007CB">
            <w:pPr>
              <w:spacing w:after="0" w:line="240" w:lineRule="auto"/>
              <w:jc w:val="center"/>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2011</w:t>
            </w:r>
          </w:p>
        </w:tc>
        <w:tc>
          <w:tcPr>
            <w:tcW w:w="313" w:type="pct"/>
            <w:tcBorders>
              <w:top w:val="single" w:sz="12" w:space="0" w:color="000000" w:themeColor="text1"/>
              <w:bottom w:val="single" w:sz="12" w:space="0" w:color="000000" w:themeColor="text1"/>
            </w:tcBorders>
            <w:shd w:val="clear" w:color="auto" w:fill="BFBFBF" w:themeFill="background1" w:themeFillShade="BF"/>
            <w:noWrap/>
            <w:vAlign w:val="center"/>
            <w:hideMark/>
          </w:tcPr>
          <w:p w:rsidR="00D075F5" w:rsidRPr="00E678BE" w:rsidRDefault="00D075F5" w:rsidP="002007CB">
            <w:pPr>
              <w:spacing w:after="0" w:line="240" w:lineRule="auto"/>
              <w:jc w:val="center"/>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2012</w:t>
            </w:r>
          </w:p>
        </w:tc>
        <w:tc>
          <w:tcPr>
            <w:tcW w:w="313" w:type="pct"/>
            <w:tcBorders>
              <w:top w:val="single" w:sz="12" w:space="0" w:color="000000" w:themeColor="text1"/>
              <w:bottom w:val="single" w:sz="12" w:space="0" w:color="000000" w:themeColor="text1"/>
            </w:tcBorders>
            <w:shd w:val="clear" w:color="auto" w:fill="BFBFBF" w:themeFill="background1" w:themeFillShade="BF"/>
            <w:noWrap/>
            <w:vAlign w:val="center"/>
            <w:hideMark/>
          </w:tcPr>
          <w:p w:rsidR="00D075F5" w:rsidRPr="00E678BE" w:rsidRDefault="00D075F5" w:rsidP="002007CB">
            <w:pPr>
              <w:spacing w:after="0" w:line="240" w:lineRule="auto"/>
              <w:jc w:val="center"/>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2013</w:t>
            </w:r>
          </w:p>
        </w:tc>
        <w:tc>
          <w:tcPr>
            <w:tcW w:w="313" w:type="pct"/>
            <w:tcBorders>
              <w:top w:val="single" w:sz="12" w:space="0" w:color="000000" w:themeColor="text1"/>
              <w:bottom w:val="single" w:sz="12" w:space="0" w:color="000000" w:themeColor="text1"/>
            </w:tcBorders>
            <w:shd w:val="clear" w:color="auto" w:fill="BFBFBF" w:themeFill="background1" w:themeFillShade="BF"/>
            <w:noWrap/>
            <w:vAlign w:val="center"/>
            <w:hideMark/>
          </w:tcPr>
          <w:p w:rsidR="00D075F5" w:rsidRPr="00E678BE" w:rsidRDefault="00D075F5" w:rsidP="002007CB">
            <w:pPr>
              <w:spacing w:after="0" w:line="240" w:lineRule="auto"/>
              <w:jc w:val="center"/>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2014</w:t>
            </w:r>
          </w:p>
        </w:tc>
        <w:tc>
          <w:tcPr>
            <w:tcW w:w="313" w:type="pct"/>
            <w:tcBorders>
              <w:top w:val="single" w:sz="12" w:space="0" w:color="000000" w:themeColor="text1"/>
              <w:bottom w:val="single" w:sz="12" w:space="0" w:color="000000" w:themeColor="text1"/>
            </w:tcBorders>
            <w:shd w:val="clear" w:color="auto" w:fill="BFBFBF" w:themeFill="background1" w:themeFillShade="BF"/>
            <w:noWrap/>
            <w:vAlign w:val="center"/>
            <w:hideMark/>
          </w:tcPr>
          <w:p w:rsidR="00D075F5" w:rsidRPr="00E678BE" w:rsidRDefault="00D075F5" w:rsidP="002007CB">
            <w:pPr>
              <w:spacing w:after="0" w:line="240" w:lineRule="auto"/>
              <w:jc w:val="center"/>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2015</w:t>
            </w:r>
          </w:p>
        </w:tc>
        <w:tc>
          <w:tcPr>
            <w:tcW w:w="314" w:type="pct"/>
            <w:tcBorders>
              <w:top w:val="single" w:sz="12" w:space="0" w:color="000000" w:themeColor="text1"/>
              <w:bottom w:val="single" w:sz="12" w:space="0" w:color="000000" w:themeColor="text1"/>
            </w:tcBorders>
            <w:shd w:val="clear" w:color="auto" w:fill="BFBFBF" w:themeFill="background1" w:themeFillShade="BF"/>
            <w:noWrap/>
            <w:vAlign w:val="center"/>
            <w:hideMark/>
          </w:tcPr>
          <w:p w:rsidR="00D075F5" w:rsidRPr="00E678BE" w:rsidRDefault="00D075F5" w:rsidP="002007CB">
            <w:pPr>
              <w:spacing w:after="0" w:line="240" w:lineRule="auto"/>
              <w:jc w:val="center"/>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2016</w:t>
            </w:r>
          </w:p>
        </w:tc>
        <w:tc>
          <w:tcPr>
            <w:tcW w:w="310" w:type="pct"/>
            <w:tcBorders>
              <w:top w:val="single" w:sz="12" w:space="0" w:color="000000" w:themeColor="text1"/>
              <w:bottom w:val="single" w:sz="12" w:space="0" w:color="000000" w:themeColor="text1"/>
            </w:tcBorders>
            <w:shd w:val="clear" w:color="auto" w:fill="BFBFBF" w:themeFill="background1" w:themeFillShade="BF"/>
            <w:noWrap/>
            <w:vAlign w:val="center"/>
            <w:hideMark/>
          </w:tcPr>
          <w:p w:rsidR="00D075F5" w:rsidRPr="00E678BE" w:rsidRDefault="00D075F5" w:rsidP="002007CB">
            <w:pPr>
              <w:spacing w:after="0" w:line="240" w:lineRule="auto"/>
              <w:jc w:val="center"/>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2017</w:t>
            </w:r>
          </w:p>
        </w:tc>
        <w:tc>
          <w:tcPr>
            <w:tcW w:w="310" w:type="pct"/>
            <w:tcBorders>
              <w:top w:val="single" w:sz="12" w:space="0" w:color="000000" w:themeColor="text1"/>
              <w:bottom w:val="single" w:sz="12" w:space="0" w:color="000000" w:themeColor="text1"/>
            </w:tcBorders>
            <w:shd w:val="clear" w:color="auto" w:fill="BFBFBF" w:themeFill="background1" w:themeFillShade="BF"/>
            <w:vAlign w:val="center"/>
          </w:tcPr>
          <w:p w:rsidR="00D075F5" w:rsidRPr="00E678BE" w:rsidRDefault="00D075F5" w:rsidP="002007CB">
            <w:pPr>
              <w:spacing w:after="0" w:line="240" w:lineRule="auto"/>
              <w:jc w:val="center"/>
              <w:rPr>
                <w:rFonts w:asciiTheme="majorBidi" w:eastAsia="Times New Roman" w:hAnsiTheme="majorBidi" w:cstheme="majorBidi"/>
                <w:b/>
                <w:bCs/>
                <w:color w:val="000000"/>
                <w:lang w:eastAsia="fr-FR"/>
              </w:rPr>
            </w:pPr>
            <w:r>
              <w:rPr>
                <w:rFonts w:asciiTheme="majorBidi" w:eastAsia="Times New Roman" w:hAnsiTheme="majorBidi" w:cstheme="majorBidi"/>
                <w:b/>
                <w:bCs/>
                <w:color w:val="000000"/>
                <w:lang w:eastAsia="fr-FR"/>
              </w:rPr>
              <w:t>2018</w:t>
            </w:r>
          </w:p>
        </w:tc>
        <w:tc>
          <w:tcPr>
            <w:tcW w:w="310" w:type="pct"/>
            <w:tcBorders>
              <w:top w:val="single" w:sz="12" w:space="0" w:color="000000" w:themeColor="text1"/>
              <w:bottom w:val="single" w:sz="12" w:space="0" w:color="000000" w:themeColor="text1"/>
            </w:tcBorders>
            <w:shd w:val="clear" w:color="auto" w:fill="BFBFBF" w:themeFill="background1" w:themeFillShade="BF"/>
            <w:vAlign w:val="center"/>
          </w:tcPr>
          <w:p w:rsidR="00D075F5" w:rsidRPr="00E678BE" w:rsidRDefault="00D075F5" w:rsidP="002007CB">
            <w:pPr>
              <w:spacing w:after="0" w:line="240" w:lineRule="auto"/>
              <w:jc w:val="center"/>
              <w:rPr>
                <w:rFonts w:asciiTheme="majorBidi" w:eastAsia="Times New Roman" w:hAnsiTheme="majorBidi" w:cstheme="majorBidi"/>
                <w:b/>
                <w:bCs/>
                <w:color w:val="000000"/>
                <w:lang w:eastAsia="fr-FR"/>
              </w:rPr>
            </w:pPr>
            <w:r>
              <w:rPr>
                <w:rFonts w:asciiTheme="majorBidi" w:eastAsia="Times New Roman" w:hAnsiTheme="majorBidi" w:cstheme="majorBidi"/>
                <w:b/>
                <w:bCs/>
                <w:color w:val="000000"/>
                <w:lang w:eastAsia="fr-FR"/>
              </w:rPr>
              <w:t>2019</w:t>
            </w:r>
          </w:p>
        </w:tc>
      </w:tr>
      <w:tr w:rsidR="00D075F5" w:rsidRPr="00E678BE" w:rsidTr="00BB5DB3">
        <w:trPr>
          <w:trHeight w:val="300"/>
        </w:trPr>
        <w:tc>
          <w:tcPr>
            <w:tcW w:w="941" w:type="pct"/>
            <w:tcBorders>
              <w:top w:val="single" w:sz="12" w:space="0" w:color="000000" w:themeColor="text1"/>
              <w:bottom w:val="single" w:sz="12" w:space="0" w:color="000000" w:themeColor="text1"/>
            </w:tcBorders>
            <w:shd w:val="clear" w:color="auto" w:fill="BFBFBF" w:themeFill="background1" w:themeFillShade="BF"/>
            <w:noWrap/>
            <w:vAlign w:val="center"/>
            <w:hideMark/>
          </w:tcPr>
          <w:p w:rsidR="00D075F5" w:rsidRPr="00E678BE" w:rsidRDefault="00D075F5" w:rsidP="002007CB">
            <w:pPr>
              <w:spacing w:after="0" w:line="240" w:lineRule="auto"/>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IPC KENITRA</w:t>
            </w:r>
          </w:p>
        </w:tc>
        <w:tc>
          <w:tcPr>
            <w:tcW w:w="313" w:type="pct"/>
            <w:tcBorders>
              <w:top w:val="single" w:sz="12" w:space="0" w:color="000000" w:themeColor="text1"/>
              <w:bottom w:val="single" w:sz="12" w:space="0" w:color="000000" w:themeColor="text1"/>
            </w:tcBorders>
            <w:shd w:val="clear" w:color="auto" w:fill="auto"/>
            <w:noWrap/>
            <w:vAlign w:val="center"/>
            <w:hideMark/>
          </w:tcPr>
          <w:p w:rsidR="00D075F5" w:rsidRPr="00E678BE" w:rsidRDefault="00D075F5"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1,8</w:t>
            </w:r>
          </w:p>
        </w:tc>
        <w:tc>
          <w:tcPr>
            <w:tcW w:w="313" w:type="pct"/>
            <w:tcBorders>
              <w:top w:val="single" w:sz="12" w:space="0" w:color="000000" w:themeColor="text1"/>
              <w:bottom w:val="single" w:sz="12" w:space="0" w:color="000000" w:themeColor="text1"/>
            </w:tcBorders>
            <w:shd w:val="clear" w:color="auto" w:fill="auto"/>
            <w:noWrap/>
            <w:vAlign w:val="center"/>
            <w:hideMark/>
          </w:tcPr>
          <w:p w:rsidR="00D075F5" w:rsidRPr="00E678BE" w:rsidRDefault="00D075F5"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3,8</w:t>
            </w:r>
          </w:p>
        </w:tc>
        <w:tc>
          <w:tcPr>
            <w:tcW w:w="313" w:type="pct"/>
            <w:tcBorders>
              <w:top w:val="single" w:sz="12" w:space="0" w:color="000000" w:themeColor="text1"/>
              <w:bottom w:val="single" w:sz="12" w:space="0" w:color="000000" w:themeColor="text1"/>
            </w:tcBorders>
            <w:shd w:val="clear" w:color="auto" w:fill="auto"/>
            <w:noWrap/>
            <w:vAlign w:val="center"/>
            <w:hideMark/>
          </w:tcPr>
          <w:p w:rsidR="00D075F5" w:rsidRPr="00E678BE" w:rsidRDefault="00D075F5"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w:t>
            </w:r>
          </w:p>
        </w:tc>
        <w:tc>
          <w:tcPr>
            <w:tcW w:w="313" w:type="pct"/>
            <w:tcBorders>
              <w:top w:val="single" w:sz="12" w:space="0" w:color="000000" w:themeColor="text1"/>
              <w:bottom w:val="single" w:sz="12" w:space="0" w:color="000000" w:themeColor="text1"/>
            </w:tcBorders>
            <w:shd w:val="clear" w:color="auto" w:fill="auto"/>
            <w:noWrap/>
            <w:vAlign w:val="center"/>
            <w:hideMark/>
          </w:tcPr>
          <w:p w:rsidR="00D075F5" w:rsidRPr="00E678BE" w:rsidRDefault="00D075F5"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0,2</w:t>
            </w:r>
          </w:p>
        </w:tc>
        <w:tc>
          <w:tcPr>
            <w:tcW w:w="313" w:type="pct"/>
            <w:tcBorders>
              <w:top w:val="single" w:sz="12" w:space="0" w:color="000000" w:themeColor="text1"/>
              <w:bottom w:val="single" w:sz="12" w:space="0" w:color="000000" w:themeColor="text1"/>
            </w:tcBorders>
            <w:shd w:val="clear" w:color="auto" w:fill="auto"/>
            <w:noWrap/>
            <w:vAlign w:val="center"/>
            <w:hideMark/>
          </w:tcPr>
          <w:p w:rsidR="00D075F5" w:rsidRPr="00E678BE" w:rsidRDefault="00D075F5"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1,7</w:t>
            </w:r>
          </w:p>
        </w:tc>
        <w:tc>
          <w:tcPr>
            <w:tcW w:w="313" w:type="pct"/>
            <w:tcBorders>
              <w:top w:val="single" w:sz="12" w:space="0" w:color="000000" w:themeColor="text1"/>
              <w:bottom w:val="single" w:sz="12" w:space="0" w:color="000000" w:themeColor="text1"/>
            </w:tcBorders>
            <w:shd w:val="clear" w:color="auto" w:fill="auto"/>
            <w:noWrap/>
            <w:vAlign w:val="center"/>
            <w:hideMark/>
          </w:tcPr>
          <w:p w:rsidR="00D075F5" w:rsidRPr="00E678BE" w:rsidRDefault="00D075F5"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1,2</w:t>
            </w:r>
          </w:p>
        </w:tc>
        <w:tc>
          <w:tcPr>
            <w:tcW w:w="313" w:type="pct"/>
            <w:tcBorders>
              <w:top w:val="single" w:sz="12" w:space="0" w:color="000000" w:themeColor="text1"/>
              <w:bottom w:val="single" w:sz="12" w:space="0" w:color="000000" w:themeColor="text1"/>
            </w:tcBorders>
            <w:shd w:val="clear" w:color="auto" w:fill="auto"/>
            <w:noWrap/>
            <w:vAlign w:val="center"/>
            <w:hideMark/>
          </w:tcPr>
          <w:p w:rsidR="00D075F5" w:rsidRPr="00E678BE" w:rsidRDefault="00D075F5"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1,8</w:t>
            </w:r>
          </w:p>
        </w:tc>
        <w:tc>
          <w:tcPr>
            <w:tcW w:w="313" w:type="pct"/>
            <w:tcBorders>
              <w:top w:val="single" w:sz="12" w:space="0" w:color="000000" w:themeColor="text1"/>
              <w:bottom w:val="single" w:sz="12" w:space="0" w:color="000000" w:themeColor="text1"/>
            </w:tcBorders>
            <w:shd w:val="clear" w:color="auto" w:fill="auto"/>
            <w:noWrap/>
            <w:vAlign w:val="center"/>
            <w:hideMark/>
          </w:tcPr>
          <w:p w:rsidR="00D075F5" w:rsidRPr="00E678BE" w:rsidRDefault="00D075F5"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0,5</w:t>
            </w:r>
          </w:p>
        </w:tc>
        <w:tc>
          <w:tcPr>
            <w:tcW w:w="313" w:type="pct"/>
            <w:tcBorders>
              <w:top w:val="single" w:sz="12" w:space="0" w:color="000000" w:themeColor="text1"/>
              <w:bottom w:val="single" w:sz="12" w:space="0" w:color="000000" w:themeColor="text1"/>
            </w:tcBorders>
            <w:shd w:val="clear" w:color="auto" w:fill="auto"/>
            <w:noWrap/>
            <w:vAlign w:val="center"/>
            <w:hideMark/>
          </w:tcPr>
          <w:p w:rsidR="00D075F5" w:rsidRPr="00E678BE" w:rsidRDefault="00D075F5"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1,5</w:t>
            </w:r>
          </w:p>
        </w:tc>
        <w:tc>
          <w:tcPr>
            <w:tcW w:w="314" w:type="pct"/>
            <w:tcBorders>
              <w:top w:val="single" w:sz="12" w:space="0" w:color="000000" w:themeColor="text1"/>
              <w:bottom w:val="single" w:sz="12" w:space="0" w:color="000000" w:themeColor="text1"/>
            </w:tcBorders>
            <w:shd w:val="clear" w:color="auto" w:fill="auto"/>
            <w:noWrap/>
            <w:vAlign w:val="center"/>
            <w:hideMark/>
          </w:tcPr>
          <w:p w:rsidR="00D075F5" w:rsidRPr="00E678BE" w:rsidRDefault="00D075F5"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1,2</w:t>
            </w:r>
          </w:p>
        </w:tc>
        <w:tc>
          <w:tcPr>
            <w:tcW w:w="310" w:type="pct"/>
            <w:tcBorders>
              <w:top w:val="single" w:sz="12" w:space="0" w:color="000000" w:themeColor="text1"/>
              <w:bottom w:val="single" w:sz="12" w:space="0" w:color="000000" w:themeColor="text1"/>
            </w:tcBorders>
            <w:shd w:val="clear" w:color="auto" w:fill="auto"/>
            <w:noWrap/>
            <w:vAlign w:val="center"/>
            <w:hideMark/>
          </w:tcPr>
          <w:p w:rsidR="00D075F5" w:rsidRPr="00E678BE" w:rsidRDefault="00D075F5"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0,4</w:t>
            </w:r>
          </w:p>
        </w:tc>
        <w:tc>
          <w:tcPr>
            <w:tcW w:w="310" w:type="pct"/>
            <w:tcBorders>
              <w:top w:val="single" w:sz="12" w:space="0" w:color="000000" w:themeColor="text1"/>
              <w:bottom w:val="single" w:sz="12" w:space="0" w:color="000000" w:themeColor="text1"/>
            </w:tcBorders>
            <w:vAlign w:val="center"/>
          </w:tcPr>
          <w:p w:rsidR="00D075F5" w:rsidRPr="00E678BE" w:rsidRDefault="00523CEA" w:rsidP="002007CB">
            <w:pPr>
              <w:spacing w:after="0" w:line="240" w:lineRule="auto"/>
              <w:jc w:val="right"/>
              <w:rPr>
                <w:rFonts w:asciiTheme="majorBidi" w:eastAsia="Times New Roman" w:hAnsiTheme="majorBidi" w:cstheme="majorBidi"/>
                <w:color w:val="000000"/>
                <w:lang w:eastAsia="fr-FR"/>
              </w:rPr>
            </w:pPr>
            <w:r>
              <w:rPr>
                <w:rFonts w:asciiTheme="majorBidi" w:eastAsia="Times New Roman" w:hAnsiTheme="majorBidi" w:cstheme="majorBidi"/>
                <w:color w:val="000000"/>
                <w:lang w:eastAsia="fr-FR"/>
              </w:rPr>
              <w:t>1,8</w:t>
            </w:r>
          </w:p>
        </w:tc>
        <w:tc>
          <w:tcPr>
            <w:tcW w:w="310" w:type="pct"/>
            <w:tcBorders>
              <w:top w:val="single" w:sz="12" w:space="0" w:color="000000" w:themeColor="text1"/>
              <w:bottom w:val="single" w:sz="12" w:space="0" w:color="000000" w:themeColor="text1"/>
            </w:tcBorders>
            <w:vAlign w:val="center"/>
          </w:tcPr>
          <w:p w:rsidR="00D075F5" w:rsidRPr="00E678BE" w:rsidRDefault="00523CEA" w:rsidP="002007CB">
            <w:pPr>
              <w:spacing w:after="0" w:line="240" w:lineRule="auto"/>
              <w:jc w:val="right"/>
              <w:rPr>
                <w:rFonts w:asciiTheme="majorBidi" w:eastAsia="Times New Roman" w:hAnsiTheme="majorBidi" w:cstheme="majorBidi"/>
                <w:color w:val="000000"/>
                <w:lang w:eastAsia="fr-FR"/>
              </w:rPr>
            </w:pPr>
            <w:r>
              <w:rPr>
                <w:rFonts w:asciiTheme="majorBidi" w:eastAsia="Times New Roman" w:hAnsiTheme="majorBidi" w:cstheme="majorBidi"/>
                <w:color w:val="000000"/>
                <w:lang w:eastAsia="fr-FR"/>
              </w:rPr>
              <w:t>0,2</w:t>
            </w:r>
          </w:p>
        </w:tc>
      </w:tr>
      <w:tr w:rsidR="00D075F5" w:rsidRPr="00E678BE" w:rsidTr="00BB5DB3">
        <w:trPr>
          <w:trHeight w:val="300"/>
        </w:trPr>
        <w:tc>
          <w:tcPr>
            <w:tcW w:w="941" w:type="pct"/>
            <w:tcBorders>
              <w:top w:val="single" w:sz="12" w:space="0" w:color="000000" w:themeColor="text1"/>
              <w:bottom w:val="single" w:sz="12" w:space="0" w:color="000000" w:themeColor="text1"/>
            </w:tcBorders>
            <w:shd w:val="clear" w:color="auto" w:fill="BFBFBF" w:themeFill="background1" w:themeFillShade="BF"/>
            <w:noWrap/>
            <w:vAlign w:val="center"/>
            <w:hideMark/>
          </w:tcPr>
          <w:p w:rsidR="00D075F5" w:rsidRPr="00E678BE" w:rsidRDefault="00D075F5" w:rsidP="002007CB">
            <w:pPr>
              <w:spacing w:after="0" w:line="240" w:lineRule="auto"/>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IPC NATIONAL</w:t>
            </w:r>
          </w:p>
        </w:tc>
        <w:tc>
          <w:tcPr>
            <w:tcW w:w="313" w:type="pct"/>
            <w:tcBorders>
              <w:top w:val="single" w:sz="12" w:space="0" w:color="000000" w:themeColor="text1"/>
              <w:bottom w:val="single" w:sz="12" w:space="0" w:color="000000" w:themeColor="text1"/>
            </w:tcBorders>
            <w:shd w:val="clear" w:color="auto" w:fill="auto"/>
            <w:noWrap/>
            <w:vAlign w:val="center"/>
            <w:hideMark/>
          </w:tcPr>
          <w:p w:rsidR="00D075F5" w:rsidRPr="00E678BE" w:rsidRDefault="00D075F5"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2,5</w:t>
            </w:r>
          </w:p>
        </w:tc>
        <w:tc>
          <w:tcPr>
            <w:tcW w:w="313" w:type="pct"/>
            <w:tcBorders>
              <w:top w:val="single" w:sz="12" w:space="0" w:color="000000" w:themeColor="text1"/>
              <w:bottom w:val="single" w:sz="12" w:space="0" w:color="000000" w:themeColor="text1"/>
            </w:tcBorders>
            <w:shd w:val="clear" w:color="auto" w:fill="auto"/>
            <w:noWrap/>
            <w:vAlign w:val="center"/>
            <w:hideMark/>
          </w:tcPr>
          <w:p w:rsidR="00D075F5" w:rsidRPr="00E678BE" w:rsidRDefault="00D075F5"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3,7</w:t>
            </w:r>
          </w:p>
        </w:tc>
        <w:tc>
          <w:tcPr>
            <w:tcW w:w="313" w:type="pct"/>
            <w:tcBorders>
              <w:top w:val="single" w:sz="12" w:space="0" w:color="000000" w:themeColor="text1"/>
              <w:bottom w:val="single" w:sz="12" w:space="0" w:color="000000" w:themeColor="text1"/>
            </w:tcBorders>
            <w:shd w:val="clear" w:color="auto" w:fill="auto"/>
            <w:noWrap/>
            <w:vAlign w:val="center"/>
            <w:hideMark/>
          </w:tcPr>
          <w:p w:rsidR="00D075F5" w:rsidRPr="00E678BE" w:rsidRDefault="00D075F5"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w:t>
            </w:r>
          </w:p>
        </w:tc>
        <w:tc>
          <w:tcPr>
            <w:tcW w:w="313" w:type="pct"/>
            <w:tcBorders>
              <w:top w:val="single" w:sz="12" w:space="0" w:color="000000" w:themeColor="text1"/>
              <w:bottom w:val="single" w:sz="12" w:space="0" w:color="000000" w:themeColor="text1"/>
            </w:tcBorders>
            <w:shd w:val="clear" w:color="auto" w:fill="auto"/>
            <w:noWrap/>
            <w:vAlign w:val="center"/>
            <w:hideMark/>
          </w:tcPr>
          <w:p w:rsidR="00D075F5" w:rsidRPr="00E678BE" w:rsidRDefault="00D075F5"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w:t>
            </w:r>
          </w:p>
        </w:tc>
        <w:tc>
          <w:tcPr>
            <w:tcW w:w="313" w:type="pct"/>
            <w:tcBorders>
              <w:top w:val="single" w:sz="12" w:space="0" w:color="000000" w:themeColor="text1"/>
              <w:bottom w:val="single" w:sz="12" w:space="0" w:color="000000" w:themeColor="text1"/>
            </w:tcBorders>
            <w:shd w:val="clear" w:color="auto" w:fill="auto"/>
            <w:noWrap/>
            <w:vAlign w:val="center"/>
            <w:hideMark/>
          </w:tcPr>
          <w:p w:rsidR="00D075F5" w:rsidRPr="00E678BE" w:rsidRDefault="00D075F5"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0,9</w:t>
            </w:r>
          </w:p>
        </w:tc>
        <w:tc>
          <w:tcPr>
            <w:tcW w:w="313" w:type="pct"/>
            <w:tcBorders>
              <w:top w:val="single" w:sz="12" w:space="0" w:color="000000" w:themeColor="text1"/>
              <w:bottom w:val="single" w:sz="12" w:space="0" w:color="000000" w:themeColor="text1"/>
            </w:tcBorders>
            <w:shd w:val="clear" w:color="auto" w:fill="auto"/>
            <w:noWrap/>
            <w:vAlign w:val="center"/>
            <w:hideMark/>
          </w:tcPr>
          <w:p w:rsidR="00D075F5" w:rsidRPr="00E678BE" w:rsidRDefault="00D075F5"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1,3</w:t>
            </w:r>
          </w:p>
        </w:tc>
        <w:tc>
          <w:tcPr>
            <w:tcW w:w="313" w:type="pct"/>
            <w:tcBorders>
              <w:top w:val="single" w:sz="12" w:space="0" w:color="000000" w:themeColor="text1"/>
              <w:bottom w:val="single" w:sz="12" w:space="0" w:color="000000" w:themeColor="text1"/>
            </w:tcBorders>
            <w:shd w:val="clear" w:color="auto" w:fill="auto"/>
            <w:noWrap/>
            <w:vAlign w:val="center"/>
            <w:hideMark/>
          </w:tcPr>
          <w:p w:rsidR="00D075F5" w:rsidRPr="00E678BE" w:rsidRDefault="00D075F5"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1,9</w:t>
            </w:r>
          </w:p>
        </w:tc>
        <w:tc>
          <w:tcPr>
            <w:tcW w:w="313" w:type="pct"/>
            <w:tcBorders>
              <w:top w:val="single" w:sz="12" w:space="0" w:color="000000" w:themeColor="text1"/>
              <w:bottom w:val="single" w:sz="12" w:space="0" w:color="000000" w:themeColor="text1"/>
            </w:tcBorders>
            <w:shd w:val="clear" w:color="auto" w:fill="auto"/>
            <w:noWrap/>
            <w:vAlign w:val="center"/>
            <w:hideMark/>
          </w:tcPr>
          <w:p w:rsidR="00D075F5" w:rsidRPr="00E678BE" w:rsidRDefault="00D075F5"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0,4</w:t>
            </w:r>
          </w:p>
        </w:tc>
        <w:tc>
          <w:tcPr>
            <w:tcW w:w="313" w:type="pct"/>
            <w:tcBorders>
              <w:top w:val="single" w:sz="12" w:space="0" w:color="000000" w:themeColor="text1"/>
              <w:bottom w:val="single" w:sz="12" w:space="0" w:color="000000" w:themeColor="text1"/>
            </w:tcBorders>
            <w:shd w:val="clear" w:color="auto" w:fill="auto"/>
            <w:noWrap/>
            <w:vAlign w:val="center"/>
            <w:hideMark/>
          </w:tcPr>
          <w:p w:rsidR="00D075F5" w:rsidRPr="00E678BE" w:rsidRDefault="00D075F5"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1,6</w:t>
            </w:r>
          </w:p>
        </w:tc>
        <w:tc>
          <w:tcPr>
            <w:tcW w:w="314" w:type="pct"/>
            <w:tcBorders>
              <w:top w:val="single" w:sz="12" w:space="0" w:color="000000" w:themeColor="text1"/>
              <w:bottom w:val="single" w:sz="12" w:space="0" w:color="000000" w:themeColor="text1"/>
            </w:tcBorders>
            <w:shd w:val="clear" w:color="auto" w:fill="auto"/>
            <w:noWrap/>
            <w:vAlign w:val="center"/>
            <w:hideMark/>
          </w:tcPr>
          <w:p w:rsidR="00D075F5" w:rsidRPr="00E678BE" w:rsidRDefault="00D075F5"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1,6</w:t>
            </w:r>
          </w:p>
        </w:tc>
        <w:tc>
          <w:tcPr>
            <w:tcW w:w="310" w:type="pct"/>
            <w:tcBorders>
              <w:top w:val="single" w:sz="12" w:space="0" w:color="000000" w:themeColor="text1"/>
              <w:bottom w:val="single" w:sz="12" w:space="0" w:color="000000" w:themeColor="text1"/>
            </w:tcBorders>
            <w:shd w:val="clear" w:color="auto" w:fill="auto"/>
            <w:noWrap/>
            <w:vAlign w:val="center"/>
            <w:hideMark/>
          </w:tcPr>
          <w:p w:rsidR="00D075F5" w:rsidRPr="00E678BE" w:rsidRDefault="00D075F5" w:rsidP="002007CB">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0,8</w:t>
            </w:r>
          </w:p>
        </w:tc>
        <w:tc>
          <w:tcPr>
            <w:tcW w:w="310" w:type="pct"/>
            <w:tcBorders>
              <w:top w:val="single" w:sz="12" w:space="0" w:color="000000" w:themeColor="text1"/>
              <w:bottom w:val="single" w:sz="12" w:space="0" w:color="000000" w:themeColor="text1"/>
            </w:tcBorders>
            <w:vAlign w:val="center"/>
          </w:tcPr>
          <w:p w:rsidR="00D075F5" w:rsidRPr="00E678BE" w:rsidRDefault="00523CEA" w:rsidP="002007CB">
            <w:pPr>
              <w:spacing w:after="0" w:line="240" w:lineRule="auto"/>
              <w:jc w:val="right"/>
              <w:rPr>
                <w:rFonts w:asciiTheme="majorBidi" w:eastAsia="Times New Roman" w:hAnsiTheme="majorBidi" w:cstheme="majorBidi"/>
                <w:color w:val="000000"/>
                <w:lang w:eastAsia="fr-FR"/>
              </w:rPr>
            </w:pPr>
            <w:r>
              <w:rPr>
                <w:rFonts w:asciiTheme="majorBidi" w:eastAsia="Times New Roman" w:hAnsiTheme="majorBidi" w:cstheme="majorBidi"/>
                <w:color w:val="000000"/>
                <w:lang w:eastAsia="fr-FR"/>
              </w:rPr>
              <w:t>1,8</w:t>
            </w:r>
          </w:p>
        </w:tc>
        <w:tc>
          <w:tcPr>
            <w:tcW w:w="310" w:type="pct"/>
            <w:tcBorders>
              <w:top w:val="single" w:sz="12" w:space="0" w:color="000000" w:themeColor="text1"/>
              <w:bottom w:val="single" w:sz="12" w:space="0" w:color="000000" w:themeColor="text1"/>
            </w:tcBorders>
            <w:vAlign w:val="center"/>
          </w:tcPr>
          <w:p w:rsidR="00D075F5" w:rsidRPr="00E678BE" w:rsidRDefault="00523CEA" w:rsidP="002007CB">
            <w:pPr>
              <w:spacing w:after="0" w:line="240" w:lineRule="auto"/>
              <w:jc w:val="right"/>
              <w:rPr>
                <w:rFonts w:asciiTheme="majorBidi" w:eastAsia="Times New Roman" w:hAnsiTheme="majorBidi" w:cstheme="majorBidi"/>
                <w:color w:val="000000"/>
                <w:lang w:eastAsia="fr-FR"/>
              </w:rPr>
            </w:pPr>
            <w:r>
              <w:rPr>
                <w:rFonts w:asciiTheme="majorBidi" w:eastAsia="Times New Roman" w:hAnsiTheme="majorBidi" w:cstheme="majorBidi"/>
                <w:color w:val="000000"/>
                <w:lang w:eastAsia="fr-FR"/>
              </w:rPr>
              <w:t>0,3</w:t>
            </w:r>
          </w:p>
        </w:tc>
      </w:tr>
    </w:tbl>
    <w:p w:rsidR="00BB5DB3" w:rsidRPr="00483003" w:rsidRDefault="00BB5DB3" w:rsidP="00BB5DB3">
      <w:pPr>
        <w:pStyle w:val="Lgende"/>
        <w:rPr>
          <w:rFonts w:ascii="Times New Roman" w:hAnsi="Times New Roman"/>
          <w:i/>
          <w:iCs/>
          <w:sz w:val="22"/>
        </w:rPr>
      </w:pPr>
      <w:r w:rsidRPr="00483003">
        <w:rPr>
          <w:rFonts w:ascii="Times New Roman" w:hAnsi="Times New Roman"/>
          <w:i/>
          <w:iCs/>
          <w:sz w:val="22"/>
        </w:rPr>
        <w:t>Source : HCP</w:t>
      </w:r>
    </w:p>
    <w:tbl>
      <w:tblPr>
        <w:tblW w:w="5000" w:type="pct"/>
        <w:tblCellMar>
          <w:left w:w="70" w:type="dxa"/>
          <w:right w:w="70" w:type="dxa"/>
        </w:tblCellMar>
        <w:tblLook w:val="04A0"/>
      </w:tblPr>
      <w:tblGrid>
        <w:gridCol w:w="1552"/>
        <w:gridCol w:w="598"/>
        <w:gridCol w:w="598"/>
        <w:gridCol w:w="598"/>
        <w:gridCol w:w="600"/>
        <w:gridCol w:w="600"/>
        <w:gridCol w:w="601"/>
        <w:gridCol w:w="601"/>
        <w:gridCol w:w="601"/>
        <w:gridCol w:w="601"/>
        <w:gridCol w:w="601"/>
        <w:gridCol w:w="601"/>
        <w:gridCol w:w="601"/>
        <w:gridCol w:w="601"/>
      </w:tblGrid>
      <w:tr w:rsidR="00CF570A" w:rsidRPr="00E678BE" w:rsidTr="00993861">
        <w:trPr>
          <w:trHeight w:val="315"/>
        </w:trPr>
        <w:tc>
          <w:tcPr>
            <w:tcW w:w="5000" w:type="pct"/>
            <w:gridSpan w:val="14"/>
            <w:tcBorders>
              <w:top w:val="nil"/>
              <w:left w:val="nil"/>
              <w:bottom w:val="single" w:sz="12" w:space="0" w:color="auto"/>
              <w:right w:val="nil"/>
            </w:tcBorders>
            <w:shd w:val="clear" w:color="auto" w:fill="auto"/>
            <w:noWrap/>
            <w:vAlign w:val="center"/>
            <w:hideMark/>
          </w:tcPr>
          <w:p w:rsidR="00CF570A" w:rsidRPr="00E678BE" w:rsidRDefault="00F67E78" w:rsidP="00D075F5">
            <w:pPr>
              <w:spacing w:after="0" w:line="240" w:lineRule="auto"/>
              <w:rPr>
                <w:rFonts w:asciiTheme="majorBidi" w:eastAsia="Times New Roman" w:hAnsiTheme="majorBidi" w:cstheme="majorBidi"/>
                <w:b/>
                <w:bCs/>
                <w:color w:val="4F81BD" w:themeColor="accent1"/>
                <w:szCs w:val="24"/>
                <w:lang w:eastAsia="fr-FR"/>
              </w:rPr>
            </w:pPr>
            <w:bookmarkStart w:id="62" w:name="_Toc515274128"/>
            <w:r w:rsidRPr="00E678BE">
              <w:rPr>
                <w:rFonts w:asciiTheme="majorBidi" w:hAnsiTheme="majorBidi" w:cstheme="majorBidi"/>
                <w:b/>
                <w:color w:val="4F81BD" w:themeColor="accent1"/>
              </w:rPr>
              <w:t xml:space="preserve">Tableau A </w:t>
            </w:r>
            <w:r w:rsidR="00DE78CE" w:rsidRPr="00E678BE">
              <w:rPr>
                <w:rFonts w:asciiTheme="majorBidi" w:hAnsiTheme="majorBidi" w:cstheme="majorBidi"/>
                <w:b/>
                <w:color w:val="4F81BD" w:themeColor="accent1"/>
              </w:rPr>
              <w:fldChar w:fldCharType="begin"/>
            </w:r>
            <w:r w:rsidRPr="00E678BE">
              <w:rPr>
                <w:rFonts w:asciiTheme="majorBidi" w:hAnsiTheme="majorBidi" w:cstheme="majorBidi"/>
                <w:b/>
                <w:color w:val="4F81BD" w:themeColor="accent1"/>
              </w:rPr>
              <w:instrText xml:space="preserve"> SEQ Tableau_A \* ARABIC </w:instrText>
            </w:r>
            <w:r w:rsidR="00DE78CE" w:rsidRPr="00E678BE">
              <w:rPr>
                <w:rFonts w:asciiTheme="majorBidi" w:hAnsiTheme="majorBidi" w:cstheme="majorBidi"/>
                <w:b/>
                <w:color w:val="4F81BD" w:themeColor="accent1"/>
              </w:rPr>
              <w:fldChar w:fldCharType="separate"/>
            </w:r>
            <w:r w:rsidR="00477549">
              <w:rPr>
                <w:rFonts w:asciiTheme="majorBidi" w:hAnsiTheme="majorBidi" w:cstheme="majorBidi"/>
                <w:b/>
                <w:noProof/>
                <w:color w:val="4F81BD" w:themeColor="accent1"/>
              </w:rPr>
              <w:t>5</w:t>
            </w:r>
            <w:r w:rsidR="00DE78CE" w:rsidRPr="00E678BE">
              <w:rPr>
                <w:rFonts w:asciiTheme="majorBidi" w:hAnsiTheme="majorBidi" w:cstheme="majorBidi"/>
                <w:b/>
                <w:color w:val="4F81BD" w:themeColor="accent1"/>
              </w:rPr>
              <w:fldChar w:fldCharType="end"/>
            </w:r>
            <w:r w:rsidRPr="00E678BE">
              <w:rPr>
                <w:rFonts w:asciiTheme="majorBidi" w:hAnsiTheme="majorBidi" w:cstheme="majorBidi"/>
                <w:b/>
                <w:color w:val="4F81BD" w:themeColor="accent1"/>
              </w:rPr>
              <w:t xml:space="preserve"> : </w:t>
            </w:r>
            <w:r w:rsidR="00CF570A" w:rsidRPr="00E678BE">
              <w:rPr>
                <w:rFonts w:asciiTheme="majorBidi" w:eastAsia="Times New Roman" w:hAnsiTheme="majorBidi" w:cstheme="majorBidi"/>
                <w:b/>
                <w:bCs/>
                <w:color w:val="4F81BD" w:themeColor="accent1"/>
                <w:szCs w:val="24"/>
                <w:lang w:eastAsia="fr-FR"/>
              </w:rPr>
              <w:t>IPC général par mois et par ville -Année 201</w:t>
            </w:r>
            <w:r w:rsidR="00D075F5">
              <w:rPr>
                <w:rFonts w:asciiTheme="majorBidi" w:eastAsia="Times New Roman" w:hAnsiTheme="majorBidi" w:cstheme="majorBidi"/>
                <w:b/>
                <w:bCs/>
                <w:color w:val="4F81BD" w:themeColor="accent1"/>
                <w:szCs w:val="24"/>
                <w:lang w:eastAsia="fr-FR"/>
              </w:rPr>
              <w:t>9</w:t>
            </w:r>
            <w:r w:rsidR="00CF570A" w:rsidRPr="00E678BE">
              <w:rPr>
                <w:rFonts w:asciiTheme="majorBidi" w:eastAsia="Times New Roman" w:hAnsiTheme="majorBidi" w:cstheme="majorBidi"/>
                <w:b/>
                <w:bCs/>
                <w:color w:val="4F81BD" w:themeColor="accent1"/>
                <w:szCs w:val="24"/>
                <w:lang w:eastAsia="fr-FR"/>
              </w:rPr>
              <w:t>-</w:t>
            </w:r>
            <w:bookmarkEnd w:id="62"/>
          </w:p>
        </w:tc>
      </w:tr>
      <w:tr w:rsidR="00A46239" w:rsidRPr="00E678BE" w:rsidTr="00BB5DB3">
        <w:trPr>
          <w:trHeight w:val="330"/>
        </w:trPr>
        <w:tc>
          <w:tcPr>
            <w:tcW w:w="830" w:type="pct"/>
            <w:tcBorders>
              <w:top w:val="single" w:sz="12" w:space="0" w:color="auto"/>
              <w:left w:val="nil"/>
              <w:bottom w:val="single" w:sz="12" w:space="0" w:color="auto"/>
              <w:right w:val="nil"/>
            </w:tcBorders>
            <w:shd w:val="clear" w:color="000000" w:fill="C0C0C0"/>
            <w:noWrap/>
            <w:vAlign w:val="center"/>
            <w:hideMark/>
          </w:tcPr>
          <w:p w:rsidR="00A46239" w:rsidRPr="00E678BE" w:rsidRDefault="00A46239" w:rsidP="002007CB">
            <w:pPr>
              <w:spacing w:after="0" w:line="240" w:lineRule="auto"/>
              <w:jc w:val="center"/>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NOM VILLE</w:t>
            </w:r>
          </w:p>
        </w:tc>
        <w:tc>
          <w:tcPr>
            <w:tcW w:w="320" w:type="pct"/>
            <w:tcBorders>
              <w:top w:val="single" w:sz="12" w:space="0" w:color="auto"/>
              <w:left w:val="nil"/>
              <w:bottom w:val="single" w:sz="12" w:space="0" w:color="auto"/>
              <w:right w:val="nil"/>
            </w:tcBorders>
            <w:shd w:val="clear" w:color="000000" w:fill="C0C0C0"/>
            <w:noWrap/>
            <w:vAlign w:val="center"/>
            <w:hideMark/>
          </w:tcPr>
          <w:p w:rsidR="00A46239" w:rsidRPr="00E678BE" w:rsidRDefault="00A46239" w:rsidP="00D96790">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Jan</w:t>
            </w:r>
          </w:p>
        </w:tc>
        <w:tc>
          <w:tcPr>
            <w:tcW w:w="320" w:type="pct"/>
            <w:tcBorders>
              <w:top w:val="single" w:sz="12" w:space="0" w:color="auto"/>
              <w:left w:val="nil"/>
              <w:bottom w:val="single" w:sz="12" w:space="0" w:color="auto"/>
              <w:right w:val="nil"/>
            </w:tcBorders>
            <w:shd w:val="clear" w:color="000000" w:fill="C0C0C0"/>
            <w:noWrap/>
            <w:vAlign w:val="center"/>
            <w:hideMark/>
          </w:tcPr>
          <w:p w:rsidR="00A46239" w:rsidRPr="00E678BE" w:rsidRDefault="00A46239" w:rsidP="00D96790">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Fev</w:t>
            </w:r>
            <w:proofErr w:type="spellEnd"/>
          </w:p>
        </w:tc>
        <w:tc>
          <w:tcPr>
            <w:tcW w:w="320" w:type="pct"/>
            <w:tcBorders>
              <w:top w:val="single" w:sz="12" w:space="0" w:color="auto"/>
              <w:left w:val="nil"/>
              <w:bottom w:val="single" w:sz="12" w:space="0" w:color="auto"/>
              <w:right w:val="nil"/>
            </w:tcBorders>
            <w:shd w:val="clear" w:color="000000" w:fill="C0C0C0"/>
            <w:noWrap/>
            <w:vAlign w:val="center"/>
            <w:hideMark/>
          </w:tcPr>
          <w:p w:rsidR="00A46239" w:rsidRPr="00E678BE" w:rsidRDefault="00A46239" w:rsidP="00D96790">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Mars</w:t>
            </w:r>
          </w:p>
        </w:tc>
        <w:tc>
          <w:tcPr>
            <w:tcW w:w="321" w:type="pct"/>
            <w:tcBorders>
              <w:top w:val="single" w:sz="12" w:space="0" w:color="auto"/>
              <w:left w:val="nil"/>
              <w:bottom w:val="single" w:sz="12" w:space="0" w:color="auto"/>
              <w:right w:val="nil"/>
            </w:tcBorders>
            <w:shd w:val="clear" w:color="000000" w:fill="C0C0C0"/>
            <w:noWrap/>
            <w:vAlign w:val="center"/>
            <w:hideMark/>
          </w:tcPr>
          <w:p w:rsidR="00A46239" w:rsidRPr="00E678BE" w:rsidRDefault="00A46239" w:rsidP="00D96790">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Avr</w:t>
            </w:r>
            <w:proofErr w:type="spellEnd"/>
          </w:p>
        </w:tc>
        <w:tc>
          <w:tcPr>
            <w:tcW w:w="321" w:type="pct"/>
            <w:tcBorders>
              <w:top w:val="single" w:sz="12" w:space="0" w:color="auto"/>
              <w:left w:val="nil"/>
              <w:bottom w:val="single" w:sz="12" w:space="0" w:color="auto"/>
              <w:right w:val="nil"/>
            </w:tcBorders>
            <w:shd w:val="clear" w:color="000000" w:fill="C0C0C0"/>
            <w:noWrap/>
            <w:vAlign w:val="center"/>
            <w:hideMark/>
          </w:tcPr>
          <w:p w:rsidR="00A46239" w:rsidRPr="00E678BE" w:rsidRDefault="00A46239" w:rsidP="00D96790">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Mai</w:t>
            </w:r>
          </w:p>
        </w:tc>
        <w:tc>
          <w:tcPr>
            <w:tcW w:w="321" w:type="pct"/>
            <w:tcBorders>
              <w:top w:val="single" w:sz="12" w:space="0" w:color="auto"/>
              <w:left w:val="nil"/>
              <w:bottom w:val="single" w:sz="12" w:space="0" w:color="auto"/>
              <w:right w:val="nil"/>
            </w:tcBorders>
            <w:shd w:val="clear" w:color="000000" w:fill="C0C0C0"/>
            <w:noWrap/>
            <w:vAlign w:val="center"/>
            <w:hideMark/>
          </w:tcPr>
          <w:p w:rsidR="00A46239" w:rsidRPr="00E678BE" w:rsidRDefault="00A46239" w:rsidP="00D96790">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Juin</w:t>
            </w:r>
          </w:p>
        </w:tc>
        <w:tc>
          <w:tcPr>
            <w:tcW w:w="321" w:type="pct"/>
            <w:tcBorders>
              <w:top w:val="single" w:sz="12" w:space="0" w:color="auto"/>
              <w:left w:val="nil"/>
              <w:bottom w:val="single" w:sz="12" w:space="0" w:color="auto"/>
              <w:right w:val="nil"/>
            </w:tcBorders>
            <w:shd w:val="clear" w:color="000000" w:fill="C0C0C0"/>
            <w:noWrap/>
            <w:vAlign w:val="center"/>
            <w:hideMark/>
          </w:tcPr>
          <w:p w:rsidR="00A46239" w:rsidRPr="00E678BE" w:rsidRDefault="00A46239" w:rsidP="00D96790">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Jul</w:t>
            </w:r>
            <w:proofErr w:type="spellEnd"/>
          </w:p>
        </w:tc>
        <w:tc>
          <w:tcPr>
            <w:tcW w:w="321" w:type="pct"/>
            <w:tcBorders>
              <w:top w:val="single" w:sz="12" w:space="0" w:color="auto"/>
              <w:left w:val="nil"/>
              <w:bottom w:val="single" w:sz="12" w:space="0" w:color="auto"/>
              <w:right w:val="nil"/>
            </w:tcBorders>
            <w:shd w:val="clear" w:color="000000" w:fill="C0C0C0"/>
            <w:noWrap/>
            <w:vAlign w:val="center"/>
            <w:hideMark/>
          </w:tcPr>
          <w:p w:rsidR="00A46239" w:rsidRPr="00E678BE" w:rsidRDefault="00A46239" w:rsidP="00D96790">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Août</w:t>
            </w:r>
          </w:p>
        </w:tc>
        <w:tc>
          <w:tcPr>
            <w:tcW w:w="321" w:type="pct"/>
            <w:tcBorders>
              <w:top w:val="single" w:sz="12" w:space="0" w:color="auto"/>
              <w:left w:val="nil"/>
              <w:bottom w:val="single" w:sz="12" w:space="0" w:color="auto"/>
              <w:right w:val="nil"/>
            </w:tcBorders>
            <w:shd w:val="clear" w:color="000000" w:fill="C0C0C0"/>
            <w:noWrap/>
            <w:vAlign w:val="center"/>
            <w:hideMark/>
          </w:tcPr>
          <w:p w:rsidR="00A46239" w:rsidRPr="00E678BE" w:rsidRDefault="00A46239" w:rsidP="00D96790">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Sep</w:t>
            </w:r>
          </w:p>
        </w:tc>
        <w:tc>
          <w:tcPr>
            <w:tcW w:w="321" w:type="pct"/>
            <w:tcBorders>
              <w:top w:val="single" w:sz="12" w:space="0" w:color="auto"/>
              <w:left w:val="nil"/>
              <w:bottom w:val="single" w:sz="12" w:space="0" w:color="auto"/>
              <w:right w:val="nil"/>
            </w:tcBorders>
            <w:shd w:val="clear" w:color="000000" w:fill="C0C0C0"/>
            <w:noWrap/>
            <w:vAlign w:val="center"/>
            <w:hideMark/>
          </w:tcPr>
          <w:p w:rsidR="00A46239" w:rsidRPr="00E678BE" w:rsidRDefault="00A46239" w:rsidP="00D96790">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Oct</w:t>
            </w:r>
            <w:proofErr w:type="spellEnd"/>
          </w:p>
        </w:tc>
        <w:tc>
          <w:tcPr>
            <w:tcW w:w="321" w:type="pct"/>
            <w:tcBorders>
              <w:top w:val="single" w:sz="12" w:space="0" w:color="auto"/>
              <w:left w:val="nil"/>
              <w:bottom w:val="single" w:sz="12" w:space="0" w:color="auto"/>
              <w:right w:val="nil"/>
            </w:tcBorders>
            <w:shd w:val="clear" w:color="000000" w:fill="C0C0C0"/>
            <w:noWrap/>
            <w:vAlign w:val="center"/>
            <w:hideMark/>
          </w:tcPr>
          <w:p w:rsidR="00A46239" w:rsidRPr="00E678BE" w:rsidRDefault="00A46239" w:rsidP="00D96790">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Nov</w:t>
            </w:r>
            <w:proofErr w:type="spellEnd"/>
          </w:p>
        </w:tc>
        <w:tc>
          <w:tcPr>
            <w:tcW w:w="321" w:type="pct"/>
            <w:tcBorders>
              <w:top w:val="single" w:sz="12" w:space="0" w:color="auto"/>
              <w:left w:val="nil"/>
              <w:bottom w:val="single" w:sz="12" w:space="0" w:color="auto"/>
              <w:right w:val="nil"/>
            </w:tcBorders>
            <w:shd w:val="clear" w:color="000000" w:fill="C0C0C0"/>
            <w:noWrap/>
            <w:vAlign w:val="center"/>
            <w:hideMark/>
          </w:tcPr>
          <w:p w:rsidR="00A46239" w:rsidRPr="00E678BE" w:rsidRDefault="00A46239" w:rsidP="00D96790">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Dec</w:t>
            </w:r>
            <w:proofErr w:type="spellEnd"/>
          </w:p>
        </w:tc>
        <w:tc>
          <w:tcPr>
            <w:tcW w:w="321" w:type="pct"/>
            <w:tcBorders>
              <w:top w:val="single" w:sz="12" w:space="0" w:color="auto"/>
              <w:left w:val="nil"/>
              <w:bottom w:val="single" w:sz="12" w:space="0" w:color="auto"/>
              <w:right w:val="nil"/>
            </w:tcBorders>
            <w:shd w:val="clear" w:color="000000" w:fill="C0C0C0"/>
            <w:noWrap/>
            <w:vAlign w:val="center"/>
            <w:hideMark/>
          </w:tcPr>
          <w:p w:rsidR="00A46239" w:rsidRPr="00E678BE" w:rsidRDefault="00A46239" w:rsidP="00D96790">
            <w:pPr>
              <w:spacing w:after="0" w:line="240" w:lineRule="auto"/>
              <w:jc w:val="center"/>
              <w:rPr>
                <w:rFonts w:asciiTheme="majorBidi" w:eastAsia="Times New Roman" w:hAnsiTheme="majorBidi" w:cstheme="majorBidi"/>
                <w:b/>
                <w:bCs/>
                <w:sz w:val="18"/>
                <w:szCs w:val="18"/>
                <w:lang w:eastAsia="fr-FR"/>
              </w:rPr>
            </w:pPr>
            <w:proofErr w:type="spellStart"/>
            <w:r w:rsidRPr="00E678BE">
              <w:rPr>
                <w:rFonts w:asciiTheme="majorBidi" w:eastAsia="Times New Roman" w:hAnsiTheme="majorBidi" w:cstheme="majorBidi"/>
                <w:b/>
                <w:bCs/>
                <w:sz w:val="18"/>
                <w:szCs w:val="18"/>
                <w:lang w:eastAsia="fr-FR"/>
              </w:rPr>
              <w:t>Moy</w:t>
            </w:r>
            <w:proofErr w:type="spellEnd"/>
          </w:p>
        </w:tc>
      </w:tr>
      <w:tr w:rsidR="00AA5A3D" w:rsidRPr="00E678BE" w:rsidTr="00BB5DB3">
        <w:trPr>
          <w:trHeight w:val="315"/>
        </w:trPr>
        <w:tc>
          <w:tcPr>
            <w:tcW w:w="830" w:type="pct"/>
            <w:tcBorders>
              <w:top w:val="single" w:sz="12" w:space="0" w:color="auto"/>
              <w:left w:val="nil"/>
              <w:bottom w:val="nil"/>
              <w:right w:val="nil"/>
            </w:tcBorders>
            <w:shd w:val="clear" w:color="auto" w:fill="auto"/>
            <w:noWrap/>
            <w:vAlign w:val="center"/>
            <w:hideMark/>
          </w:tcPr>
          <w:p w:rsidR="00AA5A3D" w:rsidRPr="00E678BE" w:rsidRDefault="00A46239" w:rsidP="00AA5A3D">
            <w:pPr>
              <w:spacing w:after="0" w:line="240" w:lineRule="auto"/>
              <w:rPr>
                <w:rFonts w:asciiTheme="majorBidi" w:eastAsia="Times New Roman" w:hAnsiTheme="majorBidi" w:cstheme="majorBidi"/>
                <w:b/>
                <w:bCs/>
                <w:sz w:val="20"/>
                <w:szCs w:val="20"/>
                <w:lang w:eastAsia="fr-FR"/>
              </w:rPr>
            </w:pPr>
            <w:r>
              <w:rPr>
                <w:rFonts w:asciiTheme="majorBidi" w:eastAsia="Times New Roman" w:hAnsiTheme="majorBidi" w:cstheme="majorBidi"/>
                <w:b/>
                <w:bCs/>
                <w:sz w:val="20"/>
                <w:szCs w:val="20"/>
                <w:lang w:eastAsia="fr-FR"/>
              </w:rPr>
              <w:t>AGADIR</w:t>
            </w:r>
          </w:p>
        </w:tc>
        <w:tc>
          <w:tcPr>
            <w:tcW w:w="320" w:type="pct"/>
            <w:tcBorders>
              <w:top w:val="single" w:sz="12" w:space="0" w:color="auto"/>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sz w:val="20"/>
                <w:szCs w:val="20"/>
              </w:rPr>
            </w:pPr>
            <w:r w:rsidRPr="00AA5A3D">
              <w:rPr>
                <w:rFonts w:asciiTheme="majorBidi" w:hAnsiTheme="majorBidi" w:cstheme="majorBidi"/>
                <w:sz w:val="20"/>
                <w:szCs w:val="20"/>
              </w:rPr>
              <w:t>117,4</w:t>
            </w:r>
          </w:p>
        </w:tc>
        <w:tc>
          <w:tcPr>
            <w:tcW w:w="320" w:type="pct"/>
            <w:tcBorders>
              <w:top w:val="single" w:sz="12" w:space="0" w:color="auto"/>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sz w:val="20"/>
                <w:szCs w:val="20"/>
              </w:rPr>
            </w:pPr>
            <w:r w:rsidRPr="00AA5A3D">
              <w:rPr>
                <w:rFonts w:asciiTheme="majorBidi" w:hAnsiTheme="majorBidi" w:cstheme="majorBidi"/>
                <w:sz w:val="20"/>
                <w:szCs w:val="20"/>
              </w:rPr>
              <w:t>116,9</w:t>
            </w:r>
          </w:p>
        </w:tc>
        <w:tc>
          <w:tcPr>
            <w:tcW w:w="320" w:type="pct"/>
            <w:tcBorders>
              <w:top w:val="single" w:sz="12" w:space="0" w:color="auto"/>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sz w:val="20"/>
                <w:szCs w:val="20"/>
              </w:rPr>
            </w:pPr>
            <w:r w:rsidRPr="00AA5A3D">
              <w:rPr>
                <w:rFonts w:asciiTheme="majorBidi" w:hAnsiTheme="majorBidi" w:cstheme="majorBidi"/>
                <w:sz w:val="20"/>
                <w:szCs w:val="20"/>
              </w:rPr>
              <w:t>117,1</w:t>
            </w:r>
          </w:p>
        </w:tc>
        <w:tc>
          <w:tcPr>
            <w:tcW w:w="321" w:type="pct"/>
            <w:tcBorders>
              <w:top w:val="single" w:sz="12" w:space="0" w:color="auto"/>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118,0</w:t>
            </w:r>
          </w:p>
        </w:tc>
        <w:tc>
          <w:tcPr>
            <w:tcW w:w="321" w:type="pct"/>
            <w:tcBorders>
              <w:top w:val="single" w:sz="12" w:space="0" w:color="auto"/>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118,6</w:t>
            </w:r>
          </w:p>
        </w:tc>
        <w:tc>
          <w:tcPr>
            <w:tcW w:w="321" w:type="pct"/>
            <w:tcBorders>
              <w:top w:val="single" w:sz="12" w:space="0" w:color="auto"/>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118,5</w:t>
            </w:r>
          </w:p>
        </w:tc>
        <w:tc>
          <w:tcPr>
            <w:tcW w:w="321" w:type="pct"/>
            <w:tcBorders>
              <w:top w:val="single" w:sz="12" w:space="0" w:color="auto"/>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117,9</w:t>
            </w:r>
          </w:p>
        </w:tc>
        <w:tc>
          <w:tcPr>
            <w:tcW w:w="321" w:type="pct"/>
            <w:tcBorders>
              <w:top w:val="single" w:sz="12" w:space="0" w:color="auto"/>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118,6</w:t>
            </w:r>
          </w:p>
        </w:tc>
        <w:tc>
          <w:tcPr>
            <w:tcW w:w="321" w:type="pct"/>
            <w:tcBorders>
              <w:top w:val="single" w:sz="12" w:space="0" w:color="auto"/>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118,1</w:t>
            </w:r>
          </w:p>
        </w:tc>
        <w:tc>
          <w:tcPr>
            <w:tcW w:w="321" w:type="pct"/>
            <w:tcBorders>
              <w:top w:val="single" w:sz="12" w:space="0" w:color="auto"/>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118,1</w:t>
            </w:r>
          </w:p>
        </w:tc>
        <w:tc>
          <w:tcPr>
            <w:tcW w:w="321" w:type="pct"/>
            <w:tcBorders>
              <w:top w:val="single" w:sz="12" w:space="0" w:color="auto"/>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118,3</w:t>
            </w:r>
          </w:p>
        </w:tc>
        <w:tc>
          <w:tcPr>
            <w:tcW w:w="321" w:type="pct"/>
            <w:tcBorders>
              <w:top w:val="single" w:sz="12" w:space="0" w:color="auto"/>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118,6</w:t>
            </w:r>
          </w:p>
        </w:tc>
        <w:tc>
          <w:tcPr>
            <w:tcW w:w="321" w:type="pct"/>
            <w:tcBorders>
              <w:top w:val="single" w:sz="12" w:space="0" w:color="auto"/>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b/>
                <w:bCs/>
                <w:color w:val="000000"/>
                <w:sz w:val="20"/>
                <w:szCs w:val="20"/>
              </w:rPr>
            </w:pPr>
            <w:r w:rsidRPr="00AA5A3D">
              <w:rPr>
                <w:rFonts w:asciiTheme="majorBidi" w:hAnsiTheme="majorBidi" w:cstheme="majorBidi"/>
                <w:b/>
                <w:bCs/>
                <w:color w:val="000000"/>
                <w:sz w:val="20"/>
                <w:szCs w:val="20"/>
              </w:rPr>
              <w:t>118,0</w:t>
            </w:r>
          </w:p>
        </w:tc>
      </w:tr>
      <w:tr w:rsidR="00AA5A3D" w:rsidRPr="00E678BE" w:rsidTr="00BB5DB3">
        <w:trPr>
          <w:trHeight w:val="315"/>
        </w:trPr>
        <w:tc>
          <w:tcPr>
            <w:tcW w:w="830" w:type="pct"/>
            <w:tcBorders>
              <w:top w:val="nil"/>
              <w:left w:val="nil"/>
              <w:bottom w:val="nil"/>
              <w:right w:val="nil"/>
            </w:tcBorders>
            <w:shd w:val="clear" w:color="auto" w:fill="auto"/>
            <w:noWrap/>
            <w:vAlign w:val="center"/>
            <w:hideMark/>
          </w:tcPr>
          <w:p w:rsidR="00AA5A3D" w:rsidRPr="00E678BE" w:rsidRDefault="00A46239" w:rsidP="00AA5A3D">
            <w:pPr>
              <w:spacing w:after="0" w:line="240" w:lineRule="auto"/>
              <w:rPr>
                <w:rFonts w:asciiTheme="majorBidi" w:eastAsia="Times New Roman" w:hAnsiTheme="majorBidi" w:cstheme="majorBidi"/>
                <w:b/>
                <w:bCs/>
                <w:sz w:val="20"/>
                <w:szCs w:val="20"/>
                <w:lang w:eastAsia="fr-FR"/>
              </w:rPr>
            </w:pPr>
            <w:r>
              <w:rPr>
                <w:rFonts w:asciiTheme="majorBidi" w:eastAsia="Times New Roman" w:hAnsiTheme="majorBidi" w:cstheme="majorBidi"/>
                <w:b/>
                <w:bCs/>
                <w:sz w:val="20"/>
                <w:szCs w:val="20"/>
                <w:lang w:eastAsia="fr-FR"/>
              </w:rPr>
              <w:t>CASABLANCA</w:t>
            </w:r>
          </w:p>
        </w:tc>
        <w:tc>
          <w:tcPr>
            <w:tcW w:w="320"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sz w:val="20"/>
                <w:szCs w:val="20"/>
              </w:rPr>
            </w:pPr>
            <w:r w:rsidRPr="00AA5A3D">
              <w:rPr>
                <w:rFonts w:asciiTheme="majorBidi" w:hAnsiTheme="majorBidi" w:cstheme="majorBidi"/>
                <w:sz w:val="20"/>
                <w:szCs w:val="20"/>
              </w:rPr>
              <w:t>122,6</w:t>
            </w:r>
          </w:p>
        </w:tc>
        <w:tc>
          <w:tcPr>
            <w:tcW w:w="320"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sz w:val="20"/>
                <w:szCs w:val="20"/>
              </w:rPr>
            </w:pPr>
            <w:r w:rsidRPr="00AA5A3D">
              <w:rPr>
                <w:rFonts w:asciiTheme="majorBidi" w:hAnsiTheme="majorBidi" w:cstheme="majorBidi"/>
                <w:sz w:val="20"/>
                <w:szCs w:val="20"/>
              </w:rPr>
              <w:t>122,8</w:t>
            </w:r>
          </w:p>
        </w:tc>
        <w:tc>
          <w:tcPr>
            <w:tcW w:w="320"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sz w:val="20"/>
                <w:szCs w:val="20"/>
              </w:rPr>
            </w:pPr>
            <w:r w:rsidRPr="00AA5A3D">
              <w:rPr>
                <w:rFonts w:asciiTheme="majorBidi" w:hAnsiTheme="majorBidi" w:cstheme="majorBidi"/>
                <w:sz w:val="20"/>
                <w:szCs w:val="20"/>
              </w:rPr>
              <w:t>122,6</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123,3</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124,2</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124,2</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123,4</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124,0</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123,7</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123,6</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124,3</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124,2</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b/>
                <w:bCs/>
                <w:color w:val="000000"/>
                <w:sz w:val="20"/>
                <w:szCs w:val="20"/>
              </w:rPr>
            </w:pPr>
            <w:r w:rsidRPr="00AA5A3D">
              <w:rPr>
                <w:rFonts w:asciiTheme="majorBidi" w:hAnsiTheme="majorBidi" w:cstheme="majorBidi"/>
                <w:b/>
                <w:bCs/>
                <w:color w:val="000000"/>
                <w:sz w:val="20"/>
                <w:szCs w:val="20"/>
              </w:rPr>
              <w:t>123,6</w:t>
            </w:r>
          </w:p>
        </w:tc>
      </w:tr>
      <w:tr w:rsidR="00AA5A3D" w:rsidRPr="00E678BE" w:rsidTr="00BB5DB3">
        <w:trPr>
          <w:trHeight w:val="315"/>
        </w:trPr>
        <w:tc>
          <w:tcPr>
            <w:tcW w:w="830" w:type="pct"/>
            <w:tcBorders>
              <w:top w:val="nil"/>
              <w:left w:val="nil"/>
              <w:bottom w:val="nil"/>
              <w:right w:val="nil"/>
            </w:tcBorders>
            <w:shd w:val="clear" w:color="auto" w:fill="auto"/>
            <w:noWrap/>
            <w:vAlign w:val="center"/>
            <w:hideMark/>
          </w:tcPr>
          <w:p w:rsidR="00AA5A3D" w:rsidRPr="00E678BE" w:rsidRDefault="00A46239" w:rsidP="00AA5A3D">
            <w:pPr>
              <w:spacing w:after="0" w:line="240" w:lineRule="auto"/>
              <w:rPr>
                <w:rFonts w:asciiTheme="majorBidi" w:eastAsia="Times New Roman" w:hAnsiTheme="majorBidi" w:cstheme="majorBidi"/>
                <w:b/>
                <w:bCs/>
                <w:sz w:val="20"/>
                <w:szCs w:val="20"/>
                <w:lang w:eastAsia="fr-FR"/>
              </w:rPr>
            </w:pPr>
            <w:r>
              <w:rPr>
                <w:rFonts w:asciiTheme="majorBidi" w:eastAsia="Times New Roman" w:hAnsiTheme="majorBidi" w:cstheme="majorBidi"/>
                <w:b/>
                <w:bCs/>
                <w:sz w:val="20"/>
                <w:szCs w:val="20"/>
                <w:lang w:eastAsia="fr-FR"/>
              </w:rPr>
              <w:t>FES</w:t>
            </w:r>
          </w:p>
        </w:tc>
        <w:tc>
          <w:tcPr>
            <w:tcW w:w="320"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sz w:val="20"/>
                <w:szCs w:val="20"/>
              </w:rPr>
            </w:pPr>
            <w:r w:rsidRPr="00AA5A3D">
              <w:rPr>
                <w:rFonts w:asciiTheme="majorBidi" w:hAnsiTheme="majorBidi" w:cstheme="majorBidi"/>
                <w:sz w:val="20"/>
                <w:szCs w:val="20"/>
              </w:rPr>
              <w:t>121,0</w:t>
            </w:r>
          </w:p>
        </w:tc>
        <w:tc>
          <w:tcPr>
            <w:tcW w:w="320"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sz w:val="20"/>
                <w:szCs w:val="20"/>
              </w:rPr>
            </w:pPr>
            <w:r w:rsidRPr="00AA5A3D">
              <w:rPr>
                <w:rFonts w:asciiTheme="majorBidi" w:hAnsiTheme="majorBidi" w:cstheme="majorBidi"/>
                <w:sz w:val="20"/>
                <w:szCs w:val="20"/>
              </w:rPr>
              <w:t>120,9</w:t>
            </w:r>
          </w:p>
        </w:tc>
        <w:tc>
          <w:tcPr>
            <w:tcW w:w="320"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sz w:val="20"/>
                <w:szCs w:val="20"/>
              </w:rPr>
            </w:pPr>
            <w:r w:rsidRPr="00AA5A3D">
              <w:rPr>
                <w:rFonts w:asciiTheme="majorBidi" w:hAnsiTheme="majorBidi" w:cstheme="majorBidi"/>
                <w:sz w:val="20"/>
                <w:szCs w:val="20"/>
              </w:rPr>
              <w:t>121,1</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122,0</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123,3</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123,5</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121,8</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122,0</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122,4</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123,2</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123,5</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123,5</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b/>
                <w:bCs/>
                <w:color w:val="000000"/>
                <w:sz w:val="20"/>
                <w:szCs w:val="20"/>
              </w:rPr>
            </w:pPr>
            <w:r w:rsidRPr="00AA5A3D">
              <w:rPr>
                <w:rFonts w:asciiTheme="majorBidi" w:hAnsiTheme="majorBidi" w:cstheme="majorBidi"/>
                <w:b/>
                <w:bCs/>
                <w:color w:val="000000"/>
                <w:sz w:val="20"/>
                <w:szCs w:val="20"/>
              </w:rPr>
              <w:t>122,4</w:t>
            </w:r>
          </w:p>
        </w:tc>
      </w:tr>
      <w:tr w:rsidR="00AA5A3D" w:rsidRPr="00E678BE" w:rsidTr="00BB5DB3">
        <w:trPr>
          <w:trHeight w:val="315"/>
        </w:trPr>
        <w:tc>
          <w:tcPr>
            <w:tcW w:w="830" w:type="pct"/>
            <w:tcBorders>
              <w:top w:val="nil"/>
              <w:left w:val="nil"/>
              <w:bottom w:val="nil"/>
              <w:right w:val="nil"/>
            </w:tcBorders>
            <w:shd w:val="clear" w:color="auto" w:fill="auto"/>
            <w:noWrap/>
            <w:vAlign w:val="center"/>
            <w:hideMark/>
          </w:tcPr>
          <w:p w:rsidR="00AA5A3D" w:rsidRPr="00E678BE" w:rsidRDefault="00A46239" w:rsidP="00AA5A3D">
            <w:pPr>
              <w:spacing w:after="0" w:line="240" w:lineRule="auto"/>
              <w:rPr>
                <w:rFonts w:asciiTheme="majorBidi" w:eastAsia="Times New Roman" w:hAnsiTheme="majorBidi" w:cstheme="majorBidi"/>
                <w:b/>
                <w:bCs/>
                <w:sz w:val="20"/>
                <w:szCs w:val="20"/>
                <w:lang w:eastAsia="fr-FR"/>
              </w:rPr>
            </w:pPr>
            <w:r>
              <w:rPr>
                <w:rFonts w:asciiTheme="majorBidi" w:eastAsia="Times New Roman" w:hAnsiTheme="majorBidi" w:cstheme="majorBidi"/>
                <w:b/>
                <w:bCs/>
                <w:sz w:val="20"/>
                <w:szCs w:val="20"/>
                <w:lang w:eastAsia="fr-FR"/>
              </w:rPr>
              <w:t>KENITRA</w:t>
            </w:r>
          </w:p>
        </w:tc>
        <w:tc>
          <w:tcPr>
            <w:tcW w:w="320"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sz w:val="20"/>
                <w:szCs w:val="20"/>
              </w:rPr>
            </w:pPr>
            <w:r w:rsidRPr="00AA5A3D">
              <w:rPr>
                <w:rFonts w:asciiTheme="majorBidi" w:hAnsiTheme="majorBidi" w:cstheme="majorBidi"/>
                <w:sz w:val="20"/>
                <w:szCs w:val="20"/>
              </w:rPr>
              <w:t>118,0</w:t>
            </w:r>
          </w:p>
        </w:tc>
        <w:tc>
          <w:tcPr>
            <w:tcW w:w="320"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sz w:val="20"/>
                <w:szCs w:val="20"/>
              </w:rPr>
            </w:pPr>
            <w:r w:rsidRPr="00AA5A3D">
              <w:rPr>
                <w:rFonts w:asciiTheme="majorBidi" w:hAnsiTheme="majorBidi" w:cstheme="majorBidi"/>
                <w:sz w:val="20"/>
                <w:szCs w:val="20"/>
              </w:rPr>
              <w:t>118,2</w:t>
            </w:r>
          </w:p>
        </w:tc>
        <w:tc>
          <w:tcPr>
            <w:tcW w:w="320"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sz w:val="20"/>
                <w:szCs w:val="20"/>
              </w:rPr>
            </w:pPr>
            <w:r w:rsidRPr="00AA5A3D">
              <w:rPr>
                <w:rFonts w:asciiTheme="majorBidi" w:hAnsiTheme="majorBidi" w:cstheme="majorBidi"/>
                <w:sz w:val="20"/>
                <w:szCs w:val="20"/>
              </w:rPr>
              <w:t>118,3</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118,4</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120,1</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119,8</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118,2</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118,9</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118,3</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118,3</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119,2</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119,2</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b/>
                <w:bCs/>
                <w:color w:val="000000"/>
                <w:sz w:val="20"/>
                <w:szCs w:val="20"/>
              </w:rPr>
            </w:pPr>
            <w:r w:rsidRPr="00AA5A3D">
              <w:rPr>
                <w:rFonts w:asciiTheme="majorBidi" w:hAnsiTheme="majorBidi" w:cstheme="majorBidi"/>
                <w:b/>
                <w:bCs/>
                <w:color w:val="000000"/>
                <w:sz w:val="20"/>
                <w:szCs w:val="20"/>
              </w:rPr>
              <w:t>118,7</w:t>
            </w:r>
          </w:p>
        </w:tc>
      </w:tr>
      <w:tr w:rsidR="00AA5A3D" w:rsidRPr="00E678BE" w:rsidTr="00BB5DB3">
        <w:trPr>
          <w:trHeight w:val="315"/>
        </w:trPr>
        <w:tc>
          <w:tcPr>
            <w:tcW w:w="830" w:type="pct"/>
            <w:tcBorders>
              <w:top w:val="nil"/>
              <w:left w:val="nil"/>
              <w:bottom w:val="nil"/>
              <w:right w:val="nil"/>
            </w:tcBorders>
            <w:shd w:val="clear" w:color="auto" w:fill="auto"/>
            <w:noWrap/>
            <w:vAlign w:val="center"/>
            <w:hideMark/>
          </w:tcPr>
          <w:p w:rsidR="00AA5A3D" w:rsidRPr="00E678BE" w:rsidRDefault="00A46239" w:rsidP="00AA5A3D">
            <w:pPr>
              <w:spacing w:after="0" w:line="240" w:lineRule="auto"/>
              <w:rPr>
                <w:rFonts w:asciiTheme="majorBidi" w:eastAsia="Times New Roman" w:hAnsiTheme="majorBidi" w:cstheme="majorBidi"/>
                <w:b/>
                <w:bCs/>
                <w:sz w:val="20"/>
                <w:szCs w:val="20"/>
                <w:lang w:eastAsia="fr-FR"/>
              </w:rPr>
            </w:pPr>
            <w:r>
              <w:rPr>
                <w:rFonts w:asciiTheme="majorBidi" w:eastAsia="Times New Roman" w:hAnsiTheme="majorBidi" w:cstheme="majorBidi"/>
                <w:b/>
                <w:bCs/>
                <w:sz w:val="20"/>
                <w:szCs w:val="20"/>
                <w:lang w:eastAsia="fr-FR"/>
              </w:rPr>
              <w:t>MARRAKECH</w:t>
            </w:r>
          </w:p>
        </w:tc>
        <w:tc>
          <w:tcPr>
            <w:tcW w:w="320"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sz w:val="20"/>
                <w:szCs w:val="20"/>
              </w:rPr>
            </w:pPr>
            <w:r w:rsidRPr="00AA5A3D">
              <w:rPr>
                <w:rFonts w:asciiTheme="majorBidi" w:hAnsiTheme="majorBidi" w:cstheme="majorBidi"/>
                <w:sz w:val="20"/>
                <w:szCs w:val="20"/>
              </w:rPr>
              <w:t>118,6</w:t>
            </w:r>
          </w:p>
        </w:tc>
        <w:tc>
          <w:tcPr>
            <w:tcW w:w="320"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sz w:val="20"/>
                <w:szCs w:val="20"/>
              </w:rPr>
            </w:pPr>
            <w:r w:rsidRPr="00AA5A3D">
              <w:rPr>
                <w:rFonts w:asciiTheme="majorBidi" w:hAnsiTheme="majorBidi" w:cstheme="majorBidi"/>
                <w:sz w:val="20"/>
                <w:szCs w:val="20"/>
              </w:rPr>
              <w:t>118,6</w:t>
            </w:r>
          </w:p>
        </w:tc>
        <w:tc>
          <w:tcPr>
            <w:tcW w:w="320"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sz w:val="20"/>
                <w:szCs w:val="20"/>
              </w:rPr>
            </w:pPr>
            <w:r w:rsidRPr="00AA5A3D">
              <w:rPr>
                <w:rFonts w:asciiTheme="majorBidi" w:hAnsiTheme="majorBidi" w:cstheme="majorBidi"/>
                <w:sz w:val="20"/>
                <w:szCs w:val="20"/>
              </w:rPr>
              <w:t>118,6</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119,9</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119,5</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120,3</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120,1</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119,9</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119,7</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120,6</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120,8</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121,4</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b/>
                <w:bCs/>
                <w:color w:val="000000"/>
                <w:sz w:val="20"/>
                <w:szCs w:val="20"/>
              </w:rPr>
            </w:pPr>
            <w:r w:rsidRPr="00AA5A3D">
              <w:rPr>
                <w:rFonts w:asciiTheme="majorBidi" w:hAnsiTheme="majorBidi" w:cstheme="majorBidi"/>
                <w:b/>
                <w:bCs/>
                <w:color w:val="000000"/>
                <w:sz w:val="20"/>
                <w:szCs w:val="20"/>
              </w:rPr>
              <w:t>119,8</w:t>
            </w:r>
          </w:p>
        </w:tc>
      </w:tr>
      <w:tr w:rsidR="00AA5A3D" w:rsidRPr="00E678BE" w:rsidTr="00BB5DB3">
        <w:trPr>
          <w:trHeight w:val="315"/>
        </w:trPr>
        <w:tc>
          <w:tcPr>
            <w:tcW w:w="830" w:type="pct"/>
            <w:tcBorders>
              <w:top w:val="nil"/>
              <w:left w:val="nil"/>
              <w:bottom w:val="nil"/>
              <w:right w:val="nil"/>
            </w:tcBorders>
            <w:shd w:val="clear" w:color="auto" w:fill="auto"/>
            <w:noWrap/>
            <w:vAlign w:val="center"/>
            <w:hideMark/>
          </w:tcPr>
          <w:p w:rsidR="00AA5A3D" w:rsidRPr="00E678BE" w:rsidRDefault="00A46239" w:rsidP="00AA5A3D">
            <w:pPr>
              <w:spacing w:after="0" w:line="240" w:lineRule="auto"/>
              <w:rPr>
                <w:rFonts w:asciiTheme="majorBidi" w:eastAsia="Times New Roman" w:hAnsiTheme="majorBidi" w:cstheme="majorBidi"/>
                <w:b/>
                <w:bCs/>
                <w:sz w:val="20"/>
                <w:szCs w:val="20"/>
                <w:lang w:eastAsia="fr-FR"/>
              </w:rPr>
            </w:pPr>
            <w:r>
              <w:rPr>
                <w:rFonts w:asciiTheme="majorBidi" w:eastAsia="Times New Roman" w:hAnsiTheme="majorBidi" w:cstheme="majorBidi"/>
                <w:b/>
                <w:bCs/>
                <w:sz w:val="20"/>
                <w:szCs w:val="20"/>
                <w:lang w:eastAsia="fr-FR"/>
              </w:rPr>
              <w:t>OUJDA</w:t>
            </w:r>
          </w:p>
        </w:tc>
        <w:tc>
          <w:tcPr>
            <w:tcW w:w="320"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sz w:val="20"/>
                <w:szCs w:val="20"/>
              </w:rPr>
            </w:pPr>
            <w:r w:rsidRPr="00AA5A3D">
              <w:rPr>
                <w:rFonts w:asciiTheme="majorBidi" w:hAnsiTheme="majorBidi" w:cstheme="majorBidi"/>
                <w:sz w:val="20"/>
                <w:szCs w:val="20"/>
              </w:rPr>
              <w:t>117,2</w:t>
            </w:r>
          </w:p>
        </w:tc>
        <w:tc>
          <w:tcPr>
            <w:tcW w:w="320"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sz w:val="20"/>
                <w:szCs w:val="20"/>
              </w:rPr>
            </w:pPr>
            <w:r w:rsidRPr="00AA5A3D">
              <w:rPr>
                <w:rFonts w:asciiTheme="majorBidi" w:hAnsiTheme="majorBidi" w:cstheme="majorBidi"/>
                <w:sz w:val="20"/>
                <w:szCs w:val="20"/>
              </w:rPr>
              <w:t>117,3</w:t>
            </w:r>
          </w:p>
        </w:tc>
        <w:tc>
          <w:tcPr>
            <w:tcW w:w="320"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sz w:val="20"/>
                <w:szCs w:val="20"/>
              </w:rPr>
            </w:pPr>
            <w:r w:rsidRPr="00AA5A3D">
              <w:rPr>
                <w:rFonts w:asciiTheme="majorBidi" w:hAnsiTheme="majorBidi" w:cstheme="majorBidi"/>
                <w:sz w:val="20"/>
                <w:szCs w:val="20"/>
              </w:rPr>
              <w:t>117,7</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118,0</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119,2</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119,0</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117,5</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118,1</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117,8</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118,2</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118,5</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118,3</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b/>
                <w:bCs/>
                <w:color w:val="000000"/>
                <w:sz w:val="20"/>
                <w:szCs w:val="20"/>
              </w:rPr>
            </w:pPr>
            <w:r w:rsidRPr="00AA5A3D">
              <w:rPr>
                <w:rFonts w:asciiTheme="majorBidi" w:hAnsiTheme="majorBidi" w:cstheme="majorBidi"/>
                <w:b/>
                <w:bCs/>
                <w:color w:val="000000"/>
                <w:sz w:val="20"/>
                <w:szCs w:val="20"/>
              </w:rPr>
              <w:t>118,1</w:t>
            </w:r>
          </w:p>
        </w:tc>
      </w:tr>
      <w:tr w:rsidR="00AA5A3D" w:rsidRPr="00E678BE" w:rsidTr="00BB5DB3">
        <w:trPr>
          <w:trHeight w:val="315"/>
        </w:trPr>
        <w:tc>
          <w:tcPr>
            <w:tcW w:w="830" w:type="pct"/>
            <w:tcBorders>
              <w:top w:val="nil"/>
              <w:left w:val="nil"/>
              <w:bottom w:val="nil"/>
              <w:right w:val="nil"/>
            </w:tcBorders>
            <w:shd w:val="clear" w:color="auto" w:fill="auto"/>
            <w:noWrap/>
            <w:vAlign w:val="center"/>
            <w:hideMark/>
          </w:tcPr>
          <w:p w:rsidR="00AA5A3D" w:rsidRPr="00E678BE" w:rsidRDefault="00A46239" w:rsidP="00AA5A3D">
            <w:pPr>
              <w:spacing w:after="0" w:line="240" w:lineRule="auto"/>
              <w:rPr>
                <w:rFonts w:asciiTheme="majorBidi" w:eastAsia="Times New Roman" w:hAnsiTheme="majorBidi" w:cstheme="majorBidi"/>
                <w:b/>
                <w:bCs/>
                <w:sz w:val="20"/>
                <w:szCs w:val="20"/>
                <w:lang w:eastAsia="fr-FR"/>
              </w:rPr>
            </w:pPr>
            <w:r>
              <w:rPr>
                <w:rFonts w:asciiTheme="majorBidi" w:eastAsia="Times New Roman" w:hAnsiTheme="majorBidi" w:cstheme="majorBidi"/>
                <w:b/>
                <w:bCs/>
                <w:sz w:val="20"/>
                <w:szCs w:val="20"/>
                <w:lang w:eastAsia="fr-FR"/>
              </w:rPr>
              <w:t>RABAT</w:t>
            </w:r>
          </w:p>
        </w:tc>
        <w:tc>
          <w:tcPr>
            <w:tcW w:w="320"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sz w:val="20"/>
                <w:szCs w:val="20"/>
              </w:rPr>
            </w:pPr>
            <w:r w:rsidRPr="00AA5A3D">
              <w:rPr>
                <w:rFonts w:asciiTheme="majorBidi" w:hAnsiTheme="majorBidi" w:cstheme="majorBidi"/>
                <w:sz w:val="20"/>
                <w:szCs w:val="20"/>
              </w:rPr>
              <w:t>116,7</w:t>
            </w:r>
          </w:p>
        </w:tc>
        <w:tc>
          <w:tcPr>
            <w:tcW w:w="320"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sz w:val="20"/>
                <w:szCs w:val="20"/>
              </w:rPr>
            </w:pPr>
            <w:r w:rsidRPr="00AA5A3D">
              <w:rPr>
                <w:rFonts w:asciiTheme="majorBidi" w:hAnsiTheme="majorBidi" w:cstheme="majorBidi"/>
                <w:sz w:val="20"/>
                <w:szCs w:val="20"/>
              </w:rPr>
              <w:t>116,9</w:t>
            </w:r>
          </w:p>
        </w:tc>
        <w:tc>
          <w:tcPr>
            <w:tcW w:w="320"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sz w:val="20"/>
                <w:szCs w:val="20"/>
              </w:rPr>
            </w:pPr>
            <w:r w:rsidRPr="00AA5A3D">
              <w:rPr>
                <w:rFonts w:asciiTheme="majorBidi" w:hAnsiTheme="majorBidi" w:cstheme="majorBidi"/>
                <w:sz w:val="20"/>
                <w:szCs w:val="20"/>
              </w:rPr>
              <w:t>116,7</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117,5</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117,6</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118,1</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117,8</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117,6</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117,4</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117,5</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117,9</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118,1</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b/>
                <w:bCs/>
                <w:color w:val="000000"/>
                <w:sz w:val="20"/>
                <w:szCs w:val="20"/>
              </w:rPr>
            </w:pPr>
            <w:r w:rsidRPr="00AA5A3D">
              <w:rPr>
                <w:rFonts w:asciiTheme="majorBidi" w:hAnsiTheme="majorBidi" w:cstheme="majorBidi"/>
                <w:b/>
                <w:bCs/>
                <w:color w:val="000000"/>
                <w:sz w:val="20"/>
                <w:szCs w:val="20"/>
              </w:rPr>
              <w:t>117,5</w:t>
            </w:r>
          </w:p>
        </w:tc>
      </w:tr>
      <w:tr w:rsidR="00AA5A3D" w:rsidRPr="00E678BE" w:rsidTr="00BB5DB3">
        <w:trPr>
          <w:trHeight w:val="315"/>
        </w:trPr>
        <w:tc>
          <w:tcPr>
            <w:tcW w:w="830" w:type="pct"/>
            <w:tcBorders>
              <w:top w:val="nil"/>
              <w:left w:val="nil"/>
              <w:bottom w:val="nil"/>
              <w:right w:val="nil"/>
            </w:tcBorders>
            <w:shd w:val="clear" w:color="auto" w:fill="auto"/>
            <w:noWrap/>
            <w:vAlign w:val="center"/>
            <w:hideMark/>
          </w:tcPr>
          <w:p w:rsidR="00AA5A3D" w:rsidRPr="00E678BE" w:rsidRDefault="00A46239" w:rsidP="00AA5A3D">
            <w:pPr>
              <w:spacing w:after="0" w:line="240" w:lineRule="auto"/>
              <w:rPr>
                <w:rFonts w:asciiTheme="majorBidi" w:eastAsia="Times New Roman" w:hAnsiTheme="majorBidi" w:cstheme="majorBidi"/>
                <w:b/>
                <w:bCs/>
                <w:sz w:val="20"/>
                <w:szCs w:val="20"/>
                <w:lang w:eastAsia="fr-FR"/>
              </w:rPr>
            </w:pPr>
            <w:r>
              <w:rPr>
                <w:rFonts w:asciiTheme="majorBidi" w:eastAsia="Times New Roman" w:hAnsiTheme="majorBidi" w:cstheme="majorBidi"/>
                <w:b/>
                <w:bCs/>
                <w:sz w:val="20"/>
                <w:szCs w:val="20"/>
                <w:lang w:eastAsia="fr-FR"/>
              </w:rPr>
              <w:t>TETOUAN</w:t>
            </w:r>
          </w:p>
        </w:tc>
        <w:tc>
          <w:tcPr>
            <w:tcW w:w="320"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sz w:val="20"/>
                <w:szCs w:val="20"/>
              </w:rPr>
            </w:pPr>
            <w:r w:rsidRPr="00AA5A3D">
              <w:rPr>
                <w:rFonts w:asciiTheme="majorBidi" w:hAnsiTheme="majorBidi" w:cstheme="majorBidi"/>
                <w:sz w:val="20"/>
                <w:szCs w:val="20"/>
              </w:rPr>
              <w:t>119,2</w:t>
            </w:r>
          </w:p>
        </w:tc>
        <w:tc>
          <w:tcPr>
            <w:tcW w:w="320"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sz w:val="20"/>
                <w:szCs w:val="20"/>
              </w:rPr>
            </w:pPr>
            <w:r w:rsidRPr="00AA5A3D">
              <w:rPr>
                <w:rFonts w:asciiTheme="majorBidi" w:hAnsiTheme="majorBidi" w:cstheme="majorBidi"/>
                <w:sz w:val="20"/>
                <w:szCs w:val="20"/>
              </w:rPr>
              <w:t>119,5</w:t>
            </w:r>
          </w:p>
        </w:tc>
        <w:tc>
          <w:tcPr>
            <w:tcW w:w="320"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sz w:val="20"/>
                <w:szCs w:val="20"/>
              </w:rPr>
            </w:pPr>
            <w:r w:rsidRPr="00AA5A3D">
              <w:rPr>
                <w:rFonts w:asciiTheme="majorBidi" w:hAnsiTheme="majorBidi" w:cstheme="majorBidi"/>
                <w:sz w:val="20"/>
                <w:szCs w:val="20"/>
              </w:rPr>
              <w:t>119,2</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119,9</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121,2</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121,0</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120,2</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121,2</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120,4</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120,9</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121,1</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120,7</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b/>
                <w:bCs/>
                <w:color w:val="000000"/>
                <w:sz w:val="20"/>
                <w:szCs w:val="20"/>
              </w:rPr>
            </w:pPr>
            <w:r w:rsidRPr="00AA5A3D">
              <w:rPr>
                <w:rFonts w:asciiTheme="majorBidi" w:hAnsiTheme="majorBidi" w:cstheme="majorBidi"/>
                <w:b/>
                <w:bCs/>
                <w:color w:val="000000"/>
                <w:sz w:val="20"/>
                <w:szCs w:val="20"/>
              </w:rPr>
              <w:t>120,4</w:t>
            </w:r>
          </w:p>
        </w:tc>
      </w:tr>
      <w:tr w:rsidR="00AA5A3D" w:rsidRPr="00E678BE" w:rsidTr="00BB5DB3">
        <w:trPr>
          <w:trHeight w:val="315"/>
        </w:trPr>
        <w:tc>
          <w:tcPr>
            <w:tcW w:w="830" w:type="pct"/>
            <w:tcBorders>
              <w:top w:val="nil"/>
              <w:left w:val="nil"/>
              <w:bottom w:val="nil"/>
              <w:right w:val="nil"/>
            </w:tcBorders>
            <w:shd w:val="clear" w:color="auto" w:fill="auto"/>
            <w:noWrap/>
            <w:vAlign w:val="center"/>
            <w:hideMark/>
          </w:tcPr>
          <w:p w:rsidR="00AA5A3D" w:rsidRPr="00E678BE" w:rsidRDefault="00A46239" w:rsidP="00AA5A3D">
            <w:pPr>
              <w:spacing w:after="0" w:line="240" w:lineRule="auto"/>
              <w:rPr>
                <w:rFonts w:asciiTheme="majorBidi" w:eastAsia="Times New Roman" w:hAnsiTheme="majorBidi" w:cstheme="majorBidi"/>
                <w:b/>
                <w:bCs/>
                <w:sz w:val="20"/>
                <w:szCs w:val="20"/>
                <w:lang w:eastAsia="fr-FR"/>
              </w:rPr>
            </w:pPr>
            <w:r>
              <w:rPr>
                <w:rFonts w:asciiTheme="majorBidi" w:eastAsia="Times New Roman" w:hAnsiTheme="majorBidi" w:cstheme="majorBidi"/>
                <w:b/>
                <w:bCs/>
                <w:sz w:val="20"/>
                <w:szCs w:val="20"/>
                <w:lang w:eastAsia="fr-FR"/>
              </w:rPr>
              <w:t>MEKNES</w:t>
            </w:r>
          </w:p>
        </w:tc>
        <w:tc>
          <w:tcPr>
            <w:tcW w:w="320"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sz w:val="20"/>
                <w:szCs w:val="20"/>
              </w:rPr>
            </w:pPr>
            <w:r w:rsidRPr="00AA5A3D">
              <w:rPr>
                <w:rFonts w:asciiTheme="majorBidi" w:hAnsiTheme="majorBidi" w:cstheme="majorBidi"/>
                <w:sz w:val="20"/>
                <w:szCs w:val="20"/>
              </w:rPr>
              <w:t>121,1</w:t>
            </w:r>
          </w:p>
        </w:tc>
        <w:tc>
          <w:tcPr>
            <w:tcW w:w="320"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sz w:val="20"/>
                <w:szCs w:val="20"/>
              </w:rPr>
            </w:pPr>
            <w:r w:rsidRPr="00AA5A3D">
              <w:rPr>
                <w:rFonts w:asciiTheme="majorBidi" w:hAnsiTheme="majorBidi" w:cstheme="majorBidi"/>
                <w:sz w:val="20"/>
                <w:szCs w:val="20"/>
              </w:rPr>
              <w:t>121,2</w:t>
            </w:r>
          </w:p>
        </w:tc>
        <w:tc>
          <w:tcPr>
            <w:tcW w:w="320"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sz w:val="20"/>
                <w:szCs w:val="20"/>
              </w:rPr>
            </w:pPr>
            <w:r w:rsidRPr="00AA5A3D">
              <w:rPr>
                <w:rFonts w:asciiTheme="majorBidi" w:hAnsiTheme="majorBidi" w:cstheme="majorBidi"/>
                <w:sz w:val="20"/>
                <w:szCs w:val="20"/>
              </w:rPr>
              <w:t>121,2</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122,0</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123,4</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123,9</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121,4</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121,9</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121,7</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122,7</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123,6</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123,3</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b/>
                <w:bCs/>
                <w:color w:val="000000"/>
                <w:sz w:val="20"/>
                <w:szCs w:val="20"/>
              </w:rPr>
            </w:pPr>
            <w:r w:rsidRPr="00AA5A3D">
              <w:rPr>
                <w:rFonts w:asciiTheme="majorBidi" w:hAnsiTheme="majorBidi" w:cstheme="majorBidi"/>
                <w:b/>
                <w:bCs/>
                <w:color w:val="000000"/>
                <w:sz w:val="20"/>
                <w:szCs w:val="20"/>
              </w:rPr>
              <w:t>122,3</w:t>
            </w:r>
          </w:p>
        </w:tc>
      </w:tr>
      <w:tr w:rsidR="00AA5A3D" w:rsidRPr="00E678BE" w:rsidTr="00BB5DB3">
        <w:trPr>
          <w:trHeight w:val="315"/>
        </w:trPr>
        <w:tc>
          <w:tcPr>
            <w:tcW w:w="830" w:type="pct"/>
            <w:tcBorders>
              <w:top w:val="nil"/>
              <w:left w:val="nil"/>
              <w:bottom w:val="nil"/>
              <w:right w:val="nil"/>
            </w:tcBorders>
            <w:shd w:val="clear" w:color="auto" w:fill="auto"/>
            <w:noWrap/>
            <w:vAlign w:val="center"/>
            <w:hideMark/>
          </w:tcPr>
          <w:p w:rsidR="00AA5A3D" w:rsidRPr="00E678BE" w:rsidRDefault="00A46239" w:rsidP="00AA5A3D">
            <w:pPr>
              <w:spacing w:after="0" w:line="240" w:lineRule="auto"/>
              <w:rPr>
                <w:rFonts w:asciiTheme="majorBidi" w:eastAsia="Times New Roman" w:hAnsiTheme="majorBidi" w:cstheme="majorBidi"/>
                <w:b/>
                <w:bCs/>
                <w:sz w:val="20"/>
                <w:szCs w:val="20"/>
                <w:lang w:eastAsia="fr-FR"/>
              </w:rPr>
            </w:pPr>
            <w:r>
              <w:rPr>
                <w:rFonts w:asciiTheme="majorBidi" w:eastAsia="Times New Roman" w:hAnsiTheme="majorBidi" w:cstheme="majorBidi"/>
                <w:b/>
                <w:bCs/>
                <w:sz w:val="20"/>
                <w:szCs w:val="20"/>
                <w:lang w:eastAsia="fr-FR"/>
              </w:rPr>
              <w:t>TANGER</w:t>
            </w:r>
          </w:p>
        </w:tc>
        <w:tc>
          <w:tcPr>
            <w:tcW w:w="320"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sz w:val="20"/>
                <w:szCs w:val="20"/>
              </w:rPr>
            </w:pPr>
            <w:r w:rsidRPr="00AA5A3D">
              <w:rPr>
                <w:rFonts w:asciiTheme="majorBidi" w:hAnsiTheme="majorBidi" w:cstheme="majorBidi"/>
                <w:sz w:val="20"/>
                <w:szCs w:val="20"/>
              </w:rPr>
              <w:t>120,6</w:t>
            </w:r>
          </w:p>
        </w:tc>
        <w:tc>
          <w:tcPr>
            <w:tcW w:w="320"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sz w:val="20"/>
                <w:szCs w:val="20"/>
              </w:rPr>
            </w:pPr>
            <w:r w:rsidRPr="00AA5A3D">
              <w:rPr>
                <w:rFonts w:asciiTheme="majorBidi" w:hAnsiTheme="majorBidi" w:cstheme="majorBidi"/>
                <w:sz w:val="20"/>
                <w:szCs w:val="20"/>
              </w:rPr>
              <w:t>120,7</w:t>
            </w:r>
          </w:p>
        </w:tc>
        <w:tc>
          <w:tcPr>
            <w:tcW w:w="320"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sz w:val="20"/>
                <w:szCs w:val="20"/>
              </w:rPr>
            </w:pPr>
            <w:r w:rsidRPr="00AA5A3D">
              <w:rPr>
                <w:rFonts w:asciiTheme="majorBidi" w:hAnsiTheme="majorBidi" w:cstheme="majorBidi"/>
                <w:sz w:val="20"/>
                <w:szCs w:val="20"/>
              </w:rPr>
              <w:t>120,8</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121,5</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122,9</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122,8</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122,0</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122,4</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121,9</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122,4</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123,3</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123,3</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b/>
                <w:bCs/>
                <w:color w:val="000000"/>
                <w:sz w:val="20"/>
                <w:szCs w:val="20"/>
              </w:rPr>
            </w:pPr>
            <w:r w:rsidRPr="00AA5A3D">
              <w:rPr>
                <w:rFonts w:asciiTheme="majorBidi" w:hAnsiTheme="majorBidi" w:cstheme="majorBidi"/>
                <w:b/>
                <w:bCs/>
                <w:color w:val="000000"/>
                <w:sz w:val="20"/>
                <w:szCs w:val="20"/>
              </w:rPr>
              <w:t>122,1</w:t>
            </w:r>
          </w:p>
        </w:tc>
      </w:tr>
      <w:tr w:rsidR="00AA5A3D" w:rsidRPr="00E678BE" w:rsidTr="00BB5DB3">
        <w:trPr>
          <w:trHeight w:val="315"/>
        </w:trPr>
        <w:tc>
          <w:tcPr>
            <w:tcW w:w="830" w:type="pct"/>
            <w:tcBorders>
              <w:top w:val="nil"/>
              <w:left w:val="nil"/>
              <w:bottom w:val="nil"/>
              <w:right w:val="nil"/>
            </w:tcBorders>
            <w:shd w:val="clear" w:color="auto" w:fill="auto"/>
            <w:noWrap/>
            <w:vAlign w:val="center"/>
            <w:hideMark/>
          </w:tcPr>
          <w:p w:rsidR="00AA5A3D" w:rsidRPr="00E678BE" w:rsidRDefault="00A46239" w:rsidP="00AA5A3D">
            <w:pPr>
              <w:spacing w:after="0" w:line="240" w:lineRule="auto"/>
              <w:rPr>
                <w:rFonts w:asciiTheme="majorBidi" w:eastAsia="Times New Roman" w:hAnsiTheme="majorBidi" w:cstheme="majorBidi"/>
                <w:b/>
                <w:bCs/>
                <w:sz w:val="20"/>
                <w:szCs w:val="20"/>
                <w:lang w:eastAsia="fr-FR"/>
              </w:rPr>
            </w:pPr>
            <w:r>
              <w:rPr>
                <w:rFonts w:asciiTheme="majorBidi" w:eastAsia="Times New Roman" w:hAnsiTheme="majorBidi" w:cstheme="majorBidi"/>
                <w:b/>
                <w:bCs/>
                <w:sz w:val="20"/>
                <w:szCs w:val="20"/>
                <w:lang w:eastAsia="fr-FR"/>
              </w:rPr>
              <w:t>LAAYOUNE</w:t>
            </w:r>
          </w:p>
        </w:tc>
        <w:tc>
          <w:tcPr>
            <w:tcW w:w="320"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sz w:val="20"/>
                <w:szCs w:val="20"/>
              </w:rPr>
            </w:pPr>
            <w:r w:rsidRPr="00AA5A3D">
              <w:rPr>
                <w:rFonts w:asciiTheme="majorBidi" w:hAnsiTheme="majorBidi" w:cstheme="majorBidi"/>
                <w:sz w:val="20"/>
                <w:szCs w:val="20"/>
              </w:rPr>
              <w:t>121,6</w:t>
            </w:r>
          </w:p>
        </w:tc>
        <w:tc>
          <w:tcPr>
            <w:tcW w:w="320"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sz w:val="20"/>
                <w:szCs w:val="20"/>
              </w:rPr>
            </w:pPr>
            <w:r w:rsidRPr="00AA5A3D">
              <w:rPr>
                <w:rFonts w:asciiTheme="majorBidi" w:hAnsiTheme="majorBidi" w:cstheme="majorBidi"/>
                <w:sz w:val="20"/>
                <w:szCs w:val="20"/>
              </w:rPr>
              <w:t>121,7</w:t>
            </w:r>
          </w:p>
        </w:tc>
        <w:tc>
          <w:tcPr>
            <w:tcW w:w="320"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sz w:val="20"/>
                <w:szCs w:val="20"/>
              </w:rPr>
            </w:pPr>
            <w:r w:rsidRPr="00AA5A3D">
              <w:rPr>
                <w:rFonts w:asciiTheme="majorBidi" w:hAnsiTheme="majorBidi" w:cstheme="majorBidi"/>
                <w:sz w:val="20"/>
                <w:szCs w:val="20"/>
              </w:rPr>
              <w:t>121,0</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121,9</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123,4</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123,3</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122,1</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123,2</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123,3</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123,7</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123,6</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123,1</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b/>
                <w:bCs/>
                <w:color w:val="000000"/>
                <w:sz w:val="20"/>
                <w:szCs w:val="20"/>
              </w:rPr>
            </w:pPr>
            <w:r w:rsidRPr="00AA5A3D">
              <w:rPr>
                <w:rFonts w:asciiTheme="majorBidi" w:hAnsiTheme="majorBidi" w:cstheme="majorBidi"/>
                <w:b/>
                <w:bCs/>
                <w:color w:val="000000"/>
                <w:sz w:val="20"/>
                <w:szCs w:val="20"/>
              </w:rPr>
              <w:t>122,7</w:t>
            </w:r>
          </w:p>
        </w:tc>
      </w:tr>
      <w:tr w:rsidR="00AA5A3D" w:rsidRPr="00E678BE" w:rsidTr="00BB5DB3">
        <w:trPr>
          <w:trHeight w:val="315"/>
        </w:trPr>
        <w:tc>
          <w:tcPr>
            <w:tcW w:w="830" w:type="pct"/>
            <w:tcBorders>
              <w:top w:val="nil"/>
              <w:left w:val="nil"/>
              <w:bottom w:val="nil"/>
              <w:right w:val="nil"/>
            </w:tcBorders>
            <w:shd w:val="clear" w:color="auto" w:fill="auto"/>
            <w:noWrap/>
            <w:vAlign w:val="center"/>
            <w:hideMark/>
          </w:tcPr>
          <w:p w:rsidR="00AA5A3D" w:rsidRPr="00E678BE" w:rsidRDefault="00A46239" w:rsidP="00AA5A3D">
            <w:pPr>
              <w:spacing w:after="0" w:line="240" w:lineRule="auto"/>
              <w:rPr>
                <w:rFonts w:asciiTheme="majorBidi" w:eastAsia="Times New Roman" w:hAnsiTheme="majorBidi" w:cstheme="majorBidi"/>
                <w:b/>
                <w:bCs/>
                <w:sz w:val="20"/>
                <w:szCs w:val="20"/>
                <w:lang w:eastAsia="fr-FR"/>
              </w:rPr>
            </w:pPr>
            <w:r>
              <w:rPr>
                <w:rFonts w:asciiTheme="majorBidi" w:eastAsia="Times New Roman" w:hAnsiTheme="majorBidi" w:cstheme="majorBidi"/>
                <w:b/>
                <w:bCs/>
                <w:sz w:val="20"/>
                <w:szCs w:val="20"/>
                <w:lang w:eastAsia="fr-FR"/>
              </w:rPr>
              <w:t>DAKHLA</w:t>
            </w:r>
          </w:p>
        </w:tc>
        <w:tc>
          <w:tcPr>
            <w:tcW w:w="320"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sz w:val="20"/>
                <w:szCs w:val="20"/>
              </w:rPr>
            </w:pPr>
            <w:r w:rsidRPr="00AA5A3D">
              <w:rPr>
                <w:rFonts w:asciiTheme="majorBidi" w:hAnsiTheme="majorBidi" w:cstheme="majorBidi"/>
                <w:sz w:val="20"/>
                <w:szCs w:val="20"/>
              </w:rPr>
              <w:t>121,9</w:t>
            </w:r>
          </w:p>
        </w:tc>
        <w:tc>
          <w:tcPr>
            <w:tcW w:w="320"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sz w:val="20"/>
                <w:szCs w:val="20"/>
              </w:rPr>
            </w:pPr>
            <w:r w:rsidRPr="00AA5A3D">
              <w:rPr>
                <w:rFonts w:asciiTheme="majorBidi" w:hAnsiTheme="majorBidi" w:cstheme="majorBidi"/>
                <w:sz w:val="20"/>
                <w:szCs w:val="20"/>
              </w:rPr>
              <w:t>121,2</w:t>
            </w:r>
          </w:p>
        </w:tc>
        <w:tc>
          <w:tcPr>
            <w:tcW w:w="320"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sz w:val="20"/>
                <w:szCs w:val="20"/>
              </w:rPr>
            </w:pPr>
            <w:r w:rsidRPr="00AA5A3D">
              <w:rPr>
                <w:rFonts w:asciiTheme="majorBidi" w:hAnsiTheme="majorBidi" w:cstheme="majorBidi"/>
                <w:sz w:val="20"/>
                <w:szCs w:val="20"/>
              </w:rPr>
              <w:t>121,3</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122,2</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122,8</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122,6</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122,0</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123,0</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122,8</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123,0</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123,0</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122,9</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b/>
                <w:bCs/>
                <w:color w:val="000000"/>
                <w:sz w:val="20"/>
                <w:szCs w:val="20"/>
              </w:rPr>
            </w:pPr>
            <w:r w:rsidRPr="00AA5A3D">
              <w:rPr>
                <w:rFonts w:asciiTheme="majorBidi" w:hAnsiTheme="majorBidi" w:cstheme="majorBidi"/>
                <w:b/>
                <w:bCs/>
                <w:color w:val="000000"/>
                <w:sz w:val="20"/>
                <w:szCs w:val="20"/>
              </w:rPr>
              <w:t>122,4</w:t>
            </w:r>
          </w:p>
        </w:tc>
      </w:tr>
      <w:tr w:rsidR="00AA5A3D" w:rsidRPr="00E678BE" w:rsidTr="00BB5DB3">
        <w:trPr>
          <w:trHeight w:val="315"/>
        </w:trPr>
        <w:tc>
          <w:tcPr>
            <w:tcW w:w="830" w:type="pct"/>
            <w:tcBorders>
              <w:top w:val="nil"/>
              <w:left w:val="nil"/>
              <w:bottom w:val="nil"/>
              <w:right w:val="nil"/>
            </w:tcBorders>
            <w:shd w:val="clear" w:color="auto" w:fill="auto"/>
            <w:noWrap/>
            <w:vAlign w:val="center"/>
            <w:hideMark/>
          </w:tcPr>
          <w:p w:rsidR="00AA5A3D" w:rsidRPr="00E678BE" w:rsidRDefault="00A46239" w:rsidP="00AA5A3D">
            <w:pPr>
              <w:spacing w:after="0" w:line="240" w:lineRule="auto"/>
              <w:rPr>
                <w:rFonts w:asciiTheme="majorBidi" w:eastAsia="Times New Roman" w:hAnsiTheme="majorBidi" w:cstheme="majorBidi"/>
                <w:b/>
                <w:bCs/>
                <w:sz w:val="20"/>
                <w:szCs w:val="20"/>
                <w:lang w:eastAsia="fr-FR"/>
              </w:rPr>
            </w:pPr>
            <w:r>
              <w:rPr>
                <w:rFonts w:asciiTheme="majorBidi" w:eastAsia="Times New Roman" w:hAnsiTheme="majorBidi" w:cstheme="majorBidi"/>
                <w:b/>
                <w:bCs/>
                <w:sz w:val="20"/>
                <w:szCs w:val="20"/>
                <w:lang w:eastAsia="fr-FR"/>
              </w:rPr>
              <w:t>GUELMIM</w:t>
            </w:r>
          </w:p>
        </w:tc>
        <w:tc>
          <w:tcPr>
            <w:tcW w:w="320"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sz w:val="20"/>
                <w:szCs w:val="20"/>
              </w:rPr>
            </w:pPr>
            <w:r w:rsidRPr="00AA5A3D">
              <w:rPr>
                <w:rFonts w:asciiTheme="majorBidi" w:hAnsiTheme="majorBidi" w:cstheme="majorBidi"/>
                <w:sz w:val="20"/>
                <w:szCs w:val="20"/>
              </w:rPr>
              <w:t>119,0</w:t>
            </w:r>
          </w:p>
        </w:tc>
        <w:tc>
          <w:tcPr>
            <w:tcW w:w="320"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sz w:val="20"/>
                <w:szCs w:val="20"/>
              </w:rPr>
            </w:pPr>
            <w:r w:rsidRPr="00AA5A3D">
              <w:rPr>
                <w:rFonts w:asciiTheme="majorBidi" w:hAnsiTheme="majorBidi" w:cstheme="majorBidi"/>
                <w:sz w:val="20"/>
                <w:szCs w:val="20"/>
              </w:rPr>
              <w:t>118,4</w:t>
            </w:r>
          </w:p>
        </w:tc>
        <w:tc>
          <w:tcPr>
            <w:tcW w:w="320"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sz w:val="20"/>
                <w:szCs w:val="20"/>
              </w:rPr>
            </w:pPr>
            <w:r w:rsidRPr="00AA5A3D">
              <w:rPr>
                <w:rFonts w:asciiTheme="majorBidi" w:hAnsiTheme="majorBidi" w:cstheme="majorBidi"/>
                <w:sz w:val="20"/>
                <w:szCs w:val="20"/>
              </w:rPr>
              <w:t>119,0</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119,4</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120,6</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120,2</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118,9</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120,2</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120,8</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120,9</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122,4</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121,9</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b/>
                <w:bCs/>
                <w:color w:val="000000"/>
                <w:sz w:val="20"/>
                <w:szCs w:val="20"/>
              </w:rPr>
            </w:pPr>
            <w:r w:rsidRPr="00AA5A3D">
              <w:rPr>
                <w:rFonts w:asciiTheme="majorBidi" w:hAnsiTheme="majorBidi" w:cstheme="majorBidi"/>
                <w:b/>
                <w:bCs/>
                <w:color w:val="000000"/>
                <w:sz w:val="20"/>
                <w:szCs w:val="20"/>
              </w:rPr>
              <w:t>120,1</w:t>
            </w:r>
          </w:p>
        </w:tc>
      </w:tr>
      <w:tr w:rsidR="00AA5A3D" w:rsidRPr="00E678BE" w:rsidTr="00BB5DB3">
        <w:trPr>
          <w:trHeight w:val="315"/>
        </w:trPr>
        <w:tc>
          <w:tcPr>
            <w:tcW w:w="830" w:type="pct"/>
            <w:tcBorders>
              <w:top w:val="nil"/>
              <w:left w:val="nil"/>
              <w:bottom w:val="nil"/>
              <w:right w:val="nil"/>
            </w:tcBorders>
            <w:shd w:val="clear" w:color="auto" w:fill="auto"/>
            <w:noWrap/>
            <w:vAlign w:val="center"/>
            <w:hideMark/>
          </w:tcPr>
          <w:p w:rsidR="00AA5A3D" w:rsidRPr="00E678BE" w:rsidRDefault="00A46239" w:rsidP="00AA5A3D">
            <w:pPr>
              <w:spacing w:after="0" w:line="240" w:lineRule="auto"/>
              <w:rPr>
                <w:rFonts w:asciiTheme="majorBidi" w:eastAsia="Times New Roman" w:hAnsiTheme="majorBidi" w:cstheme="majorBidi"/>
                <w:b/>
                <w:bCs/>
                <w:sz w:val="20"/>
                <w:szCs w:val="20"/>
                <w:lang w:eastAsia="fr-FR"/>
              </w:rPr>
            </w:pPr>
            <w:r>
              <w:rPr>
                <w:rFonts w:asciiTheme="majorBidi" w:eastAsia="Times New Roman" w:hAnsiTheme="majorBidi" w:cstheme="majorBidi"/>
                <w:b/>
                <w:bCs/>
                <w:sz w:val="20"/>
                <w:szCs w:val="20"/>
                <w:lang w:eastAsia="fr-FR"/>
              </w:rPr>
              <w:t>SETTAT</w:t>
            </w:r>
          </w:p>
        </w:tc>
        <w:tc>
          <w:tcPr>
            <w:tcW w:w="320"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sz w:val="20"/>
                <w:szCs w:val="20"/>
              </w:rPr>
            </w:pPr>
            <w:r w:rsidRPr="00AA5A3D">
              <w:rPr>
                <w:rFonts w:asciiTheme="majorBidi" w:hAnsiTheme="majorBidi" w:cstheme="majorBidi"/>
                <w:sz w:val="20"/>
                <w:szCs w:val="20"/>
              </w:rPr>
              <w:t>117,2</w:t>
            </w:r>
          </w:p>
        </w:tc>
        <w:tc>
          <w:tcPr>
            <w:tcW w:w="320"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sz w:val="20"/>
                <w:szCs w:val="20"/>
              </w:rPr>
            </w:pPr>
            <w:r w:rsidRPr="00AA5A3D">
              <w:rPr>
                <w:rFonts w:asciiTheme="majorBidi" w:hAnsiTheme="majorBidi" w:cstheme="majorBidi"/>
                <w:sz w:val="20"/>
                <w:szCs w:val="20"/>
              </w:rPr>
              <w:t>117,1</w:t>
            </w:r>
          </w:p>
        </w:tc>
        <w:tc>
          <w:tcPr>
            <w:tcW w:w="320"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sz w:val="20"/>
                <w:szCs w:val="20"/>
              </w:rPr>
            </w:pPr>
            <w:r w:rsidRPr="00AA5A3D">
              <w:rPr>
                <w:rFonts w:asciiTheme="majorBidi" w:hAnsiTheme="majorBidi" w:cstheme="majorBidi"/>
                <w:sz w:val="20"/>
                <w:szCs w:val="20"/>
              </w:rPr>
              <w:t>117,2</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118,4</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119,7</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120,1</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118,5</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118,7</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119,8</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120,0</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120,0</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119,9</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b/>
                <w:bCs/>
                <w:color w:val="000000"/>
                <w:sz w:val="20"/>
                <w:szCs w:val="20"/>
              </w:rPr>
            </w:pPr>
            <w:r w:rsidRPr="00AA5A3D">
              <w:rPr>
                <w:rFonts w:asciiTheme="majorBidi" w:hAnsiTheme="majorBidi" w:cstheme="majorBidi"/>
                <w:b/>
                <w:bCs/>
                <w:color w:val="000000"/>
                <w:sz w:val="20"/>
                <w:szCs w:val="20"/>
              </w:rPr>
              <w:t>118,9</w:t>
            </w:r>
          </w:p>
        </w:tc>
      </w:tr>
      <w:tr w:rsidR="00AA5A3D" w:rsidRPr="00E678BE" w:rsidTr="00BB5DB3">
        <w:trPr>
          <w:trHeight w:val="315"/>
        </w:trPr>
        <w:tc>
          <w:tcPr>
            <w:tcW w:w="830" w:type="pct"/>
            <w:tcBorders>
              <w:top w:val="nil"/>
              <w:left w:val="nil"/>
              <w:bottom w:val="nil"/>
              <w:right w:val="nil"/>
            </w:tcBorders>
            <w:shd w:val="clear" w:color="auto" w:fill="auto"/>
            <w:noWrap/>
            <w:vAlign w:val="center"/>
            <w:hideMark/>
          </w:tcPr>
          <w:p w:rsidR="00AA5A3D" w:rsidRPr="00E678BE" w:rsidRDefault="00A46239" w:rsidP="00AA5A3D">
            <w:pPr>
              <w:spacing w:after="0" w:line="240" w:lineRule="auto"/>
              <w:rPr>
                <w:rFonts w:asciiTheme="majorBidi" w:eastAsia="Times New Roman" w:hAnsiTheme="majorBidi" w:cstheme="majorBidi"/>
                <w:b/>
                <w:bCs/>
                <w:sz w:val="20"/>
                <w:szCs w:val="20"/>
                <w:lang w:eastAsia="fr-FR"/>
              </w:rPr>
            </w:pPr>
            <w:r>
              <w:rPr>
                <w:rFonts w:asciiTheme="majorBidi" w:eastAsia="Times New Roman" w:hAnsiTheme="majorBidi" w:cstheme="majorBidi"/>
                <w:b/>
                <w:bCs/>
                <w:sz w:val="20"/>
                <w:szCs w:val="20"/>
                <w:lang w:eastAsia="fr-FR"/>
              </w:rPr>
              <w:t>SAFI</w:t>
            </w:r>
          </w:p>
        </w:tc>
        <w:tc>
          <w:tcPr>
            <w:tcW w:w="320"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sz w:val="20"/>
                <w:szCs w:val="20"/>
              </w:rPr>
            </w:pPr>
            <w:r w:rsidRPr="00AA5A3D">
              <w:rPr>
                <w:rFonts w:asciiTheme="majorBidi" w:hAnsiTheme="majorBidi" w:cstheme="majorBidi"/>
                <w:sz w:val="20"/>
                <w:szCs w:val="20"/>
              </w:rPr>
              <w:t>114,9</w:t>
            </w:r>
          </w:p>
        </w:tc>
        <w:tc>
          <w:tcPr>
            <w:tcW w:w="320"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sz w:val="20"/>
                <w:szCs w:val="20"/>
              </w:rPr>
            </w:pPr>
            <w:r w:rsidRPr="00AA5A3D">
              <w:rPr>
                <w:rFonts w:asciiTheme="majorBidi" w:hAnsiTheme="majorBidi" w:cstheme="majorBidi"/>
                <w:sz w:val="20"/>
                <w:szCs w:val="20"/>
              </w:rPr>
              <w:t>115,1</w:t>
            </w:r>
          </w:p>
        </w:tc>
        <w:tc>
          <w:tcPr>
            <w:tcW w:w="320"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sz w:val="20"/>
                <w:szCs w:val="20"/>
              </w:rPr>
            </w:pPr>
            <w:r w:rsidRPr="00AA5A3D">
              <w:rPr>
                <w:rFonts w:asciiTheme="majorBidi" w:hAnsiTheme="majorBidi" w:cstheme="majorBidi"/>
                <w:sz w:val="20"/>
                <w:szCs w:val="20"/>
              </w:rPr>
              <w:t>115,0</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115,8</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117,1</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116,7</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116,6</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116,7</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116,0</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116,7</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117,7</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117,3</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b/>
                <w:bCs/>
                <w:color w:val="000000"/>
                <w:sz w:val="20"/>
                <w:szCs w:val="20"/>
              </w:rPr>
            </w:pPr>
            <w:r w:rsidRPr="00AA5A3D">
              <w:rPr>
                <w:rFonts w:asciiTheme="majorBidi" w:hAnsiTheme="majorBidi" w:cstheme="majorBidi"/>
                <w:b/>
                <w:bCs/>
                <w:color w:val="000000"/>
                <w:sz w:val="20"/>
                <w:szCs w:val="20"/>
              </w:rPr>
              <w:t>116,3</w:t>
            </w:r>
          </w:p>
        </w:tc>
      </w:tr>
      <w:tr w:rsidR="00AA5A3D" w:rsidRPr="00E678BE" w:rsidTr="00BB5DB3">
        <w:trPr>
          <w:trHeight w:val="315"/>
        </w:trPr>
        <w:tc>
          <w:tcPr>
            <w:tcW w:w="830" w:type="pct"/>
            <w:tcBorders>
              <w:top w:val="nil"/>
              <w:left w:val="nil"/>
              <w:bottom w:val="nil"/>
              <w:right w:val="nil"/>
            </w:tcBorders>
            <w:shd w:val="clear" w:color="auto" w:fill="auto"/>
            <w:noWrap/>
            <w:vAlign w:val="center"/>
            <w:hideMark/>
          </w:tcPr>
          <w:p w:rsidR="00AA5A3D" w:rsidRPr="00E678BE" w:rsidRDefault="00A46239" w:rsidP="00AA5A3D">
            <w:pPr>
              <w:spacing w:after="0" w:line="240" w:lineRule="auto"/>
              <w:rPr>
                <w:rFonts w:asciiTheme="majorBidi" w:eastAsia="Times New Roman" w:hAnsiTheme="majorBidi" w:cstheme="majorBidi"/>
                <w:b/>
                <w:bCs/>
                <w:sz w:val="20"/>
                <w:szCs w:val="20"/>
                <w:lang w:eastAsia="fr-FR"/>
              </w:rPr>
            </w:pPr>
            <w:r>
              <w:rPr>
                <w:rFonts w:asciiTheme="majorBidi" w:eastAsia="Times New Roman" w:hAnsiTheme="majorBidi" w:cstheme="majorBidi"/>
                <w:b/>
                <w:bCs/>
                <w:sz w:val="20"/>
                <w:szCs w:val="20"/>
                <w:lang w:eastAsia="fr-FR"/>
              </w:rPr>
              <w:t>BENI MELLAL</w:t>
            </w:r>
          </w:p>
        </w:tc>
        <w:tc>
          <w:tcPr>
            <w:tcW w:w="320"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sz w:val="20"/>
                <w:szCs w:val="20"/>
              </w:rPr>
            </w:pPr>
            <w:r w:rsidRPr="00AA5A3D">
              <w:rPr>
                <w:rFonts w:asciiTheme="majorBidi" w:hAnsiTheme="majorBidi" w:cstheme="majorBidi"/>
                <w:sz w:val="20"/>
                <w:szCs w:val="20"/>
              </w:rPr>
              <w:t>117,3</w:t>
            </w:r>
          </w:p>
        </w:tc>
        <w:tc>
          <w:tcPr>
            <w:tcW w:w="320"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sz w:val="20"/>
                <w:szCs w:val="20"/>
              </w:rPr>
            </w:pPr>
            <w:r w:rsidRPr="00AA5A3D">
              <w:rPr>
                <w:rFonts w:asciiTheme="majorBidi" w:hAnsiTheme="majorBidi" w:cstheme="majorBidi"/>
                <w:sz w:val="20"/>
                <w:szCs w:val="20"/>
              </w:rPr>
              <w:t>117,0</w:t>
            </w:r>
          </w:p>
        </w:tc>
        <w:tc>
          <w:tcPr>
            <w:tcW w:w="320"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sz w:val="20"/>
                <w:szCs w:val="20"/>
              </w:rPr>
            </w:pPr>
            <w:r w:rsidRPr="00AA5A3D">
              <w:rPr>
                <w:rFonts w:asciiTheme="majorBidi" w:hAnsiTheme="majorBidi" w:cstheme="majorBidi"/>
                <w:sz w:val="20"/>
                <w:szCs w:val="20"/>
              </w:rPr>
              <w:t>116,9</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118,3</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119,9</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120,8</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118,3</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119,6</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117,9</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119,4</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119,7</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119,6</w:t>
            </w:r>
          </w:p>
        </w:tc>
        <w:tc>
          <w:tcPr>
            <w:tcW w:w="321" w:type="pct"/>
            <w:tcBorders>
              <w:top w:val="nil"/>
              <w:left w:val="nil"/>
              <w:bottom w:val="nil"/>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b/>
                <w:bCs/>
                <w:color w:val="000000"/>
                <w:sz w:val="20"/>
                <w:szCs w:val="20"/>
              </w:rPr>
            </w:pPr>
            <w:r w:rsidRPr="00AA5A3D">
              <w:rPr>
                <w:rFonts w:asciiTheme="majorBidi" w:hAnsiTheme="majorBidi" w:cstheme="majorBidi"/>
                <w:b/>
                <w:bCs/>
                <w:color w:val="000000"/>
                <w:sz w:val="20"/>
                <w:szCs w:val="20"/>
              </w:rPr>
              <w:t>118,7</w:t>
            </w:r>
          </w:p>
        </w:tc>
      </w:tr>
      <w:tr w:rsidR="00AA5A3D" w:rsidRPr="00E678BE" w:rsidTr="00BB5DB3">
        <w:trPr>
          <w:trHeight w:val="330"/>
        </w:trPr>
        <w:tc>
          <w:tcPr>
            <w:tcW w:w="830" w:type="pct"/>
            <w:tcBorders>
              <w:top w:val="nil"/>
              <w:left w:val="nil"/>
              <w:bottom w:val="single" w:sz="12" w:space="0" w:color="auto"/>
              <w:right w:val="nil"/>
            </w:tcBorders>
            <w:shd w:val="clear" w:color="auto" w:fill="auto"/>
            <w:noWrap/>
            <w:vAlign w:val="center"/>
            <w:hideMark/>
          </w:tcPr>
          <w:p w:rsidR="00AA5A3D" w:rsidRPr="00E678BE" w:rsidRDefault="00A46239" w:rsidP="00AA5A3D">
            <w:pPr>
              <w:spacing w:after="0" w:line="240" w:lineRule="auto"/>
              <w:rPr>
                <w:rFonts w:asciiTheme="majorBidi" w:eastAsia="Times New Roman" w:hAnsiTheme="majorBidi" w:cstheme="majorBidi"/>
                <w:b/>
                <w:bCs/>
                <w:sz w:val="20"/>
                <w:szCs w:val="20"/>
                <w:lang w:eastAsia="fr-FR"/>
              </w:rPr>
            </w:pPr>
            <w:r>
              <w:rPr>
                <w:rFonts w:asciiTheme="majorBidi" w:eastAsia="Times New Roman" w:hAnsiTheme="majorBidi" w:cstheme="majorBidi"/>
                <w:b/>
                <w:bCs/>
                <w:sz w:val="20"/>
                <w:szCs w:val="20"/>
                <w:lang w:eastAsia="fr-FR"/>
              </w:rPr>
              <w:t>ELHOUCEIMA</w:t>
            </w:r>
          </w:p>
        </w:tc>
        <w:tc>
          <w:tcPr>
            <w:tcW w:w="320" w:type="pct"/>
            <w:tcBorders>
              <w:top w:val="nil"/>
              <w:left w:val="nil"/>
              <w:bottom w:val="single" w:sz="12" w:space="0" w:color="auto"/>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sz w:val="20"/>
                <w:szCs w:val="20"/>
              </w:rPr>
            </w:pPr>
            <w:r w:rsidRPr="00AA5A3D">
              <w:rPr>
                <w:rFonts w:asciiTheme="majorBidi" w:hAnsiTheme="majorBidi" w:cstheme="majorBidi"/>
                <w:sz w:val="20"/>
                <w:szCs w:val="20"/>
              </w:rPr>
              <w:t>118,5</w:t>
            </w:r>
          </w:p>
        </w:tc>
        <w:tc>
          <w:tcPr>
            <w:tcW w:w="320" w:type="pct"/>
            <w:tcBorders>
              <w:top w:val="nil"/>
              <w:left w:val="nil"/>
              <w:bottom w:val="single" w:sz="12" w:space="0" w:color="auto"/>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sz w:val="20"/>
                <w:szCs w:val="20"/>
              </w:rPr>
            </w:pPr>
            <w:r w:rsidRPr="00AA5A3D">
              <w:rPr>
                <w:rFonts w:asciiTheme="majorBidi" w:hAnsiTheme="majorBidi" w:cstheme="majorBidi"/>
                <w:sz w:val="20"/>
                <w:szCs w:val="20"/>
              </w:rPr>
              <w:t>118,9</w:t>
            </w:r>
          </w:p>
        </w:tc>
        <w:tc>
          <w:tcPr>
            <w:tcW w:w="320" w:type="pct"/>
            <w:tcBorders>
              <w:top w:val="nil"/>
              <w:left w:val="nil"/>
              <w:bottom w:val="single" w:sz="12" w:space="0" w:color="auto"/>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sz w:val="20"/>
                <w:szCs w:val="20"/>
              </w:rPr>
            </w:pPr>
            <w:r w:rsidRPr="00AA5A3D">
              <w:rPr>
                <w:rFonts w:asciiTheme="majorBidi" w:hAnsiTheme="majorBidi" w:cstheme="majorBidi"/>
                <w:sz w:val="20"/>
                <w:szCs w:val="20"/>
              </w:rPr>
              <w:t>118,5</w:t>
            </w:r>
          </w:p>
        </w:tc>
        <w:tc>
          <w:tcPr>
            <w:tcW w:w="321" w:type="pct"/>
            <w:tcBorders>
              <w:top w:val="nil"/>
              <w:left w:val="nil"/>
              <w:bottom w:val="single" w:sz="12" w:space="0" w:color="auto"/>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119,9</w:t>
            </w:r>
          </w:p>
        </w:tc>
        <w:tc>
          <w:tcPr>
            <w:tcW w:w="321" w:type="pct"/>
            <w:tcBorders>
              <w:top w:val="nil"/>
              <w:left w:val="nil"/>
              <w:bottom w:val="single" w:sz="12" w:space="0" w:color="auto"/>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121,5</w:t>
            </w:r>
          </w:p>
        </w:tc>
        <w:tc>
          <w:tcPr>
            <w:tcW w:w="321" w:type="pct"/>
            <w:tcBorders>
              <w:top w:val="nil"/>
              <w:left w:val="nil"/>
              <w:bottom w:val="single" w:sz="12" w:space="0" w:color="auto"/>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122,7</w:t>
            </w:r>
          </w:p>
        </w:tc>
        <w:tc>
          <w:tcPr>
            <w:tcW w:w="321" w:type="pct"/>
            <w:tcBorders>
              <w:top w:val="nil"/>
              <w:left w:val="nil"/>
              <w:bottom w:val="single" w:sz="12" w:space="0" w:color="auto"/>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120,7</w:t>
            </w:r>
          </w:p>
        </w:tc>
        <w:tc>
          <w:tcPr>
            <w:tcW w:w="321" w:type="pct"/>
            <w:tcBorders>
              <w:top w:val="nil"/>
              <w:left w:val="nil"/>
              <w:bottom w:val="single" w:sz="12" w:space="0" w:color="auto"/>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123,1</w:t>
            </w:r>
          </w:p>
        </w:tc>
        <w:tc>
          <w:tcPr>
            <w:tcW w:w="321" w:type="pct"/>
            <w:tcBorders>
              <w:top w:val="nil"/>
              <w:left w:val="nil"/>
              <w:bottom w:val="single" w:sz="12" w:space="0" w:color="auto"/>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121,4</w:t>
            </w:r>
          </w:p>
        </w:tc>
        <w:tc>
          <w:tcPr>
            <w:tcW w:w="321" w:type="pct"/>
            <w:tcBorders>
              <w:top w:val="nil"/>
              <w:left w:val="nil"/>
              <w:bottom w:val="single" w:sz="12" w:space="0" w:color="auto"/>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121,1</w:t>
            </w:r>
          </w:p>
        </w:tc>
        <w:tc>
          <w:tcPr>
            <w:tcW w:w="321" w:type="pct"/>
            <w:tcBorders>
              <w:top w:val="nil"/>
              <w:left w:val="nil"/>
              <w:bottom w:val="single" w:sz="12" w:space="0" w:color="auto"/>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122,5</w:t>
            </w:r>
          </w:p>
        </w:tc>
        <w:tc>
          <w:tcPr>
            <w:tcW w:w="321" w:type="pct"/>
            <w:tcBorders>
              <w:top w:val="nil"/>
              <w:left w:val="nil"/>
              <w:bottom w:val="single" w:sz="12" w:space="0" w:color="auto"/>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color w:val="000000"/>
                <w:sz w:val="20"/>
                <w:szCs w:val="20"/>
              </w:rPr>
            </w:pPr>
            <w:r w:rsidRPr="00AA5A3D">
              <w:rPr>
                <w:rFonts w:asciiTheme="majorBidi" w:hAnsiTheme="majorBidi" w:cstheme="majorBidi"/>
                <w:color w:val="000000"/>
                <w:sz w:val="20"/>
                <w:szCs w:val="20"/>
              </w:rPr>
              <w:t>122,2</w:t>
            </w:r>
          </w:p>
        </w:tc>
        <w:tc>
          <w:tcPr>
            <w:tcW w:w="321" w:type="pct"/>
            <w:tcBorders>
              <w:top w:val="nil"/>
              <w:left w:val="nil"/>
              <w:bottom w:val="single" w:sz="12" w:space="0" w:color="auto"/>
              <w:right w:val="nil"/>
            </w:tcBorders>
            <w:shd w:val="clear" w:color="auto" w:fill="auto"/>
            <w:noWrap/>
            <w:vAlign w:val="bottom"/>
            <w:hideMark/>
          </w:tcPr>
          <w:p w:rsidR="00AA5A3D" w:rsidRPr="00AA5A3D" w:rsidRDefault="00AA5A3D" w:rsidP="00AA5A3D">
            <w:pPr>
              <w:spacing w:after="0"/>
              <w:jc w:val="right"/>
              <w:rPr>
                <w:rFonts w:asciiTheme="majorBidi" w:hAnsiTheme="majorBidi" w:cstheme="majorBidi"/>
                <w:b/>
                <w:bCs/>
                <w:color w:val="000000"/>
                <w:sz w:val="20"/>
                <w:szCs w:val="20"/>
              </w:rPr>
            </w:pPr>
            <w:r w:rsidRPr="00AA5A3D">
              <w:rPr>
                <w:rFonts w:asciiTheme="majorBidi" w:hAnsiTheme="majorBidi" w:cstheme="majorBidi"/>
                <w:b/>
                <w:bCs/>
                <w:color w:val="000000"/>
                <w:sz w:val="20"/>
                <w:szCs w:val="20"/>
              </w:rPr>
              <w:t>120,9</w:t>
            </w:r>
          </w:p>
        </w:tc>
      </w:tr>
      <w:tr w:rsidR="00AA5A3D" w:rsidRPr="00E678BE" w:rsidTr="00BB5DB3">
        <w:trPr>
          <w:trHeight w:val="390"/>
        </w:trPr>
        <w:tc>
          <w:tcPr>
            <w:tcW w:w="830" w:type="pct"/>
            <w:tcBorders>
              <w:top w:val="single" w:sz="12" w:space="0" w:color="auto"/>
              <w:left w:val="nil"/>
              <w:bottom w:val="single" w:sz="12" w:space="0" w:color="auto"/>
              <w:right w:val="nil"/>
            </w:tcBorders>
            <w:shd w:val="clear" w:color="auto" w:fill="BFBFBF" w:themeFill="background1" w:themeFillShade="BF"/>
            <w:noWrap/>
            <w:vAlign w:val="center"/>
            <w:hideMark/>
          </w:tcPr>
          <w:p w:rsidR="00AA5A3D" w:rsidRPr="00E678BE" w:rsidRDefault="00A46239" w:rsidP="00CF570A">
            <w:pPr>
              <w:spacing w:after="0" w:line="240" w:lineRule="auto"/>
              <w:rPr>
                <w:rFonts w:asciiTheme="majorBidi" w:eastAsia="Times New Roman" w:hAnsiTheme="majorBidi" w:cstheme="majorBidi"/>
                <w:b/>
                <w:bCs/>
                <w:sz w:val="20"/>
                <w:szCs w:val="20"/>
                <w:lang w:eastAsia="fr-FR"/>
              </w:rPr>
            </w:pPr>
            <w:r>
              <w:rPr>
                <w:rFonts w:asciiTheme="majorBidi" w:eastAsia="Times New Roman" w:hAnsiTheme="majorBidi" w:cstheme="majorBidi"/>
                <w:b/>
                <w:bCs/>
                <w:sz w:val="20"/>
                <w:szCs w:val="20"/>
                <w:lang w:eastAsia="fr-FR"/>
              </w:rPr>
              <w:t>ENSEMBLE</w:t>
            </w:r>
          </w:p>
        </w:tc>
        <w:tc>
          <w:tcPr>
            <w:tcW w:w="320" w:type="pct"/>
            <w:tcBorders>
              <w:top w:val="single" w:sz="12" w:space="0" w:color="auto"/>
              <w:left w:val="nil"/>
              <w:bottom w:val="single" w:sz="12" w:space="0" w:color="auto"/>
              <w:right w:val="nil"/>
            </w:tcBorders>
            <w:shd w:val="clear" w:color="auto" w:fill="BFBFBF" w:themeFill="background1" w:themeFillShade="BF"/>
            <w:noWrap/>
            <w:vAlign w:val="bottom"/>
            <w:hideMark/>
          </w:tcPr>
          <w:p w:rsidR="00AA5A3D" w:rsidRPr="00AA5A3D" w:rsidRDefault="00AA5A3D" w:rsidP="00AA5A3D">
            <w:pPr>
              <w:spacing w:after="0"/>
              <w:jc w:val="right"/>
              <w:rPr>
                <w:rFonts w:asciiTheme="majorBidi" w:hAnsiTheme="majorBidi" w:cstheme="majorBidi"/>
                <w:b/>
                <w:bCs/>
                <w:sz w:val="20"/>
                <w:szCs w:val="20"/>
              </w:rPr>
            </w:pPr>
            <w:r w:rsidRPr="00AA5A3D">
              <w:rPr>
                <w:rFonts w:asciiTheme="majorBidi" w:hAnsiTheme="majorBidi" w:cstheme="majorBidi"/>
                <w:b/>
                <w:bCs/>
                <w:sz w:val="20"/>
                <w:szCs w:val="20"/>
              </w:rPr>
              <w:t>119,5</w:t>
            </w:r>
          </w:p>
        </w:tc>
        <w:tc>
          <w:tcPr>
            <w:tcW w:w="320" w:type="pct"/>
            <w:tcBorders>
              <w:top w:val="single" w:sz="12" w:space="0" w:color="auto"/>
              <w:left w:val="nil"/>
              <w:bottom w:val="single" w:sz="12" w:space="0" w:color="auto"/>
              <w:right w:val="nil"/>
            </w:tcBorders>
            <w:shd w:val="clear" w:color="auto" w:fill="BFBFBF" w:themeFill="background1" w:themeFillShade="BF"/>
            <w:noWrap/>
            <w:vAlign w:val="bottom"/>
            <w:hideMark/>
          </w:tcPr>
          <w:p w:rsidR="00AA5A3D" w:rsidRPr="00AA5A3D" w:rsidRDefault="00AA5A3D" w:rsidP="00AA5A3D">
            <w:pPr>
              <w:spacing w:after="0"/>
              <w:jc w:val="right"/>
              <w:rPr>
                <w:rFonts w:asciiTheme="majorBidi" w:hAnsiTheme="majorBidi" w:cstheme="majorBidi"/>
                <w:b/>
                <w:bCs/>
                <w:sz w:val="20"/>
                <w:szCs w:val="20"/>
              </w:rPr>
            </w:pPr>
            <w:r w:rsidRPr="00AA5A3D">
              <w:rPr>
                <w:rFonts w:asciiTheme="majorBidi" w:hAnsiTheme="majorBidi" w:cstheme="majorBidi"/>
                <w:b/>
                <w:bCs/>
                <w:sz w:val="20"/>
                <w:szCs w:val="20"/>
              </w:rPr>
              <w:t>119,5</w:t>
            </w:r>
          </w:p>
        </w:tc>
        <w:tc>
          <w:tcPr>
            <w:tcW w:w="320" w:type="pct"/>
            <w:tcBorders>
              <w:top w:val="single" w:sz="12" w:space="0" w:color="auto"/>
              <w:left w:val="nil"/>
              <w:bottom w:val="single" w:sz="12" w:space="0" w:color="auto"/>
              <w:right w:val="nil"/>
            </w:tcBorders>
            <w:shd w:val="clear" w:color="auto" w:fill="BFBFBF" w:themeFill="background1" w:themeFillShade="BF"/>
            <w:noWrap/>
            <w:vAlign w:val="bottom"/>
            <w:hideMark/>
          </w:tcPr>
          <w:p w:rsidR="00AA5A3D" w:rsidRPr="00AA5A3D" w:rsidRDefault="00AA5A3D" w:rsidP="00AA5A3D">
            <w:pPr>
              <w:spacing w:after="0"/>
              <w:jc w:val="right"/>
              <w:rPr>
                <w:rFonts w:asciiTheme="majorBidi" w:hAnsiTheme="majorBidi" w:cstheme="majorBidi"/>
                <w:b/>
                <w:bCs/>
                <w:sz w:val="20"/>
                <w:szCs w:val="20"/>
              </w:rPr>
            </w:pPr>
            <w:r w:rsidRPr="00AA5A3D">
              <w:rPr>
                <w:rFonts w:asciiTheme="majorBidi" w:hAnsiTheme="majorBidi" w:cstheme="majorBidi"/>
                <w:b/>
                <w:bCs/>
                <w:sz w:val="20"/>
                <w:szCs w:val="20"/>
              </w:rPr>
              <w:t>119,5</w:t>
            </w:r>
          </w:p>
        </w:tc>
        <w:tc>
          <w:tcPr>
            <w:tcW w:w="321" w:type="pct"/>
            <w:tcBorders>
              <w:top w:val="single" w:sz="12" w:space="0" w:color="auto"/>
              <w:left w:val="nil"/>
              <w:bottom w:val="single" w:sz="12" w:space="0" w:color="auto"/>
              <w:right w:val="nil"/>
            </w:tcBorders>
            <w:shd w:val="clear" w:color="auto" w:fill="BFBFBF" w:themeFill="background1" w:themeFillShade="BF"/>
            <w:noWrap/>
            <w:vAlign w:val="bottom"/>
            <w:hideMark/>
          </w:tcPr>
          <w:p w:rsidR="00AA5A3D" w:rsidRPr="00AA5A3D" w:rsidRDefault="00AA5A3D" w:rsidP="00AA5A3D">
            <w:pPr>
              <w:spacing w:after="0"/>
              <w:jc w:val="right"/>
              <w:rPr>
                <w:rFonts w:asciiTheme="majorBidi" w:hAnsiTheme="majorBidi" w:cstheme="majorBidi"/>
                <w:b/>
                <w:bCs/>
                <w:sz w:val="20"/>
                <w:szCs w:val="20"/>
              </w:rPr>
            </w:pPr>
            <w:r w:rsidRPr="00AA5A3D">
              <w:rPr>
                <w:rFonts w:asciiTheme="majorBidi" w:hAnsiTheme="majorBidi" w:cstheme="majorBidi"/>
                <w:b/>
                <w:bCs/>
                <w:sz w:val="20"/>
                <w:szCs w:val="20"/>
              </w:rPr>
              <w:t>120,2</w:t>
            </w:r>
          </w:p>
        </w:tc>
        <w:tc>
          <w:tcPr>
            <w:tcW w:w="321" w:type="pct"/>
            <w:tcBorders>
              <w:top w:val="single" w:sz="12" w:space="0" w:color="auto"/>
              <w:left w:val="nil"/>
              <w:bottom w:val="single" w:sz="12" w:space="0" w:color="auto"/>
              <w:right w:val="nil"/>
            </w:tcBorders>
            <w:shd w:val="clear" w:color="auto" w:fill="BFBFBF" w:themeFill="background1" w:themeFillShade="BF"/>
            <w:noWrap/>
            <w:vAlign w:val="bottom"/>
            <w:hideMark/>
          </w:tcPr>
          <w:p w:rsidR="00AA5A3D" w:rsidRPr="00AA5A3D" w:rsidRDefault="00AA5A3D" w:rsidP="00AA5A3D">
            <w:pPr>
              <w:spacing w:after="0"/>
              <w:jc w:val="right"/>
              <w:rPr>
                <w:rFonts w:asciiTheme="majorBidi" w:hAnsiTheme="majorBidi" w:cstheme="majorBidi"/>
                <w:b/>
                <w:bCs/>
                <w:sz w:val="20"/>
                <w:szCs w:val="20"/>
              </w:rPr>
            </w:pPr>
            <w:r w:rsidRPr="00AA5A3D">
              <w:rPr>
                <w:rFonts w:asciiTheme="majorBidi" w:hAnsiTheme="majorBidi" w:cstheme="majorBidi"/>
                <w:b/>
                <w:bCs/>
                <w:sz w:val="20"/>
                <w:szCs w:val="20"/>
              </w:rPr>
              <w:t>121,0</w:t>
            </w:r>
          </w:p>
        </w:tc>
        <w:tc>
          <w:tcPr>
            <w:tcW w:w="321" w:type="pct"/>
            <w:tcBorders>
              <w:top w:val="single" w:sz="12" w:space="0" w:color="auto"/>
              <w:left w:val="nil"/>
              <w:bottom w:val="single" w:sz="12" w:space="0" w:color="auto"/>
              <w:right w:val="nil"/>
            </w:tcBorders>
            <w:shd w:val="clear" w:color="auto" w:fill="BFBFBF" w:themeFill="background1" w:themeFillShade="BF"/>
            <w:noWrap/>
            <w:vAlign w:val="bottom"/>
            <w:hideMark/>
          </w:tcPr>
          <w:p w:rsidR="00AA5A3D" w:rsidRPr="00AA5A3D" w:rsidRDefault="00AA5A3D" w:rsidP="00AA5A3D">
            <w:pPr>
              <w:spacing w:after="0"/>
              <w:jc w:val="right"/>
              <w:rPr>
                <w:rFonts w:asciiTheme="majorBidi" w:hAnsiTheme="majorBidi" w:cstheme="majorBidi"/>
                <w:b/>
                <w:bCs/>
                <w:sz w:val="20"/>
                <w:szCs w:val="20"/>
              </w:rPr>
            </w:pPr>
            <w:r w:rsidRPr="00AA5A3D">
              <w:rPr>
                <w:rFonts w:asciiTheme="majorBidi" w:hAnsiTheme="majorBidi" w:cstheme="majorBidi"/>
                <w:b/>
                <w:bCs/>
                <w:sz w:val="20"/>
                <w:szCs w:val="20"/>
              </w:rPr>
              <w:t>121,2</w:t>
            </w:r>
          </w:p>
        </w:tc>
        <w:tc>
          <w:tcPr>
            <w:tcW w:w="321" w:type="pct"/>
            <w:tcBorders>
              <w:top w:val="single" w:sz="12" w:space="0" w:color="auto"/>
              <w:left w:val="nil"/>
              <w:bottom w:val="single" w:sz="12" w:space="0" w:color="auto"/>
              <w:right w:val="nil"/>
            </w:tcBorders>
            <w:shd w:val="clear" w:color="auto" w:fill="BFBFBF" w:themeFill="background1" w:themeFillShade="BF"/>
            <w:noWrap/>
            <w:vAlign w:val="bottom"/>
            <w:hideMark/>
          </w:tcPr>
          <w:p w:rsidR="00AA5A3D" w:rsidRPr="00AA5A3D" w:rsidRDefault="00AA5A3D" w:rsidP="00AA5A3D">
            <w:pPr>
              <w:spacing w:after="0"/>
              <w:jc w:val="right"/>
              <w:rPr>
                <w:rFonts w:asciiTheme="majorBidi" w:hAnsiTheme="majorBidi" w:cstheme="majorBidi"/>
                <w:b/>
                <w:bCs/>
                <w:sz w:val="20"/>
                <w:szCs w:val="20"/>
              </w:rPr>
            </w:pPr>
            <w:r w:rsidRPr="00AA5A3D">
              <w:rPr>
                <w:rFonts w:asciiTheme="majorBidi" w:hAnsiTheme="majorBidi" w:cstheme="majorBidi"/>
                <w:b/>
                <w:bCs/>
                <w:sz w:val="20"/>
                <w:szCs w:val="20"/>
              </w:rPr>
              <w:t>120,2</w:t>
            </w:r>
          </w:p>
        </w:tc>
        <w:tc>
          <w:tcPr>
            <w:tcW w:w="321" w:type="pct"/>
            <w:tcBorders>
              <w:top w:val="single" w:sz="12" w:space="0" w:color="auto"/>
              <w:left w:val="nil"/>
              <w:bottom w:val="single" w:sz="12" w:space="0" w:color="auto"/>
              <w:right w:val="nil"/>
            </w:tcBorders>
            <w:shd w:val="clear" w:color="auto" w:fill="BFBFBF" w:themeFill="background1" w:themeFillShade="BF"/>
            <w:noWrap/>
            <w:vAlign w:val="bottom"/>
            <w:hideMark/>
          </w:tcPr>
          <w:p w:rsidR="00AA5A3D" w:rsidRPr="00AA5A3D" w:rsidRDefault="00AA5A3D" w:rsidP="00AA5A3D">
            <w:pPr>
              <w:spacing w:after="0"/>
              <w:jc w:val="right"/>
              <w:rPr>
                <w:rFonts w:asciiTheme="majorBidi" w:hAnsiTheme="majorBidi" w:cstheme="majorBidi"/>
                <w:b/>
                <w:bCs/>
                <w:sz w:val="20"/>
                <w:szCs w:val="20"/>
              </w:rPr>
            </w:pPr>
            <w:r w:rsidRPr="00AA5A3D">
              <w:rPr>
                <w:rFonts w:asciiTheme="majorBidi" w:hAnsiTheme="majorBidi" w:cstheme="majorBidi"/>
                <w:b/>
                <w:bCs/>
                <w:sz w:val="20"/>
                <w:szCs w:val="20"/>
              </w:rPr>
              <w:t>120,6</w:t>
            </w:r>
          </w:p>
        </w:tc>
        <w:tc>
          <w:tcPr>
            <w:tcW w:w="321" w:type="pct"/>
            <w:tcBorders>
              <w:top w:val="single" w:sz="12" w:space="0" w:color="auto"/>
              <w:left w:val="nil"/>
              <w:bottom w:val="single" w:sz="12" w:space="0" w:color="auto"/>
              <w:right w:val="nil"/>
            </w:tcBorders>
            <w:shd w:val="clear" w:color="auto" w:fill="BFBFBF" w:themeFill="background1" w:themeFillShade="BF"/>
            <w:noWrap/>
            <w:vAlign w:val="bottom"/>
            <w:hideMark/>
          </w:tcPr>
          <w:p w:rsidR="00AA5A3D" w:rsidRPr="00AA5A3D" w:rsidRDefault="00AA5A3D" w:rsidP="00AA5A3D">
            <w:pPr>
              <w:spacing w:after="0"/>
              <w:jc w:val="right"/>
              <w:rPr>
                <w:rFonts w:asciiTheme="majorBidi" w:hAnsiTheme="majorBidi" w:cstheme="majorBidi"/>
                <w:b/>
                <w:bCs/>
                <w:sz w:val="20"/>
                <w:szCs w:val="20"/>
              </w:rPr>
            </w:pPr>
            <w:r w:rsidRPr="00AA5A3D">
              <w:rPr>
                <w:rFonts w:asciiTheme="majorBidi" w:hAnsiTheme="majorBidi" w:cstheme="majorBidi"/>
                <w:b/>
                <w:bCs/>
                <w:sz w:val="20"/>
                <w:szCs w:val="20"/>
              </w:rPr>
              <w:t>120,3</w:t>
            </w:r>
          </w:p>
        </w:tc>
        <w:tc>
          <w:tcPr>
            <w:tcW w:w="321" w:type="pct"/>
            <w:tcBorders>
              <w:top w:val="single" w:sz="12" w:space="0" w:color="auto"/>
              <w:left w:val="nil"/>
              <w:bottom w:val="single" w:sz="12" w:space="0" w:color="auto"/>
              <w:right w:val="nil"/>
            </w:tcBorders>
            <w:shd w:val="clear" w:color="auto" w:fill="BFBFBF" w:themeFill="background1" w:themeFillShade="BF"/>
            <w:noWrap/>
            <w:vAlign w:val="bottom"/>
            <w:hideMark/>
          </w:tcPr>
          <w:p w:rsidR="00AA5A3D" w:rsidRPr="00AA5A3D" w:rsidRDefault="00AA5A3D" w:rsidP="00AA5A3D">
            <w:pPr>
              <w:spacing w:after="0"/>
              <w:jc w:val="right"/>
              <w:rPr>
                <w:rFonts w:asciiTheme="majorBidi" w:hAnsiTheme="majorBidi" w:cstheme="majorBidi"/>
                <w:b/>
                <w:bCs/>
                <w:sz w:val="20"/>
                <w:szCs w:val="20"/>
              </w:rPr>
            </w:pPr>
            <w:r w:rsidRPr="00AA5A3D">
              <w:rPr>
                <w:rFonts w:asciiTheme="majorBidi" w:hAnsiTheme="majorBidi" w:cstheme="majorBidi"/>
                <w:b/>
                <w:bCs/>
                <w:sz w:val="20"/>
                <w:szCs w:val="20"/>
              </w:rPr>
              <w:t>120,7</w:t>
            </w:r>
          </w:p>
        </w:tc>
        <w:tc>
          <w:tcPr>
            <w:tcW w:w="321" w:type="pct"/>
            <w:tcBorders>
              <w:top w:val="single" w:sz="12" w:space="0" w:color="auto"/>
              <w:left w:val="nil"/>
              <w:bottom w:val="single" w:sz="12" w:space="0" w:color="auto"/>
              <w:right w:val="nil"/>
            </w:tcBorders>
            <w:shd w:val="clear" w:color="auto" w:fill="BFBFBF" w:themeFill="background1" w:themeFillShade="BF"/>
            <w:noWrap/>
            <w:vAlign w:val="bottom"/>
            <w:hideMark/>
          </w:tcPr>
          <w:p w:rsidR="00AA5A3D" w:rsidRPr="00AA5A3D" w:rsidRDefault="00AA5A3D" w:rsidP="00AA5A3D">
            <w:pPr>
              <w:spacing w:after="0"/>
              <w:jc w:val="right"/>
              <w:rPr>
                <w:rFonts w:asciiTheme="majorBidi" w:hAnsiTheme="majorBidi" w:cstheme="majorBidi"/>
                <w:b/>
                <w:bCs/>
                <w:sz w:val="20"/>
                <w:szCs w:val="20"/>
              </w:rPr>
            </w:pPr>
            <w:r w:rsidRPr="00AA5A3D">
              <w:rPr>
                <w:rFonts w:asciiTheme="majorBidi" w:hAnsiTheme="majorBidi" w:cstheme="majorBidi"/>
                <w:b/>
                <w:bCs/>
                <w:sz w:val="20"/>
                <w:szCs w:val="20"/>
              </w:rPr>
              <w:t>121,2</w:t>
            </w:r>
          </w:p>
        </w:tc>
        <w:tc>
          <w:tcPr>
            <w:tcW w:w="321" w:type="pct"/>
            <w:tcBorders>
              <w:top w:val="single" w:sz="12" w:space="0" w:color="auto"/>
              <w:left w:val="nil"/>
              <w:bottom w:val="single" w:sz="12" w:space="0" w:color="auto"/>
              <w:right w:val="nil"/>
            </w:tcBorders>
            <w:shd w:val="clear" w:color="auto" w:fill="BFBFBF" w:themeFill="background1" w:themeFillShade="BF"/>
            <w:noWrap/>
            <w:vAlign w:val="bottom"/>
            <w:hideMark/>
          </w:tcPr>
          <w:p w:rsidR="00AA5A3D" w:rsidRPr="00AA5A3D" w:rsidRDefault="00AA5A3D" w:rsidP="00AA5A3D">
            <w:pPr>
              <w:spacing w:after="0"/>
              <w:jc w:val="right"/>
              <w:rPr>
                <w:rFonts w:asciiTheme="majorBidi" w:hAnsiTheme="majorBidi" w:cstheme="majorBidi"/>
                <w:b/>
                <w:bCs/>
                <w:sz w:val="20"/>
                <w:szCs w:val="20"/>
              </w:rPr>
            </w:pPr>
            <w:r w:rsidRPr="00AA5A3D">
              <w:rPr>
                <w:rFonts w:asciiTheme="majorBidi" w:hAnsiTheme="majorBidi" w:cstheme="majorBidi"/>
                <w:b/>
                <w:bCs/>
                <w:sz w:val="20"/>
                <w:szCs w:val="20"/>
              </w:rPr>
              <w:t>121,2</w:t>
            </w:r>
          </w:p>
        </w:tc>
        <w:tc>
          <w:tcPr>
            <w:tcW w:w="321" w:type="pct"/>
            <w:tcBorders>
              <w:top w:val="single" w:sz="12" w:space="0" w:color="auto"/>
              <w:left w:val="nil"/>
              <w:bottom w:val="single" w:sz="12" w:space="0" w:color="auto"/>
              <w:right w:val="nil"/>
            </w:tcBorders>
            <w:shd w:val="clear" w:color="auto" w:fill="BFBFBF" w:themeFill="background1" w:themeFillShade="BF"/>
            <w:noWrap/>
            <w:vAlign w:val="bottom"/>
            <w:hideMark/>
          </w:tcPr>
          <w:p w:rsidR="00AA5A3D" w:rsidRPr="00AA5A3D" w:rsidRDefault="00AA5A3D" w:rsidP="00AA5A3D">
            <w:pPr>
              <w:spacing w:after="0"/>
              <w:jc w:val="right"/>
              <w:rPr>
                <w:rFonts w:asciiTheme="majorBidi" w:hAnsiTheme="majorBidi" w:cstheme="majorBidi"/>
                <w:b/>
                <w:bCs/>
                <w:sz w:val="20"/>
                <w:szCs w:val="20"/>
              </w:rPr>
            </w:pPr>
            <w:r w:rsidRPr="00AA5A3D">
              <w:rPr>
                <w:rFonts w:asciiTheme="majorBidi" w:hAnsiTheme="majorBidi" w:cstheme="majorBidi"/>
                <w:b/>
                <w:bCs/>
                <w:sz w:val="20"/>
                <w:szCs w:val="20"/>
              </w:rPr>
              <w:t>120,4</w:t>
            </w:r>
          </w:p>
        </w:tc>
      </w:tr>
    </w:tbl>
    <w:p w:rsidR="00BB5DB3" w:rsidRPr="00483003" w:rsidRDefault="00BB5DB3" w:rsidP="00BB5DB3">
      <w:pPr>
        <w:pStyle w:val="Lgende"/>
        <w:rPr>
          <w:rFonts w:ascii="Times New Roman" w:hAnsi="Times New Roman"/>
          <w:i/>
          <w:iCs/>
          <w:sz w:val="22"/>
        </w:rPr>
      </w:pPr>
      <w:r w:rsidRPr="00483003">
        <w:rPr>
          <w:rFonts w:ascii="Times New Roman" w:hAnsi="Times New Roman"/>
          <w:i/>
          <w:iCs/>
          <w:sz w:val="22"/>
        </w:rPr>
        <w:t>Source : HCP</w:t>
      </w:r>
    </w:p>
    <w:p w:rsidR="00CF570A" w:rsidRPr="00E678BE" w:rsidRDefault="00CF570A" w:rsidP="00F7045D">
      <w:pPr>
        <w:rPr>
          <w:rFonts w:asciiTheme="majorBidi" w:hAnsiTheme="majorBidi" w:cstheme="majorBidi"/>
          <w:sz w:val="16"/>
          <w:szCs w:val="16"/>
        </w:rPr>
      </w:pPr>
    </w:p>
    <w:p w:rsidR="003A1EC8" w:rsidRPr="00E678BE" w:rsidRDefault="003A1EC8" w:rsidP="00993861">
      <w:pPr>
        <w:rPr>
          <w:rFonts w:asciiTheme="majorBidi" w:hAnsiTheme="majorBidi" w:cstheme="majorBidi"/>
          <w:sz w:val="16"/>
          <w:szCs w:val="16"/>
        </w:rPr>
      </w:pPr>
    </w:p>
    <w:sectPr w:rsidR="003A1EC8" w:rsidRPr="00E678BE" w:rsidSect="007B49E0">
      <w:pgSz w:w="11906" w:h="16838"/>
      <w:pgMar w:top="1701" w:right="1274"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FA6" w:rsidRDefault="00F46FA6" w:rsidP="009E2412">
      <w:pPr>
        <w:spacing w:after="0" w:line="240" w:lineRule="auto"/>
      </w:pPr>
      <w:r>
        <w:separator/>
      </w:r>
    </w:p>
  </w:endnote>
  <w:endnote w:type="continuationSeparator" w:id="0">
    <w:p w:rsidR="00F46FA6" w:rsidRDefault="00F46FA6" w:rsidP="009E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3688"/>
      <w:docPartObj>
        <w:docPartGallery w:val="Page Numbers (Bottom of Page)"/>
        <w:docPartUnique/>
      </w:docPartObj>
    </w:sdtPr>
    <w:sdtContent>
      <w:p w:rsidR="004328F8" w:rsidRDefault="004328F8">
        <w:pPr>
          <w:pStyle w:val="Pieddepage"/>
          <w:jc w:val="center"/>
        </w:pPr>
        <w:fldSimple w:instr=" PAGE   \* MERGEFORMAT ">
          <w:r w:rsidR="006C5E58">
            <w:rPr>
              <w:noProof/>
            </w:rPr>
            <w:t>8</w:t>
          </w:r>
        </w:fldSimple>
      </w:p>
    </w:sdtContent>
  </w:sdt>
  <w:p w:rsidR="004328F8" w:rsidRDefault="004328F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FA6" w:rsidRDefault="00F46FA6" w:rsidP="009E2412">
      <w:pPr>
        <w:spacing w:after="0" w:line="240" w:lineRule="auto"/>
      </w:pPr>
      <w:r>
        <w:separator/>
      </w:r>
    </w:p>
  </w:footnote>
  <w:footnote w:type="continuationSeparator" w:id="0">
    <w:p w:rsidR="00F46FA6" w:rsidRDefault="00F46FA6" w:rsidP="009E2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1E8"/>
    <w:multiLevelType w:val="hybridMultilevel"/>
    <w:tmpl w:val="48FC642C"/>
    <w:lvl w:ilvl="0" w:tplc="54163708">
      <w:start w:val="1"/>
      <w:numFmt w:val="bullet"/>
      <w:lvlText w:val="•"/>
      <w:lvlJc w:val="left"/>
      <w:pPr>
        <w:tabs>
          <w:tab w:val="num" w:pos="720"/>
        </w:tabs>
        <w:ind w:left="720" w:hanging="360"/>
      </w:pPr>
      <w:rPr>
        <w:rFonts w:ascii="Times New Roman" w:hAnsi="Times New Roman" w:hint="default"/>
      </w:rPr>
    </w:lvl>
    <w:lvl w:ilvl="1" w:tplc="9ED6199C" w:tentative="1">
      <w:start w:val="1"/>
      <w:numFmt w:val="bullet"/>
      <w:lvlText w:val="•"/>
      <w:lvlJc w:val="left"/>
      <w:pPr>
        <w:tabs>
          <w:tab w:val="num" w:pos="1440"/>
        </w:tabs>
        <w:ind w:left="1440" w:hanging="360"/>
      </w:pPr>
      <w:rPr>
        <w:rFonts w:ascii="Times New Roman" w:hAnsi="Times New Roman" w:hint="default"/>
      </w:rPr>
    </w:lvl>
    <w:lvl w:ilvl="2" w:tplc="EA9617E4" w:tentative="1">
      <w:start w:val="1"/>
      <w:numFmt w:val="bullet"/>
      <w:lvlText w:val="•"/>
      <w:lvlJc w:val="left"/>
      <w:pPr>
        <w:tabs>
          <w:tab w:val="num" w:pos="2160"/>
        </w:tabs>
        <w:ind w:left="2160" w:hanging="360"/>
      </w:pPr>
      <w:rPr>
        <w:rFonts w:ascii="Times New Roman" w:hAnsi="Times New Roman" w:hint="default"/>
      </w:rPr>
    </w:lvl>
    <w:lvl w:ilvl="3" w:tplc="DEF64512" w:tentative="1">
      <w:start w:val="1"/>
      <w:numFmt w:val="bullet"/>
      <w:lvlText w:val="•"/>
      <w:lvlJc w:val="left"/>
      <w:pPr>
        <w:tabs>
          <w:tab w:val="num" w:pos="2880"/>
        </w:tabs>
        <w:ind w:left="2880" w:hanging="360"/>
      </w:pPr>
      <w:rPr>
        <w:rFonts w:ascii="Times New Roman" w:hAnsi="Times New Roman" w:hint="default"/>
      </w:rPr>
    </w:lvl>
    <w:lvl w:ilvl="4" w:tplc="3B92BB68" w:tentative="1">
      <w:start w:val="1"/>
      <w:numFmt w:val="bullet"/>
      <w:lvlText w:val="•"/>
      <w:lvlJc w:val="left"/>
      <w:pPr>
        <w:tabs>
          <w:tab w:val="num" w:pos="3600"/>
        </w:tabs>
        <w:ind w:left="3600" w:hanging="360"/>
      </w:pPr>
      <w:rPr>
        <w:rFonts w:ascii="Times New Roman" w:hAnsi="Times New Roman" w:hint="default"/>
      </w:rPr>
    </w:lvl>
    <w:lvl w:ilvl="5" w:tplc="1A047BFC" w:tentative="1">
      <w:start w:val="1"/>
      <w:numFmt w:val="bullet"/>
      <w:lvlText w:val="•"/>
      <w:lvlJc w:val="left"/>
      <w:pPr>
        <w:tabs>
          <w:tab w:val="num" w:pos="4320"/>
        </w:tabs>
        <w:ind w:left="4320" w:hanging="360"/>
      </w:pPr>
      <w:rPr>
        <w:rFonts w:ascii="Times New Roman" w:hAnsi="Times New Roman" w:hint="default"/>
      </w:rPr>
    </w:lvl>
    <w:lvl w:ilvl="6" w:tplc="FD4AC50A" w:tentative="1">
      <w:start w:val="1"/>
      <w:numFmt w:val="bullet"/>
      <w:lvlText w:val="•"/>
      <w:lvlJc w:val="left"/>
      <w:pPr>
        <w:tabs>
          <w:tab w:val="num" w:pos="5040"/>
        </w:tabs>
        <w:ind w:left="5040" w:hanging="360"/>
      </w:pPr>
      <w:rPr>
        <w:rFonts w:ascii="Times New Roman" w:hAnsi="Times New Roman" w:hint="default"/>
      </w:rPr>
    </w:lvl>
    <w:lvl w:ilvl="7" w:tplc="907EAB4C" w:tentative="1">
      <w:start w:val="1"/>
      <w:numFmt w:val="bullet"/>
      <w:lvlText w:val="•"/>
      <w:lvlJc w:val="left"/>
      <w:pPr>
        <w:tabs>
          <w:tab w:val="num" w:pos="5760"/>
        </w:tabs>
        <w:ind w:left="5760" w:hanging="360"/>
      </w:pPr>
      <w:rPr>
        <w:rFonts w:ascii="Times New Roman" w:hAnsi="Times New Roman" w:hint="default"/>
      </w:rPr>
    </w:lvl>
    <w:lvl w:ilvl="8" w:tplc="29D0882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15B238D"/>
    <w:multiLevelType w:val="hybridMultilevel"/>
    <w:tmpl w:val="3A565988"/>
    <w:lvl w:ilvl="0" w:tplc="040C000F">
      <w:start w:val="1"/>
      <w:numFmt w:val="decimal"/>
      <w:lvlText w:val="%1."/>
      <w:lvlJc w:val="left"/>
      <w:pPr>
        <w:ind w:left="2844" w:hanging="360"/>
      </w:pPr>
    </w:lvl>
    <w:lvl w:ilvl="1" w:tplc="040C0019" w:tentative="1">
      <w:start w:val="1"/>
      <w:numFmt w:val="lowerLetter"/>
      <w:lvlText w:val="%2."/>
      <w:lvlJc w:val="left"/>
      <w:pPr>
        <w:ind w:left="3564" w:hanging="360"/>
      </w:pPr>
    </w:lvl>
    <w:lvl w:ilvl="2" w:tplc="040C001B" w:tentative="1">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abstractNum w:abstractNumId="2">
    <w:nsid w:val="06B32696"/>
    <w:multiLevelType w:val="hybridMultilevel"/>
    <w:tmpl w:val="D07CE020"/>
    <w:lvl w:ilvl="0" w:tplc="D90090E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B7224D"/>
    <w:multiLevelType w:val="hybridMultilevel"/>
    <w:tmpl w:val="54EE8FEC"/>
    <w:lvl w:ilvl="0" w:tplc="E44E3FA0">
      <w:start w:val="1"/>
      <w:numFmt w:val="bullet"/>
      <w:lvlText w:val="•"/>
      <w:lvlJc w:val="left"/>
      <w:pPr>
        <w:tabs>
          <w:tab w:val="num" w:pos="720"/>
        </w:tabs>
        <w:ind w:left="720" w:hanging="360"/>
      </w:pPr>
      <w:rPr>
        <w:rFonts w:ascii="Times New Roman" w:hAnsi="Times New Roman" w:hint="default"/>
      </w:rPr>
    </w:lvl>
    <w:lvl w:ilvl="1" w:tplc="5ADC051E" w:tentative="1">
      <w:start w:val="1"/>
      <w:numFmt w:val="bullet"/>
      <w:lvlText w:val="•"/>
      <w:lvlJc w:val="left"/>
      <w:pPr>
        <w:tabs>
          <w:tab w:val="num" w:pos="1440"/>
        </w:tabs>
        <w:ind w:left="1440" w:hanging="360"/>
      </w:pPr>
      <w:rPr>
        <w:rFonts w:ascii="Times New Roman" w:hAnsi="Times New Roman" w:hint="default"/>
      </w:rPr>
    </w:lvl>
    <w:lvl w:ilvl="2" w:tplc="C94C0DCE" w:tentative="1">
      <w:start w:val="1"/>
      <w:numFmt w:val="bullet"/>
      <w:lvlText w:val="•"/>
      <w:lvlJc w:val="left"/>
      <w:pPr>
        <w:tabs>
          <w:tab w:val="num" w:pos="2160"/>
        </w:tabs>
        <w:ind w:left="2160" w:hanging="360"/>
      </w:pPr>
      <w:rPr>
        <w:rFonts w:ascii="Times New Roman" w:hAnsi="Times New Roman" w:hint="default"/>
      </w:rPr>
    </w:lvl>
    <w:lvl w:ilvl="3" w:tplc="12385568" w:tentative="1">
      <w:start w:val="1"/>
      <w:numFmt w:val="bullet"/>
      <w:lvlText w:val="•"/>
      <w:lvlJc w:val="left"/>
      <w:pPr>
        <w:tabs>
          <w:tab w:val="num" w:pos="2880"/>
        </w:tabs>
        <w:ind w:left="2880" w:hanging="360"/>
      </w:pPr>
      <w:rPr>
        <w:rFonts w:ascii="Times New Roman" w:hAnsi="Times New Roman" w:hint="default"/>
      </w:rPr>
    </w:lvl>
    <w:lvl w:ilvl="4" w:tplc="07F824D2" w:tentative="1">
      <w:start w:val="1"/>
      <w:numFmt w:val="bullet"/>
      <w:lvlText w:val="•"/>
      <w:lvlJc w:val="left"/>
      <w:pPr>
        <w:tabs>
          <w:tab w:val="num" w:pos="3600"/>
        </w:tabs>
        <w:ind w:left="3600" w:hanging="360"/>
      </w:pPr>
      <w:rPr>
        <w:rFonts w:ascii="Times New Roman" w:hAnsi="Times New Roman" w:hint="default"/>
      </w:rPr>
    </w:lvl>
    <w:lvl w:ilvl="5" w:tplc="ED8239AC" w:tentative="1">
      <w:start w:val="1"/>
      <w:numFmt w:val="bullet"/>
      <w:lvlText w:val="•"/>
      <w:lvlJc w:val="left"/>
      <w:pPr>
        <w:tabs>
          <w:tab w:val="num" w:pos="4320"/>
        </w:tabs>
        <w:ind w:left="4320" w:hanging="360"/>
      </w:pPr>
      <w:rPr>
        <w:rFonts w:ascii="Times New Roman" w:hAnsi="Times New Roman" w:hint="default"/>
      </w:rPr>
    </w:lvl>
    <w:lvl w:ilvl="6" w:tplc="E86E4654" w:tentative="1">
      <w:start w:val="1"/>
      <w:numFmt w:val="bullet"/>
      <w:lvlText w:val="•"/>
      <w:lvlJc w:val="left"/>
      <w:pPr>
        <w:tabs>
          <w:tab w:val="num" w:pos="5040"/>
        </w:tabs>
        <w:ind w:left="5040" w:hanging="360"/>
      </w:pPr>
      <w:rPr>
        <w:rFonts w:ascii="Times New Roman" w:hAnsi="Times New Roman" w:hint="default"/>
      </w:rPr>
    </w:lvl>
    <w:lvl w:ilvl="7" w:tplc="5A140352" w:tentative="1">
      <w:start w:val="1"/>
      <w:numFmt w:val="bullet"/>
      <w:lvlText w:val="•"/>
      <w:lvlJc w:val="left"/>
      <w:pPr>
        <w:tabs>
          <w:tab w:val="num" w:pos="5760"/>
        </w:tabs>
        <w:ind w:left="5760" w:hanging="360"/>
      </w:pPr>
      <w:rPr>
        <w:rFonts w:ascii="Times New Roman" w:hAnsi="Times New Roman" w:hint="default"/>
      </w:rPr>
    </w:lvl>
    <w:lvl w:ilvl="8" w:tplc="DBFE4DFA" w:tentative="1">
      <w:start w:val="1"/>
      <w:numFmt w:val="bullet"/>
      <w:lvlText w:val="•"/>
      <w:lvlJc w:val="left"/>
      <w:pPr>
        <w:tabs>
          <w:tab w:val="num" w:pos="6480"/>
        </w:tabs>
        <w:ind w:left="6480" w:hanging="360"/>
      </w:pPr>
      <w:rPr>
        <w:rFonts w:ascii="Times New Roman" w:hAnsi="Times New Roman" w:hint="default"/>
      </w:rPr>
    </w:lvl>
  </w:abstractNum>
  <w:abstractNum w:abstractNumId="4">
    <w:nsid w:val="094A1294"/>
    <w:multiLevelType w:val="hybridMultilevel"/>
    <w:tmpl w:val="DDE08B82"/>
    <w:lvl w:ilvl="0" w:tplc="6290CE8C">
      <w:start w:val="1"/>
      <w:numFmt w:val="bullet"/>
      <w:lvlText w:val="•"/>
      <w:lvlJc w:val="left"/>
      <w:pPr>
        <w:tabs>
          <w:tab w:val="num" w:pos="720"/>
        </w:tabs>
        <w:ind w:left="720" w:hanging="360"/>
      </w:pPr>
      <w:rPr>
        <w:rFonts w:ascii="Times New Roman" w:hAnsi="Times New Roman" w:hint="default"/>
      </w:rPr>
    </w:lvl>
    <w:lvl w:ilvl="1" w:tplc="59767266" w:tentative="1">
      <w:start w:val="1"/>
      <w:numFmt w:val="bullet"/>
      <w:lvlText w:val="•"/>
      <w:lvlJc w:val="left"/>
      <w:pPr>
        <w:tabs>
          <w:tab w:val="num" w:pos="1440"/>
        </w:tabs>
        <w:ind w:left="1440" w:hanging="360"/>
      </w:pPr>
      <w:rPr>
        <w:rFonts w:ascii="Times New Roman" w:hAnsi="Times New Roman" w:hint="default"/>
      </w:rPr>
    </w:lvl>
    <w:lvl w:ilvl="2" w:tplc="15E07180" w:tentative="1">
      <w:start w:val="1"/>
      <w:numFmt w:val="bullet"/>
      <w:lvlText w:val="•"/>
      <w:lvlJc w:val="left"/>
      <w:pPr>
        <w:tabs>
          <w:tab w:val="num" w:pos="2160"/>
        </w:tabs>
        <w:ind w:left="2160" w:hanging="360"/>
      </w:pPr>
      <w:rPr>
        <w:rFonts w:ascii="Times New Roman" w:hAnsi="Times New Roman" w:hint="default"/>
      </w:rPr>
    </w:lvl>
    <w:lvl w:ilvl="3" w:tplc="D64CA070" w:tentative="1">
      <w:start w:val="1"/>
      <w:numFmt w:val="bullet"/>
      <w:lvlText w:val="•"/>
      <w:lvlJc w:val="left"/>
      <w:pPr>
        <w:tabs>
          <w:tab w:val="num" w:pos="2880"/>
        </w:tabs>
        <w:ind w:left="2880" w:hanging="360"/>
      </w:pPr>
      <w:rPr>
        <w:rFonts w:ascii="Times New Roman" w:hAnsi="Times New Roman" w:hint="default"/>
      </w:rPr>
    </w:lvl>
    <w:lvl w:ilvl="4" w:tplc="61C65402" w:tentative="1">
      <w:start w:val="1"/>
      <w:numFmt w:val="bullet"/>
      <w:lvlText w:val="•"/>
      <w:lvlJc w:val="left"/>
      <w:pPr>
        <w:tabs>
          <w:tab w:val="num" w:pos="3600"/>
        </w:tabs>
        <w:ind w:left="3600" w:hanging="360"/>
      </w:pPr>
      <w:rPr>
        <w:rFonts w:ascii="Times New Roman" w:hAnsi="Times New Roman" w:hint="default"/>
      </w:rPr>
    </w:lvl>
    <w:lvl w:ilvl="5" w:tplc="3F6214C2" w:tentative="1">
      <w:start w:val="1"/>
      <w:numFmt w:val="bullet"/>
      <w:lvlText w:val="•"/>
      <w:lvlJc w:val="left"/>
      <w:pPr>
        <w:tabs>
          <w:tab w:val="num" w:pos="4320"/>
        </w:tabs>
        <w:ind w:left="4320" w:hanging="360"/>
      </w:pPr>
      <w:rPr>
        <w:rFonts w:ascii="Times New Roman" w:hAnsi="Times New Roman" w:hint="default"/>
      </w:rPr>
    </w:lvl>
    <w:lvl w:ilvl="6" w:tplc="99C23408" w:tentative="1">
      <w:start w:val="1"/>
      <w:numFmt w:val="bullet"/>
      <w:lvlText w:val="•"/>
      <w:lvlJc w:val="left"/>
      <w:pPr>
        <w:tabs>
          <w:tab w:val="num" w:pos="5040"/>
        </w:tabs>
        <w:ind w:left="5040" w:hanging="360"/>
      </w:pPr>
      <w:rPr>
        <w:rFonts w:ascii="Times New Roman" w:hAnsi="Times New Roman" w:hint="default"/>
      </w:rPr>
    </w:lvl>
    <w:lvl w:ilvl="7" w:tplc="6CC2DD84" w:tentative="1">
      <w:start w:val="1"/>
      <w:numFmt w:val="bullet"/>
      <w:lvlText w:val="•"/>
      <w:lvlJc w:val="left"/>
      <w:pPr>
        <w:tabs>
          <w:tab w:val="num" w:pos="5760"/>
        </w:tabs>
        <w:ind w:left="5760" w:hanging="360"/>
      </w:pPr>
      <w:rPr>
        <w:rFonts w:ascii="Times New Roman" w:hAnsi="Times New Roman" w:hint="default"/>
      </w:rPr>
    </w:lvl>
    <w:lvl w:ilvl="8" w:tplc="B3C400EE" w:tentative="1">
      <w:start w:val="1"/>
      <w:numFmt w:val="bullet"/>
      <w:lvlText w:val="•"/>
      <w:lvlJc w:val="left"/>
      <w:pPr>
        <w:tabs>
          <w:tab w:val="num" w:pos="6480"/>
        </w:tabs>
        <w:ind w:left="6480" w:hanging="360"/>
      </w:pPr>
      <w:rPr>
        <w:rFonts w:ascii="Times New Roman" w:hAnsi="Times New Roman" w:hint="default"/>
      </w:rPr>
    </w:lvl>
  </w:abstractNum>
  <w:abstractNum w:abstractNumId="5">
    <w:nsid w:val="0A075140"/>
    <w:multiLevelType w:val="hybridMultilevel"/>
    <w:tmpl w:val="7398FB8A"/>
    <w:lvl w:ilvl="0" w:tplc="9ECED240">
      <w:start w:val="1"/>
      <w:numFmt w:val="bullet"/>
      <w:lvlText w:val="•"/>
      <w:lvlJc w:val="left"/>
      <w:pPr>
        <w:tabs>
          <w:tab w:val="num" w:pos="720"/>
        </w:tabs>
        <w:ind w:left="720" w:hanging="360"/>
      </w:pPr>
      <w:rPr>
        <w:rFonts w:ascii="Times New Roman" w:hAnsi="Times New Roman" w:hint="default"/>
      </w:rPr>
    </w:lvl>
    <w:lvl w:ilvl="1" w:tplc="804A1BE4" w:tentative="1">
      <w:start w:val="1"/>
      <w:numFmt w:val="bullet"/>
      <w:lvlText w:val="•"/>
      <w:lvlJc w:val="left"/>
      <w:pPr>
        <w:tabs>
          <w:tab w:val="num" w:pos="1440"/>
        </w:tabs>
        <w:ind w:left="1440" w:hanging="360"/>
      </w:pPr>
      <w:rPr>
        <w:rFonts w:ascii="Times New Roman" w:hAnsi="Times New Roman" w:hint="default"/>
      </w:rPr>
    </w:lvl>
    <w:lvl w:ilvl="2" w:tplc="4E22D4D4" w:tentative="1">
      <w:start w:val="1"/>
      <w:numFmt w:val="bullet"/>
      <w:lvlText w:val="•"/>
      <w:lvlJc w:val="left"/>
      <w:pPr>
        <w:tabs>
          <w:tab w:val="num" w:pos="2160"/>
        </w:tabs>
        <w:ind w:left="2160" w:hanging="360"/>
      </w:pPr>
      <w:rPr>
        <w:rFonts w:ascii="Times New Roman" w:hAnsi="Times New Roman" w:hint="default"/>
      </w:rPr>
    </w:lvl>
    <w:lvl w:ilvl="3" w:tplc="81A8A4E0" w:tentative="1">
      <w:start w:val="1"/>
      <w:numFmt w:val="bullet"/>
      <w:lvlText w:val="•"/>
      <w:lvlJc w:val="left"/>
      <w:pPr>
        <w:tabs>
          <w:tab w:val="num" w:pos="2880"/>
        </w:tabs>
        <w:ind w:left="2880" w:hanging="360"/>
      </w:pPr>
      <w:rPr>
        <w:rFonts w:ascii="Times New Roman" w:hAnsi="Times New Roman" w:hint="default"/>
      </w:rPr>
    </w:lvl>
    <w:lvl w:ilvl="4" w:tplc="C06A42AC" w:tentative="1">
      <w:start w:val="1"/>
      <w:numFmt w:val="bullet"/>
      <w:lvlText w:val="•"/>
      <w:lvlJc w:val="left"/>
      <w:pPr>
        <w:tabs>
          <w:tab w:val="num" w:pos="3600"/>
        </w:tabs>
        <w:ind w:left="3600" w:hanging="360"/>
      </w:pPr>
      <w:rPr>
        <w:rFonts w:ascii="Times New Roman" w:hAnsi="Times New Roman" w:hint="default"/>
      </w:rPr>
    </w:lvl>
    <w:lvl w:ilvl="5" w:tplc="2F8A2E68" w:tentative="1">
      <w:start w:val="1"/>
      <w:numFmt w:val="bullet"/>
      <w:lvlText w:val="•"/>
      <w:lvlJc w:val="left"/>
      <w:pPr>
        <w:tabs>
          <w:tab w:val="num" w:pos="4320"/>
        </w:tabs>
        <w:ind w:left="4320" w:hanging="360"/>
      </w:pPr>
      <w:rPr>
        <w:rFonts w:ascii="Times New Roman" w:hAnsi="Times New Roman" w:hint="default"/>
      </w:rPr>
    </w:lvl>
    <w:lvl w:ilvl="6" w:tplc="CDE43400" w:tentative="1">
      <w:start w:val="1"/>
      <w:numFmt w:val="bullet"/>
      <w:lvlText w:val="•"/>
      <w:lvlJc w:val="left"/>
      <w:pPr>
        <w:tabs>
          <w:tab w:val="num" w:pos="5040"/>
        </w:tabs>
        <w:ind w:left="5040" w:hanging="360"/>
      </w:pPr>
      <w:rPr>
        <w:rFonts w:ascii="Times New Roman" w:hAnsi="Times New Roman" w:hint="default"/>
      </w:rPr>
    </w:lvl>
    <w:lvl w:ilvl="7" w:tplc="2D86FDFC" w:tentative="1">
      <w:start w:val="1"/>
      <w:numFmt w:val="bullet"/>
      <w:lvlText w:val="•"/>
      <w:lvlJc w:val="left"/>
      <w:pPr>
        <w:tabs>
          <w:tab w:val="num" w:pos="5760"/>
        </w:tabs>
        <w:ind w:left="5760" w:hanging="360"/>
      </w:pPr>
      <w:rPr>
        <w:rFonts w:ascii="Times New Roman" w:hAnsi="Times New Roman" w:hint="default"/>
      </w:rPr>
    </w:lvl>
    <w:lvl w:ilvl="8" w:tplc="4CD8610E" w:tentative="1">
      <w:start w:val="1"/>
      <w:numFmt w:val="bullet"/>
      <w:lvlText w:val="•"/>
      <w:lvlJc w:val="left"/>
      <w:pPr>
        <w:tabs>
          <w:tab w:val="num" w:pos="6480"/>
        </w:tabs>
        <w:ind w:left="6480" w:hanging="360"/>
      </w:pPr>
      <w:rPr>
        <w:rFonts w:ascii="Times New Roman" w:hAnsi="Times New Roman" w:hint="default"/>
      </w:rPr>
    </w:lvl>
  </w:abstractNum>
  <w:abstractNum w:abstractNumId="6">
    <w:nsid w:val="0E324A5F"/>
    <w:multiLevelType w:val="hybridMultilevel"/>
    <w:tmpl w:val="D244189C"/>
    <w:lvl w:ilvl="0" w:tplc="86E8E5C6">
      <w:start w:val="1"/>
      <w:numFmt w:val="bullet"/>
      <w:lvlText w:val="•"/>
      <w:lvlJc w:val="left"/>
      <w:pPr>
        <w:tabs>
          <w:tab w:val="num" w:pos="720"/>
        </w:tabs>
        <w:ind w:left="720" w:hanging="360"/>
      </w:pPr>
      <w:rPr>
        <w:rFonts w:ascii="Times New Roman" w:hAnsi="Times New Roman" w:hint="default"/>
      </w:rPr>
    </w:lvl>
    <w:lvl w:ilvl="1" w:tplc="79180C5E" w:tentative="1">
      <w:start w:val="1"/>
      <w:numFmt w:val="bullet"/>
      <w:lvlText w:val="•"/>
      <w:lvlJc w:val="left"/>
      <w:pPr>
        <w:tabs>
          <w:tab w:val="num" w:pos="1440"/>
        </w:tabs>
        <w:ind w:left="1440" w:hanging="360"/>
      </w:pPr>
      <w:rPr>
        <w:rFonts w:ascii="Times New Roman" w:hAnsi="Times New Roman" w:hint="default"/>
      </w:rPr>
    </w:lvl>
    <w:lvl w:ilvl="2" w:tplc="DE38CB02" w:tentative="1">
      <w:start w:val="1"/>
      <w:numFmt w:val="bullet"/>
      <w:lvlText w:val="•"/>
      <w:lvlJc w:val="left"/>
      <w:pPr>
        <w:tabs>
          <w:tab w:val="num" w:pos="2160"/>
        </w:tabs>
        <w:ind w:left="2160" w:hanging="360"/>
      </w:pPr>
      <w:rPr>
        <w:rFonts w:ascii="Times New Roman" w:hAnsi="Times New Roman" w:hint="default"/>
      </w:rPr>
    </w:lvl>
    <w:lvl w:ilvl="3" w:tplc="8A546018" w:tentative="1">
      <w:start w:val="1"/>
      <w:numFmt w:val="bullet"/>
      <w:lvlText w:val="•"/>
      <w:lvlJc w:val="left"/>
      <w:pPr>
        <w:tabs>
          <w:tab w:val="num" w:pos="2880"/>
        </w:tabs>
        <w:ind w:left="2880" w:hanging="360"/>
      </w:pPr>
      <w:rPr>
        <w:rFonts w:ascii="Times New Roman" w:hAnsi="Times New Roman" w:hint="default"/>
      </w:rPr>
    </w:lvl>
    <w:lvl w:ilvl="4" w:tplc="012EA23E" w:tentative="1">
      <w:start w:val="1"/>
      <w:numFmt w:val="bullet"/>
      <w:lvlText w:val="•"/>
      <w:lvlJc w:val="left"/>
      <w:pPr>
        <w:tabs>
          <w:tab w:val="num" w:pos="3600"/>
        </w:tabs>
        <w:ind w:left="3600" w:hanging="360"/>
      </w:pPr>
      <w:rPr>
        <w:rFonts w:ascii="Times New Roman" w:hAnsi="Times New Roman" w:hint="default"/>
      </w:rPr>
    </w:lvl>
    <w:lvl w:ilvl="5" w:tplc="B7E2EFD0" w:tentative="1">
      <w:start w:val="1"/>
      <w:numFmt w:val="bullet"/>
      <w:lvlText w:val="•"/>
      <w:lvlJc w:val="left"/>
      <w:pPr>
        <w:tabs>
          <w:tab w:val="num" w:pos="4320"/>
        </w:tabs>
        <w:ind w:left="4320" w:hanging="360"/>
      </w:pPr>
      <w:rPr>
        <w:rFonts w:ascii="Times New Roman" w:hAnsi="Times New Roman" w:hint="default"/>
      </w:rPr>
    </w:lvl>
    <w:lvl w:ilvl="6" w:tplc="838AE8F6" w:tentative="1">
      <w:start w:val="1"/>
      <w:numFmt w:val="bullet"/>
      <w:lvlText w:val="•"/>
      <w:lvlJc w:val="left"/>
      <w:pPr>
        <w:tabs>
          <w:tab w:val="num" w:pos="5040"/>
        </w:tabs>
        <w:ind w:left="5040" w:hanging="360"/>
      </w:pPr>
      <w:rPr>
        <w:rFonts w:ascii="Times New Roman" w:hAnsi="Times New Roman" w:hint="default"/>
      </w:rPr>
    </w:lvl>
    <w:lvl w:ilvl="7" w:tplc="C49E958E" w:tentative="1">
      <w:start w:val="1"/>
      <w:numFmt w:val="bullet"/>
      <w:lvlText w:val="•"/>
      <w:lvlJc w:val="left"/>
      <w:pPr>
        <w:tabs>
          <w:tab w:val="num" w:pos="5760"/>
        </w:tabs>
        <w:ind w:left="5760" w:hanging="360"/>
      </w:pPr>
      <w:rPr>
        <w:rFonts w:ascii="Times New Roman" w:hAnsi="Times New Roman" w:hint="default"/>
      </w:rPr>
    </w:lvl>
    <w:lvl w:ilvl="8" w:tplc="FD2E5492" w:tentative="1">
      <w:start w:val="1"/>
      <w:numFmt w:val="bullet"/>
      <w:lvlText w:val="•"/>
      <w:lvlJc w:val="left"/>
      <w:pPr>
        <w:tabs>
          <w:tab w:val="num" w:pos="6480"/>
        </w:tabs>
        <w:ind w:left="6480" w:hanging="360"/>
      </w:pPr>
      <w:rPr>
        <w:rFonts w:ascii="Times New Roman" w:hAnsi="Times New Roman" w:hint="default"/>
      </w:rPr>
    </w:lvl>
  </w:abstractNum>
  <w:abstractNum w:abstractNumId="7">
    <w:nsid w:val="10E968BD"/>
    <w:multiLevelType w:val="hybridMultilevel"/>
    <w:tmpl w:val="B324F09A"/>
    <w:lvl w:ilvl="0" w:tplc="CD68A0AE">
      <w:start w:val="1"/>
      <w:numFmt w:val="bullet"/>
      <w:lvlText w:val="•"/>
      <w:lvlJc w:val="left"/>
      <w:pPr>
        <w:tabs>
          <w:tab w:val="num" w:pos="720"/>
        </w:tabs>
        <w:ind w:left="720" w:hanging="360"/>
      </w:pPr>
      <w:rPr>
        <w:rFonts w:ascii="Times New Roman" w:hAnsi="Times New Roman" w:hint="default"/>
      </w:rPr>
    </w:lvl>
    <w:lvl w:ilvl="1" w:tplc="A6F0DD9A" w:tentative="1">
      <w:start w:val="1"/>
      <w:numFmt w:val="bullet"/>
      <w:lvlText w:val="•"/>
      <w:lvlJc w:val="left"/>
      <w:pPr>
        <w:tabs>
          <w:tab w:val="num" w:pos="1440"/>
        </w:tabs>
        <w:ind w:left="1440" w:hanging="360"/>
      </w:pPr>
      <w:rPr>
        <w:rFonts w:ascii="Times New Roman" w:hAnsi="Times New Roman" w:hint="default"/>
      </w:rPr>
    </w:lvl>
    <w:lvl w:ilvl="2" w:tplc="D62E4654" w:tentative="1">
      <w:start w:val="1"/>
      <w:numFmt w:val="bullet"/>
      <w:lvlText w:val="•"/>
      <w:lvlJc w:val="left"/>
      <w:pPr>
        <w:tabs>
          <w:tab w:val="num" w:pos="2160"/>
        </w:tabs>
        <w:ind w:left="2160" w:hanging="360"/>
      </w:pPr>
      <w:rPr>
        <w:rFonts w:ascii="Times New Roman" w:hAnsi="Times New Roman" w:hint="default"/>
      </w:rPr>
    </w:lvl>
    <w:lvl w:ilvl="3" w:tplc="648A6B74" w:tentative="1">
      <w:start w:val="1"/>
      <w:numFmt w:val="bullet"/>
      <w:lvlText w:val="•"/>
      <w:lvlJc w:val="left"/>
      <w:pPr>
        <w:tabs>
          <w:tab w:val="num" w:pos="2880"/>
        </w:tabs>
        <w:ind w:left="2880" w:hanging="360"/>
      </w:pPr>
      <w:rPr>
        <w:rFonts w:ascii="Times New Roman" w:hAnsi="Times New Roman" w:hint="default"/>
      </w:rPr>
    </w:lvl>
    <w:lvl w:ilvl="4" w:tplc="D8A6D514" w:tentative="1">
      <w:start w:val="1"/>
      <w:numFmt w:val="bullet"/>
      <w:lvlText w:val="•"/>
      <w:lvlJc w:val="left"/>
      <w:pPr>
        <w:tabs>
          <w:tab w:val="num" w:pos="3600"/>
        </w:tabs>
        <w:ind w:left="3600" w:hanging="360"/>
      </w:pPr>
      <w:rPr>
        <w:rFonts w:ascii="Times New Roman" w:hAnsi="Times New Roman" w:hint="default"/>
      </w:rPr>
    </w:lvl>
    <w:lvl w:ilvl="5" w:tplc="0E4E1DE6" w:tentative="1">
      <w:start w:val="1"/>
      <w:numFmt w:val="bullet"/>
      <w:lvlText w:val="•"/>
      <w:lvlJc w:val="left"/>
      <w:pPr>
        <w:tabs>
          <w:tab w:val="num" w:pos="4320"/>
        </w:tabs>
        <w:ind w:left="4320" w:hanging="360"/>
      </w:pPr>
      <w:rPr>
        <w:rFonts w:ascii="Times New Roman" w:hAnsi="Times New Roman" w:hint="default"/>
      </w:rPr>
    </w:lvl>
    <w:lvl w:ilvl="6" w:tplc="53CE93B6" w:tentative="1">
      <w:start w:val="1"/>
      <w:numFmt w:val="bullet"/>
      <w:lvlText w:val="•"/>
      <w:lvlJc w:val="left"/>
      <w:pPr>
        <w:tabs>
          <w:tab w:val="num" w:pos="5040"/>
        </w:tabs>
        <w:ind w:left="5040" w:hanging="360"/>
      </w:pPr>
      <w:rPr>
        <w:rFonts w:ascii="Times New Roman" w:hAnsi="Times New Roman" w:hint="default"/>
      </w:rPr>
    </w:lvl>
    <w:lvl w:ilvl="7" w:tplc="18E8C376" w:tentative="1">
      <w:start w:val="1"/>
      <w:numFmt w:val="bullet"/>
      <w:lvlText w:val="•"/>
      <w:lvlJc w:val="left"/>
      <w:pPr>
        <w:tabs>
          <w:tab w:val="num" w:pos="5760"/>
        </w:tabs>
        <w:ind w:left="5760" w:hanging="360"/>
      </w:pPr>
      <w:rPr>
        <w:rFonts w:ascii="Times New Roman" w:hAnsi="Times New Roman" w:hint="default"/>
      </w:rPr>
    </w:lvl>
    <w:lvl w:ilvl="8" w:tplc="3D86B0F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7461C22"/>
    <w:multiLevelType w:val="hybridMultilevel"/>
    <w:tmpl w:val="EF0C62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DA92358"/>
    <w:multiLevelType w:val="hybridMultilevel"/>
    <w:tmpl w:val="29A051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E3D42BD"/>
    <w:multiLevelType w:val="hybridMultilevel"/>
    <w:tmpl w:val="265C18FA"/>
    <w:lvl w:ilvl="0" w:tplc="7B226320">
      <w:start w:val="1"/>
      <w:numFmt w:val="bullet"/>
      <w:lvlText w:val="•"/>
      <w:lvlJc w:val="left"/>
      <w:pPr>
        <w:tabs>
          <w:tab w:val="num" w:pos="720"/>
        </w:tabs>
        <w:ind w:left="720" w:hanging="360"/>
      </w:pPr>
      <w:rPr>
        <w:rFonts w:ascii="Times New Roman" w:hAnsi="Times New Roman" w:hint="default"/>
      </w:rPr>
    </w:lvl>
    <w:lvl w:ilvl="1" w:tplc="5E100384" w:tentative="1">
      <w:start w:val="1"/>
      <w:numFmt w:val="bullet"/>
      <w:lvlText w:val="•"/>
      <w:lvlJc w:val="left"/>
      <w:pPr>
        <w:tabs>
          <w:tab w:val="num" w:pos="1440"/>
        </w:tabs>
        <w:ind w:left="1440" w:hanging="360"/>
      </w:pPr>
      <w:rPr>
        <w:rFonts w:ascii="Times New Roman" w:hAnsi="Times New Roman" w:hint="default"/>
      </w:rPr>
    </w:lvl>
    <w:lvl w:ilvl="2" w:tplc="61E889F4" w:tentative="1">
      <w:start w:val="1"/>
      <w:numFmt w:val="bullet"/>
      <w:lvlText w:val="•"/>
      <w:lvlJc w:val="left"/>
      <w:pPr>
        <w:tabs>
          <w:tab w:val="num" w:pos="2160"/>
        </w:tabs>
        <w:ind w:left="2160" w:hanging="360"/>
      </w:pPr>
      <w:rPr>
        <w:rFonts w:ascii="Times New Roman" w:hAnsi="Times New Roman" w:hint="default"/>
      </w:rPr>
    </w:lvl>
    <w:lvl w:ilvl="3" w:tplc="BCCA485A" w:tentative="1">
      <w:start w:val="1"/>
      <w:numFmt w:val="bullet"/>
      <w:lvlText w:val="•"/>
      <w:lvlJc w:val="left"/>
      <w:pPr>
        <w:tabs>
          <w:tab w:val="num" w:pos="2880"/>
        </w:tabs>
        <w:ind w:left="2880" w:hanging="360"/>
      </w:pPr>
      <w:rPr>
        <w:rFonts w:ascii="Times New Roman" w:hAnsi="Times New Roman" w:hint="default"/>
      </w:rPr>
    </w:lvl>
    <w:lvl w:ilvl="4" w:tplc="176C09B2" w:tentative="1">
      <w:start w:val="1"/>
      <w:numFmt w:val="bullet"/>
      <w:lvlText w:val="•"/>
      <w:lvlJc w:val="left"/>
      <w:pPr>
        <w:tabs>
          <w:tab w:val="num" w:pos="3600"/>
        </w:tabs>
        <w:ind w:left="3600" w:hanging="360"/>
      </w:pPr>
      <w:rPr>
        <w:rFonts w:ascii="Times New Roman" w:hAnsi="Times New Roman" w:hint="default"/>
      </w:rPr>
    </w:lvl>
    <w:lvl w:ilvl="5" w:tplc="6A0A7342" w:tentative="1">
      <w:start w:val="1"/>
      <w:numFmt w:val="bullet"/>
      <w:lvlText w:val="•"/>
      <w:lvlJc w:val="left"/>
      <w:pPr>
        <w:tabs>
          <w:tab w:val="num" w:pos="4320"/>
        </w:tabs>
        <w:ind w:left="4320" w:hanging="360"/>
      </w:pPr>
      <w:rPr>
        <w:rFonts w:ascii="Times New Roman" w:hAnsi="Times New Roman" w:hint="default"/>
      </w:rPr>
    </w:lvl>
    <w:lvl w:ilvl="6" w:tplc="30220956" w:tentative="1">
      <w:start w:val="1"/>
      <w:numFmt w:val="bullet"/>
      <w:lvlText w:val="•"/>
      <w:lvlJc w:val="left"/>
      <w:pPr>
        <w:tabs>
          <w:tab w:val="num" w:pos="5040"/>
        </w:tabs>
        <w:ind w:left="5040" w:hanging="360"/>
      </w:pPr>
      <w:rPr>
        <w:rFonts w:ascii="Times New Roman" w:hAnsi="Times New Roman" w:hint="default"/>
      </w:rPr>
    </w:lvl>
    <w:lvl w:ilvl="7" w:tplc="948E8CBA" w:tentative="1">
      <w:start w:val="1"/>
      <w:numFmt w:val="bullet"/>
      <w:lvlText w:val="•"/>
      <w:lvlJc w:val="left"/>
      <w:pPr>
        <w:tabs>
          <w:tab w:val="num" w:pos="5760"/>
        </w:tabs>
        <w:ind w:left="5760" w:hanging="360"/>
      </w:pPr>
      <w:rPr>
        <w:rFonts w:ascii="Times New Roman" w:hAnsi="Times New Roman" w:hint="default"/>
      </w:rPr>
    </w:lvl>
    <w:lvl w:ilvl="8" w:tplc="4776D62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26D5890"/>
    <w:multiLevelType w:val="hybridMultilevel"/>
    <w:tmpl w:val="9C34DCE8"/>
    <w:lvl w:ilvl="0" w:tplc="C4186F3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33A2436"/>
    <w:multiLevelType w:val="hybridMultilevel"/>
    <w:tmpl w:val="E93EA35C"/>
    <w:lvl w:ilvl="0" w:tplc="73EEE5F0">
      <w:start w:val="1"/>
      <w:numFmt w:val="bullet"/>
      <w:lvlText w:val="•"/>
      <w:lvlJc w:val="left"/>
      <w:pPr>
        <w:tabs>
          <w:tab w:val="num" w:pos="720"/>
        </w:tabs>
        <w:ind w:left="720" w:hanging="360"/>
      </w:pPr>
      <w:rPr>
        <w:rFonts w:ascii="Times New Roman" w:hAnsi="Times New Roman" w:hint="default"/>
      </w:rPr>
    </w:lvl>
    <w:lvl w:ilvl="1" w:tplc="B5784D38" w:tentative="1">
      <w:start w:val="1"/>
      <w:numFmt w:val="bullet"/>
      <w:lvlText w:val="•"/>
      <w:lvlJc w:val="left"/>
      <w:pPr>
        <w:tabs>
          <w:tab w:val="num" w:pos="1440"/>
        </w:tabs>
        <w:ind w:left="1440" w:hanging="360"/>
      </w:pPr>
      <w:rPr>
        <w:rFonts w:ascii="Times New Roman" w:hAnsi="Times New Roman" w:hint="default"/>
      </w:rPr>
    </w:lvl>
    <w:lvl w:ilvl="2" w:tplc="EF1ED054" w:tentative="1">
      <w:start w:val="1"/>
      <w:numFmt w:val="bullet"/>
      <w:lvlText w:val="•"/>
      <w:lvlJc w:val="left"/>
      <w:pPr>
        <w:tabs>
          <w:tab w:val="num" w:pos="2160"/>
        </w:tabs>
        <w:ind w:left="2160" w:hanging="360"/>
      </w:pPr>
      <w:rPr>
        <w:rFonts w:ascii="Times New Roman" w:hAnsi="Times New Roman" w:hint="default"/>
      </w:rPr>
    </w:lvl>
    <w:lvl w:ilvl="3" w:tplc="BEF09DAA" w:tentative="1">
      <w:start w:val="1"/>
      <w:numFmt w:val="bullet"/>
      <w:lvlText w:val="•"/>
      <w:lvlJc w:val="left"/>
      <w:pPr>
        <w:tabs>
          <w:tab w:val="num" w:pos="2880"/>
        </w:tabs>
        <w:ind w:left="2880" w:hanging="360"/>
      </w:pPr>
      <w:rPr>
        <w:rFonts w:ascii="Times New Roman" w:hAnsi="Times New Roman" w:hint="default"/>
      </w:rPr>
    </w:lvl>
    <w:lvl w:ilvl="4" w:tplc="1E0879F2" w:tentative="1">
      <w:start w:val="1"/>
      <w:numFmt w:val="bullet"/>
      <w:lvlText w:val="•"/>
      <w:lvlJc w:val="left"/>
      <w:pPr>
        <w:tabs>
          <w:tab w:val="num" w:pos="3600"/>
        </w:tabs>
        <w:ind w:left="3600" w:hanging="360"/>
      </w:pPr>
      <w:rPr>
        <w:rFonts w:ascii="Times New Roman" w:hAnsi="Times New Roman" w:hint="default"/>
      </w:rPr>
    </w:lvl>
    <w:lvl w:ilvl="5" w:tplc="95F42478" w:tentative="1">
      <w:start w:val="1"/>
      <w:numFmt w:val="bullet"/>
      <w:lvlText w:val="•"/>
      <w:lvlJc w:val="left"/>
      <w:pPr>
        <w:tabs>
          <w:tab w:val="num" w:pos="4320"/>
        </w:tabs>
        <w:ind w:left="4320" w:hanging="360"/>
      </w:pPr>
      <w:rPr>
        <w:rFonts w:ascii="Times New Roman" w:hAnsi="Times New Roman" w:hint="default"/>
      </w:rPr>
    </w:lvl>
    <w:lvl w:ilvl="6" w:tplc="9CD8A958" w:tentative="1">
      <w:start w:val="1"/>
      <w:numFmt w:val="bullet"/>
      <w:lvlText w:val="•"/>
      <w:lvlJc w:val="left"/>
      <w:pPr>
        <w:tabs>
          <w:tab w:val="num" w:pos="5040"/>
        </w:tabs>
        <w:ind w:left="5040" w:hanging="360"/>
      </w:pPr>
      <w:rPr>
        <w:rFonts w:ascii="Times New Roman" w:hAnsi="Times New Roman" w:hint="default"/>
      </w:rPr>
    </w:lvl>
    <w:lvl w:ilvl="7" w:tplc="06C4EF2A" w:tentative="1">
      <w:start w:val="1"/>
      <w:numFmt w:val="bullet"/>
      <w:lvlText w:val="•"/>
      <w:lvlJc w:val="left"/>
      <w:pPr>
        <w:tabs>
          <w:tab w:val="num" w:pos="5760"/>
        </w:tabs>
        <w:ind w:left="5760" w:hanging="360"/>
      </w:pPr>
      <w:rPr>
        <w:rFonts w:ascii="Times New Roman" w:hAnsi="Times New Roman" w:hint="default"/>
      </w:rPr>
    </w:lvl>
    <w:lvl w:ilvl="8" w:tplc="A498003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5D469F9"/>
    <w:multiLevelType w:val="hybridMultilevel"/>
    <w:tmpl w:val="F81CE536"/>
    <w:lvl w:ilvl="0" w:tplc="40A422EA">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61A6D21"/>
    <w:multiLevelType w:val="hybridMultilevel"/>
    <w:tmpl w:val="A9F49E7C"/>
    <w:lvl w:ilvl="0" w:tplc="9878E414">
      <w:start w:val="1"/>
      <w:numFmt w:val="bullet"/>
      <w:lvlText w:val="•"/>
      <w:lvlJc w:val="left"/>
      <w:pPr>
        <w:tabs>
          <w:tab w:val="num" w:pos="720"/>
        </w:tabs>
        <w:ind w:left="720" w:hanging="360"/>
      </w:pPr>
      <w:rPr>
        <w:rFonts w:ascii="Times New Roman" w:hAnsi="Times New Roman" w:hint="default"/>
      </w:rPr>
    </w:lvl>
    <w:lvl w:ilvl="1" w:tplc="652CABA8" w:tentative="1">
      <w:start w:val="1"/>
      <w:numFmt w:val="bullet"/>
      <w:lvlText w:val="•"/>
      <w:lvlJc w:val="left"/>
      <w:pPr>
        <w:tabs>
          <w:tab w:val="num" w:pos="1440"/>
        </w:tabs>
        <w:ind w:left="1440" w:hanging="360"/>
      </w:pPr>
      <w:rPr>
        <w:rFonts w:ascii="Times New Roman" w:hAnsi="Times New Roman" w:hint="default"/>
      </w:rPr>
    </w:lvl>
    <w:lvl w:ilvl="2" w:tplc="C09802B4" w:tentative="1">
      <w:start w:val="1"/>
      <w:numFmt w:val="bullet"/>
      <w:lvlText w:val="•"/>
      <w:lvlJc w:val="left"/>
      <w:pPr>
        <w:tabs>
          <w:tab w:val="num" w:pos="2160"/>
        </w:tabs>
        <w:ind w:left="2160" w:hanging="360"/>
      </w:pPr>
      <w:rPr>
        <w:rFonts w:ascii="Times New Roman" w:hAnsi="Times New Roman" w:hint="default"/>
      </w:rPr>
    </w:lvl>
    <w:lvl w:ilvl="3" w:tplc="2A46360E" w:tentative="1">
      <w:start w:val="1"/>
      <w:numFmt w:val="bullet"/>
      <w:lvlText w:val="•"/>
      <w:lvlJc w:val="left"/>
      <w:pPr>
        <w:tabs>
          <w:tab w:val="num" w:pos="2880"/>
        </w:tabs>
        <w:ind w:left="2880" w:hanging="360"/>
      </w:pPr>
      <w:rPr>
        <w:rFonts w:ascii="Times New Roman" w:hAnsi="Times New Roman" w:hint="default"/>
      </w:rPr>
    </w:lvl>
    <w:lvl w:ilvl="4" w:tplc="40487D1C" w:tentative="1">
      <w:start w:val="1"/>
      <w:numFmt w:val="bullet"/>
      <w:lvlText w:val="•"/>
      <w:lvlJc w:val="left"/>
      <w:pPr>
        <w:tabs>
          <w:tab w:val="num" w:pos="3600"/>
        </w:tabs>
        <w:ind w:left="3600" w:hanging="360"/>
      </w:pPr>
      <w:rPr>
        <w:rFonts w:ascii="Times New Roman" w:hAnsi="Times New Roman" w:hint="default"/>
      </w:rPr>
    </w:lvl>
    <w:lvl w:ilvl="5" w:tplc="F7425EA6" w:tentative="1">
      <w:start w:val="1"/>
      <w:numFmt w:val="bullet"/>
      <w:lvlText w:val="•"/>
      <w:lvlJc w:val="left"/>
      <w:pPr>
        <w:tabs>
          <w:tab w:val="num" w:pos="4320"/>
        </w:tabs>
        <w:ind w:left="4320" w:hanging="360"/>
      </w:pPr>
      <w:rPr>
        <w:rFonts w:ascii="Times New Roman" w:hAnsi="Times New Roman" w:hint="default"/>
      </w:rPr>
    </w:lvl>
    <w:lvl w:ilvl="6" w:tplc="82B24B3A" w:tentative="1">
      <w:start w:val="1"/>
      <w:numFmt w:val="bullet"/>
      <w:lvlText w:val="•"/>
      <w:lvlJc w:val="left"/>
      <w:pPr>
        <w:tabs>
          <w:tab w:val="num" w:pos="5040"/>
        </w:tabs>
        <w:ind w:left="5040" w:hanging="360"/>
      </w:pPr>
      <w:rPr>
        <w:rFonts w:ascii="Times New Roman" w:hAnsi="Times New Roman" w:hint="default"/>
      </w:rPr>
    </w:lvl>
    <w:lvl w:ilvl="7" w:tplc="88F6C9D2" w:tentative="1">
      <w:start w:val="1"/>
      <w:numFmt w:val="bullet"/>
      <w:lvlText w:val="•"/>
      <w:lvlJc w:val="left"/>
      <w:pPr>
        <w:tabs>
          <w:tab w:val="num" w:pos="5760"/>
        </w:tabs>
        <w:ind w:left="5760" w:hanging="360"/>
      </w:pPr>
      <w:rPr>
        <w:rFonts w:ascii="Times New Roman" w:hAnsi="Times New Roman" w:hint="default"/>
      </w:rPr>
    </w:lvl>
    <w:lvl w:ilvl="8" w:tplc="F79E33C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CFB4665"/>
    <w:multiLevelType w:val="hybridMultilevel"/>
    <w:tmpl w:val="865039F0"/>
    <w:lvl w:ilvl="0" w:tplc="FF0AF0B8">
      <w:start w:val="1"/>
      <w:numFmt w:val="bullet"/>
      <w:lvlText w:val="•"/>
      <w:lvlJc w:val="left"/>
      <w:pPr>
        <w:tabs>
          <w:tab w:val="num" w:pos="720"/>
        </w:tabs>
        <w:ind w:left="720" w:hanging="360"/>
      </w:pPr>
      <w:rPr>
        <w:rFonts w:ascii="Times New Roman" w:hAnsi="Times New Roman" w:hint="default"/>
      </w:rPr>
    </w:lvl>
    <w:lvl w:ilvl="1" w:tplc="77FEA722" w:tentative="1">
      <w:start w:val="1"/>
      <w:numFmt w:val="bullet"/>
      <w:lvlText w:val="•"/>
      <w:lvlJc w:val="left"/>
      <w:pPr>
        <w:tabs>
          <w:tab w:val="num" w:pos="1440"/>
        </w:tabs>
        <w:ind w:left="1440" w:hanging="360"/>
      </w:pPr>
      <w:rPr>
        <w:rFonts w:ascii="Times New Roman" w:hAnsi="Times New Roman" w:hint="default"/>
      </w:rPr>
    </w:lvl>
    <w:lvl w:ilvl="2" w:tplc="63286524" w:tentative="1">
      <w:start w:val="1"/>
      <w:numFmt w:val="bullet"/>
      <w:lvlText w:val="•"/>
      <w:lvlJc w:val="left"/>
      <w:pPr>
        <w:tabs>
          <w:tab w:val="num" w:pos="2160"/>
        </w:tabs>
        <w:ind w:left="2160" w:hanging="360"/>
      </w:pPr>
      <w:rPr>
        <w:rFonts w:ascii="Times New Roman" w:hAnsi="Times New Roman" w:hint="default"/>
      </w:rPr>
    </w:lvl>
    <w:lvl w:ilvl="3" w:tplc="70D04A38" w:tentative="1">
      <w:start w:val="1"/>
      <w:numFmt w:val="bullet"/>
      <w:lvlText w:val="•"/>
      <w:lvlJc w:val="left"/>
      <w:pPr>
        <w:tabs>
          <w:tab w:val="num" w:pos="2880"/>
        </w:tabs>
        <w:ind w:left="2880" w:hanging="360"/>
      </w:pPr>
      <w:rPr>
        <w:rFonts w:ascii="Times New Roman" w:hAnsi="Times New Roman" w:hint="default"/>
      </w:rPr>
    </w:lvl>
    <w:lvl w:ilvl="4" w:tplc="B7C82082" w:tentative="1">
      <w:start w:val="1"/>
      <w:numFmt w:val="bullet"/>
      <w:lvlText w:val="•"/>
      <w:lvlJc w:val="left"/>
      <w:pPr>
        <w:tabs>
          <w:tab w:val="num" w:pos="3600"/>
        </w:tabs>
        <w:ind w:left="3600" w:hanging="360"/>
      </w:pPr>
      <w:rPr>
        <w:rFonts w:ascii="Times New Roman" w:hAnsi="Times New Roman" w:hint="default"/>
      </w:rPr>
    </w:lvl>
    <w:lvl w:ilvl="5" w:tplc="6EA2D894" w:tentative="1">
      <w:start w:val="1"/>
      <w:numFmt w:val="bullet"/>
      <w:lvlText w:val="•"/>
      <w:lvlJc w:val="left"/>
      <w:pPr>
        <w:tabs>
          <w:tab w:val="num" w:pos="4320"/>
        </w:tabs>
        <w:ind w:left="4320" w:hanging="360"/>
      </w:pPr>
      <w:rPr>
        <w:rFonts w:ascii="Times New Roman" w:hAnsi="Times New Roman" w:hint="default"/>
      </w:rPr>
    </w:lvl>
    <w:lvl w:ilvl="6" w:tplc="3B3E3A0E" w:tentative="1">
      <w:start w:val="1"/>
      <w:numFmt w:val="bullet"/>
      <w:lvlText w:val="•"/>
      <w:lvlJc w:val="left"/>
      <w:pPr>
        <w:tabs>
          <w:tab w:val="num" w:pos="5040"/>
        </w:tabs>
        <w:ind w:left="5040" w:hanging="360"/>
      </w:pPr>
      <w:rPr>
        <w:rFonts w:ascii="Times New Roman" w:hAnsi="Times New Roman" w:hint="default"/>
      </w:rPr>
    </w:lvl>
    <w:lvl w:ilvl="7" w:tplc="A35CAEB8" w:tentative="1">
      <w:start w:val="1"/>
      <w:numFmt w:val="bullet"/>
      <w:lvlText w:val="•"/>
      <w:lvlJc w:val="left"/>
      <w:pPr>
        <w:tabs>
          <w:tab w:val="num" w:pos="5760"/>
        </w:tabs>
        <w:ind w:left="5760" w:hanging="360"/>
      </w:pPr>
      <w:rPr>
        <w:rFonts w:ascii="Times New Roman" w:hAnsi="Times New Roman" w:hint="default"/>
      </w:rPr>
    </w:lvl>
    <w:lvl w:ilvl="8" w:tplc="66CAB6A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E8E2942"/>
    <w:multiLevelType w:val="hybridMultilevel"/>
    <w:tmpl w:val="E1DA01D4"/>
    <w:lvl w:ilvl="0" w:tplc="89006AFC">
      <w:start w:val="1"/>
      <w:numFmt w:val="bullet"/>
      <w:lvlText w:val="•"/>
      <w:lvlJc w:val="left"/>
      <w:pPr>
        <w:tabs>
          <w:tab w:val="num" w:pos="720"/>
        </w:tabs>
        <w:ind w:left="720" w:hanging="360"/>
      </w:pPr>
      <w:rPr>
        <w:rFonts w:ascii="Times New Roman" w:hAnsi="Times New Roman" w:hint="default"/>
      </w:rPr>
    </w:lvl>
    <w:lvl w:ilvl="1" w:tplc="A552D9B2" w:tentative="1">
      <w:start w:val="1"/>
      <w:numFmt w:val="bullet"/>
      <w:lvlText w:val="•"/>
      <w:lvlJc w:val="left"/>
      <w:pPr>
        <w:tabs>
          <w:tab w:val="num" w:pos="1440"/>
        </w:tabs>
        <w:ind w:left="1440" w:hanging="360"/>
      </w:pPr>
      <w:rPr>
        <w:rFonts w:ascii="Times New Roman" w:hAnsi="Times New Roman" w:hint="default"/>
      </w:rPr>
    </w:lvl>
    <w:lvl w:ilvl="2" w:tplc="24CAC3E2" w:tentative="1">
      <w:start w:val="1"/>
      <w:numFmt w:val="bullet"/>
      <w:lvlText w:val="•"/>
      <w:lvlJc w:val="left"/>
      <w:pPr>
        <w:tabs>
          <w:tab w:val="num" w:pos="2160"/>
        </w:tabs>
        <w:ind w:left="2160" w:hanging="360"/>
      </w:pPr>
      <w:rPr>
        <w:rFonts w:ascii="Times New Roman" w:hAnsi="Times New Roman" w:hint="default"/>
      </w:rPr>
    </w:lvl>
    <w:lvl w:ilvl="3" w:tplc="61AEE224" w:tentative="1">
      <w:start w:val="1"/>
      <w:numFmt w:val="bullet"/>
      <w:lvlText w:val="•"/>
      <w:lvlJc w:val="left"/>
      <w:pPr>
        <w:tabs>
          <w:tab w:val="num" w:pos="2880"/>
        </w:tabs>
        <w:ind w:left="2880" w:hanging="360"/>
      </w:pPr>
      <w:rPr>
        <w:rFonts w:ascii="Times New Roman" w:hAnsi="Times New Roman" w:hint="default"/>
      </w:rPr>
    </w:lvl>
    <w:lvl w:ilvl="4" w:tplc="FE4A2262" w:tentative="1">
      <w:start w:val="1"/>
      <w:numFmt w:val="bullet"/>
      <w:lvlText w:val="•"/>
      <w:lvlJc w:val="left"/>
      <w:pPr>
        <w:tabs>
          <w:tab w:val="num" w:pos="3600"/>
        </w:tabs>
        <w:ind w:left="3600" w:hanging="360"/>
      </w:pPr>
      <w:rPr>
        <w:rFonts w:ascii="Times New Roman" w:hAnsi="Times New Roman" w:hint="default"/>
      </w:rPr>
    </w:lvl>
    <w:lvl w:ilvl="5" w:tplc="5E3822D8" w:tentative="1">
      <w:start w:val="1"/>
      <w:numFmt w:val="bullet"/>
      <w:lvlText w:val="•"/>
      <w:lvlJc w:val="left"/>
      <w:pPr>
        <w:tabs>
          <w:tab w:val="num" w:pos="4320"/>
        </w:tabs>
        <w:ind w:left="4320" w:hanging="360"/>
      </w:pPr>
      <w:rPr>
        <w:rFonts w:ascii="Times New Roman" w:hAnsi="Times New Roman" w:hint="default"/>
      </w:rPr>
    </w:lvl>
    <w:lvl w:ilvl="6" w:tplc="FAF65C3A" w:tentative="1">
      <w:start w:val="1"/>
      <w:numFmt w:val="bullet"/>
      <w:lvlText w:val="•"/>
      <w:lvlJc w:val="left"/>
      <w:pPr>
        <w:tabs>
          <w:tab w:val="num" w:pos="5040"/>
        </w:tabs>
        <w:ind w:left="5040" w:hanging="360"/>
      </w:pPr>
      <w:rPr>
        <w:rFonts w:ascii="Times New Roman" w:hAnsi="Times New Roman" w:hint="default"/>
      </w:rPr>
    </w:lvl>
    <w:lvl w:ilvl="7" w:tplc="8DAEE754" w:tentative="1">
      <w:start w:val="1"/>
      <w:numFmt w:val="bullet"/>
      <w:lvlText w:val="•"/>
      <w:lvlJc w:val="left"/>
      <w:pPr>
        <w:tabs>
          <w:tab w:val="num" w:pos="5760"/>
        </w:tabs>
        <w:ind w:left="5760" w:hanging="360"/>
      </w:pPr>
      <w:rPr>
        <w:rFonts w:ascii="Times New Roman" w:hAnsi="Times New Roman" w:hint="default"/>
      </w:rPr>
    </w:lvl>
    <w:lvl w:ilvl="8" w:tplc="201076E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0155731"/>
    <w:multiLevelType w:val="hybridMultilevel"/>
    <w:tmpl w:val="5590FF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1670836"/>
    <w:multiLevelType w:val="hybridMultilevel"/>
    <w:tmpl w:val="D9CCF9D6"/>
    <w:lvl w:ilvl="0" w:tplc="C4186F3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5B646B0"/>
    <w:multiLevelType w:val="hybridMultilevel"/>
    <w:tmpl w:val="1826DF80"/>
    <w:lvl w:ilvl="0" w:tplc="DDEAEE0A">
      <w:start w:val="1"/>
      <w:numFmt w:val="bullet"/>
      <w:lvlText w:val="•"/>
      <w:lvlJc w:val="left"/>
      <w:pPr>
        <w:tabs>
          <w:tab w:val="num" w:pos="720"/>
        </w:tabs>
        <w:ind w:left="720" w:hanging="360"/>
      </w:pPr>
      <w:rPr>
        <w:rFonts w:ascii="Times New Roman" w:hAnsi="Times New Roman" w:hint="default"/>
      </w:rPr>
    </w:lvl>
    <w:lvl w:ilvl="1" w:tplc="7A86D266" w:tentative="1">
      <w:start w:val="1"/>
      <w:numFmt w:val="bullet"/>
      <w:lvlText w:val="•"/>
      <w:lvlJc w:val="left"/>
      <w:pPr>
        <w:tabs>
          <w:tab w:val="num" w:pos="1440"/>
        </w:tabs>
        <w:ind w:left="1440" w:hanging="360"/>
      </w:pPr>
      <w:rPr>
        <w:rFonts w:ascii="Times New Roman" w:hAnsi="Times New Roman" w:hint="default"/>
      </w:rPr>
    </w:lvl>
    <w:lvl w:ilvl="2" w:tplc="4EF69742" w:tentative="1">
      <w:start w:val="1"/>
      <w:numFmt w:val="bullet"/>
      <w:lvlText w:val="•"/>
      <w:lvlJc w:val="left"/>
      <w:pPr>
        <w:tabs>
          <w:tab w:val="num" w:pos="2160"/>
        </w:tabs>
        <w:ind w:left="2160" w:hanging="360"/>
      </w:pPr>
      <w:rPr>
        <w:rFonts w:ascii="Times New Roman" w:hAnsi="Times New Roman" w:hint="default"/>
      </w:rPr>
    </w:lvl>
    <w:lvl w:ilvl="3" w:tplc="6EBEF700" w:tentative="1">
      <w:start w:val="1"/>
      <w:numFmt w:val="bullet"/>
      <w:lvlText w:val="•"/>
      <w:lvlJc w:val="left"/>
      <w:pPr>
        <w:tabs>
          <w:tab w:val="num" w:pos="2880"/>
        </w:tabs>
        <w:ind w:left="2880" w:hanging="360"/>
      </w:pPr>
      <w:rPr>
        <w:rFonts w:ascii="Times New Roman" w:hAnsi="Times New Roman" w:hint="default"/>
      </w:rPr>
    </w:lvl>
    <w:lvl w:ilvl="4" w:tplc="751E92FC" w:tentative="1">
      <w:start w:val="1"/>
      <w:numFmt w:val="bullet"/>
      <w:lvlText w:val="•"/>
      <w:lvlJc w:val="left"/>
      <w:pPr>
        <w:tabs>
          <w:tab w:val="num" w:pos="3600"/>
        </w:tabs>
        <w:ind w:left="3600" w:hanging="360"/>
      </w:pPr>
      <w:rPr>
        <w:rFonts w:ascii="Times New Roman" w:hAnsi="Times New Roman" w:hint="default"/>
      </w:rPr>
    </w:lvl>
    <w:lvl w:ilvl="5" w:tplc="65AC02DA" w:tentative="1">
      <w:start w:val="1"/>
      <w:numFmt w:val="bullet"/>
      <w:lvlText w:val="•"/>
      <w:lvlJc w:val="left"/>
      <w:pPr>
        <w:tabs>
          <w:tab w:val="num" w:pos="4320"/>
        </w:tabs>
        <w:ind w:left="4320" w:hanging="360"/>
      </w:pPr>
      <w:rPr>
        <w:rFonts w:ascii="Times New Roman" w:hAnsi="Times New Roman" w:hint="default"/>
      </w:rPr>
    </w:lvl>
    <w:lvl w:ilvl="6" w:tplc="D5547DBE" w:tentative="1">
      <w:start w:val="1"/>
      <w:numFmt w:val="bullet"/>
      <w:lvlText w:val="•"/>
      <w:lvlJc w:val="left"/>
      <w:pPr>
        <w:tabs>
          <w:tab w:val="num" w:pos="5040"/>
        </w:tabs>
        <w:ind w:left="5040" w:hanging="360"/>
      </w:pPr>
      <w:rPr>
        <w:rFonts w:ascii="Times New Roman" w:hAnsi="Times New Roman" w:hint="default"/>
      </w:rPr>
    </w:lvl>
    <w:lvl w:ilvl="7" w:tplc="643CDF28" w:tentative="1">
      <w:start w:val="1"/>
      <w:numFmt w:val="bullet"/>
      <w:lvlText w:val="•"/>
      <w:lvlJc w:val="left"/>
      <w:pPr>
        <w:tabs>
          <w:tab w:val="num" w:pos="5760"/>
        </w:tabs>
        <w:ind w:left="5760" w:hanging="360"/>
      </w:pPr>
      <w:rPr>
        <w:rFonts w:ascii="Times New Roman" w:hAnsi="Times New Roman" w:hint="default"/>
      </w:rPr>
    </w:lvl>
    <w:lvl w:ilvl="8" w:tplc="AAF8956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7266C34"/>
    <w:multiLevelType w:val="hybridMultilevel"/>
    <w:tmpl w:val="ACA6CB86"/>
    <w:lvl w:ilvl="0" w:tplc="8E92168A">
      <w:start w:val="1"/>
      <w:numFmt w:val="bullet"/>
      <w:lvlText w:val="•"/>
      <w:lvlJc w:val="left"/>
      <w:pPr>
        <w:tabs>
          <w:tab w:val="num" w:pos="720"/>
        </w:tabs>
        <w:ind w:left="720" w:hanging="360"/>
      </w:pPr>
      <w:rPr>
        <w:rFonts w:ascii="Times New Roman" w:hAnsi="Times New Roman" w:hint="default"/>
      </w:rPr>
    </w:lvl>
    <w:lvl w:ilvl="1" w:tplc="12244282" w:tentative="1">
      <w:start w:val="1"/>
      <w:numFmt w:val="bullet"/>
      <w:lvlText w:val="•"/>
      <w:lvlJc w:val="left"/>
      <w:pPr>
        <w:tabs>
          <w:tab w:val="num" w:pos="1440"/>
        </w:tabs>
        <w:ind w:left="1440" w:hanging="360"/>
      </w:pPr>
      <w:rPr>
        <w:rFonts w:ascii="Times New Roman" w:hAnsi="Times New Roman" w:hint="default"/>
      </w:rPr>
    </w:lvl>
    <w:lvl w:ilvl="2" w:tplc="F9F01224" w:tentative="1">
      <w:start w:val="1"/>
      <w:numFmt w:val="bullet"/>
      <w:lvlText w:val="•"/>
      <w:lvlJc w:val="left"/>
      <w:pPr>
        <w:tabs>
          <w:tab w:val="num" w:pos="2160"/>
        </w:tabs>
        <w:ind w:left="2160" w:hanging="360"/>
      </w:pPr>
      <w:rPr>
        <w:rFonts w:ascii="Times New Roman" w:hAnsi="Times New Roman" w:hint="default"/>
      </w:rPr>
    </w:lvl>
    <w:lvl w:ilvl="3" w:tplc="5F3C0240" w:tentative="1">
      <w:start w:val="1"/>
      <w:numFmt w:val="bullet"/>
      <w:lvlText w:val="•"/>
      <w:lvlJc w:val="left"/>
      <w:pPr>
        <w:tabs>
          <w:tab w:val="num" w:pos="2880"/>
        </w:tabs>
        <w:ind w:left="2880" w:hanging="360"/>
      </w:pPr>
      <w:rPr>
        <w:rFonts w:ascii="Times New Roman" w:hAnsi="Times New Roman" w:hint="default"/>
      </w:rPr>
    </w:lvl>
    <w:lvl w:ilvl="4" w:tplc="9E1ABB2C" w:tentative="1">
      <w:start w:val="1"/>
      <w:numFmt w:val="bullet"/>
      <w:lvlText w:val="•"/>
      <w:lvlJc w:val="left"/>
      <w:pPr>
        <w:tabs>
          <w:tab w:val="num" w:pos="3600"/>
        </w:tabs>
        <w:ind w:left="3600" w:hanging="360"/>
      </w:pPr>
      <w:rPr>
        <w:rFonts w:ascii="Times New Roman" w:hAnsi="Times New Roman" w:hint="default"/>
      </w:rPr>
    </w:lvl>
    <w:lvl w:ilvl="5" w:tplc="1A8A6890" w:tentative="1">
      <w:start w:val="1"/>
      <w:numFmt w:val="bullet"/>
      <w:lvlText w:val="•"/>
      <w:lvlJc w:val="left"/>
      <w:pPr>
        <w:tabs>
          <w:tab w:val="num" w:pos="4320"/>
        </w:tabs>
        <w:ind w:left="4320" w:hanging="360"/>
      </w:pPr>
      <w:rPr>
        <w:rFonts w:ascii="Times New Roman" w:hAnsi="Times New Roman" w:hint="default"/>
      </w:rPr>
    </w:lvl>
    <w:lvl w:ilvl="6" w:tplc="B66E38FA" w:tentative="1">
      <w:start w:val="1"/>
      <w:numFmt w:val="bullet"/>
      <w:lvlText w:val="•"/>
      <w:lvlJc w:val="left"/>
      <w:pPr>
        <w:tabs>
          <w:tab w:val="num" w:pos="5040"/>
        </w:tabs>
        <w:ind w:left="5040" w:hanging="360"/>
      </w:pPr>
      <w:rPr>
        <w:rFonts w:ascii="Times New Roman" w:hAnsi="Times New Roman" w:hint="default"/>
      </w:rPr>
    </w:lvl>
    <w:lvl w:ilvl="7" w:tplc="417A3700" w:tentative="1">
      <w:start w:val="1"/>
      <w:numFmt w:val="bullet"/>
      <w:lvlText w:val="•"/>
      <w:lvlJc w:val="left"/>
      <w:pPr>
        <w:tabs>
          <w:tab w:val="num" w:pos="5760"/>
        </w:tabs>
        <w:ind w:left="5760" w:hanging="360"/>
      </w:pPr>
      <w:rPr>
        <w:rFonts w:ascii="Times New Roman" w:hAnsi="Times New Roman" w:hint="default"/>
      </w:rPr>
    </w:lvl>
    <w:lvl w:ilvl="8" w:tplc="784671C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E451FDF"/>
    <w:multiLevelType w:val="hybridMultilevel"/>
    <w:tmpl w:val="4EB04DC8"/>
    <w:lvl w:ilvl="0" w:tplc="609C95F4">
      <w:start w:val="1"/>
      <w:numFmt w:val="lowerLetter"/>
      <w:lvlText w:val="%1-"/>
      <w:lvlJc w:val="left"/>
      <w:pPr>
        <w:ind w:left="1068" w:hanging="360"/>
      </w:pPr>
      <w:rPr>
        <w:rFonts w:hint="default"/>
        <w:b/>
        <w:bCs/>
        <w:i/>
        <w:i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nsid w:val="42CC524A"/>
    <w:multiLevelType w:val="hybridMultilevel"/>
    <w:tmpl w:val="47805E2E"/>
    <w:lvl w:ilvl="0" w:tplc="BB38DDA0">
      <w:start w:val="2"/>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45B15118"/>
    <w:multiLevelType w:val="hybridMultilevel"/>
    <w:tmpl w:val="9500B914"/>
    <w:lvl w:ilvl="0" w:tplc="ABA200A2">
      <w:start w:val="1"/>
      <w:numFmt w:val="bullet"/>
      <w:lvlText w:val="•"/>
      <w:lvlJc w:val="left"/>
      <w:pPr>
        <w:tabs>
          <w:tab w:val="num" w:pos="720"/>
        </w:tabs>
        <w:ind w:left="720" w:hanging="360"/>
      </w:pPr>
      <w:rPr>
        <w:rFonts w:ascii="Times New Roman" w:hAnsi="Times New Roman" w:hint="default"/>
      </w:rPr>
    </w:lvl>
    <w:lvl w:ilvl="1" w:tplc="9A588BDA" w:tentative="1">
      <w:start w:val="1"/>
      <w:numFmt w:val="bullet"/>
      <w:lvlText w:val="•"/>
      <w:lvlJc w:val="left"/>
      <w:pPr>
        <w:tabs>
          <w:tab w:val="num" w:pos="1440"/>
        </w:tabs>
        <w:ind w:left="1440" w:hanging="360"/>
      </w:pPr>
      <w:rPr>
        <w:rFonts w:ascii="Times New Roman" w:hAnsi="Times New Roman" w:hint="default"/>
      </w:rPr>
    </w:lvl>
    <w:lvl w:ilvl="2" w:tplc="AD4845D4" w:tentative="1">
      <w:start w:val="1"/>
      <w:numFmt w:val="bullet"/>
      <w:lvlText w:val="•"/>
      <w:lvlJc w:val="left"/>
      <w:pPr>
        <w:tabs>
          <w:tab w:val="num" w:pos="2160"/>
        </w:tabs>
        <w:ind w:left="2160" w:hanging="360"/>
      </w:pPr>
      <w:rPr>
        <w:rFonts w:ascii="Times New Roman" w:hAnsi="Times New Roman" w:hint="default"/>
      </w:rPr>
    </w:lvl>
    <w:lvl w:ilvl="3" w:tplc="42CA906A" w:tentative="1">
      <w:start w:val="1"/>
      <w:numFmt w:val="bullet"/>
      <w:lvlText w:val="•"/>
      <w:lvlJc w:val="left"/>
      <w:pPr>
        <w:tabs>
          <w:tab w:val="num" w:pos="2880"/>
        </w:tabs>
        <w:ind w:left="2880" w:hanging="360"/>
      </w:pPr>
      <w:rPr>
        <w:rFonts w:ascii="Times New Roman" w:hAnsi="Times New Roman" w:hint="default"/>
      </w:rPr>
    </w:lvl>
    <w:lvl w:ilvl="4" w:tplc="A184B0E4" w:tentative="1">
      <w:start w:val="1"/>
      <w:numFmt w:val="bullet"/>
      <w:lvlText w:val="•"/>
      <w:lvlJc w:val="left"/>
      <w:pPr>
        <w:tabs>
          <w:tab w:val="num" w:pos="3600"/>
        </w:tabs>
        <w:ind w:left="3600" w:hanging="360"/>
      </w:pPr>
      <w:rPr>
        <w:rFonts w:ascii="Times New Roman" w:hAnsi="Times New Roman" w:hint="default"/>
      </w:rPr>
    </w:lvl>
    <w:lvl w:ilvl="5" w:tplc="B0F662E2" w:tentative="1">
      <w:start w:val="1"/>
      <w:numFmt w:val="bullet"/>
      <w:lvlText w:val="•"/>
      <w:lvlJc w:val="left"/>
      <w:pPr>
        <w:tabs>
          <w:tab w:val="num" w:pos="4320"/>
        </w:tabs>
        <w:ind w:left="4320" w:hanging="360"/>
      </w:pPr>
      <w:rPr>
        <w:rFonts w:ascii="Times New Roman" w:hAnsi="Times New Roman" w:hint="default"/>
      </w:rPr>
    </w:lvl>
    <w:lvl w:ilvl="6" w:tplc="108E5C9C" w:tentative="1">
      <w:start w:val="1"/>
      <w:numFmt w:val="bullet"/>
      <w:lvlText w:val="•"/>
      <w:lvlJc w:val="left"/>
      <w:pPr>
        <w:tabs>
          <w:tab w:val="num" w:pos="5040"/>
        </w:tabs>
        <w:ind w:left="5040" w:hanging="360"/>
      </w:pPr>
      <w:rPr>
        <w:rFonts w:ascii="Times New Roman" w:hAnsi="Times New Roman" w:hint="default"/>
      </w:rPr>
    </w:lvl>
    <w:lvl w:ilvl="7" w:tplc="608675CA" w:tentative="1">
      <w:start w:val="1"/>
      <w:numFmt w:val="bullet"/>
      <w:lvlText w:val="•"/>
      <w:lvlJc w:val="left"/>
      <w:pPr>
        <w:tabs>
          <w:tab w:val="num" w:pos="5760"/>
        </w:tabs>
        <w:ind w:left="5760" w:hanging="360"/>
      </w:pPr>
      <w:rPr>
        <w:rFonts w:ascii="Times New Roman" w:hAnsi="Times New Roman" w:hint="default"/>
      </w:rPr>
    </w:lvl>
    <w:lvl w:ilvl="8" w:tplc="5AF8652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8A10CD7"/>
    <w:multiLevelType w:val="hybridMultilevel"/>
    <w:tmpl w:val="8B388EC0"/>
    <w:lvl w:ilvl="0" w:tplc="DAF23418">
      <w:start w:val="1"/>
      <w:numFmt w:val="bullet"/>
      <w:lvlText w:val="•"/>
      <w:lvlJc w:val="left"/>
      <w:pPr>
        <w:tabs>
          <w:tab w:val="num" w:pos="720"/>
        </w:tabs>
        <w:ind w:left="720" w:hanging="360"/>
      </w:pPr>
      <w:rPr>
        <w:rFonts w:ascii="Times New Roman" w:hAnsi="Times New Roman" w:hint="default"/>
      </w:rPr>
    </w:lvl>
    <w:lvl w:ilvl="1" w:tplc="F70E5C00" w:tentative="1">
      <w:start w:val="1"/>
      <w:numFmt w:val="bullet"/>
      <w:lvlText w:val="•"/>
      <w:lvlJc w:val="left"/>
      <w:pPr>
        <w:tabs>
          <w:tab w:val="num" w:pos="1440"/>
        </w:tabs>
        <w:ind w:left="1440" w:hanging="360"/>
      </w:pPr>
      <w:rPr>
        <w:rFonts w:ascii="Times New Roman" w:hAnsi="Times New Roman" w:hint="default"/>
      </w:rPr>
    </w:lvl>
    <w:lvl w:ilvl="2" w:tplc="C308A976" w:tentative="1">
      <w:start w:val="1"/>
      <w:numFmt w:val="bullet"/>
      <w:lvlText w:val="•"/>
      <w:lvlJc w:val="left"/>
      <w:pPr>
        <w:tabs>
          <w:tab w:val="num" w:pos="2160"/>
        </w:tabs>
        <w:ind w:left="2160" w:hanging="360"/>
      </w:pPr>
      <w:rPr>
        <w:rFonts w:ascii="Times New Roman" w:hAnsi="Times New Roman" w:hint="default"/>
      </w:rPr>
    </w:lvl>
    <w:lvl w:ilvl="3" w:tplc="A3C06B1C" w:tentative="1">
      <w:start w:val="1"/>
      <w:numFmt w:val="bullet"/>
      <w:lvlText w:val="•"/>
      <w:lvlJc w:val="left"/>
      <w:pPr>
        <w:tabs>
          <w:tab w:val="num" w:pos="2880"/>
        </w:tabs>
        <w:ind w:left="2880" w:hanging="360"/>
      </w:pPr>
      <w:rPr>
        <w:rFonts w:ascii="Times New Roman" w:hAnsi="Times New Roman" w:hint="default"/>
      </w:rPr>
    </w:lvl>
    <w:lvl w:ilvl="4" w:tplc="90D85314" w:tentative="1">
      <w:start w:val="1"/>
      <w:numFmt w:val="bullet"/>
      <w:lvlText w:val="•"/>
      <w:lvlJc w:val="left"/>
      <w:pPr>
        <w:tabs>
          <w:tab w:val="num" w:pos="3600"/>
        </w:tabs>
        <w:ind w:left="3600" w:hanging="360"/>
      </w:pPr>
      <w:rPr>
        <w:rFonts w:ascii="Times New Roman" w:hAnsi="Times New Roman" w:hint="default"/>
      </w:rPr>
    </w:lvl>
    <w:lvl w:ilvl="5" w:tplc="A3A2FB5C" w:tentative="1">
      <w:start w:val="1"/>
      <w:numFmt w:val="bullet"/>
      <w:lvlText w:val="•"/>
      <w:lvlJc w:val="left"/>
      <w:pPr>
        <w:tabs>
          <w:tab w:val="num" w:pos="4320"/>
        </w:tabs>
        <w:ind w:left="4320" w:hanging="360"/>
      </w:pPr>
      <w:rPr>
        <w:rFonts w:ascii="Times New Roman" w:hAnsi="Times New Roman" w:hint="default"/>
      </w:rPr>
    </w:lvl>
    <w:lvl w:ilvl="6" w:tplc="B3066916" w:tentative="1">
      <w:start w:val="1"/>
      <w:numFmt w:val="bullet"/>
      <w:lvlText w:val="•"/>
      <w:lvlJc w:val="left"/>
      <w:pPr>
        <w:tabs>
          <w:tab w:val="num" w:pos="5040"/>
        </w:tabs>
        <w:ind w:left="5040" w:hanging="360"/>
      </w:pPr>
      <w:rPr>
        <w:rFonts w:ascii="Times New Roman" w:hAnsi="Times New Roman" w:hint="default"/>
      </w:rPr>
    </w:lvl>
    <w:lvl w:ilvl="7" w:tplc="00423414" w:tentative="1">
      <w:start w:val="1"/>
      <w:numFmt w:val="bullet"/>
      <w:lvlText w:val="•"/>
      <w:lvlJc w:val="left"/>
      <w:pPr>
        <w:tabs>
          <w:tab w:val="num" w:pos="5760"/>
        </w:tabs>
        <w:ind w:left="5760" w:hanging="360"/>
      </w:pPr>
      <w:rPr>
        <w:rFonts w:ascii="Times New Roman" w:hAnsi="Times New Roman" w:hint="default"/>
      </w:rPr>
    </w:lvl>
    <w:lvl w:ilvl="8" w:tplc="35A0C6B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AF862A3"/>
    <w:multiLevelType w:val="hybridMultilevel"/>
    <w:tmpl w:val="A210DD7C"/>
    <w:lvl w:ilvl="0" w:tplc="6416130E">
      <w:start w:val="1"/>
      <w:numFmt w:val="bullet"/>
      <w:lvlText w:val="•"/>
      <w:lvlJc w:val="left"/>
      <w:pPr>
        <w:tabs>
          <w:tab w:val="num" w:pos="720"/>
        </w:tabs>
        <w:ind w:left="720" w:hanging="360"/>
      </w:pPr>
      <w:rPr>
        <w:rFonts w:ascii="Times New Roman" w:hAnsi="Times New Roman" w:hint="default"/>
      </w:rPr>
    </w:lvl>
    <w:lvl w:ilvl="1" w:tplc="81982520" w:tentative="1">
      <w:start w:val="1"/>
      <w:numFmt w:val="bullet"/>
      <w:lvlText w:val="•"/>
      <w:lvlJc w:val="left"/>
      <w:pPr>
        <w:tabs>
          <w:tab w:val="num" w:pos="1440"/>
        </w:tabs>
        <w:ind w:left="1440" w:hanging="360"/>
      </w:pPr>
      <w:rPr>
        <w:rFonts w:ascii="Times New Roman" w:hAnsi="Times New Roman" w:hint="default"/>
      </w:rPr>
    </w:lvl>
    <w:lvl w:ilvl="2" w:tplc="85C65BA0" w:tentative="1">
      <w:start w:val="1"/>
      <w:numFmt w:val="bullet"/>
      <w:lvlText w:val="•"/>
      <w:lvlJc w:val="left"/>
      <w:pPr>
        <w:tabs>
          <w:tab w:val="num" w:pos="2160"/>
        </w:tabs>
        <w:ind w:left="2160" w:hanging="360"/>
      </w:pPr>
      <w:rPr>
        <w:rFonts w:ascii="Times New Roman" w:hAnsi="Times New Roman" w:hint="default"/>
      </w:rPr>
    </w:lvl>
    <w:lvl w:ilvl="3" w:tplc="9376948E" w:tentative="1">
      <w:start w:val="1"/>
      <w:numFmt w:val="bullet"/>
      <w:lvlText w:val="•"/>
      <w:lvlJc w:val="left"/>
      <w:pPr>
        <w:tabs>
          <w:tab w:val="num" w:pos="2880"/>
        </w:tabs>
        <w:ind w:left="2880" w:hanging="360"/>
      </w:pPr>
      <w:rPr>
        <w:rFonts w:ascii="Times New Roman" w:hAnsi="Times New Roman" w:hint="default"/>
      </w:rPr>
    </w:lvl>
    <w:lvl w:ilvl="4" w:tplc="AEE2A506" w:tentative="1">
      <w:start w:val="1"/>
      <w:numFmt w:val="bullet"/>
      <w:lvlText w:val="•"/>
      <w:lvlJc w:val="left"/>
      <w:pPr>
        <w:tabs>
          <w:tab w:val="num" w:pos="3600"/>
        </w:tabs>
        <w:ind w:left="3600" w:hanging="360"/>
      </w:pPr>
      <w:rPr>
        <w:rFonts w:ascii="Times New Roman" w:hAnsi="Times New Roman" w:hint="default"/>
      </w:rPr>
    </w:lvl>
    <w:lvl w:ilvl="5" w:tplc="69F8C508" w:tentative="1">
      <w:start w:val="1"/>
      <w:numFmt w:val="bullet"/>
      <w:lvlText w:val="•"/>
      <w:lvlJc w:val="left"/>
      <w:pPr>
        <w:tabs>
          <w:tab w:val="num" w:pos="4320"/>
        </w:tabs>
        <w:ind w:left="4320" w:hanging="360"/>
      </w:pPr>
      <w:rPr>
        <w:rFonts w:ascii="Times New Roman" w:hAnsi="Times New Roman" w:hint="default"/>
      </w:rPr>
    </w:lvl>
    <w:lvl w:ilvl="6" w:tplc="743ECB64" w:tentative="1">
      <w:start w:val="1"/>
      <w:numFmt w:val="bullet"/>
      <w:lvlText w:val="•"/>
      <w:lvlJc w:val="left"/>
      <w:pPr>
        <w:tabs>
          <w:tab w:val="num" w:pos="5040"/>
        </w:tabs>
        <w:ind w:left="5040" w:hanging="360"/>
      </w:pPr>
      <w:rPr>
        <w:rFonts w:ascii="Times New Roman" w:hAnsi="Times New Roman" w:hint="default"/>
      </w:rPr>
    </w:lvl>
    <w:lvl w:ilvl="7" w:tplc="4CF495C4" w:tentative="1">
      <w:start w:val="1"/>
      <w:numFmt w:val="bullet"/>
      <w:lvlText w:val="•"/>
      <w:lvlJc w:val="left"/>
      <w:pPr>
        <w:tabs>
          <w:tab w:val="num" w:pos="5760"/>
        </w:tabs>
        <w:ind w:left="5760" w:hanging="360"/>
      </w:pPr>
      <w:rPr>
        <w:rFonts w:ascii="Times New Roman" w:hAnsi="Times New Roman" w:hint="default"/>
      </w:rPr>
    </w:lvl>
    <w:lvl w:ilvl="8" w:tplc="2D963F9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FC91C5C"/>
    <w:multiLevelType w:val="hybridMultilevel"/>
    <w:tmpl w:val="5FA836E6"/>
    <w:lvl w:ilvl="0" w:tplc="7A30F144">
      <w:start w:val="1"/>
      <w:numFmt w:val="bullet"/>
      <w:lvlText w:val="•"/>
      <w:lvlJc w:val="left"/>
      <w:pPr>
        <w:tabs>
          <w:tab w:val="num" w:pos="720"/>
        </w:tabs>
        <w:ind w:left="720" w:hanging="360"/>
      </w:pPr>
      <w:rPr>
        <w:rFonts w:ascii="Times New Roman" w:hAnsi="Times New Roman" w:hint="default"/>
      </w:rPr>
    </w:lvl>
    <w:lvl w:ilvl="1" w:tplc="6382E7A4" w:tentative="1">
      <w:start w:val="1"/>
      <w:numFmt w:val="bullet"/>
      <w:lvlText w:val="•"/>
      <w:lvlJc w:val="left"/>
      <w:pPr>
        <w:tabs>
          <w:tab w:val="num" w:pos="1440"/>
        </w:tabs>
        <w:ind w:left="1440" w:hanging="360"/>
      </w:pPr>
      <w:rPr>
        <w:rFonts w:ascii="Times New Roman" w:hAnsi="Times New Roman" w:hint="default"/>
      </w:rPr>
    </w:lvl>
    <w:lvl w:ilvl="2" w:tplc="3D6CE078" w:tentative="1">
      <w:start w:val="1"/>
      <w:numFmt w:val="bullet"/>
      <w:lvlText w:val="•"/>
      <w:lvlJc w:val="left"/>
      <w:pPr>
        <w:tabs>
          <w:tab w:val="num" w:pos="2160"/>
        </w:tabs>
        <w:ind w:left="2160" w:hanging="360"/>
      </w:pPr>
      <w:rPr>
        <w:rFonts w:ascii="Times New Roman" w:hAnsi="Times New Roman" w:hint="default"/>
      </w:rPr>
    </w:lvl>
    <w:lvl w:ilvl="3" w:tplc="F50442D8" w:tentative="1">
      <w:start w:val="1"/>
      <w:numFmt w:val="bullet"/>
      <w:lvlText w:val="•"/>
      <w:lvlJc w:val="left"/>
      <w:pPr>
        <w:tabs>
          <w:tab w:val="num" w:pos="2880"/>
        </w:tabs>
        <w:ind w:left="2880" w:hanging="360"/>
      </w:pPr>
      <w:rPr>
        <w:rFonts w:ascii="Times New Roman" w:hAnsi="Times New Roman" w:hint="default"/>
      </w:rPr>
    </w:lvl>
    <w:lvl w:ilvl="4" w:tplc="BBC0386E" w:tentative="1">
      <w:start w:val="1"/>
      <w:numFmt w:val="bullet"/>
      <w:lvlText w:val="•"/>
      <w:lvlJc w:val="left"/>
      <w:pPr>
        <w:tabs>
          <w:tab w:val="num" w:pos="3600"/>
        </w:tabs>
        <w:ind w:left="3600" w:hanging="360"/>
      </w:pPr>
      <w:rPr>
        <w:rFonts w:ascii="Times New Roman" w:hAnsi="Times New Roman" w:hint="default"/>
      </w:rPr>
    </w:lvl>
    <w:lvl w:ilvl="5" w:tplc="51EC4C9E" w:tentative="1">
      <w:start w:val="1"/>
      <w:numFmt w:val="bullet"/>
      <w:lvlText w:val="•"/>
      <w:lvlJc w:val="left"/>
      <w:pPr>
        <w:tabs>
          <w:tab w:val="num" w:pos="4320"/>
        </w:tabs>
        <w:ind w:left="4320" w:hanging="360"/>
      </w:pPr>
      <w:rPr>
        <w:rFonts w:ascii="Times New Roman" w:hAnsi="Times New Roman" w:hint="default"/>
      </w:rPr>
    </w:lvl>
    <w:lvl w:ilvl="6" w:tplc="A2426B16" w:tentative="1">
      <w:start w:val="1"/>
      <w:numFmt w:val="bullet"/>
      <w:lvlText w:val="•"/>
      <w:lvlJc w:val="left"/>
      <w:pPr>
        <w:tabs>
          <w:tab w:val="num" w:pos="5040"/>
        </w:tabs>
        <w:ind w:left="5040" w:hanging="360"/>
      </w:pPr>
      <w:rPr>
        <w:rFonts w:ascii="Times New Roman" w:hAnsi="Times New Roman" w:hint="default"/>
      </w:rPr>
    </w:lvl>
    <w:lvl w:ilvl="7" w:tplc="AC76D0A4" w:tentative="1">
      <w:start w:val="1"/>
      <w:numFmt w:val="bullet"/>
      <w:lvlText w:val="•"/>
      <w:lvlJc w:val="left"/>
      <w:pPr>
        <w:tabs>
          <w:tab w:val="num" w:pos="5760"/>
        </w:tabs>
        <w:ind w:left="5760" w:hanging="360"/>
      </w:pPr>
      <w:rPr>
        <w:rFonts w:ascii="Times New Roman" w:hAnsi="Times New Roman" w:hint="default"/>
      </w:rPr>
    </w:lvl>
    <w:lvl w:ilvl="8" w:tplc="B3BA964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1131157"/>
    <w:multiLevelType w:val="hybridMultilevel"/>
    <w:tmpl w:val="E1CCE7DA"/>
    <w:lvl w:ilvl="0" w:tplc="BB38DDA0">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2AD0E19"/>
    <w:multiLevelType w:val="hybridMultilevel"/>
    <w:tmpl w:val="9BC8ED7E"/>
    <w:lvl w:ilvl="0" w:tplc="DA8E3B7E">
      <w:start w:val="1"/>
      <w:numFmt w:val="decimal"/>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67D53C5"/>
    <w:multiLevelType w:val="hybridMultilevel"/>
    <w:tmpl w:val="FD88D1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8435B4C"/>
    <w:multiLevelType w:val="hybridMultilevel"/>
    <w:tmpl w:val="9378C5AA"/>
    <w:lvl w:ilvl="0" w:tplc="ABD0EA5C">
      <w:start w:val="1"/>
      <w:numFmt w:val="bullet"/>
      <w:lvlText w:val="•"/>
      <w:lvlJc w:val="left"/>
      <w:pPr>
        <w:tabs>
          <w:tab w:val="num" w:pos="720"/>
        </w:tabs>
        <w:ind w:left="720" w:hanging="360"/>
      </w:pPr>
      <w:rPr>
        <w:rFonts w:ascii="Times New Roman" w:hAnsi="Times New Roman" w:hint="default"/>
      </w:rPr>
    </w:lvl>
    <w:lvl w:ilvl="1" w:tplc="4D0895AE" w:tentative="1">
      <w:start w:val="1"/>
      <w:numFmt w:val="bullet"/>
      <w:lvlText w:val="•"/>
      <w:lvlJc w:val="left"/>
      <w:pPr>
        <w:tabs>
          <w:tab w:val="num" w:pos="1440"/>
        </w:tabs>
        <w:ind w:left="1440" w:hanging="360"/>
      </w:pPr>
      <w:rPr>
        <w:rFonts w:ascii="Times New Roman" w:hAnsi="Times New Roman" w:hint="default"/>
      </w:rPr>
    </w:lvl>
    <w:lvl w:ilvl="2" w:tplc="BD366AF0" w:tentative="1">
      <w:start w:val="1"/>
      <w:numFmt w:val="bullet"/>
      <w:lvlText w:val="•"/>
      <w:lvlJc w:val="left"/>
      <w:pPr>
        <w:tabs>
          <w:tab w:val="num" w:pos="2160"/>
        </w:tabs>
        <w:ind w:left="2160" w:hanging="360"/>
      </w:pPr>
      <w:rPr>
        <w:rFonts w:ascii="Times New Roman" w:hAnsi="Times New Roman" w:hint="default"/>
      </w:rPr>
    </w:lvl>
    <w:lvl w:ilvl="3" w:tplc="DC5400FC" w:tentative="1">
      <w:start w:val="1"/>
      <w:numFmt w:val="bullet"/>
      <w:lvlText w:val="•"/>
      <w:lvlJc w:val="left"/>
      <w:pPr>
        <w:tabs>
          <w:tab w:val="num" w:pos="2880"/>
        </w:tabs>
        <w:ind w:left="2880" w:hanging="360"/>
      </w:pPr>
      <w:rPr>
        <w:rFonts w:ascii="Times New Roman" w:hAnsi="Times New Roman" w:hint="default"/>
      </w:rPr>
    </w:lvl>
    <w:lvl w:ilvl="4" w:tplc="1FC41A5C" w:tentative="1">
      <w:start w:val="1"/>
      <w:numFmt w:val="bullet"/>
      <w:lvlText w:val="•"/>
      <w:lvlJc w:val="left"/>
      <w:pPr>
        <w:tabs>
          <w:tab w:val="num" w:pos="3600"/>
        </w:tabs>
        <w:ind w:left="3600" w:hanging="360"/>
      </w:pPr>
      <w:rPr>
        <w:rFonts w:ascii="Times New Roman" w:hAnsi="Times New Roman" w:hint="default"/>
      </w:rPr>
    </w:lvl>
    <w:lvl w:ilvl="5" w:tplc="978E898A" w:tentative="1">
      <w:start w:val="1"/>
      <w:numFmt w:val="bullet"/>
      <w:lvlText w:val="•"/>
      <w:lvlJc w:val="left"/>
      <w:pPr>
        <w:tabs>
          <w:tab w:val="num" w:pos="4320"/>
        </w:tabs>
        <w:ind w:left="4320" w:hanging="360"/>
      </w:pPr>
      <w:rPr>
        <w:rFonts w:ascii="Times New Roman" w:hAnsi="Times New Roman" w:hint="default"/>
      </w:rPr>
    </w:lvl>
    <w:lvl w:ilvl="6" w:tplc="F0AA432C" w:tentative="1">
      <w:start w:val="1"/>
      <w:numFmt w:val="bullet"/>
      <w:lvlText w:val="•"/>
      <w:lvlJc w:val="left"/>
      <w:pPr>
        <w:tabs>
          <w:tab w:val="num" w:pos="5040"/>
        </w:tabs>
        <w:ind w:left="5040" w:hanging="360"/>
      </w:pPr>
      <w:rPr>
        <w:rFonts w:ascii="Times New Roman" w:hAnsi="Times New Roman" w:hint="default"/>
      </w:rPr>
    </w:lvl>
    <w:lvl w:ilvl="7" w:tplc="70281082" w:tentative="1">
      <w:start w:val="1"/>
      <w:numFmt w:val="bullet"/>
      <w:lvlText w:val="•"/>
      <w:lvlJc w:val="left"/>
      <w:pPr>
        <w:tabs>
          <w:tab w:val="num" w:pos="5760"/>
        </w:tabs>
        <w:ind w:left="5760" w:hanging="360"/>
      </w:pPr>
      <w:rPr>
        <w:rFonts w:ascii="Times New Roman" w:hAnsi="Times New Roman" w:hint="default"/>
      </w:rPr>
    </w:lvl>
    <w:lvl w:ilvl="8" w:tplc="AA82C96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96B396F"/>
    <w:multiLevelType w:val="hybridMultilevel"/>
    <w:tmpl w:val="20DC0D28"/>
    <w:lvl w:ilvl="0" w:tplc="31805396">
      <w:start w:val="1"/>
      <w:numFmt w:val="bullet"/>
      <w:lvlText w:val="•"/>
      <w:lvlJc w:val="left"/>
      <w:pPr>
        <w:tabs>
          <w:tab w:val="num" w:pos="786"/>
        </w:tabs>
        <w:ind w:left="786" w:hanging="360"/>
      </w:pPr>
      <w:rPr>
        <w:rFonts w:ascii="Times New Roman" w:hAnsi="Times New Roman" w:hint="default"/>
      </w:rPr>
    </w:lvl>
    <w:lvl w:ilvl="1" w:tplc="F482DC2A" w:tentative="1">
      <w:start w:val="1"/>
      <w:numFmt w:val="bullet"/>
      <w:lvlText w:val="•"/>
      <w:lvlJc w:val="left"/>
      <w:pPr>
        <w:tabs>
          <w:tab w:val="num" w:pos="1506"/>
        </w:tabs>
        <w:ind w:left="1506" w:hanging="360"/>
      </w:pPr>
      <w:rPr>
        <w:rFonts w:ascii="Times New Roman" w:hAnsi="Times New Roman" w:hint="default"/>
      </w:rPr>
    </w:lvl>
    <w:lvl w:ilvl="2" w:tplc="ED8A68C4" w:tentative="1">
      <w:start w:val="1"/>
      <w:numFmt w:val="bullet"/>
      <w:lvlText w:val="•"/>
      <w:lvlJc w:val="left"/>
      <w:pPr>
        <w:tabs>
          <w:tab w:val="num" w:pos="2226"/>
        </w:tabs>
        <w:ind w:left="2226" w:hanging="360"/>
      </w:pPr>
      <w:rPr>
        <w:rFonts w:ascii="Times New Roman" w:hAnsi="Times New Roman" w:hint="default"/>
      </w:rPr>
    </w:lvl>
    <w:lvl w:ilvl="3" w:tplc="C0306414" w:tentative="1">
      <w:start w:val="1"/>
      <w:numFmt w:val="bullet"/>
      <w:lvlText w:val="•"/>
      <w:lvlJc w:val="left"/>
      <w:pPr>
        <w:tabs>
          <w:tab w:val="num" w:pos="2946"/>
        </w:tabs>
        <w:ind w:left="2946" w:hanging="360"/>
      </w:pPr>
      <w:rPr>
        <w:rFonts w:ascii="Times New Roman" w:hAnsi="Times New Roman" w:hint="default"/>
      </w:rPr>
    </w:lvl>
    <w:lvl w:ilvl="4" w:tplc="C8E6CE2A" w:tentative="1">
      <w:start w:val="1"/>
      <w:numFmt w:val="bullet"/>
      <w:lvlText w:val="•"/>
      <w:lvlJc w:val="left"/>
      <w:pPr>
        <w:tabs>
          <w:tab w:val="num" w:pos="3666"/>
        </w:tabs>
        <w:ind w:left="3666" w:hanging="360"/>
      </w:pPr>
      <w:rPr>
        <w:rFonts w:ascii="Times New Roman" w:hAnsi="Times New Roman" w:hint="default"/>
      </w:rPr>
    </w:lvl>
    <w:lvl w:ilvl="5" w:tplc="BF887A5C" w:tentative="1">
      <w:start w:val="1"/>
      <w:numFmt w:val="bullet"/>
      <w:lvlText w:val="•"/>
      <w:lvlJc w:val="left"/>
      <w:pPr>
        <w:tabs>
          <w:tab w:val="num" w:pos="4386"/>
        </w:tabs>
        <w:ind w:left="4386" w:hanging="360"/>
      </w:pPr>
      <w:rPr>
        <w:rFonts w:ascii="Times New Roman" w:hAnsi="Times New Roman" w:hint="default"/>
      </w:rPr>
    </w:lvl>
    <w:lvl w:ilvl="6" w:tplc="B66A8788" w:tentative="1">
      <w:start w:val="1"/>
      <w:numFmt w:val="bullet"/>
      <w:lvlText w:val="•"/>
      <w:lvlJc w:val="left"/>
      <w:pPr>
        <w:tabs>
          <w:tab w:val="num" w:pos="5106"/>
        </w:tabs>
        <w:ind w:left="5106" w:hanging="360"/>
      </w:pPr>
      <w:rPr>
        <w:rFonts w:ascii="Times New Roman" w:hAnsi="Times New Roman" w:hint="default"/>
      </w:rPr>
    </w:lvl>
    <w:lvl w:ilvl="7" w:tplc="F2345172" w:tentative="1">
      <w:start w:val="1"/>
      <w:numFmt w:val="bullet"/>
      <w:lvlText w:val="•"/>
      <w:lvlJc w:val="left"/>
      <w:pPr>
        <w:tabs>
          <w:tab w:val="num" w:pos="5826"/>
        </w:tabs>
        <w:ind w:left="5826" w:hanging="360"/>
      </w:pPr>
      <w:rPr>
        <w:rFonts w:ascii="Times New Roman" w:hAnsi="Times New Roman" w:hint="default"/>
      </w:rPr>
    </w:lvl>
    <w:lvl w:ilvl="8" w:tplc="FFD8A55E" w:tentative="1">
      <w:start w:val="1"/>
      <w:numFmt w:val="bullet"/>
      <w:lvlText w:val="•"/>
      <w:lvlJc w:val="left"/>
      <w:pPr>
        <w:tabs>
          <w:tab w:val="num" w:pos="6546"/>
        </w:tabs>
        <w:ind w:left="6546" w:hanging="360"/>
      </w:pPr>
      <w:rPr>
        <w:rFonts w:ascii="Times New Roman" w:hAnsi="Times New Roman" w:hint="default"/>
      </w:rPr>
    </w:lvl>
  </w:abstractNum>
  <w:abstractNum w:abstractNumId="32">
    <w:nsid w:val="5CB96A59"/>
    <w:multiLevelType w:val="hybridMultilevel"/>
    <w:tmpl w:val="6DA4CD2E"/>
    <w:lvl w:ilvl="0" w:tplc="E65882FE">
      <w:start w:val="1"/>
      <w:numFmt w:val="bullet"/>
      <w:lvlText w:val=""/>
      <w:lvlJc w:val="left"/>
      <w:pPr>
        <w:tabs>
          <w:tab w:val="num" w:pos="720"/>
        </w:tabs>
        <w:ind w:left="720" w:hanging="360"/>
      </w:pPr>
      <w:rPr>
        <w:rFonts w:ascii="Wingdings" w:hAnsi="Wingdings" w:hint="default"/>
        <w:color w:val="auto"/>
      </w:rPr>
    </w:lvl>
    <w:lvl w:ilvl="1" w:tplc="7688BB02" w:tentative="1">
      <w:start w:val="1"/>
      <w:numFmt w:val="bullet"/>
      <w:lvlText w:val="•"/>
      <w:lvlJc w:val="left"/>
      <w:pPr>
        <w:tabs>
          <w:tab w:val="num" w:pos="1440"/>
        </w:tabs>
        <w:ind w:left="1440" w:hanging="360"/>
      </w:pPr>
      <w:rPr>
        <w:rFonts w:ascii="Times New Roman" w:hAnsi="Times New Roman" w:hint="default"/>
      </w:rPr>
    </w:lvl>
    <w:lvl w:ilvl="2" w:tplc="AB9AB484" w:tentative="1">
      <w:start w:val="1"/>
      <w:numFmt w:val="bullet"/>
      <w:lvlText w:val="•"/>
      <w:lvlJc w:val="left"/>
      <w:pPr>
        <w:tabs>
          <w:tab w:val="num" w:pos="2160"/>
        </w:tabs>
        <w:ind w:left="2160" w:hanging="360"/>
      </w:pPr>
      <w:rPr>
        <w:rFonts w:ascii="Times New Roman" w:hAnsi="Times New Roman" w:hint="default"/>
      </w:rPr>
    </w:lvl>
    <w:lvl w:ilvl="3" w:tplc="CFBCDAE0" w:tentative="1">
      <w:start w:val="1"/>
      <w:numFmt w:val="bullet"/>
      <w:lvlText w:val="•"/>
      <w:lvlJc w:val="left"/>
      <w:pPr>
        <w:tabs>
          <w:tab w:val="num" w:pos="2880"/>
        </w:tabs>
        <w:ind w:left="2880" w:hanging="360"/>
      </w:pPr>
      <w:rPr>
        <w:rFonts w:ascii="Times New Roman" w:hAnsi="Times New Roman" w:hint="default"/>
      </w:rPr>
    </w:lvl>
    <w:lvl w:ilvl="4" w:tplc="83B06E6C" w:tentative="1">
      <w:start w:val="1"/>
      <w:numFmt w:val="bullet"/>
      <w:lvlText w:val="•"/>
      <w:lvlJc w:val="left"/>
      <w:pPr>
        <w:tabs>
          <w:tab w:val="num" w:pos="3600"/>
        </w:tabs>
        <w:ind w:left="3600" w:hanging="360"/>
      </w:pPr>
      <w:rPr>
        <w:rFonts w:ascii="Times New Roman" w:hAnsi="Times New Roman" w:hint="default"/>
      </w:rPr>
    </w:lvl>
    <w:lvl w:ilvl="5" w:tplc="BFC231C0" w:tentative="1">
      <w:start w:val="1"/>
      <w:numFmt w:val="bullet"/>
      <w:lvlText w:val="•"/>
      <w:lvlJc w:val="left"/>
      <w:pPr>
        <w:tabs>
          <w:tab w:val="num" w:pos="4320"/>
        </w:tabs>
        <w:ind w:left="4320" w:hanging="360"/>
      </w:pPr>
      <w:rPr>
        <w:rFonts w:ascii="Times New Roman" w:hAnsi="Times New Roman" w:hint="default"/>
      </w:rPr>
    </w:lvl>
    <w:lvl w:ilvl="6" w:tplc="F12E17FA" w:tentative="1">
      <w:start w:val="1"/>
      <w:numFmt w:val="bullet"/>
      <w:lvlText w:val="•"/>
      <w:lvlJc w:val="left"/>
      <w:pPr>
        <w:tabs>
          <w:tab w:val="num" w:pos="5040"/>
        </w:tabs>
        <w:ind w:left="5040" w:hanging="360"/>
      </w:pPr>
      <w:rPr>
        <w:rFonts w:ascii="Times New Roman" w:hAnsi="Times New Roman" w:hint="default"/>
      </w:rPr>
    </w:lvl>
    <w:lvl w:ilvl="7" w:tplc="11A69262" w:tentative="1">
      <w:start w:val="1"/>
      <w:numFmt w:val="bullet"/>
      <w:lvlText w:val="•"/>
      <w:lvlJc w:val="left"/>
      <w:pPr>
        <w:tabs>
          <w:tab w:val="num" w:pos="5760"/>
        </w:tabs>
        <w:ind w:left="5760" w:hanging="360"/>
      </w:pPr>
      <w:rPr>
        <w:rFonts w:ascii="Times New Roman" w:hAnsi="Times New Roman" w:hint="default"/>
      </w:rPr>
    </w:lvl>
    <w:lvl w:ilvl="8" w:tplc="4D72A7A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F870A8C"/>
    <w:multiLevelType w:val="hybridMultilevel"/>
    <w:tmpl w:val="AA0C2A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E00513B"/>
    <w:multiLevelType w:val="hybridMultilevel"/>
    <w:tmpl w:val="CB249C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19413A8"/>
    <w:multiLevelType w:val="hybridMultilevel"/>
    <w:tmpl w:val="AC3ACCAA"/>
    <w:lvl w:ilvl="0" w:tplc="33000DE0">
      <w:start w:val="1"/>
      <w:numFmt w:val="bullet"/>
      <w:lvlText w:val="•"/>
      <w:lvlJc w:val="left"/>
      <w:pPr>
        <w:tabs>
          <w:tab w:val="num" w:pos="720"/>
        </w:tabs>
        <w:ind w:left="720" w:hanging="360"/>
      </w:pPr>
      <w:rPr>
        <w:rFonts w:ascii="Times New Roman" w:hAnsi="Times New Roman" w:hint="default"/>
      </w:rPr>
    </w:lvl>
    <w:lvl w:ilvl="1" w:tplc="90405C0E" w:tentative="1">
      <w:start w:val="1"/>
      <w:numFmt w:val="bullet"/>
      <w:lvlText w:val="•"/>
      <w:lvlJc w:val="left"/>
      <w:pPr>
        <w:tabs>
          <w:tab w:val="num" w:pos="1440"/>
        </w:tabs>
        <w:ind w:left="1440" w:hanging="360"/>
      </w:pPr>
      <w:rPr>
        <w:rFonts w:ascii="Times New Roman" w:hAnsi="Times New Roman" w:hint="default"/>
      </w:rPr>
    </w:lvl>
    <w:lvl w:ilvl="2" w:tplc="14C63052" w:tentative="1">
      <w:start w:val="1"/>
      <w:numFmt w:val="bullet"/>
      <w:lvlText w:val="•"/>
      <w:lvlJc w:val="left"/>
      <w:pPr>
        <w:tabs>
          <w:tab w:val="num" w:pos="2160"/>
        </w:tabs>
        <w:ind w:left="2160" w:hanging="360"/>
      </w:pPr>
      <w:rPr>
        <w:rFonts w:ascii="Times New Roman" w:hAnsi="Times New Roman" w:hint="default"/>
      </w:rPr>
    </w:lvl>
    <w:lvl w:ilvl="3" w:tplc="3466B48A" w:tentative="1">
      <w:start w:val="1"/>
      <w:numFmt w:val="bullet"/>
      <w:lvlText w:val="•"/>
      <w:lvlJc w:val="left"/>
      <w:pPr>
        <w:tabs>
          <w:tab w:val="num" w:pos="2880"/>
        </w:tabs>
        <w:ind w:left="2880" w:hanging="360"/>
      </w:pPr>
      <w:rPr>
        <w:rFonts w:ascii="Times New Roman" w:hAnsi="Times New Roman" w:hint="default"/>
      </w:rPr>
    </w:lvl>
    <w:lvl w:ilvl="4" w:tplc="84009958" w:tentative="1">
      <w:start w:val="1"/>
      <w:numFmt w:val="bullet"/>
      <w:lvlText w:val="•"/>
      <w:lvlJc w:val="left"/>
      <w:pPr>
        <w:tabs>
          <w:tab w:val="num" w:pos="3600"/>
        </w:tabs>
        <w:ind w:left="3600" w:hanging="360"/>
      </w:pPr>
      <w:rPr>
        <w:rFonts w:ascii="Times New Roman" w:hAnsi="Times New Roman" w:hint="default"/>
      </w:rPr>
    </w:lvl>
    <w:lvl w:ilvl="5" w:tplc="5AACDFAC" w:tentative="1">
      <w:start w:val="1"/>
      <w:numFmt w:val="bullet"/>
      <w:lvlText w:val="•"/>
      <w:lvlJc w:val="left"/>
      <w:pPr>
        <w:tabs>
          <w:tab w:val="num" w:pos="4320"/>
        </w:tabs>
        <w:ind w:left="4320" w:hanging="360"/>
      </w:pPr>
      <w:rPr>
        <w:rFonts w:ascii="Times New Roman" w:hAnsi="Times New Roman" w:hint="default"/>
      </w:rPr>
    </w:lvl>
    <w:lvl w:ilvl="6" w:tplc="5FC8D014" w:tentative="1">
      <w:start w:val="1"/>
      <w:numFmt w:val="bullet"/>
      <w:lvlText w:val="•"/>
      <w:lvlJc w:val="left"/>
      <w:pPr>
        <w:tabs>
          <w:tab w:val="num" w:pos="5040"/>
        </w:tabs>
        <w:ind w:left="5040" w:hanging="360"/>
      </w:pPr>
      <w:rPr>
        <w:rFonts w:ascii="Times New Roman" w:hAnsi="Times New Roman" w:hint="default"/>
      </w:rPr>
    </w:lvl>
    <w:lvl w:ilvl="7" w:tplc="2550E6A4" w:tentative="1">
      <w:start w:val="1"/>
      <w:numFmt w:val="bullet"/>
      <w:lvlText w:val="•"/>
      <w:lvlJc w:val="left"/>
      <w:pPr>
        <w:tabs>
          <w:tab w:val="num" w:pos="5760"/>
        </w:tabs>
        <w:ind w:left="5760" w:hanging="360"/>
      </w:pPr>
      <w:rPr>
        <w:rFonts w:ascii="Times New Roman" w:hAnsi="Times New Roman" w:hint="default"/>
      </w:rPr>
    </w:lvl>
    <w:lvl w:ilvl="8" w:tplc="E14A9200"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1C55EF8"/>
    <w:multiLevelType w:val="hybridMultilevel"/>
    <w:tmpl w:val="400EB6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30E33AE"/>
    <w:multiLevelType w:val="hybridMultilevel"/>
    <w:tmpl w:val="AF3AC0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4AD6D3A"/>
    <w:multiLevelType w:val="hybridMultilevel"/>
    <w:tmpl w:val="213AF646"/>
    <w:lvl w:ilvl="0" w:tplc="5C409D24">
      <w:start w:val="1"/>
      <w:numFmt w:val="bullet"/>
      <w:lvlText w:val="•"/>
      <w:lvlJc w:val="left"/>
      <w:pPr>
        <w:tabs>
          <w:tab w:val="num" w:pos="720"/>
        </w:tabs>
        <w:ind w:left="720" w:hanging="360"/>
      </w:pPr>
      <w:rPr>
        <w:rFonts w:ascii="Times New Roman" w:hAnsi="Times New Roman" w:hint="default"/>
      </w:rPr>
    </w:lvl>
    <w:lvl w:ilvl="1" w:tplc="F698D7A6" w:tentative="1">
      <w:start w:val="1"/>
      <w:numFmt w:val="bullet"/>
      <w:lvlText w:val="•"/>
      <w:lvlJc w:val="left"/>
      <w:pPr>
        <w:tabs>
          <w:tab w:val="num" w:pos="1440"/>
        </w:tabs>
        <w:ind w:left="1440" w:hanging="360"/>
      </w:pPr>
      <w:rPr>
        <w:rFonts w:ascii="Times New Roman" w:hAnsi="Times New Roman" w:hint="default"/>
      </w:rPr>
    </w:lvl>
    <w:lvl w:ilvl="2" w:tplc="77B4CDA0" w:tentative="1">
      <w:start w:val="1"/>
      <w:numFmt w:val="bullet"/>
      <w:lvlText w:val="•"/>
      <w:lvlJc w:val="left"/>
      <w:pPr>
        <w:tabs>
          <w:tab w:val="num" w:pos="2160"/>
        </w:tabs>
        <w:ind w:left="2160" w:hanging="360"/>
      </w:pPr>
      <w:rPr>
        <w:rFonts w:ascii="Times New Roman" w:hAnsi="Times New Roman" w:hint="default"/>
      </w:rPr>
    </w:lvl>
    <w:lvl w:ilvl="3" w:tplc="FFB2E6A8" w:tentative="1">
      <w:start w:val="1"/>
      <w:numFmt w:val="bullet"/>
      <w:lvlText w:val="•"/>
      <w:lvlJc w:val="left"/>
      <w:pPr>
        <w:tabs>
          <w:tab w:val="num" w:pos="2880"/>
        </w:tabs>
        <w:ind w:left="2880" w:hanging="360"/>
      </w:pPr>
      <w:rPr>
        <w:rFonts w:ascii="Times New Roman" w:hAnsi="Times New Roman" w:hint="default"/>
      </w:rPr>
    </w:lvl>
    <w:lvl w:ilvl="4" w:tplc="63982D6C" w:tentative="1">
      <w:start w:val="1"/>
      <w:numFmt w:val="bullet"/>
      <w:lvlText w:val="•"/>
      <w:lvlJc w:val="left"/>
      <w:pPr>
        <w:tabs>
          <w:tab w:val="num" w:pos="3600"/>
        </w:tabs>
        <w:ind w:left="3600" w:hanging="360"/>
      </w:pPr>
      <w:rPr>
        <w:rFonts w:ascii="Times New Roman" w:hAnsi="Times New Roman" w:hint="default"/>
      </w:rPr>
    </w:lvl>
    <w:lvl w:ilvl="5" w:tplc="F97EFE94" w:tentative="1">
      <w:start w:val="1"/>
      <w:numFmt w:val="bullet"/>
      <w:lvlText w:val="•"/>
      <w:lvlJc w:val="left"/>
      <w:pPr>
        <w:tabs>
          <w:tab w:val="num" w:pos="4320"/>
        </w:tabs>
        <w:ind w:left="4320" w:hanging="360"/>
      </w:pPr>
      <w:rPr>
        <w:rFonts w:ascii="Times New Roman" w:hAnsi="Times New Roman" w:hint="default"/>
      </w:rPr>
    </w:lvl>
    <w:lvl w:ilvl="6" w:tplc="3EF6B61C" w:tentative="1">
      <w:start w:val="1"/>
      <w:numFmt w:val="bullet"/>
      <w:lvlText w:val="•"/>
      <w:lvlJc w:val="left"/>
      <w:pPr>
        <w:tabs>
          <w:tab w:val="num" w:pos="5040"/>
        </w:tabs>
        <w:ind w:left="5040" w:hanging="360"/>
      </w:pPr>
      <w:rPr>
        <w:rFonts w:ascii="Times New Roman" w:hAnsi="Times New Roman" w:hint="default"/>
      </w:rPr>
    </w:lvl>
    <w:lvl w:ilvl="7" w:tplc="C5803DD8" w:tentative="1">
      <w:start w:val="1"/>
      <w:numFmt w:val="bullet"/>
      <w:lvlText w:val="•"/>
      <w:lvlJc w:val="left"/>
      <w:pPr>
        <w:tabs>
          <w:tab w:val="num" w:pos="5760"/>
        </w:tabs>
        <w:ind w:left="5760" w:hanging="360"/>
      </w:pPr>
      <w:rPr>
        <w:rFonts w:ascii="Times New Roman" w:hAnsi="Times New Roman" w:hint="default"/>
      </w:rPr>
    </w:lvl>
    <w:lvl w:ilvl="8" w:tplc="DAEAF986"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5674DE3"/>
    <w:multiLevelType w:val="hybridMultilevel"/>
    <w:tmpl w:val="6A1652D4"/>
    <w:lvl w:ilvl="0" w:tplc="0A00E058">
      <w:start w:val="1"/>
      <w:numFmt w:val="bullet"/>
      <w:lvlText w:val="•"/>
      <w:lvlJc w:val="left"/>
      <w:pPr>
        <w:tabs>
          <w:tab w:val="num" w:pos="720"/>
        </w:tabs>
        <w:ind w:left="720" w:hanging="360"/>
      </w:pPr>
      <w:rPr>
        <w:rFonts w:ascii="Times New Roman" w:hAnsi="Times New Roman" w:hint="default"/>
      </w:rPr>
    </w:lvl>
    <w:lvl w:ilvl="1" w:tplc="18ACC448" w:tentative="1">
      <w:start w:val="1"/>
      <w:numFmt w:val="bullet"/>
      <w:lvlText w:val="•"/>
      <w:lvlJc w:val="left"/>
      <w:pPr>
        <w:tabs>
          <w:tab w:val="num" w:pos="1440"/>
        </w:tabs>
        <w:ind w:left="1440" w:hanging="360"/>
      </w:pPr>
      <w:rPr>
        <w:rFonts w:ascii="Times New Roman" w:hAnsi="Times New Roman" w:hint="default"/>
      </w:rPr>
    </w:lvl>
    <w:lvl w:ilvl="2" w:tplc="72849CCE" w:tentative="1">
      <w:start w:val="1"/>
      <w:numFmt w:val="bullet"/>
      <w:lvlText w:val="•"/>
      <w:lvlJc w:val="left"/>
      <w:pPr>
        <w:tabs>
          <w:tab w:val="num" w:pos="2160"/>
        </w:tabs>
        <w:ind w:left="2160" w:hanging="360"/>
      </w:pPr>
      <w:rPr>
        <w:rFonts w:ascii="Times New Roman" w:hAnsi="Times New Roman" w:hint="default"/>
      </w:rPr>
    </w:lvl>
    <w:lvl w:ilvl="3" w:tplc="3B42BE12" w:tentative="1">
      <w:start w:val="1"/>
      <w:numFmt w:val="bullet"/>
      <w:lvlText w:val="•"/>
      <w:lvlJc w:val="left"/>
      <w:pPr>
        <w:tabs>
          <w:tab w:val="num" w:pos="2880"/>
        </w:tabs>
        <w:ind w:left="2880" w:hanging="360"/>
      </w:pPr>
      <w:rPr>
        <w:rFonts w:ascii="Times New Roman" w:hAnsi="Times New Roman" w:hint="default"/>
      </w:rPr>
    </w:lvl>
    <w:lvl w:ilvl="4" w:tplc="32B018B6" w:tentative="1">
      <w:start w:val="1"/>
      <w:numFmt w:val="bullet"/>
      <w:lvlText w:val="•"/>
      <w:lvlJc w:val="left"/>
      <w:pPr>
        <w:tabs>
          <w:tab w:val="num" w:pos="3600"/>
        </w:tabs>
        <w:ind w:left="3600" w:hanging="360"/>
      </w:pPr>
      <w:rPr>
        <w:rFonts w:ascii="Times New Roman" w:hAnsi="Times New Roman" w:hint="default"/>
      </w:rPr>
    </w:lvl>
    <w:lvl w:ilvl="5" w:tplc="4D10F558" w:tentative="1">
      <w:start w:val="1"/>
      <w:numFmt w:val="bullet"/>
      <w:lvlText w:val="•"/>
      <w:lvlJc w:val="left"/>
      <w:pPr>
        <w:tabs>
          <w:tab w:val="num" w:pos="4320"/>
        </w:tabs>
        <w:ind w:left="4320" w:hanging="360"/>
      </w:pPr>
      <w:rPr>
        <w:rFonts w:ascii="Times New Roman" w:hAnsi="Times New Roman" w:hint="default"/>
      </w:rPr>
    </w:lvl>
    <w:lvl w:ilvl="6" w:tplc="E5E8B56A" w:tentative="1">
      <w:start w:val="1"/>
      <w:numFmt w:val="bullet"/>
      <w:lvlText w:val="•"/>
      <w:lvlJc w:val="left"/>
      <w:pPr>
        <w:tabs>
          <w:tab w:val="num" w:pos="5040"/>
        </w:tabs>
        <w:ind w:left="5040" w:hanging="360"/>
      </w:pPr>
      <w:rPr>
        <w:rFonts w:ascii="Times New Roman" w:hAnsi="Times New Roman" w:hint="default"/>
      </w:rPr>
    </w:lvl>
    <w:lvl w:ilvl="7" w:tplc="544E8E52" w:tentative="1">
      <w:start w:val="1"/>
      <w:numFmt w:val="bullet"/>
      <w:lvlText w:val="•"/>
      <w:lvlJc w:val="left"/>
      <w:pPr>
        <w:tabs>
          <w:tab w:val="num" w:pos="5760"/>
        </w:tabs>
        <w:ind w:left="5760" w:hanging="360"/>
      </w:pPr>
      <w:rPr>
        <w:rFonts w:ascii="Times New Roman" w:hAnsi="Times New Roman" w:hint="default"/>
      </w:rPr>
    </w:lvl>
    <w:lvl w:ilvl="8" w:tplc="6660EE60"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A265A9F"/>
    <w:multiLevelType w:val="hybridMultilevel"/>
    <w:tmpl w:val="ACAEFD0A"/>
    <w:lvl w:ilvl="0" w:tplc="2878D5AE">
      <w:start w:val="1"/>
      <w:numFmt w:val="bullet"/>
      <w:lvlText w:val="•"/>
      <w:lvlJc w:val="left"/>
      <w:pPr>
        <w:tabs>
          <w:tab w:val="num" w:pos="720"/>
        </w:tabs>
        <w:ind w:left="720" w:hanging="360"/>
      </w:pPr>
      <w:rPr>
        <w:rFonts w:ascii="Times New Roman" w:hAnsi="Times New Roman" w:hint="default"/>
      </w:rPr>
    </w:lvl>
    <w:lvl w:ilvl="1" w:tplc="0550080A" w:tentative="1">
      <w:start w:val="1"/>
      <w:numFmt w:val="bullet"/>
      <w:lvlText w:val="•"/>
      <w:lvlJc w:val="left"/>
      <w:pPr>
        <w:tabs>
          <w:tab w:val="num" w:pos="1440"/>
        </w:tabs>
        <w:ind w:left="1440" w:hanging="360"/>
      </w:pPr>
      <w:rPr>
        <w:rFonts w:ascii="Times New Roman" w:hAnsi="Times New Roman" w:hint="default"/>
      </w:rPr>
    </w:lvl>
    <w:lvl w:ilvl="2" w:tplc="D7DCCC52" w:tentative="1">
      <w:start w:val="1"/>
      <w:numFmt w:val="bullet"/>
      <w:lvlText w:val="•"/>
      <w:lvlJc w:val="left"/>
      <w:pPr>
        <w:tabs>
          <w:tab w:val="num" w:pos="2160"/>
        </w:tabs>
        <w:ind w:left="2160" w:hanging="360"/>
      </w:pPr>
      <w:rPr>
        <w:rFonts w:ascii="Times New Roman" w:hAnsi="Times New Roman" w:hint="default"/>
      </w:rPr>
    </w:lvl>
    <w:lvl w:ilvl="3" w:tplc="0C94E780" w:tentative="1">
      <w:start w:val="1"/>
      <w:numFmt w:val="bullet"/>
      <w:lvlText w:val="•"/>
      <w:lvlJc w:val="left"/>
      <w:pPr>
        <w:tabs>
          <w:tab w:val="num" w:pos="2880"/>
        </w:tabs>
        <w:ind w:left="2880" w:hanging="360"/>
      </w:pPr>
      <w:rPr>
        <w:rFonts w:ascii="Times New Roman" w:hAnsi="Times New Roman" w:hint="default"/>
      </w:rPr>
    </w:lvl>
    <w:lvl w:ilvl="4" w:tplc="ACCA6436" w:tentative="1">
      <w:start w:val="1"/>
      <w:numFmt w:val="bullet"/>
      <w:lvlText w:val="•"/>
      <w:lvlJc w:val="left"/>
      <w:pPr>
        <w:tabs>
          <w:tab w:val="num" w:pos="3600"/>
        </w:tabs>
        <w:ind w:left="3600" w:hanging="360"/>
      </w:pPr>
      <w:rPr>
        <w:rFonts w:ascii="Times New Roman" w:hAnsi="Times New Roman" w:hint="default"/>
      </w:rPr>
    </w:lvl>
    <w:lvl w:ilvl="5" w:tplc="C7B2A71A" w:tentative="1">
      <w:start w:val="1"/>
      <w:numFmt w:val="bullet"/>
      <w:lvlText w:val="•"/>
      <w:lvlJc w:val="left"/>
      <w:pPr>
        <w:tabs>
          <w:tab w:val="num" w:pos="4320"/>
        </w:tabs>
        <w:ind w:left="4320" w:hanging="360"/>
      </w:pPr>
      <w:rPr>
        <w:rFonts w:ascii="Times New Roman" w:hAnsi="Times New Roman" w:hint="default"/>
      </w:rPr>
    </w:lvl>
    <w:lvl w:ilvl="6" w:tplc="0F0CB2BA" w:tentative="1">
      <w:start w:val="1"/>
      <w:numFmt w:val="bullet"/>
      <w:lvlText w:val="•"/>
      <w:lvlJc w:val="left"/>
      <w:pPr>
        <w:tabs>
          <w:tab w:val="num" w:pos="5040"/>
        </w:tabs>
        <w:ind w:left="5040" w:hanging="360"/>
      </w:pPr>
      <w:rPr>
        <w:rFonts w:ascii="Times New Roman" w:hAnsi="Times New Roman" w:hint="default"/>
      </w:rPr>
    </w:lvl>
    <w:lvl w:ilvl="7" w:tplc="02A611AE" w:tentative="1">
      <w:start w:val="1"/>
      <w:numFmt w:val="bullet"/>
      <w:lvlText w:val="•"/>
      <w:lvlJc w:val="left"/>
      <w:pPr>
        <w:tabs>
          <w:tab w:val="num" w:pos="5760"/>
        </w:tabs>
        <w:ind w:left="5760" w:hanging="360"/>
      </w:pPr>
      <w:rPr>
        <w:rFonts w:ascii="Times New Roman" w:hAnsi="Times New Roman" w:hint="default"/>
      </w:rPr>
    </w:lvl>
    <w:lvl w:ilvl="8" w:tplc="B492DCAC"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C8A181C"/>
    <w:multiLevelType w:val="hybridMultilevel"/>
    <w:tmpl w:val="51F6CF38"/>
    <w:lvl w:ilvl="0" w:tplc="2050ED50">
      <w:start w:val="1"/>
      <w:numFmt w:val="bullet"/>
      <w:lvlText w:val="•"/>
      <w:lvlJc w:val="left"/>
      <w:pPr>
        <w:tabs>
          <w:tab w:val="num" w:pos="720"/>
        </w:tabs>
        <w:ind w:left="720" w:hanging="360"/>
      </w:pPr>
      <w:rPr>
        <w:rFonts w:ascii="Times New Roman" w:hAnsi="Times New Roman" w:hint="default"/>
      </w:rPr>
    </w:lvl>
    <w:lvl w:ilvl="1" w:tplc="A3CA07AA" w:tentative="1">
      <w:start w:val="1"/>
      <w:numFmt w:val="bullet"/>
      <w:lvlText w:val="•"/>
      <w:lvlJc w:val="left"/>
      <w:pPr>
        <w:tabs>
          <w:tab w:val="num" w:pos="1440"/>
        </w:tabs>
        <w:ind w:left="1440" w:hanging="360"/>
      </w:pPr>
      <w:rPr>
        <w:rFonts w:ascii="Times New Roman" w:hAnsi="Times New Roman" w:hint="default"/>
      </w:rPr>
    </w:lvl>
    <w:lvl w:ilvl="2" w:tplc="5C1C3AE8" w:tentative="1">
      <w:start w:val="1"/>
      <w:numFmt w:val="bullet"/>
      <w:lvlText w:val="•"/>
      <w:lvlJc w:val="left"/>
      <w:pPr>
        <w:tabs>
          <w:tab w:val="num" w:pos="2160"/>
        </w:tabs>
        <w:ind w:left="2160" w:hanging="360"/>
      </w:pPr>
      <w:rPr>
        <w:rFonts w:ascii="Times New Roman" w:hAnsi="Times New Roman" w:hint="default"/>
      </w:rPr>
    </w:lvl>
    <w:lvl w:ilvl="3" w:tplc="603A19BC" w:tentative="1">
      <w:start w:val="1"/>
      <w:numFmt w:val="bullet"/>
      <w:lvlText w:val="•"/>
      <w:lvlJc w:val="left"/>
      <w:pPr>
        <w:tabs>
          <w:tab w:val="num" w:pos="2880"/>
        </w:tabs>
        <w:ind w:left="2880" w:hanging="360"/>
      </w:pPr>
      <w:rPr>
        <w:rFonts w:ascii="Times New Roman" w:hAnsi="Times New Roman" w:hint="default"/>
      </w:rPr>
    </w:lvl>
    <w:lvl w:ilvl="4" w:tplc="B0D6AB14" w:tentative="1">
      <w:start w:val="1"/>
      <w:numFmt w:val="bullet"/>
      <w:lvlText w:val="•"/>
      <w:lvlJc w:val="left"/>
      <w:pPr>
        <w:tabs>
          <w:tab w:val="num" w:pos="3600"/>
        </w:tabs>
        <w:ind w:left="3600" w:hanging="360"/>
      </w:pPr>
      <w:rPr>
        <w:rFonts w:ascii="Times New Roman" w:hAnsi="Times New Roman" w:hint="default"/>
      </w:rPr>
    </w:lvl>
    <w:lvl w:ilvl="5" w:tplc="D14036D4" w:tentative="1">
      <w:start w:val="1"/>
      <w:numFmt w:val="bullet"/>
      <w:lvlText w:val="•"/>
      <w:lvlJc w:val="left"/>
      <w:pPr>
        <w:tabs>
          <w:tab w:val="num" w:pos="4320"/>
        </w:tabs>
        <w:ind w:left="4320" w:hanging="360"/>
      </w:pPr>
      <w:rPr>
        <w:rFonts w:ascii="Times New Roman" w:hAnsi="Times New Roman" w:hint="default"/>
      </w:rPr>
    </w:lvl>
    <w:lvl w:ilvl="6" w:tplc="CB2CE966" w:tentative="1">
      <w:start w:val="1"/>
      <w:numFmt w:val="bullet"/>
      <w:lvlText w:val="•"/>
      <w:lvlJc w:val="left"/>
      <w:pPr>
        <w:tabs>
          <w:tab w:val="num" w:pos="5040"/>
        </w:tabs>
        <w:ind w:left="5040" w:hanging="360"/>
      </w:pPr>
      <w:rPr>
        <w:rFonts w:ascii="Times New Roman" w:hAnsi="Times New Roman" w:hint="default"/>
      </w:rPr>
    </w:lvl>
    <w:lvl w:ilvl="7" w:tplc="A746AF48" w:tentative="1">
      <w:start w:val="1"/>
      <w:numFmt w:val="bullet"/>
      <w:lvlText w:val="•"/>
      <w:lvlJc w:val="left"/>
      <w:pPr>
        <w:tabs>
          <w:tab w:val="num" w:pos="5760"/>
        </w:tabs>
        <w:ind w:left="5760" w:hanging="360"/>
      </w:pPr>
      <w:rPr>
        <w:rFonts w:ascii="Times New Roman" w:hAnsi="Times New Roman" w:hint="default"/>
      </w:rPr>
    </w:lvl>
    <w:lvl w:ilvl="8" w:tplc="D00254B2"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CC13A91"/>
    <w:multiLevelType w:val="hybridMultilevel"/>
    <w:tmpl w:val="30FA5AA4"/>
    <w:lvl w:ilvl="0" w:tplc="AB9E3F9A">
      <w:start w:val="1"/>
      <w:numFmt w:val="bullet"/>
      <w:lvlText w:val="•"/>
      <w:lvlJc w:val="left"/>
      <w:pPr>
        <w:tabs>
          <w:tab w:val="num" w:pos="720"/>
        </w:tabs>
        <w:ind w:left="720" w:hanging="360"/>
      </w:pPr>
      <w:rPr>
        <w:rFonts w:ascii="Times New Roman" w:hAnsi="Times New Roman" w:hint="default"/>
      </w:rPr>
    </w:lvl>
    <w:lvl w:ilvl="1" w:tplc="429CB69E" w:tentative="1">
      <w:start w:val="1"/>
      <w:numFmt w:val="bullet"/>
      <w:lvlText w:val="•"/>
      <w:lvlJc w:val="left"/>
      <w:pPr>
        <w:tabs>
          <w:tab w:val="num" w:pos="1440"/>
        </w:tabs>
        <w:ind w:left="1440" w:hanging="360"/>
      </w:pPr>
      <w:rPr>
        <w:rFonts w:ascii="Times New Roman" w:hAnsi="Times New Roman" w:hint="default"/>
      </w:rPr>
    </w:lvl>
    <w:lvl w:ilvl="2" w:tplc="75ACE938" w:tentative="1">
      <w:start w:val="1"/>
      <w:numFmt w:val="bullet"/>
      <w:lvlText w:val="•"/>
      <w:lvlJc w:val="left"/>
      <w:pPr>
        <w:tabs>
          <w:tab w:val="num" w:pos="2160"/>
        </w:tabs>
        <w:ind w:left="2160" w:hanging="360"/>
      </w:pPr>
      <w:rPr>
        <w:rFonts w:ascii="Times New Roman" w:hAnsi="Times New Roman" w:hint="default"/>
      </w:rPr>
    </w:lvl>
    <w:lvl w:ilvl="3" w:tplc="D08635D2" w:tentative="1">
      <w:start w:val="1"/>
      <w:numFmt w:val="bullet"/>
      <w:lvlText w:val="•"/>
      <w:lvlJc w:val="left"/>
      <w:pPr>
        <w:tabs>
          <w:tab w:val="num" w:pos="2880"/>
        </w:tabs>
        <w:ind w:left="2880" w:hanging="360"/>
      </w:pPr>
      <w:rPr>
        <w:rFonts w:ascii="Times New Roman" w:hAnsi="Times New Roman" w:hint="default"/>
      </w:rPr>
    </w:lvl>
    <w:lvl w:ilvl="4" w:tplc="2F3A2C4C" w:tentative="1">
      <w:start w:val="1"/>
      <w:numFmt w:val="bullet"/>
      <w:lvlText w:val="•"/>
      <w:lvlJc w:val="left"/>
      <w:pPr>
        <w:tabs>
          <w:tab w:val="num" w:pos="3600"/>
        </w:tabs>
        <w:ind w:left="3600" w:hanging="360"/>
      </w:pPr>
      <w:rPr>
        <w:rFonts w:ascii="Times New Roman" w:hAnsi="Times New Roman" w:hint="default"/>
      </w:rPr>
    </w:lvl>
    <w:lvl w:ilvl="5" w:tplc="BC42B388" w:tentative="1">
      <w:start w:val="1"/>
      <w:numFmt w:val="bullet"/>
      <w:lvlText w:val="•"/>
      <w:lvlJc w:val="left"/>
      <w:pPr>
        <w:tabs>
          <w:tab w:val="num" w:pos="4320"/>
        </w:tabs>
        <w:ind w:left="4320" w:hanging="360"/>
      </w:pPr>
      <w:rPr>
        <w:rFonts w:ascii="Times New Roman" w:hAnsi="Times New Roman" w:hint="default"/>
      </w:rPr>
    </w:lvl>
    <w:lvl w:ilvl="6" w:tplc="1FBE008E" w:tentative="1">
      <w:start w:val="1"/>
      <w:numFmt w:val="bullet"/>
      <w:lvlText w:val="•"/>
      <w:lvlJc w:val="left"/>
      <w:pPr>
        <w:tabs>
          <w:tab w:val="num" w:pos="5040"/>
        </w:tabs>
        <w:ind w:left="5040" w:hanging="360"/>
      </w:pPr>
      <w:rPr>
        <w:rFonts w:ascii="Times New Roman" w:hAnsi="Times New Roman" w:hint="default"/>
      </w:rPr>
    </w:lvl>
    <w:lvl w:ilvl="7" w:tplc="A3F0DE2E" w:tentative="1">
      <w:start w:val="1"/>
      <w:numFmt w:val="bullet"/>
      <w:lvlText w:val="•"/>
      <w:lvlJc w:val="left"/>
      <w:pPr>
        <w:tabs>
          <w:tab w:val="num" w:pos="5760"/>
        </w:tabs>
        <w:ind w:left="5760" w:hanging="360"/>
      </w:pPr>
      <w:rPr>
        <w:rFonts w:ascii="Times New Roman" w:hAnsi="Times New Roman" w:hint="default"/>
      </w:rPr>
    </w:lvl>
    <w:lvl w:ilvl="8" w:tplc="48CE93B0"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F775737"/>
    <w:multiLevelType w:val="hybridMultilevel"/>
    <w:tmpl w:val="54582E8E"/>
    <w:lvl w:ilvl="0" w:tplc="6F4E787A">
      <w:start w:val="1"/>
      <w:numFmt w:val="bullet"/>
      <w:lvlText w:val=""/>
      <w:lvlJc w:val="left"/>
      <w:pPr>
        <w:tabs>
          <w:tab w:val="num" w:pos="720"/>
        </w:tabs>
        <w:ind w:left="720" w:hanging="360"/>
      </w:pPr>
      <w:rPr>
        <w:rFonts w:ascii="Marlett" w:hAnsi="Marlett" w:hint="default"/>
      </w:rPr>
    </w:lvl>
    <w:lvl w:ilvl="1" w:tplc="598226BE" w:tentative="1">
      <w:start w:val="1"/>
      <w:numFmt w:val="bullet"/>
      <w:lvlText w:val=""/>
      <w:lvlJc w:val="left"/>
      <w:pPr>
        <w:tabs>
          <w:tab w:val="num" w:pos="1440"/>
        </w:tabs>
        <w:ind w:left="1440" w:hanging="360"/>
      </w:pPr>
      <w:rPr>
        <w:rFonts w:ascii="Marlett" w:hAnsi="Marlett" w:hint="default"/>
      </w:rPr>
    </w:lvl>
    <w:lvl w:ilvl="2" w:tplc="91365184" w:tentative="1">
      <w:start w:val="1"/>
      <w:numFmt w:val="bullet"/>
      <w:lvlText w:val=""/>
      <w:lvlJc w:val="left"/>
      <w:pPr>
        <w:tabs>
          <w:tab w:val="num" w:pos="2160"/>
        </w:tabs>
        <w:ind w:left="2160" w:hanging="360"/>
      </w:pPr>
      <w:rPr>
        <w:rFonts w:ascii="Marlett" w:hAnsi="Marlett" w:hint="default"/>
      </w:rPr>
    </w:lvl>
    <w:lvl w:ilvl="3" w:tplc="87ECEDE2" w:tentative="1">
      <w:start w:val="1"/>
      <w:numFmt w:val="bullet"/>
      <w:lvlText w:val=""/>
      <w:lvlJc w:val="left"/>
      <w:pPr>
        <w:tabs>
          <w:tab w:val="num" w:pos="2880"/>
        </w:tabs>
        <w:ind w:left="2880" w:hanging="360"/>
      </w:pPr>
      <w:rPr>
        <w:rFonts w:ascii="Marlett" w:hAnsi="Marlett" w:hint="default"/>
      </w:rPr>
    </w:lvl>
    <w:lvl w:ilvl="4" w:tplc="8F8A4306" w:tentative="1">
      <w:start w:val="1"/>
      <w:numFmt w:val="bullet"/>
      <w:lvlText w:val=""/>
      <w:lvlJc w:val="left"/>
      <w:pPr>
        <w:tabs>
          <w:tab w:val="num" w:pos="3600"/>
        </w:tabs>
        <w:ind w:left="3600" w:hanging="360"/>
      </w:pPr>
      <w:rPr>
        <w:rFonts w:ascii="Marlett" w:hAnsi="Marlett" w:hint="default"/>
      </w:rPr>
    </w:lvl>
    <w:lvl w:ilvl="5" w:tplc="B35C48CE" w:tentative="1">
      <w:start w:val="1"/>
      <w:numFmt w:val="bullet"/>
      <w:lvlText w:val=""/>
      <w:lvlJc w:val="left"/>
      <w:pPr>
        <w:tabs>
          <w:tab w:val="num" w:pos="4320"/>
        </w:tabs>
        <w:ind w:left="4320" w:hanging="360"/>
      </w:pPr>
      <w:rPr>
        <w:rFonts w:ascii="Marlett" w:hAnsi="Marlett" w:hint="default"/>
      </w:rPr>
    </w:lvl>
    <w:lvl w:ilvl="6" w:tplc="5A56F9EC" w:tentative="1">
      <w:start w:val="1"/>
      <w:numFmt w:val="bullet"/>
      <w:lvlText w:val=""/>
      <w:lvlJc w:val="left"/>
      <w:pPr>
        <w:tabs>
          <w:tab w:val="num" w:pos="5040"/>
        </w:tabs>
        <w:ind w:left="5040" w:hanging="360"/>
      </w:pPr>
      <w:rPr>
        <w:rFonts w:ascii="Marlett" w:hAnsi="Marlett" w:hint="default"/>
      </w:rPr>
    </w:lvl>
    <w:lvl w:ilvl="7" w:tplc="6A3CF252" w:tentative="1">
      <w:start w:val="1"/>
      <w:numFmt w:val="bullet"/>
      <w:lvlText w:val=""/>
      <w:lvlJc w:val="left"/>
      <w:pPr>
        <w:tabs>
          <w:tab w:val="num" w:pos="5760"/>
        </w:tabs>
        <w:ind w:left="5760" w:hanging="360"/>
      </w:pPr>
      <w:rPr>
        <w:rFonts w:ascii="Marlett" w:hAnsi="Marlett" w:hint="default"/>
      </w:rPr>
    </w:lvl>
    <w:lvl w:ilvl="8" w:tplc="E814EACA" w:tentative="1">
      <w:start w:val="1"/>
      <w:numFmt w:val="bullet"/>
      <w:lvlText w:val=""/>
      <w:lvlJc w:val="left"/>
      <w:pPr>
        <w:tabs>
          <w:tab w:val="num" w:pos="6480"/>
        </w:tabs>
        <w:ind w:left="6480" w:hanging="360"/>
      </w:pPr>
      <w:rPr>
        <w:rFonts w:ascii="Marlett" w:hAnsi="Marlett" w:hint="default"/>
      </w:rPr>
    </w:lvl>
  </w:abstractNum>
  <w:num w:numId="1">
    <w:abstractNumId w:val="6"/>
  </w:num>
  <w:num w:numId="2">
    <w:abstractNumId w:val="42"/>
  </w:num>
  <w:num w:numId="3">
    <w:abstractNumId w:val="10"/>
  </w:num>
  <w:num w:numId="4">
    <w:abstractNumId w:val="30"/>
  </w:num>
  <w:num w:numId="5">
    <w:abstractNumId w:val="41"/>
  </w:num>
  <w:num w:numId="6">
    <w:abstractNumId w:val="7"/>
  </w:num>
  <w:num w:numId="7">
    <w:abstractNumId w:val="0"/>
  </w:num>
  <w:num w:numId="8">
    <w:abstractNumId w:val="35"/>
  </w:num>
  <w:num w:numId="9">
    <w:abstractNumId w:val="25"/>
  </w:num>
  <w:num w:numId="10">
    <w:abstractNumId w:val="43"/>
  </w:num>
  <w:num w:numId="11">
    <w:abstractNumId w:val="5"/>
  </w:num>
  <w:num w:numId="12">
    <w:abstractNumId w:val="15"/>
  </w:num>
  <w:num w:numId="13">
    <w:abstractNumId w:val="20"/>
  </w:num>
  <w:num w:numId="14">
    <w:abstractNumId w:val="19"/>
  </w:num>
  <w:num w:numId="15">
    <w:abstractNumId w:val="39"/>
  </w:num>
  <w:num w:numId="16">
    <w:abstractNumId w:val="3"/>
  </w:num>
  <w:num w:numId="17">
    <w:abstractNumId w:val="4"/>
  </w:num>
  <w:num w:numId="18">
    <w:abstractNumId w:val="23"/>
  </w:num>
  <w:num w:numId="19">
    <w:abstractNumId w:val="26"/>
  </w:num>
  <w:num w:numId="20">
    <w:abstractNumId w:val="24"/>
  </w:num>
  <w:num w:numId="21">
    <w:abstractNumId w:val="12"/>
  </w:num>
  <w:num w:numId="22">
    <w:abstractNumId w:val="31"/>
  </w:num>
  <w:num w:numId="23">
    <w:abstractNumId w:val="40"/>
  </w:num>
  <w:num w:numId="24">
    <w:abstractNumId w:val="16"/>
  </w:num>
  <w:num w:numId="25">
    <w:abstractNumId w:val="14"/>
  </w:num>
  <w:num w:numId="26">
    <w:abstractNumId w:val="32"/>
  </w:num>
  <w:num w:numId="27">
    <w:abstractNumId w:val="38"/>
  </w:num>
  <w:num w:numId="28">
    <w:abstractNumId w:val="34"/>
  </w:num>
  <w:num w:numId="29">
    <w:abstractNumId w:val="2"/>
  </w:num>
  <w:num w:numId="30">
    <w:abstractNumId w:val="9"/>
  </w:num>
  <w:num w:numId="31">
    <w:abstractNumId w:val="21"/>
  </w:num>
  <w:num w:numId="32">
    <w:abstractNumId w:val="18"/>
  </w:num>
  <w:num w:numId="33">
    <w:abstractNumId w:val="11"/>
  </w:num>
  <w:num w:numId="34">
    <w:abstractNumId w:val="33"/>
  </w:num>
  <w:num w:numId="35">
    <w:abstractNumId w:val="37"/>
  </w:num>
  <w:num w:numId="36">
    <w:abstractNumId w:val="8"/>
  </w:num>
  <w:num w:numId="37">
    <w:abstractNumId w:val="36"/>
  </w:num>
  <w:num w:numId="38">
    <w:abstractNumId w:val="27"/>
  </w:num>
  <w:num w:numId="39">
    <w:abstractNumId w:val="1"/>
  </w:num>
  <w:num w:numId="40">
    <w:abstractNumId w:val="17"/>
  </w:num>
  <w:num w:numId="41">
    <w:abstractNumId w:val="28"/>
  </w:num>
  <w:num w:numId="42">
    <w:abstractNumId w:val="29"/>
  </w:num>
  <w:num w:numId="43">
    <w:abstractNumId w:val="22"/>
  </w:num>
  <w:num w:numId="44">
    <w:abstractNumId w:val="1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1"/>
  <w:activeWritingStyle w:appName="MSWord" w:lang="en-US" w:vendorID="64" w:dllVersion="131078" w:nlCheck="1" w:checkStyle="1"/>
  <w:activeWritingStyle w:appName="MSWord" w:lang="fr-MA"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43714"/>
  </w:hdrShapeDefaults>
  <w:footnotePr>
    <w:footnote w:id="-1"/>
    <w:footnote w:id="0"/>
  </w:footnotePr>
  <w:endnotePr>
    <w:endnote w:id="-1"/>
    <w:endnote w:id="0"/>
  </w:endnotePr>
  <w:compat/>
  <w:rsids>
    <w:rsidRoot w:val="00A976B6"/>
    <w:rsid w:val="00000178"/>
    <w:rsid w:val="00002361"/>
    <w:rsid w:val="00005159"/>
    <w:rsid w:val="00005466"/>
    <w:rsid w:val="00007386"/>
    <w:rsid w:val="000105FF"/>
    <w:rsid w:val="000145D6"/>
    <w:rsid w:val="00017FA6"/>
    <w:rsid w:val="0002091A"/>
    <w:rsid w:val="000247A5"/>
    <w:rsid w:val="000310F5"/>
    <w:rsid w:val="00035FE6"/>
    <w:rsid w:val="000451C9"/>
    <w:rsid w:val="00047638"/>
    <w:rsid w:val="0005094B"/>
    <w:rsid w:val="00051067"/>
    <w:rsid w:val="00054868"/>
    <w:rsid w:val="00057E0F"/>
    <w:rsid w:val="00061A6A"/>
    <w:rsid w:val="00061A6B"/>
    <w:rsid w:val="00065EE7"/>
    <w:rsid w:val="000665DB"/>
    <w:rsid w:val="00066B5A"/>
    <w:rsid w:val="000673ED"/>
    <w:rsid w:val="0007624A"/>
    <w:rsid w:val="00083CBA"/>
    <w:rsid w:val="00086B20"/>
    <w:rsid w:val="000937FE"/>
    <w:rsid w:val="000977A7"/>
    <w:rsid w:val="000A1F70"/>
    <w:rsid w:val="000A76AE"/>
    <w:rsid w:val="000C7807"/>
    <w:rsid w:val="000C7C67"/>
    <w:rsid w:val="000E1F3F"/>
    <w:rsid w:val="000E1F79"/>
    <w:rsid w:val="000E36AD"/>
    <w:rsid w:val="000E3DA5"/>
    <w:rsid w:val="000F16C3"/>
    <w:rsid w:val="000F2E4F"/>
    <w:rsid w:val="000F66F0"/>
    <w:rsid w:val="001022E9"/>
    <w:rsid w:val="00105F6E"/>
    <w:rsid w:val="001133B9"/>
    <w:rsid w:val="00120BDC"/>
    <w:rsid w:val="00123405"/>
    <w:rsid w:val="00123A41"/>
    <w:rsid w:val="001241B7"/>
    <w:rsid w:val="001301A8"/>
    <w:rsid w:val="00132051"/>
    <w:rsid w:val="00132F7B"/>
    <w:rsid w:val="00145995"/>
    <w:rsid w:val="0015021F"/>
    <w:rsid w:val="00152181"/>
    <w:rsid w:val="00156489"/>
    <w:rsid w:val="00156FC8"/>
    <w:rsid w:val="00157295"/>
    <w:rsid w:val="00164EE6"/>
    <w:rsid w:val="00166FC7"/>
    <w:rsid w:val="00170E99"/>
    <w:rsid w:val="001763A7"/>
    <w:rsid w:val="00176713"/>
    <w:rsid w:val="0018193B"/>
    <w:rsid w:val="00181E8D"/>
    <w:rsid w:val="001832D5"/>
    <w:rsid w:val="00183627"/>
    <w:rsid w:val="001848E9"/>
    <w:rsid w:val="00184920"/>
    <w:rsid w:val="0018502C"/>
    <w:rsid w:val="00187FB8"/>
    <w:rsid w:val="001959A7"/>
    <w:rsid w:val="00196B9E"/>
    <w:rsid w:val="001A1C29"/>
    <w:rsid w:val="001A2CBC"/>
    <w:rsid w:val="001A6445"/>
    <w:rsid w:val="001A6800"/>
    <w:rsid w:val="001B06AF"/>
    <w:rsid w:val="001B51D3"/>
    <w:rsid w:val="001B6B38"/>
    <w:rsid w:val="001B70C7"/>
    <w:rsid w:val="001B7DCD"/>
    <w:rsid w:val="001D187B"/>
    <w:rsid w:val="001D6339"/>
    <w:rsid w:val="001D68BF"/>
    <w:rsid w:val="001E3F22"/>
    <w:rsid w:val="001E5503"/>
    <w:rsid w:val="001E7FDE"/>
    <w:rsid w:val="001F1549"/>
    <w:rsid w:val="001F2DA4"/>
    <w:rsid w:val="001F4C9E"/>
    <w:rsid w:val="001F4DDA"/>
    <w:rsid w:val="002007CB"/>
    <w:rsid w:val="00200E66"/>
    <w:rsid w:val="00210E4B"/>
    <w:rsid w:val="0021250C"/>
    <w:rsid w:val="0021273B"/>
    <w:rsid w:val="002251E1"/>
    <w:rsid w:val="0024792B"/>
    <w:rsid w:val="002517EE"/>
    <w:rsid w:val="002519A6"/>
    <w:rsid w:val="00252B2A"/>
    <w:rsid w:val="00253EF6"/>
    <w:rsid w:val="00255B85"/>
    <w:rsid w:val="002567F0"/>
    <w:rsid w:val="00257737"/>
    <w:rsid w:val="00275B2F"/>
    <w:rsid w:val="0028731E"/>
    <w:rsid w:val="002945E8"/>
    <w:rsid w:val="002B024D"/>
    <w:rsid w:val="002B0CD0"/>
    <w:rsid w:val="002B6F2A"/>
    <w:rsid w:val="002C0F59"/>
    <w:rsid w:val="002C1558"/>
    <w:rsid w:val="002C2ACF"/>
    <w:rsid w:val="002C3C7C"/>
    <w:rsid w:val="002D3D25"/>
    <w:rsid w:val="002D58AC"/>
    <w:rsid w:val="002E37CC"/>
    <w:rsid w:val="002F1959"/>
    <w:rsid w:val="002F1A8B"/>
    <w:rsid w:val="002F61D4"/>
    <w:rsid w:val="00302B06"/>
    <w:rsid w:val="003042FE"/>
    <w:rsid w:val="00304496"/>
    <w:rsid w:val="00306250"/>
    <w:rsid w:val="003146FA"/>
    <w:rsid w:val="0031503A"/>
    <w:rsid w:val="00315D32"/>
    <w:rsid w:val="00316A31"/>
    <w:rsid w:val="003256C9"/>
    <w:rsid w:val="00331369"/>
    <w:rsid w:val="00331969"/>
    <w:rsid w:val="00333B2A"/>
    <w:rsid w:val="00334A33"/>
    <w:rsid w:val="00340701"/>
    <w:rsid w:val="0034283F"/>
    <w:rsid w:val="00342BBE"/>
    <w:rsid w:val="003456E8"/>
    <w:rsid w:val="00363237"/>
    <w:rsid w:val="00364F79"/>
    <w:rsid w:val="0036690E"/>
    <w:rsid w:val="0037461F"/>
    <w:rsid w:val="00380377"/>
    <w:rsid w:val="00383E31"/>
    <w:rsid w:val="0039510C"/>
    <w:rsid w:val="003A1EC8"/>
    <w:rsid w:val="003A533C"/>
    <w:rsid w:val="003A5708"/>
    <w:rsid w:val="003A5AA4"/>
    <w:rsid w:val="003A778E"/>
    <w:rsid w:val="003B26D7"/>
    <w:rsid w:val="003B69EC"/>
    <w:rsid w:val="003C05C9"/>
    <w:rsid w:val="003C424B"/>
    <w:rsid w:val="003C5404"/>
    <w:rsid w:val="003C6FAB"/>
    <w:rsid w:val="003C7E79"/>
    <w:rsid w:val="003D21FB"/>
    <w:rsid w:val="003D61A2"/>
    <w:rsid w:val="003D66B4"/>
    <w:rsid w:val="003E24FF"/>
    <w:rsid w:val="003F2793"/>
    <w:rsid w:val="003F5F7D"/>
    <w:rsid w:val="003F7D9C"/>
    <w:rsid w:val="0040187C"/>
    <w:rsid w:val="00401D11"/>
    <w:rsid w:val="00405E66"/>
    <w:rsid w:val="004119FD"/>
    <w:rsid w:val="00412CB7"/>
    <w:rsid w:val="00414E1F"/>
    <w:rsid w:val="004201B8"/>
    <w:rsid w:val="00425F0E"/>
    <w:rsid w:val="00426C43"/>
    <w:rsid w:val="004328F8"/>
    <w:rsid w:val="004349E2"/>
    <w:rsid w:val="00444E17"/>
    <w:rsid w:val="004507EB"/>
    <w:rsid w:val="004545AB"/>
    <w:rsid w:val="00455F18"/>
    <w:rsid w:val="00456B00"/>
    <w:rsid w:val="00462F63"/>
    <w:rsid w:val="00466917"/>
    <w:rsid w:val="00471C13"/>
    <w:rsid w:val="00473DF5"/>
    <w:rsid w:val="004747C1"/>
    <w:rsid w:val="004766B3"/>
    <w:rsid w:val="00477549"/>
    <w:rsid w:val="00477D9E"/>
    <w:rsid w:val="00480BB6"/>
    <w:rsid w:val="00483003"/>
    <w:rsid w:val="00486BC8"/>
    <w:rsid w:val="00490BAB"/>
    <w:rsid w:val="00490E4F"/>
    <w:rsid w:val="004A53FE"/>
    <w:rsid w:val="004A7CCA"/>
    <w:rsid w:val="004B1065"/>
    <w:rsid w:val="004B1AD1"/>
    <w:rsid w:val="004B71F7"/>
    <w:rsid w:val="004D1E59"/>
    <w:rsid w:val="004D244E"/>
    <w:rsid w:val="004D31AF"/>
    <w:rsid w:val="004D55CD"/>
    <w:rsid w:val="004D65AF"/>
    <w:rsid w:val="004D7A6B"/>
    <w:rsid w:val="004E5AE2"/>
    <w:rsid w:val="004F2410"/>
    <w:rsid w:val="004F39E8"/>
    <w:rsid w:val="004F7C81"/>
    <w:rsid w:val="00510322"/>
    <w:rsid w:val="00511678"/>
    <w:rsid w:val="005117CA"/>
    <w:rsid w:val="005131BA"/>
    <w:rsid w:val="0051438A"/>
    <w:rsid w:val="0051719B"/>
    <w:rsid w:val="005209B4"/>
    <w:rsid w:val="00522B41"/>
    <w:rsid w:val="00523CEA"/>
    <w:rsid w:val="005266EA"/>
    <w:rsid w:val="0052758D"/>
    <w:rsid w:val="00527B38"/>
    <w:rsid w:val="00530B4A"/>
    <w:rsid w:val="005405A4"/>
    <w:rsid w:val="0054185E"/>
    <w:rsid w:val="00543B0F"/>
    <w:rsid w:val="0054446B"/>
    <w:rsid w:val="00545AB8"/>
    <w:rsid w:val="00552826"/>
    <w:rsid w:val="0055527A"/>
    <w:rsid w:val="00556109"/>
    <w:rsid w:val="0056229E"/>
    <w:rsid w:val="005664EF"/>
    <w:rsid w:val="005677DF"/>
    <w:rsid w:val="00567B9C"/>
    <w:rsid w:val="00572D21"/>
    <w:rsid w:val="00575A91"/>
    <w:rsid w:val="005803EF"/>
    <w:rsid w:val="005824DB"/>
    <w:rsid w:val="00586B08"/>
    <w:rsid w:val="00590216"/>
    <w:rsid w:val="00596625"/>
    <w:rsid w:val="005A2857"/>
    <w:rsid w:val="005A6C4D"/>
    <w:rsid w:val="005B044B"/>
    <w:rsid w:val="005B19E9"/>
    <w:rsid w:val="005B3ABC"/>
    <w:rsid w:val="005B3CB9"/>
    <w:rsid w:val="005B507B"/>
    <w:rsid w:val="005B5C23"/>
    <w:rsid w:val="005C2C54"/>
    <w:rsid w:val="005C33ED"/>
    <w:rsid w:val="005C67A0"/>
    <w:rsid w:val="005D2FD6"/>
    <w:rsid w:val="005D5073"/>
    <w:rsid w:val="005E1D2E"/>
    <w:rsid w:val="005E2393"/>
    <w:rsid w:val="005E4720"/>
    <w:rsid w:val="005F24BA"/>
    <w:rsid w:val="005F4314"/>
    <w:rsid w:val="005F4D1E"/>
    <w:rsid w:val="005F6AF9"/>
    <w:rsid w:val="0060561D"/>
    <w:rsid w:val="00610776"/>
    <w:rsid w:val="00612B9A"/>
    <w:rsid w:val="00613CDE"/>
    <w:rsid w:val="0062383C"/>
    <w:rsid w:val="0062641C"/>
    <w:rsid w:val="00626DB8"/>
    <w:rsid w:val="00631841"/>
    <w:rsid w:val="00635FC5"/>
    <w:rsid w:val="00641564"/>
    <w:rsid w:val="006536C2"/>
    <w:rsid w:val="00654B5D"/>
    <w:rsid w:val="0065655F"/>
    <w:rsid w:val="00662B97"/>
    <w:rsid w:val="0066312D"/>
    <w:rsid w:val="00667392"/>
    <w:rsid w:val="006749E7"/>
    <w:rsid w:val="00681AB0"/>
    <w:rsid w:val="0068776B"/>
    <w:rsid w:val="00695E72"/>
    <w:rsid w:val="0069696C"/>
    <w:rsid w:val="00696F35"/>
    <w:rsid w:val="006A0596"/>
    <w:rsid w:val="006A180B"/>
    <w:rsid w:val="006A1838"/>
    <w:rsid w:val="006A3751"/>
    <w:rsid w:val="006A40CB"/>
    <w:rsid w:val="006A6D2B"/>
    <w:rsid w:val="006B1064"/>
    <w:rsid w:val="006B2FBA"/>
    <w:rsid w:val="006C0B65"/>
    <w:rsid w:val="006C41F1"/>
    <w:rsid w:val="006C5E58"/>
    <w:rsid w:val="006C68C8"/>
    <w:rsid w:val="006D44FA"/>
    <w:rsid w:val="006E1AC8"/>
    <w:rsid w:val="006E2789"/>
    <w:rsid w:val="006E3866"/>
    <w:rsid w:val="006E71A6"/>
    <w:rsid w:val="006E78B7"/>
    <w:rsid w:val="006F17CD"/>
    <w:rsid w:val="006F1A2C"/>
    <w:rsid w:val="006F4290"/>
    <w:rsid w:val="006F61F8"/>
    <w:rsid w:val="00703C69"/>
    <w:rsid w:val="0071069E"/>
    <w:rsid w:val="00713A3A"/>
    <w:rsid w:val="007156BC"/>
    <w:rsid w:val="0072135F"/>
    <w:rsid w:val="007235ED"/>
    <w:rsid w:val="00723A2E"/>
    <w:rsid w:val="00725E87"/>
    <w:rsid w:val="00727CBF"/>
    <w:rsid w:val="00730661"/>
    <w:rsid w:val="007310F4"/>
    <w:rsid w:val="00731117"/>
    <w:rsid w:val="0073372C"/>
    <w:rsid w:val="00744204"/>
    <w:rsid w:val="007448B5"/>
    <w:rsid w:val="00753183"/>
    <w:rsid w:val="00754997"/>
    <w:rsid w:val="00754C35"/>
    <w:rsid w:val="0075655F"/>
    <w:rsid w:val="00756AA5"/>
    <w:rsid w:val="007577EB"/>
    <w:rsid w:val="00761596"/>
    <w:rsid w:val="00764ECF"/>
    <w:rsid w:val="00767BA0"/>
    <w:rsid w:val="00770F15"/>
    <w:rsid w:val="007748EF"/>
    <w:rsid w:val="007762C4"/>
    <w:rsid w:val="00777338"/>
    <w:rsid w:val="00777D90"/>
    <w:rsid w:val="0078031A"/>
    <w:rsid w:val="00780A7D"/>
    <w:rsid w:val="00781029"/>
    <w:rsid w:val="007914BB"/>
    <w:rsid w:val="00792CEF"/>
    <w:rsid w:val="00793797"/>
    <w:rsid w:val="007B2C2A"/>
    <w:rsid w:val="007B49E0"/>
    <w:rsid w:val="007B4F5E"/>
    <w:rsid w:val="007B7828"/>
    <w:rsid w:val="007C0158"/>
    <w:rsid w:val="007C2DE3"/>
    <w:rsid w:val="007C44A4"/>
    <w:rsid w:val="007C5E15"/>
    <w:rsid w:val="007D1684"/>
    <w:rsid w:val="007D21C9"/>
    <w:rsid w:val="007D4DCA"/>
    <w:rsid w:val="007D6D8B"/>
    <w:rsid w:val="007E04CF"/>
    <w:rsid w:val="007E1D21"/>
    <w:rsid w:val="007E2973"/>
    <w:rsid w:val="007E29B6"/>
    <w:rsid w:val="007E3684"/>
    <w:rsid w:val="007E7EF9"/>
    <w:rsid w:val="007F01F3"/>
    <w:rsid w:val="00800B7B"/>
    <w:rsid w:val="00801A7A"/>
    <w:rsid w:val="008109F5"/>
    <w:rsid w:val="00813316"/>
    <w:rsid w:val="0081657F"/>
    <w:rsid w:val="00816B0B"/>
    <w:rsid w:val="0082206A"/>
    <w:rsid w:val="00823463"/>
    <w:rsid w:val="00832702"/>
    <w:rsid w:val="008445F3"/>
    <w:rsid w:val="00850485"/>
    <w:rsid w:val="00851A82"/>
    <w:rsid w:val="00853AE6"/>
    <w:rsid w:val="0085673B"/>
    <w:rsid w:val="008578CB"/>
    <w:rsid w:val="00861415"/>
    <w:rsid w:val="00861B6B"/>
    <w:rsid w:val="0086253C"/>
    <w:rsid w:val="00862AC8"/>
    <w:rsid w:val="00864523"/>
    <w:rsid w:val="00864A16"/>
    <w:rsid w:val="00866276"/>
    <w:rsid w:val="00867AE9"/>
    <w:rsid w:val="00875351"/>
    <w:rsid w:val="0088341C"/>
    <w:rsid w:val="008862EF"/>
    <w:rsid w:val="0088739E"/>
    <w:rsid w:val="008A51D4"/>
    <w:rsid w:val="008A5292"/>
    <w:rsid w:val="008A77DA"/>
    <w:rsid w:val="008B1B4C"/>
    <w:rsid w:val="008B52D0"/>
    <w:rsid w:val="008B74DA"/>
    <w:rsid w:val="008C4EB6"/>
    <w:rsid w:val="008D20A3"/>
    <w:rsid w:val="008D45BD"/>
    <w:rsid w:val="008E39B0"/>
    <w:rsid w:val="008E4BB9"/>
    <w:rsid w:val="008E7393"/>
    <w:rsid w:val="00905A5F"/>
    <w:rsid w:val="00905A63"/>
    <w:rsid w:val="00905C64"/>
    <w:rsid w:val="0091059D"/>
    <w:rsid w:val="00916C5F"/>
    <w:rsid w:val="00925A91"/>
    <w:rsid w:val="00925F8A"/>
    <w:rsid w:val="0093096C"/>
    <w:rsid w:val="0093306C"/>
    <w:rsid w:val="00942C73"/>
    <w:rsid w:val="00951E73"/>
    <w:rsid w:val="0095221C"/>
    <w:rsid w:val="00957500"/>
    <w:rsid w:val="009620B3"/>
    <w:rsid w:val="0096274A"/>
    <w:rsid w:val="009629CD"/>
    <w:rsid w:val="00964184"/>
    <w:rsid w:val="0097310B"/>
    <w:rsid w:val="00974B0E"/>
    <w:rsid w:val="009755AE"/>
    <w:rsid w:val="00985540"/>
    <w:rsid w:val="009868EB"/>
    <w:rsid w:val="00992285"/>
    <w:rsid w:val="00993861"/>
    <w:rsid w:val="0099742C"/>
    <w:rsid w:val="009A2747"/>
    <w:rsid w:val="009A2F11"/>
    <w:rsid w:val="009A505A"/>
    <w:rsid w:val="009A58F8"/>
    <w:rsid w:val="009B04CF"/>
    <w:rsid w:val="009C0A81"/>
    <w:rsid w:val="009C15D0"/>
    <w:rsid w:val="009C25F6"/>
    <w:rsid w:val="009C2EF3"/>
    <w:rsid w:val="009C5270"/>
    <w:rsid w:val="009C5A88"/>
    <w:rsid w:val="009D0EE4"/>
    <w:rsid w:val="009D1A48"/>
    <w:rsid w:val="009D2F34"/>
    <w:rsid w:val="009D3BBC"/>
    <w:rsid w:val="009D56C4"/>
    <w:rsid w:val="009D68D5"/>
    <w:rsid w:val="009D7830"/>
    <w:rsid w:val="009E2412"/>
    <w:rsid w:val="009E6687"/>
    <w:rsid w:val="009F04B8"/>
    <w:rsid w:val="009F2287"/>
    <w:rsid w:val="009F33D5"/>
    <w:rsid w:val="009F6A38"/>
    <w:rsid w:val="009F7A57"/>
    <w:rsid w:val="00A0555F"/>
    <w:rsid w:val="00A05B69"/>
    <w:rsid w:val="00A10391"/>
    <w:rsid w:val="00A12EEA"/>
    <w:rsid w:val="00A14C8D"/>
    <w:rsid w:val="00A15D45"/>
    <w:rsid w:val="00A230E8"/>
    <w:rsid w:val="00A279D5"/>
    <w:rsid w:val="00A37B89"/>
    <w:rsid w:val="00A41048"/>
    <w:rsid w:val="00A46239"/>
    <w:rsid w:val="00A47BF6"/>
    <w:rsid w:val="00A520A3"/>
    <w:rsid w:val="00A52866"/>
    <w:rsid w:val="00A5342F"/>
    <w:rsid w:val="00A56E40"/>
    <w:rsid w:val="00A574D2"/>
    <w:rsid w:val="00A60052"/>
    <w:rsid w:val="00A60CAF"/>
    <w:rsid w:val="00A62422"/>
    <w:rsid w:val="00A6546A"/>
    <w:rsid w:val="00A81AE7"/>
    <w:rsid w:val="00A85F3F"/>
    <w:rsid w:val="00A86F7B"/>
    <w:rsid w:val="00A905C6"/>
    <w:rsid w:val="00A90DFB"/>
    <w:rsid w:val="00A92F9E"/>
    <w:rsid w:val="00A976B6"/>
    <w:rsid w:val="00A97818"/>
    <w:rsid w:val="00AA0990"/>
    <w:rsid w:val="00AA0DE5"/>
    <w:rsid w:val="00AA33EC"/>
    <w:rsid w:val="00AA440E"/>
    <w:rsid w:val="00AA55BA"/>
    <w:rsid w:val="00AA5A3D"/>
    <w:rsid w:val="00AA777D"/>
    <w:rsid w:val="00AB0027"/>
    <w:rsid w:val="00AB1BE9"/>
    <w:rsid w:val="00AB23EE"/>
    <w:rsid w:val="00AB553C"/>
    <w:rsid w:val="00AC0F53"/>
    <w:rsid w:val="00AE02FA"/>
    <w:rsid w:val="00AE10DA"/>
    <w:rsid w:val="00AE1AFA"/>
    <w:rsid w:val="00AE27AC"/>
    <w:rsid w:val="00AF5C86"/>
    <w:rsid w:val="00AF6D2F"/>
    <w:rsid w:val="00AF739F"/>
    <w:rsid w:val="00B00A00"/>
    <w:rsid w:val="00B01FBA"/>
    <w:rsid w:val="00B035D3"/>
    <w:rsid w:val="00B03E8F"/>
    <w:rsid w:val="00B0574E"/>
    <w:rsid w:val="00B12328"/>
    <w:rsid w:val="00B12946"/>
    <w:rsid w:val="00B13B3F"/>
    <w:rsid w:val="00B20315"/>
    <w:rsid w:val="00B20F5C"/>
    <w:rsid w:val="00B21BDB"/>
    <w:rsid w:val="00B30F0E"/>
    <w:rsid w:val="00B35401"/>
    <w:rsid w:val="00B35B37"/>
    <w:rsid w:val="00B40311"/>
    <w:rsid w:val="00B432FD"/>
    <w:rsid w:val="00B4635B"/>
    <w:rsid w:val="00B5106E"/>
    <w:rsid w:val="00B57256"/>
    <w:rsid w:val="00B610A1"/>
    <w:rsid w:val="00B6365A"/>
    <w:rsid w:val="00B714E3"/>
    <w:rsid w:val="00B71871"/>
    <w:rsid w:val="00B73CF7"/>
    <w:rsid w:val="00B76CC0"/>
    <w:rsid w:val="00B77F31"/>
    <w:rsid w:val="00B83B60"/>
    <w:rsid w:val="00B84604"/>
    <w:rsid w:val="00B92318"/>
    <w:rsid w:val="00B9288C"/>
    <w:rsid w:val="00B933BF"/>
    <w:rsid w:val="00B9509A"/>
    <w:rsid w:val="00BA4A1B"/>
    <w:rsid w:val="00BA650D"/>
    <w:rsid w:val="00BA65B3"/>
    <w:rsid w:val="00BB3687"/>
    <w:rsid w:val="00BB4527"/>
    <w:rsid w:val="00BB5DB3"/>
    <w:rsid w:val="00BB71C1"/>
    <w:rsid w:val="00BC220A"/>
    <w:rsid w:val="00BC2DF5"/>
    <w:rsid w:val="00BC2F08"/>
    <w:rsid w:val="00BC3C48"/>
    <w:rsid w:val="00BC7C44"/>
    <w:rsid w:val="00BD279E"/>
    <w:rsid w:val="00BD574E"/>
    <w:rsid w:val="00BD5911"/>
    <w:rsid w:val="00BD6612"/>
    <w:rsid w:val="00BE2444"/>
    <w:rsid w:val="00BE4E39"/>
    <w:rsid w:val="00BE5B1B"/>
    <w:rsid w:val="00BF12CD"/>
    <w:rsid w:val="00BF1CF4"/>
    <w:rsid w:val="00BF48B4"/>
    <w:rsid w:val="00BF5636"/>
    <w:rsid w:val="00BF575C"/>
    <w:rsid w:val="00C07512"/>
    <w:rsid w:val="00C173BC"/>
    <w:rsid w:val="00C21E98"/>
    <w:rsid w:val="00C23A8E"/>
    <w:rsid w:val="00C2411B"/>
    <w:rsid w:val="00C25EE4"/>
    <w:rsid w:val="00C275AB"/>
    <w:rsid w:val="00C27FD7"/>
    <w:rsid w:val="00C31139"/>
    <w:rsid w:val="00C32B41"/>
    <w:rsid w:val="00C34D70"/>
    <w:rsid w:val="00C372E4"/>
    <w:rsid w:val="00C37B5D"/>
    <w:rsid w:val="00C4189C"/>
    <w:rsid w:val="00C4542D"/>
    <w:rsid w:val="00C4568C"/>
    <w:rsid w:val="00C51F59"/>
    <w:rsid w:val="00C52886"/>
    <w:rsid w:val="00C76BFB"/>
    <w:rsid w:val="00C815CD"/>
    <w:rsid w:val="00C81710"/>
    <w:rsid w:val="00C817AD"/>
    <w:rsid w:val="00C83E05"/>
    <w:rsid w:val="00C84305"/>
    <w:rsid w:val="00C84D24"/>
    <w:rsid w:val="00C9629F"/>
    <w:rsid w:val="00CA6B51"/>
    <w:rsid w:val="00CB3B7B"/>
    <w:rsid w:val="00CC4351"/>
    <w:rsid w:val="00CC4C41"/>
    <w:rsid w:val="00CD04F0"/>
    <w:rsid w:val="00CD488F"/>
    <w:rsid w:val="00CE1BC8"/>
    <w:rsid w:val="00CE722C"/>
    <w:rsid w:val="00CF0570"/>
    <w:rsid w:val="00CF0904"/>
    <w:rsid w:val="00CF3FEF"/>
    <w:rsid w:val="00CF570A"/>
    <w:rsid w:val="00CF75CB"/>
    <w:rsid w:val="00D02F59"/>
    <w:rsid w:val="00D075F5"/>
    <w:rsid w:val="00D14C3B"/>
    <w:rsid w:val="00D172E5"/>
    <w:rsid w:val="00D23B05"/>
    <w:rsid w:val="00D24CD7"/>
    <w:rsid w:val="00D31780"/>
    <w:rsid w:val="00D33759"/>
    <w:rsid w:val="00D34483"/>
    <w:rsid w:val="00D3631D"/>
    <w:rsid w:val="00D4044E"/>
    <w:rsid w:val="00D44CAB"/>
    <w:rsid w:val="00D478B4"/>
    <w:rsid w:val="00D5577B"/>
    <w:rsid w:val="00D55F5A"/>
    <w:rsid w:val="00D562EA"/>
    <w:rsid w:val="00D616C5"/>
    <w:rsid w:val="00D637B7"/>
    <w:rsid w:val="00D665A6"/>
    <w:rsid w:val="00D6737D"/>
    <w:rsid w:val="00D81889"/>
    <w:rsid w:val="00D81F10"/>
    <w:rsid w:val="00D84C7A"/>
    <w:rsid w:val="00D91721"/>
    <w:rsid w:val="00D92095"/>
    <w:rsid w:val="00D9369D"/>
    <w:rsid w:val="00D95EBD"/>
    <w:rsid w:val="00D96790"/>
    <w:rsid w:val="00D97AE9"/>
    <w:rsid w:val="00D97E85"/>
    <w:rsid w:val="00DA0416"/>
    <w:rsid w:val="00DA14BE"/>
    <w:rsid w:val="00DB5004"/>
    <w:rsid w:val="00DC674B"/>
    <w:rsid w:val="00DD194C"/>
    <w:rsid w:val="00DD418E"/>
    <w:rsid w:val="00DE0E05"/>
    <w:rsid w:val="00DE78CE"/>
    <w:rsid w:val="00DF65E2"/>
    <w:rsid w:val="00DF6E09"/>
    <w:rsid w:val="00E01D12"/>
    <w:rsid w:val="00E024E0"/>
    <w:rsid w:val="00E029F3"/>
    <w:rsid w:val="00E10768"/>
    <w:rsid w:val="00E15ABD"/>
    <w:rsid w:val="00E16A41"/>
    <w:rsid w:val="00E17784"/>
    <w:rsid w:val="00E2154A"/>
    <w:rsid w:val="00E22F4D"/>
    <w:rsid w:val="00E25D71"/>
    <w:rsid w:val="00E26CAA"/>
    <w:rsid w:val="00E30AD8"/>
    <w:rsid w:val="00E32499"/>
    <w:rsid w:val="00E4492A"/>
    <w:rsid w:val="00E44F68"/>
    <w:rsid w:val="00E527E3"/>
    <w:rsid w:val="00E550EA"/>
    <w:rsid w:val="00E678BE"/>
    <w:rsid w:val="00E8089E"/>
    <w:rsid w:val="00E82E8A"/>
    <w:rsid w:val="00E867C5"/>
    <w:rsid w:val="00E87DD0"/>
    <w:rsid w:val="00E91048"/>
    <w:rsid w:val="00E954D3"/>
    <w:rsid w:val="00E9562F"/>
    <w:rsid w:val="00E95877"/>
    <w:rsid w:val="00EA124A"/>
    <w:rsid w:val="00EA2340"/>
    <w:rsid w:val="00EA32BD"/>
    <w:rsid w:val="00EA702A"/>
    <w:rsid w:val="00EB06FB"/>
    <w:rsid w:val="00EB07BD"/>
    <w:rsid w:val="00EB34D5"/>
    <w:rsid w:val="00EB40CB"/>
    <w:rsid w:val="00EB69BD"/>
    <w:rsid w:val="00EC15A6"/>
    <w:rsid w:val="00EC4C19"/>
    <w:rsid w:val="00EC5DAC"/>
    <w:rsid w:val="00ED3500"/>
    <w:rsid w:val="00ED779D"/>
    <w:rsid w:val="00EE3275"/>
    <w:rsid w:val="00EE632C"/>
    <w:rsid w:val="00EF1296"/>
    <w:rsid w:val="00EF315C"/>
    <w:rsid w:val="00F079F4"/>
    <w:rsid w:val="00F14818"/>
    <w:rsid w:val="00F24C82"/>
    <w:rsid w:val="00F255F4"/>
    <w:rsid w:val="00F26E24"/>
    <w:rsid w:val="00F301B0"/>
    <w:rsid w:val="00F3295D"/>
    <w:rsid w:val="00F32B3F"/>
    <w:rsid w:val="00F467F1"/>
    <w:rsid w:val="00F468CD"/>
    <w:rsid w:val="00F46CAF"/>
    <w:rsid w:val="00F46FA6"/>
    <w:rsid w:val="00F51D94"/>
    <w:rsid w:val="00F52154"/>
    <w:rsid w:val="00F52873"/>
    <w:rsid w:val="00F67555"/>
    <w:rsid w:val="00F67B0C"/>
    <w:rsid w:val="00F67E78"/>
    <w:rsid w:val="00F7045D"/>
    <w:rsid w:val="00F70C3D"/>
    <w:rsid w:val="00F71098"/>
    <w:rsid w:val="00F7495D"/>
    <w:rsid w:val="00F84A22"/>
    <w:rsid w:val="00F853F1"/>
    <w:rsid w:val="00F857C6"/>
    <w:rsid w:val="00F85862"/>
    <w:rsid w:val="00F91653"/>
    <w:rsid w:val="00F93525"/>
    <w:rsid w:val="00F93EA8"/>
    <w:rsid w:val="00FA1553"/>
    <w:rsid w:val="00FA2772"/>
    <w:rsid w:val="00FA3A2C"/>
    <w:rsid w:val="00FA4900"/>
    <w:rsid w:val="00FB3E9B"/>
    <w:rsid w:val="00FB6DAC"/>
    <w:rsid w:val="00FC0AFA"/>
    <w:rsid w:val="00FC191A"/>
    <w:rsid w:val="00FC2FEF"/>
    <w:rsid w:val="00FC4512"/>
    <w:rsid w:val="00FC5811"/>
    <w:rsid w:val="00FD10A2"/>
    <w:rsid w:val="00FD512B"/>
    <w:rsid w:val="00FD6E70"/>
    <w:rsid w:val="00FE0D44"/>
    <w:rsid w:val="00FE1193"/>
    <w:rsid w:val="00FE3C0E"/>
    <w:rsid w:val="00FE6F0C"/>
    <w:rsid w:val="00FE7C18"/>
    <w:rsid w:val="00FE7FC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43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D11"/>
  </w:style>
  <w:style w:type="paragraph" w:styleId="Titre1">
    <w:name w:val="heading 1"/>
    <w:basedOn w:val="Normal"/>
    <w:next w:val="Normal"/>
    <w:link w:val="Titre1Car"/>
    <w:uiPriority w:val="9"/>
    <w:qFormat/>
    <w:rsid w:val="008327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586B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86B08"/>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586B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5D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5DAC"/>
    <w:rPr>
      <w:rFonts w:ascii="Tahoma" w:hAnsi="Tahoma" w:cs="Tahoma"/>
      <w:sz w:val="16"/>
      <w:szCs w:val="16"/>
    </w:rPr>
  </w:style>
  <w:style w:type="paragraph" w:styleId="NormalWeb">
    <w:name w:val="Normal (Web)"/>
    <w:basedOn w:val="Normal"/>
    <w:uiPriority w:val="99"/>
    <w:semiHidden/>
    <w:unhideWhenUsed/>
    <w:rsid w:val="00490BA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51A82"/>
    <w:pPr>
      <w:ind w:left="720"/>
      <w:contextualSpacing/>
    </w:pPr>
  </w:style>
  <w:style w:type="table" w:styleId="Grilledutableau">
    <w:name w:val="Table Grid"/>
    <w:basedOn w:val="TableauNormal"/>
    <w:uiPriority w:val="59"/>
    <w:rsid w:val="00962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9E2412"/>
    <w:pPr>
      <w:tabs>
        <w:tab w:val="center" w:pos="4536"/>
        <w:tab w:val="right" w:pos="9072"/>
      </w:tabs>
      <w:spacing w:after="0" w:line="240" w:lineRule="auto"/>
    </w:pPr>
  </w:style>
  <w:style w:type="character" w:customStyle="1" w:styleId="En-tteCar">
    <w:name w:val="En-tête Car"/>
    <w:basedOn w:val="Policepardfaut"/>
    <w:link w:val="En-tte"/>
    <w:uiPriority w:val="99"/>
    <w:rsid w:val="009E2412"/>
  </w:style>
  <w:style w:type="paragraph" w:styleId="Pieddepage">
    <w:name w:val="footer"/>
    <w:basedOn w:val="Normal"/>
    <w:link w:val="PieddepageCar"/>
    <w:uiPriority w:val="99"/>
    <w:unhideWhenUsed/>
    <w:rsid w:val="009E24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2412"/>
  </w:style>
  <w:style w:type="character" w:styleId="Lienhypertexte">
    <w:name w:val="Hyperlink"/>
    <w:basedOn w:val="Policepardfaut"/>
    <w:uiPriority w:val="99"/>
    <w:rsid w:val="00A05B69"/>
    <w:rPr>
      <w:color w:val="0000FF"/>
      <w:u w:val="single"/>
    </w:rPr>
  </w:style>
  <w:style w:type="character" w:customStyle="1" w:styleId="Titre1Car">
    <w:name w:val="Titre 1 Car"/>
    <w:basedOn w:val="Policepardfaut"/>
    <w:link w:val="Titre1"/>
    <w:uiPriority w:val="9"/>
    <w:rsid w:val="00832702"/>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832702"/>
    <w:pPr>
      <w:outlineLvl w:val="9"/>
    </w:pPr>
  </w:style>
  <w:style w:type="paragraph" w:styleId="TM1">
    <w:name w:val="toc 1"/>
    <w:basedOn w:val="Normal"/>
    <w:next w:val="Normal"/>
    <w:autoRedefine/>
    <w:uiPriority w:val="39"/>
    <w:unhideWhenUsed/>
    <w:rsid w:val="00832702"/>
    <w:pPr>
      <w:spacing w:after="100"/>
    </w:pPr>
  </w:style>
  <w:style w:type="paragraph" w:styleId="Lgende">
    <w:name w:val="caption"/>
    <w:basedOn w:val="Normal"/>
    <w:next w:val="Normal"/>
    <w:uiPriority w:val="35"/>
    <w:unhideWhenUsed/>
    <w:qFormat/>
    <w:rsid w:val="00832702"/>
    <w:pPr>
      <w:spacing w:line="240" w:lineRule="auto"/>
    </w:pPr>
    <w:rPr>
      <w:b/>
      <w:bCs/>
      <w:color w:val="4F81BD" w:themeColor="accent1"/>
      <w:sz w:val="18"/>
      <w:szCs w:val="18"/>
    </w:rPr>
  </w:style>
  <w:style w:type="paragraph" w:styleId="Tabledesillustrations">
    <w:name w:val="table of figures"/>
    <w:basedOn w:val="Normal"/>
    <w:next w:val="Normal"/>
    <w:uiPriority w:val="99"/>
    <w:unhideWhenUsed/>
    <w:rsid w:val="00832702"/>
    <w:pPr>
      <w:spacing w:after="0"/>
    </w:pPr>
  </w:style>
  <w:style w:type="character" w:customStyle="1" w:styleId="Titre2Car">
    <w:name w:val="Titre 2 Car"/>
    <w:basedOn w:val="Policepardfaut"/>
    <w:link w:val="Titre2"/>
    <w:uiPriority w:val="9"/>
    <w:semiHidden/>
    <w:rsid w:val="00586B0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586B08"/>
    <w:rPr>
      <w:rFonts w:asciiTheme="majorHAnsi" w:eastAsiaTheme="majorEastAsia" w:hAnsiTheme="majorHAnsi" w:cstheme="majorBidi"/>
      <w:b/>
      <w:bCs/>
      <w:color w:val="4F81BD" w:themeColor="accent1"/>
    </w:rPr>
  </w:style>
  <w:style w:type="paragraph" w:styleId="TM2">
    <w:name w:val="toc 2"/>
    <w:basedOn w:val="Normal"/>
    <w:next w:val="Normal"/>
    <w:autoRedefine/>
    <w:uiPriority w:val="39"/>
    <w:unhideWhenUsed/>
    <w:rsid w:val="00586B08"/>
    <w:pPr>
      <w:spacing w:after="100"/>
      <w:ind w:left="220"/>
    </w:pPr>
  </w:style>
  <w:style w:type="paragraph" w:styleId="TM3">
    <w:name w:val="toc 3"/>
    <w:basedOn w:val="Normal"/>
    <w:next w:val="Normal"/>
    <w:autoRedefine/>
    <w:uiPriority w:val="39"/>
    <w:unhideWhenUsed/>
    <w:rsid w:val="00586B08"/>
    <w:pPr>
      <w:spacing w:after="100"/>
      <w:ind w:left="440"/>
    </w:pPr>
  </w:style>
  <w:style w:type="character" w:customStyle="1" w:styleId="Titre4Car">
    <w:name w:val="Titre 4 Car"/>
    <w:basedOn w:val="Policepardfaut"/>
    <w:link w:val="Titre4"/>
    <w:uiPriority w:val="9"/>
    <w:semiHidden/>
    <w:rsid w:val="00586B08"/>
    <w:rPr>
      <w:rFonts w:asciiTheme="majorHAnsi" w:eastAsiaTheme="majorEastAsia" w:hAnsiTheme="majorHAnsi" w:cstheme="majorBidi"/>
      <w:b/>
      <w:bCs/>
      <w:i/>
      <w:iCs/>
      <w:color w:val="4F81BD" w:themeColor="accent1"/>
    </w:rPr>
  </w:style>
  <w:style w:type="paragraph" w:styleId="TM4">
    <w:name w:val="toc 4"/>
    <w:basedOn w:val="Normal"/>
    <w:next w:val="Normal"/>
    <w:autoRedefine/>
    <w:uiPriority w:val="39"/>
    <w:unhideWhenUsed/>
    <w:rsid w:val="003D21FB"/>
    <w:pPr>
      <w:spacing w:after="100"/>
      <w:ind w:left="660"/>
    </w:pPr>
  </w:style>
  <w:style w:type="paragraph" w:styleId="Sansinterligne">
    <w:name w:val="No Spacing"/>
    <w:link w:val="SansinterligneCar"/>
    <w:uiPriority w:val="1"/>
    <w:qFormat/>
    <w:rsid w:val="007B49E0"/>
    <w:pPr>
      <w:spacing w:after="0" w:line="240" w:lineRule="auto"/>
    </w:pPr>
    <w:rPr>
      <w:rFonts w:eastAsiaTheme="minorEastAsia"/>
    </w:rPr>
  </w:style>
  <w:style w:type="character" w:customStyle="1" w:styleId="SansinterligneCar">
    <w:name w:val="Sans interligne Car"/>
    <w:basedOn w:val="Policepardfaut"/>
    <w:link w:val="Sansinterligne"/>
    <w:uiPriority w:val="1"/>
    <w:rsid w:val="007B49E0"/>
    <w:rPr>
      <w:rFonts w:eastAsiaTheme="minorEastAsia"/>
    </w:rPr>
  </w:style>
</w:styles>
</file>

<file path=word/webSettings.xml><?xml version="1.0" encoding="utf-8"?>
<w:webSettings xmlns:r="http://schemas.openxmlformats.org/officeDocument/2006/relationships" xmlns:w="http://schemas.openxmlformats.org/wordprocessingml/2006/main">
  <w:divs>
    <w:div w:id="26029463">
      <w:bodyDiv w:val="1"/>
      <w:marLeft w:val="0"/>
      <w:marRight w:val="0"/>
      <w:marTop w:val="0"/>
      <w:marBottom w:val="0"/>
      <w:divBdr>
        <w:top w:val="none" w:sz="0" w:space="0" w:color="auto"/>
        <w:left w:val="none" w:sz="0" w:space="0" w:color="auto"/>
        <w:bottom w:val="none" w:sz="0" w:space="0" w:color="auto"/>
        <w:right w:val="none" w:sz="0" w:space="0" w:color="auto"/>
      </w:divBdr>
      <w:divsChild>
        <w:div w:id="839083687">
          <w:marLeft w:val="547"/>
          <w:marRight w:val="0"/>
          <w:marTop w:val="134"/>
          <w:marBottom w:val="0"/>
          <w:divBdr>
            <w:top w:val="none" w:sz="0" w:space="0" w:color="auto"/>
            <w:left w:val="none" w:sz="0" w:space="0" w:color="auto"/>
            <w:bottom w:val="none" w:sz="0" w:space="0" w:color="auto"/>
            <w:right w:val="none" w:sz="0" w:space="0" w:color="auto"/>
          </w:divBdr>
        </w:div>
        <w:div w:id="1210722717">
          <w:marLeft w:val="547"/>
          <w:marRight w:val="0"/>
          <w:marTop w:val="134"/>
          <w:marBottom w:val="0"/>
          <w:divBdr>
            <w:top w:val="none" w:sz="0" w:space="0" w:color="auto"/>
            <w:left w:val="none" w:sz="0" w:space="0" w:color="auto"/>
            <w:bottom w:val="none" w:sz="0" w:space="0" w:color="auto"/>
            <w:right w:val="none" w:sz="0" w:space="0" w:color="auto"/>
          </w:divBdr>
        </w:div>
        <w:div w:id="1447963939">
          <w:marLeft w:val="547"/>
          <w:marRight w:val="0"/>
          <w:marTop w:val="134"/>
          <w:marBottom w:val="0"/>
          <w:divBdr>
            <w:top w:val="none" w:sz="0" w:space="0" w:color="auto"/>
            <w:left w:val="none" w:sz="0" w:space="0" w:color="auto"/>
            <w:bottom w:val="none" w:sz="0" w:space="0" w:color="auto"/>
            <w:right w:val="none" w:sz="0" w:space="0" w:color="auto"/>
          </w:divBdr>
        </w:div>
        <w:div w:id="2004701582">
          <w:marLeft w:val="547"/>
          <w:marRight w:val="0"/>
          <w:marTop w:val="134"/>
          <w:marBottom w:val="0"/>
          <w:divBdr>
            <w:top w:val="none" w:sz="0" w:space="0" w:color="auto"/>
            <w:left w:val="none" w:sz="0" w:space="0" w:color="auto"/>
            <w:bottom w:val="none" w:sz="0" w:space="0" w:color="auto"/>
            <w:right w:val="none" w:sz="0" w:space="0" w:color="auto"/>
          </w:divBdr>
        </w:div>
      </w:divsChild>
    </w:div>
    <w:div w:id="33114974">
      <w:bodyDiv w:val="1"/>
      <w:marLeft w:val="0"/>
      <w:marRight w:val="0"/>
      <w:marTop w:val="0"/>
      <w:marBottom w:val="0"/>
      <w:divBdr>
        <w:top w:val="none" w:sz="0" w:space="0" w:color="auto"/>
        <w:left w:val="none" w:sz="0" w:space="0" w:color="auto"/>
        <w:bottom w:val="none" w:sz="0" w:space="0" w:color="auto"/>
        <w:right w:val="none" w:sz="0" w:space="0" w:color="auto"/>
      </w:divBdr>
      <w:divsChild>
        <w:div w:id="1963993911">
          <w:marLeft w:val="547"/>
          <w:marRight w:val="0"/>
          <w:marTop w:val="154"/>
          <w:marBottom w:val="0"/>
          <w:divBdr>
            <w:top w:val="none" w:sz="0" w:space="0" w:color="auto"/>
            <w:left w:val="none" w:sz="0" w:space="0" w:color="auto"/>
            <w:bottom w:val="none" w:sz="0" w:space="0" w:color="auto"/>
            <w:right w:val="none" w:sz="0" w:space="0" w:color="auto"/>
          </w:divBdr>
        </w:div>
      </w:divsChild>
    </w:div>
    <w:div w:id="37125654">
      <w:bodyDiv w:val="1"/>
      <w:marLeft w:val="0"/>
      <w:marRight w:val="0"/>
      <w:marTop w:val="0"/>
      <w:marBottom w:val="0"/>
      <w:divBdr>
        <w:top w:val="none" w:sz="0" w:space="0" w:color="auto"/>
        <w:left w:val="none" w:sz="0" w:space="0" w:color="auto"/>
        <w:bottom w:val="none" w:sz="0" w:space="0" w:color="auto"/>
        <w:right w:val="none" w:sz="0" w:space="0" w:color="auto"/>
      </w:divBdr>
    </w:div>
    <w:div w:id="44303051">
      <w:bodyDiv w:val="1"/>
      <w:marLeft w:val="0"/>
      <w:marRight w:val="0"/>
      <w:marTop w:val="0"/>
      <w:marBottom w:val="0"/>
      <w:divBdr>
        <w:top w:val="none" w:sz="0" w:space="0" w:color="auto"/>
        <w:left w:val="none" w:sz="0" w:space="0" w:color="auto"/>
        <w:bottom w:val="none" w:sz="0" w:space="0" w:color="auto"/>
        <w:right w:val="none" w:sz="0" w:space="0" w:color="auto"/>
      </w:divBdr>
    </w:div>
    <w:div w:id="73742884">
      <w:bodyDiv w:val="1"/>
      <w:marLeft w:val="0"/>
      <w:marRight w:val="0"/>
      <w:marTop w:val="0"/>
      <w:marBottom w:val="0"/>
      <w:divBdr>
        <w:top w:val="none" w:sz="0" w:space="0" w:color="auto"/>
        <w:left w:val="none" w:sz="0" w:space="0" w:color="auto"/>
        <w:bottom w:val="none" w:sz="0" w:space="0" w:color="auto"/>
        <w:right w:val="none" w:sz="0" w:space="0" w:color="auto"/>
      </w:divBdr>
    </w:div>
    <w:div w:id="106044462">
      <w:bodyDiv w:val="1"/>
      <w:marLeft w:val="0"/>
      <w:marRight w:val="0"/>
      <w:marTop w:val="0"/>
      <w:marBottom w:val="0"/>
      <w:divBdr>
        <w:top w:val="none" w:sz="0" w:space="0" w:color="auto"/>
        <w:left w:val="none" w:sz="0" w:space="0" w:color="auto"/>
        <w:bottom w:val="none" w:sz="0" w:space="0" w:color="auto"/>
        <w:right w:val="none" w:sz="0" w:space="0" w:color="auto"/>
      </w:divBdr>
      <w:divsChild>
        <w:div w:id="1949893556">
          <w:marLeft w:val="547"/>
          <w:marRight w:val="0"/>
          <w:marTop w:val="134"/>
          <w:marBottom w:val="0"/>
          <w:divBdr>
            <w:top w:val="none" w:sz="0" w:space="0" w:color="auto"/>
            <w:left w:val="none" w:sz="0" w:space="0" w:color="auto"/>
            <w:bottom w:val="none" w:sz="0" w:space="0" w:color="auto"/>
            <w:right w:val="none" w:sz="0" w:space="0" w:color="auto"/>
          </w:divBdr>
        </w:div>
      </w:divsChild>
    </w:div>
    <w:div w:id="118187059">
      <w:bodyDiv w:val="1"/>
      <w:marLeft w:val="0"/>
      <w:marRight w:val="0"/>
      <w:marTop w:val="0"/>
      <w:marBottom w:val="0"/>
      <w:divBdr>
        <w:top w:val="none" w:sz="0" w:space="0" w:color="auto"/>
        <w:left w:val="none" w:sz="0" w:space="0" w:color="auto"/>
        <w:bottom w:val="none" w:sz="0" w:space="0" w:color="auto"/>
        <w:right w:val="none" w:sz="0" w:space="0" w:color="auto"/>
      </w:divBdr>
      <w:divsChild>
        <w:div w:id="6446397">
          <w:marLeft w:val="547"/>
          <w:marRight w:val="0"/>
          <w:marTop w:val="134"/>
          <w:marBottom w:val="0"/>
          <w:divBdr>
            <w:top w:val="none" w:sz="0" w:space="0" w:color="auto"/>
            <w:left w:val="none" w:sz="0" w:space="0" w:color="auto"/>
            <w:bottom w:val="none" w:sz="0" w:space="0" w:color="auto"/>
            <w:right w:val="none" w:sz="0" w:space="0" w:color="auto"/>
          </w:divBdr>
        </w:div>
        <w:div w:id="856650515">
          <w:marLeft w:val="547"/>
          <w:marRight w:val="0"/>
          <w:marTop w:val="134"/>
          <w:marBottom w:val="0"/>
          <w:divBdr>
            <w:top w:val="none" w:sz="0" w:space="0" w:color="auto"/>
            <w:left w:val="none" w:sz="0" w:space="0" w:color="auto"/>
            <w:bottom w:val="none" w:sz="0" w:space="0" w:color="auto"/>
            <w:right w:val="none" w:sz="0" w:space="0" w:color="auto"/>
          </w:divBdr>
        </w:div>
        <w:div w:id="1126118347">
          <w:marLeft w:val="547"/>
          <w:marRight w:val="0"/>
          <w:marTop w:val="134"/>
          <w:marBottom w:val="0"/>
          <w:divBdr>
            <w:top w:val="none" w:sz="0" w:space="0" w:color="auto"/>
            <w:left w:val="none" w:sz="0" w:space="0" w:color="auto"/>
            <w:bottom w:val="none" w:sz="0" w:space="0" w:color="auto"/>
            <w:right w:val="none" w:sz="0" w:space="0" w:color="auto"/>
          </w:divBdr>
        </w:div>
        <w:div w:id="1765414286">
          <w:marLeft w:val="547"/>
          <w:marRight w:val="0"/>
          <w:marTop w:val="134"/>
          <w:marBottom w:val="0"/>
          <w:divBdr>
            <w:top w:val="none" w:sz="0" w:space="0" w:color="auto"/>
            <w:left w:val="none" w:sz="0" w:space="0" w:color="auto"/>
            <w:bottom w:val="none" w:sz="0" w:space="0" w:color="auto"/>
            <w:right w:val="none" w:sz="0" w:space="0" w:color="auto"/>
          </w:divBdr>
        </w:div>
        <w:div w:id="2048095752">
          <w:marLeft w:val="547"/>
          <w:marRight w:val="0"/>
          <w:marTop w:val="134"/>
          <w:marBottom w:val="0"/>
          <w:divBdr>
            <w:top w:val="none" w:sz="0" w:space="0" w:color="auto"/>
            <w:left w:val="none" w:sz="0" w:space="0" w:color="auto"/>
            <w:bottom w:val="none" w:sz="0" w:space="0" w:color="auto"/>
            <w:right w:val="none" w:sz="0" w:space="0" w:color="auto"/>
          </w:divBdr>
        </w:div>
        <w:div w:id="2098791254">
          <w:marLeft w:val="547"/>
          <w:marRight w:val="0"/>
          <w:marTop w:val="134"/>
          <w:marBottom w:val="0"/>
          <w:divBdr>
            <w:top w:val="none" w:sz="0" w:space="0" w:color="auto"/>
            <w:left w:val="none" w:sz="0" w:space="0" w:color="auto"/>
            <w:bottom w:val="none" w:sz="0" w:space="0" w:color="auto"/>
            <w:right w:val="none" w:sz="0" w:space="0" w:color="auto"/>
          </w:divBdr>
        </w:div>
      </w:divsChild>
    </w:div>
    <w:div w:id="130484021">
      <w:bodyDiv w:val="1"/>
      <w:marLeft w:val="0"/>
      <w:marRight w:val="0"/>
      <w:marTop w:val="0"/>
      <w:marBottom w:val="0"/>
      <w:divBdr>
        <w:top w:val="none" w:sz="0" w:space="0" w:color="auto"/>
        <w:left w:val="none" w:sz="0" w:space="0" w:color="auto"/>
        <w:bottom w:val="none" w:sz="0" w:space="0" w:color="auto"/>
        <w:right w:val="none" w:sz="0" w:space="0" w:color="auto"/>
      </w:divBdr>
    </w:div>
    <w:div w:id="144900222">
      <w:bodyDiv w:val="1"/>
      <w:marLeft w:val="0"/>
      <w:marRight w:val="0"/>
      <w:marTop w:val="0"/>
      <w:marBottom w:val="0"/>
      <w:divBdr>
        <w:top w:val="none" w:sz="0" w:space="0" w:color="auto"/>
        <w:left w:val="none" w:sz="0" w:space="0" w:color="auto"/>
        <w:bottom w:val="none" w:sz="0" w:space="0" w:color="auto"/>
        <w:right w:val="none" w:sz="0" w:space="0" w:color="auto"/>
      </w:divBdr>
      <w:divsChild>
        <w:div w:id="1239513866">
          <w:marLeft w:val="547"/>
          <w:marRight w:val="0"/>
          <w:marTop w:val="134"/>
          <w:marBottom w:val="0"/>
          <w:divBdr>
            <w:top w:val="none" w:sz="0" w:space="0" w:color="auto"/>
            <w:left w:val="none" w:sz="0" w:space="0" w:color="auto"/>
            <w:bottom w:val="none" w:sz="0" w:space="0" w:color="auto"/>
            <w:right w:val="none" w:sz="0" w:space="0" w:color="auto"/>
          </w:divBdr>
        </w:div>
        <w:div w:id="1529101566">
          <w:marLeft w:val="547"/>
          <w:marRight w:val="0"/>
          <w:marTop w:val="134"/>
          <w:marBottom w:val="0"/>
          <w:divBdr>
            <w:top w:val="none" w:sz="0" w:space="0" w:color="auto"/>
            <w:left w:val="none" w:sz="0" w:space="0" w:color="auto"/>
            <w:bottom w:val="none" w:sz="0" w:space="0" w:color="auto"/>
            <w:right w:val="none" w:sz="0" w:space="0" w:color="auto"/>
          </w:divBdr>
        </w:div>
      </w:divsChild>
    </w:div>
    <w:div w:id="145826941">
      <w:bodyDiv w:val="1"/>
      <w:marLeft w:val="0"/>
      <w:marRight w:val="0"/>
      <w:marTop w:val="0"/>
      <w:marBottom w:val="0"/>
      <w:divBdr>
        <w:top w:val="none" w:sz="0" w:space="0" w:color="auto"/>
        <w:left w:val="none" w:sz="0" w:space="0" w:color="auto"/>
        <w:bottom w:val="none" w:sz="0" w:space="0" w:color="auto"/>
        <w:right w:val="none" w:sz="0" w:space="0" w:color="auto"/>
      </w:divBdr>
    </w:div>
    <w:div w:id="146669953">
      <w:bodyDiv w:val="1"/>
      <w:marLeft w:val="0"/>
      <w:marRight w:val="0"/>
      <w:marTop w:val="0"/>
      <w:marBottom w:val="0"/>
      <w:divBdr>
        <w:top w:val="none" w:sz="0" w:space="0" w:color="auto"/>
        <w:left w:val="none" w:sz="0" w:space="0" w:color="auto"/>
        <w:bottom w:val="none" w:sz="0" w:space="0" w:color="auto"/>
        <w:right w:val="none" w:sz="0" w:space="0" w:color="auto"/>
      </w:divBdr>
    </w:div>
    <w:div w:id="158078861">
      <w:bodyDiv w:val="1"/>
      <w:marLeft w:val="0"/>
      <w:marRight w:val="0"/>
      <w:marTop w:val="0"/>
      <w:marBottom w:val="0"/>
      <w:divBdr>
        <w:top w:val="none" w:sz="0" w:space="0" w:color="auto"/>
        <w:left w:val="none" w:sz="0" w:space="0" w:color="auto"/>
        <w:bottom w:val="none" w:sz="0" w:space="0" w:color="auto"/>
        <w:right w:val="none" w:sz="0" w:space="0" w:color="auto"/>
      </w:divBdr>
      <w:divsChild>
        <w:div w:id="98181230">
          <w:marLeft w:val="547"/>
          <w:marRight w:val="0"/>
          <w:marTop w:val="134"/>
          <w:marBottom w:val="0"/>
          <w:divBdr>
            <w:top w:val="none" w:sz="0" w:space="0" w:color="auto"/>
            <w:left w:val="none" w:sz="0" w:space="0" w:color="auto"/>
            <w:bottom w:val="none" w:sz="0" w:space="0" w:color="auto"/>
            <w:right w:val="none" w:sz="0" w:space="0" w:color="auto"/>
          </w:divBdr>
        </w:div>
        <w:div w:id="673725710">
          <w:marLeft w:val="547"/>
          <w:marRight w:val="0"/>
          <w:marTop w:val="134"/>
          <w:marBottom w:val="0"/>
          <w:divBdr>
            <w:top w:val="none" w:sz="0" w:space="0" w:color="auto"/>
            <w:left w:val="none" w:sz="0" w:space="0" w:color="auto"/>
            <w:bottom w:val="none" w:sz="0" w:space="0" w:color="auto"/>
            <w:right w:val="none" w:sz="0" w:space="0" w:color="auto"/>
          </w:divBdr>
        </w:div>
        <w:div w:id="1303346527">
          <w:marLeft w:val="547"/>
          <w:marRight w:val="0"/>
          <w:marTop w:val="134"/>
          <w:marBottom w:val="0"/>
          <w:divBdr>
            <w:top w:val="none" w:sz="0" w:space="0" w:color="auto"/>
            <w:left w:val="none" w:sz="0" w:space="0" w:color="auto"/>
            <w:bottom w:val="none" w:sz="0" w:space="0" w:color="auto"/>
            <w:right w:val="none" w:sz="0" w:space="0" w:color="auto"/>
          </w:divBdr>
        </w:div>
        <w:div w:id="1316837479">
          <w:marLeft w:val="547"/>
          <w:marRight w:val="0"/>
          <w:marTop w:val="134"/>
          <w:marBottom w:val="0"/>
          <w:divBdr>
            <w:top w:val="none" w:sz="0" w:space="0" w:color="auto"/>
            <w:left w:val="none" w:sz="0" w:space="0" w:color="auto"/>
            <w:bottom w:val="none" w:sz="0" w:space="0" w:color="auto"/>
            <w:right w:val="none" w:sz="0" w:space="0" w:color="auto"/>
          </w:divBdr>
        </w:div>
        <w:div w:id="1698967415">
          <w:marLeft w:val="547"/>
          <w:marRight w:val="0"/>
          <w:marTop w:val="134"/>
          <w:marBottom w:val="0"/>
          <w:divBdr>
            <w:top w:val="none" w:sz="0" w:space="0" w:color="auto"/>
            <w:left w:val="none" w:sz="0" w:space="0" w:color="auto"/>
            <w:bottom w:val="none" w:sz="0" w:space="0" w:color="auto"/>
            <w:right w:val="none" w:sz="0" w:space="0" w:color="auto"/>
          </w:divBdr>
        </w:div>
      </w:divsChild>
    </w:div>
    <w:div w:id="166134574">
      <w:bodyDiv w:val="1"/>
      <w:marLeft w:val="0"/>
      <w:marRight w:val="0"/>
      <w:marTop w:val="0"/>
      <w:marBottom w:val="0"/>
      <w:divBdr>
        <w:top w:val="none" w:sz="0" w:space="0" w:color="auto"/>
        <w:left w:val="none" w:sz="0" w:space="0" w:color="auto"/>
        <w:bottom w:val="none" w:sz="0" w:space="0" w:color="auto"/>
        <w:right w:val="none" w:sz="0" w:space="0" w:color="auto"/>
      </w:divBdr>
    </w:div>
    <w:div w:id="170265215">
      <w:bodyDiv w:val="1"/>
      <w:marLeft w:val="0"/>
      <w:marRight w:val="0"/>
      <w:marTop w:val="0"/>
      <w:marBottom w:val="0"/>
      <w:divBdr>
        <w:top w:val="none" w:sz="0" w:space="0" w:color="auto"/>
        <w:left w:val="none" w:sz="0" w:space="0" w:color="auto"/>
        <w:bottom w:val="none" w:sz="0" w:space="0" w:color="auto"/>
        <w:right w:val="none" w:sz="0" w:space="0" w:color="auto"/>
      </w:divBdr>
      <w:divsChild>
        <w:div w:id="1003899536">
          <w:marLeft w:val="547"/>
          <w:marRight w:val="0"/>
          <w:marTop w:val="134"/>
          <w:marBottom w:val="0"/>
          <w:divBdr>
            <w:top w:val="none" w:sz="0" w:space="0" w:color="auto"/>
            <w:left w:val="none" w:sz="0" w:space="0" w:color="auto"/>
            <w:bottom w:val="none" w:sz="0" w:space="0" w:color="auto"/>
            <w:right w:val="none" w:sz="0" w:space="0" w:color="auto"/>
          </w:divBdr>
        </w:div>
      </w:divsChild>
    </w:div>
    <w:div w:id="170682281">
      <w:bodyDiv w:val="1"/>
      <w:marLeft w:val="0"/>
      <w:marRight w:val="0"/>
      <w:marTop w:val="0"/>
      <w:marBottom w:val="0"/>
      <w:divBdr>
        <w:top w:val="none" w:sz="0" w:space="0" w:color="auto"/>
        <w:left w:val="none" w:sz="0" w:space="0" w:color="auto"/>
        <w:bottom w:val="none" w:sz="0" w:space="0" w:color="auto"/>
        <w:right w:val="none" w:sz="0" w:space="0" w:color="auto"/>
      </w:divBdr>
      <w:divsChild>
        <w:div w:id="611012876">
          <w:marLeft w:val="1800"/>
          <w:marRight w:val="0"/>
          <w:marTop w:val="134"/>
          <w:marBottom w:val="0"/>
          <w:divBdr>
            <w:top w:val="none" w:sz="0" w:space="0" w:color="auto"/>
            <w:left w:val="none" w:sz="0" w:space="0" w:color="auto"/>
            <w:bottom w:val="none" w:sz="0" w:space="0" w:color="auto"/>
            <w:right w:val="none" w:sz="0" w:space="0" w:color="auto"/>
          </w:divBdr>
        </w:div>
        <w:div w:id="1189367917">
          <w:marLeft w:val="1800"/>
          <w:marRight w:val="0"/>
          <w:marTop w:val="134"/>
          <w:marBottom w:val="0"/>
          <w:divBdr>
            <w:top w:val="none" w:sz="0" w:space="0" w:color="auto"/>
            <w:left w:val="none" w:sz="0" w:space="0" w:color="auto"/>
            <w:bottom w:val="none" w:sz="0" w:space="0" w:color="auto"/>
            <w:right w:val="none" w:sz="0" w:space="0" w:color="auto"/>
          </w:divBdr>
        </w:div>
      </w:divsChild>
    </w:div>
    <w:div w:id="197089020">
      <w:bodyDiv w:val="1"/>
      <w:marLeft w:val="0"/>
      <w:marRight w:val="0"/>
      <w:marTop w:val="0"/>
      <w:marBottom w:val="0"/>
      <w:divBdr>
        <w:top w:val="none" w:sz="0" w:space="0" w:color="auto"/>
        <w:left w:val="none" w:sz="0" w:space="0" w:color="auto"/>
        <w:bottom w:val="none" w:sz="0" w:space="0" w:color="auto"/>
        <w:right w:val="none" w:sz="0" w:space="0" w:color="auto"/>
      </w:divBdr>
      <w:divsChild>
        <w:div w:id="433477555">
          <w:marLeft w:val="547"/>
          <w:marRight w:val="0"/>
          <w:marTop w:val="154"/>
          <w:marBottom w:val="0"/>
          <w:divBdr>
            <w:top w:val="none" w:sz="0" w:space="0" w:color="auto"/>
            <w:left w:val="none" w:sz="0" w:space="0" w:color="auto"/>
            <w:bottom w:val="none" w:sz="0" w:space="0" w:color="auto"/>
            <w:right w:val="none" w:sz="0" w:space="0" w:color="auto"/>
          </w:divBdr>
        </w:div>
        <w:div w:id="450251811">
          <w:marLeft w:val="547"/>
          <w:marRight w:val="0"/>
          <w:marTop w:val="154"/>
          <w:marBottom w:val="0"/>
          <w:divBdr>
            <w:top w:val="none" w:sz="0" w:space="0" w:color="auto"/>
            <w:left w:val="none" w:sz="0" w:space="0" w:color="auto"/>
            <w:bottom w:val="none" w:sz="0" w:space="0" w:color="auto"/>
            <w:right w:val="none" w:sz="0" w:space="0" w:color="auto"/>
          </w:divBdr>
        </w:div>
      </w:divsChild>
    </w:div>
    <w:div w:id="201601049">
      <w:bodyDiv w:val="1"/>
      <w:marLeft w:val="0"/>
      <w:marRight w:val="0"/>
      <w:marTop w:val="0"/>
      <w:marBottom w:val="0"/>
      <w:divBdr>
        <w:top w:val="none" w:sz="0" w:space="0" w:color="auto"/>
        <w:left w:val="none" w:sz="0" w:space="0" w:color="auto"/>
        <w:bottom w:val="none" w:sz="0" w:space="0" w:color="auto"/>
        <w:right w:val="none" w:sz="0" w:space="0" w:color="auto"/>
      </w:divBdr>
    </w:div>
    <w:div w:id="212888169">
      <w:bodyDiv w:val="1"/>
      <w:marLeft w:val="0"/>
      <w:marRight w:val="0"/>
      <w:marTop w:val="0"/>
      <w:marBottom w:val="0"/>
      <w:divBdr>
        <w:top w:val="none" w:sz="0" w:space="0" w:color="auto"/>
        <w:left w:val="none" w:sz="0" w:space="0" w:color="auto"/>
        <w:bottom w:val="none" w:sz="0" w:space="0" w:color="auto"/>
        <w:right w:val="none" w:sz="0" w:space="0" w:color="auto"/>
      </w:divBdr>
      <w:divsChild>
        <w:div w:id="299773702">
          <w:marLeft w:val="547"/>
          <w:marRight w:val="0"/>
          <w:marTop w:val="154"/>
          <w:marBottom w:val="0"/>
          <w:divBdr>
            <w:top w:val="none" w:sz="0" w:space="0" w:color="auto"/>
            <w:left w:val="none" w:sz="0" w:space="0" w:color="auto"/>
            <w:bottom w:val="none" w:sz="0" w:space="0" w:color="auto"/>
            <w:right w:val="none" w:sz="0" w:space="0" w:color="auto"/>
          </w:divBdr>
        </w:div>
        <w:div w:id="1032264276">
          <w:marLeft w:val="547"/>
          <w:marRight w:val="0"/>
          <w:marTop w:val="154"/>
          <w:marBottom w:val="0"/>
          <w:divBdr>
            <w:top w:val="none" w:sz="0" w:space="0" w:color="auto"/>
            <w:left w:val="none" w:sz="0" w:space="0" w:color="auto"/>
            <w:bottom w:val="none" w:sz="0" w:space="0" w:color="auto"/>
            <w:right w:val="none" w:sz="0" w:space="0" w:color="auto"/>
          </w:divBdr>
        </w:div>
      </w:divsChild>
    </w:div>
    <w:div w:id="225266068">
      <w:bodyDiv w:val="1"/>
      <w:marLeft w:val="0"/>
      <w:marRight w:val="0"/>
      <w:marTop w:val="0"/>
      <w:marBottom w:val="0"/>
      <w:divBdr>
        <w:top w:val="none" w:sz="0" w:space="0" w:color="auto"/>
        <w:left w:val="none" w:sz="0" w:space="0" w:color="auto"/>
        <w:bottom w:val="none" w:sz="0" w:space="0" w:color="auto"/>
        <w:right w:val="none" w:sz="0" w:space="0" w:color="auto"/>
      </w:divBdr>
    </w:div>
    <w:div w:id="231697808">
      <w:bodyDiv w:val="1"/>
      <w:marLeft w:val="0"/>
      <w:marRight w:val="0"/>
      <w:marTop w:val="0"/>
      <w:marBottom w:val="0"/>
      <w:divBdr>
        <w:top w:val="none" w:sz="0" w:space="0" w:color="auto"/>
        <w:left w:val="none" w:sz="0" w:space="0" w:color="auto"/>
        <w:bottom w:val="none" w:sz="0" w:space="0" w:color="auto"/>
        <w:right w:val="none" w:sz="0" w:space="0" w:color="auto"/>
      </w:divBdr>
      <w:divsChild>
        <w:div w:id="1594776175">
          <w:marLeft w:val="547"/>
          <w:marRight w:val="0"/>
          <w:marTop w:val="154"/>
          <w:marBottom w:val="0"/>
          <w:divBdr>
            <w:top w:val="none" w:sz="0" w:space="0" w:color="auto"/>
            <w:left w:val="none" w:sz="0" w:space="0" w:color="auto"/>
            <w:bottom w:val="none" w:sz="0" w:space="0" w:color="auto"/>
            <w:right w:val="none" w:sz="0" w:space="0" w:color="auto"/>
          </w:divBdr>
        </w:div>
        <w:div w:id="1984921102">
          <w:marLeft w:val="547"/>
          <w:marRight w:val="0"/>
          <w:marTop w:val="154"/>
          <w:marBottom w:val="0"/>
          <w:divBdr>
            <w:top w:val="none" w:sz="0" w:space="0" w:color="auto"/>
            <w:left w:val="none" w:sz="0" w:space="0" w:color="auto"/>
            <w:bottom w:val="none" w:sz="0" w:space="0" w:color="auto"/>
            <w:right w:val="none" w:sz="0" w:space="0" w:color="auto"/>
          </w:divBdr>
        </w:div>
      </w:divsChild>
    </w:div>
    <w:div w:id="238058885">
      <w:bodyDiv w:val="1"/>
      <w:marLeft w:val="0"/>
      <w:marRight w:val="0"/>
      <w:marTop w:val="0"/>
      <w:marBottom w:val="0"/>
      <w:divBdr>
        <w:top w:val="none" w:sz="0" w:space="0" w:color="auto"/>
        <w:left w:val="none" w:sz="0" w:space="0" w:color="auto"/>
        <w:bottom w:val="none" w:sz="0" w:space="0" w:color="auto"/>
        <w:right w:val="none" w:sz="0" w:space="0" w:color="auto"/>
      </w:divBdr>
    </w:div>
    <w:div w:id="257252097">
      <w:bodyDiv w:val="1"/>
      <w:marLeft w:val="0"/>
      <w:marRight w:val="0"/>
      <w:marTop w:val="0"/>
      <w:marBottom w:val="0"/>
      <w:divBdr>
        <w:top w:val="none" w:sz="0" w:space="0" w:color="auto"/>
        <w:left w:val="none" w:sz="0" w:space="0" w:color="auto"/>
        <w:bottom w:val="none" w:sz="0" w:space="0" w:color="auto"/>
        <w:right w:val="none" w:sz="0" w:space="0" w:color="auto"/>
      </w:divBdr>
      <w:divsChild>
        <w:div w:id="355428296">
          <w:marLeft w:val="547"/>
          <w:marRight w:val="0"/>
          <w:marTop w:val="115"/>
          <w:marBottom w:val="0"/>
          <w:divBdr>
            <w:top w:val="none" w:sz="0" w:space="0" w:color="auto"/>
            <w:left w:val="none" w:sz="0" w:space="0" w:color="auto"/>
            <w:bottom w:val="none" w:sz="0" w:space="0" w:color="auto"/>
            <w:right w:val="none" w:sz="0" w:space="0" w:color="auto"/>
          </w:divBdr>
        </w:div>
      </w:divsChild>
    </w:div>
    <w:div w:id="257832318">
      <w:bodyDiv w:val="1"/>
      <w:marLeft w:val="0"/>
      <w:marRight w:val="0"/>
      <w:marTop w:val="0"/>
      <w:marBottom w:val="0"/>
      <w:divBdr>
        <w:top w:val="none" w:sz="0" w:space="0" w:color="auto"/>
        <w:left w:val="none" w:sz="0" w:space="0" w:color="auto"/>
        <w:bottom w:val="none" w:sz="0" w:space="0" w:color="auto"/>
        <w:right w:val="none" w:sz="0" w:space="0" w:color="auto"/>
      </w:divBdr>
    </w:div>
    <w:div w:id="284308582">
      <w:bodyDiv w:val="1"/>
      <w:marLeft w:val="0"/>
      <w:marRight w:val="0"/>
      <w:marTop w:val="0"/>
      <w:marBottom w:val="0"/>
      <w:divBdr>
        <w:top w:val="none" w:sz="0" w:space="0" w:color="auto"/>
        <w:left w:val="none" w:sz="0" w:space="0" w:color="auto"/>
        <w:bottom w:val="none" w:sz="0" w:space="0" w:color="auto"/>
        <w:right w:val="none" w:sz="0" w:space="0" w:color="auto"/>
      </w:divBdr>
    </w:div>
    <w:div w:id="340355818">
      <w:bodyDiv w:val="1"/>
      <w:marLeft w:val="0"/>
      <w:marRight w:val="0"/>
      <w:marTop w:val="0"/>
      <w:marBottom w:val="0"/>
      <w:divBdr>
        <w:top w:val="none" w:sz="0" w:space="0" w:color="auto"/>
        <w:left w:val="none" w:sz="0" w:space="0" w:color="auto"/>
        <w:bottom w:val="none" w:sz="0" w:space="0" w:color="auto"/>
        <w:right w:val="none" w:sz="0" w:space="0" w:color="auto"/>
      </w:divBdr>
    </w:div>
    <w:div w:id="357858371">
      <w:bodyDiv w:val="1"/>
      <w:marLeft w:val="0"/>
      <w:marRight w:val="0"/>
      <w:marTop w:val="0"/>
      <w:marBottom w:val="0"/>
      <w:divBdr>
        <w:top w:val="none" w:sz="0" w:space="0" w:color="auto"/>
        <w:left w:val="none" w:sz="0" w:space="0" w:color="auto"/>
        <w:bottom w:val="none" w:sz="0" w:space="0" w:color="auto"/>
        <w:right w:val="none" w:sz="0" w:space="0" w:color="auto"/>
      </w:divBdr>
    </w:div>
    <w:div w:id="380979196">
      <w:bodyDiv w:val="1"/>
      <w:marLeft w:val="0"/>
      <w:marRight w:val="0"/>
      <w:marTop w:val="0"/>
      <w:marBottom w:val="0"/>
      <w:divBdr>
        <w:top w:val="none" w:sz="0" w:space="0" w:color="auto"/>
        <w:left w:val="none" w:sz="0" w:space="0" w:color="auto"/>
        <w:bottom w:val="none" w:sz="0" w:space="0" w:color="auto"/>
        <w:right w:val="none" w:sz="0" w:space="0" w:color="auto"/>
      </w:divBdr>
    </w:div>
    <w:div w:id="397558289">
      <w:bodyDiv w:val="1"/>
      <w:marLeft w:val="0"/>
      <w:marRight w:val="0"/>
      <w:marTop w:val="0"/>
      <w:marBottom w:val="0"/>
      <w:divBdr>
        <w:top w:val="none" w:sz="0" w:space="0" w:color="auto"/>
        <w:left w:val="none" w:sz="0" w:space="0" w:color="auto"/>
        <w:bottom w:val="none" w:sz="0" w:space="0" w:color="auto"/>
        <w:right w:val="none" w:sz="0" w:space="0" w:color="auto"/>
      </w:divBdr>
    </w:div>
    <w:div w:id="405497600">
      <w:bodyDiv w:val="1"/>
      <w:marLeft w:val="0"/>
      <w:marRight w:val="0"/>
      <w:marTop w:val="0"/>
      <w:marBottom w:val="0"/>
      <w:divBdr>
        <w:top w:val="none" w:sz="0" w:space="0" w:color="auto"/>
        <w:left w:val="none" w:sz="0" w:space="0" w:color="auto"/>
        <w:bottom w:val="none" w:sz="0" w:space="0" w:color="auto"/>
        <w:right w:val="none" w:sz="0" w:space="0" w:color="auto"/>
      </w:divBdr>
      <w:divsChild>
        <w:div w:id="574825827">
          <w:marLeft w:val="547"/>
          <w:marRight w:val="0"/>
          <w:marTop w:val="154"/>
          <w:marBottom w:val="0"/>
          <w:divBdr>
            <w:top w:val="none" w:sz="0" w:space="0" w:color="auto"/>
            <w:left w:val="none" w:sz="0" w:space="0" w:color="auto"/>
            <w:bottom w:val="none" w:sz="0" w:space="0" w:color="auto"/>
            <w:right w:val="none" w:sz="0" w:space="0" w:color="auto"/>
          </w:divBdr>
        </w:div>
        <w:div w:id="765467601">
          <w:marLeft w:val="547"/>
          <w:marRight w:val="0"/>
          <w:marTop w:val="154"/>
          <w:marBottom w:val="0"/>
          <w:divBdr>
            <w:top w:val="none" w:sz="0" w:space="0" w:color="auto"/>
            <w:left w:val="none" w:sz="0" w:space="0" w:color="auto"/>
            <w:bottom w:val="none" w:sz="0" w:space="0" w:color="auto"/>
            <w:right w:val="none" w:sz="0" w:space="0" w:color="auto"/>
          </w:divBdr>
        </w:div>
        <w:div w:id="1326205137">
          <w:marLeft w:val="547"/>
          <w:marRight w:val="0"/>
          <w:marTop w:val="154"/>
          <w:marBottom w:val="0"/>
          <w:divBdr>
            <w:top w:val="none" w:sz="0" w:space="0" w:color="auto"/>
            <w:left w:val="none" w:sz="0" w:space="0" w:color="auto"/>
            <w:bottom w:val="none" w:sz="0" w:space="0" w:color="auto"/>
            <w:right w:val="none" w:sz="0" w:space="0" w:color="auto"/>
          </w:divBdr>
        </w:div>
      </w:divsChild>
    </w:div>
    <w:div w:id="414669387">
      <w:bodyDiv w:val="1"/>
      <w:marLeft w:val="0"/>
      <w:marRight w:val="0"/>
      <w:marTop w:val="0"/>
      <w:marBottom w:val="0"/>
      <w:divBdr>
        <w:top w:val="none" w:sz="0" w:space="0" w:color="auto"/>
        <w:left w:val="none" w:sz="0" w:space="0" w:color="auto"/>
        <w:bottom w:val="none" w:sz="0" w:space="0" w:color="auto"/>
        <w:right w:val="none" w:sz="0" w:space="0" w:color="auto"/>
      </w:divBdr>
    </w:div>
    <w:div w:id="429280367">
      <w:bodyDiv w:val="1"/>
      <w:marLeft w:val="0"/>
      <w:marRight w:val="0"/>
      <w:marTop w:val="0"/>
      <w:marBottom w:val="0"/>
      <w:divBdr>
        <w:top w:val="none" w:sz="0" w:space="0" w:color="auto"/>
        <w:left w:val="none" w:sz="0" w:space="0" w:color="auto"/>
        <w:bottom w:val="none" w:sz="0" w:space="0" w:color="auto"/>
        <w:right w:val="none" w:sz="0" w:space="0" w:color="auto"/>
      </w:divBdr>
    </w:div>
    <w:div w:id="572814940">
      <w:bodyDiv w:val="1"/>
      <w:marLeft w:val="0"/>
      <w:marRight w:val="0"/>
      <w:marTop w:val="0"/>
      <w:marBottom w:val="0"/>
      <w:divBdr>
        <w:top w:val="none" w:sz="0" w:space="0" w:color="auto"/>
        <w:left w:val="none" w:sz="0" w:space="0" w:color="auto"/>
        <w:bottom w:val="none" w:sz="0" w:space="0" w:color="auto"/>
        <w:right w:val="none" w:sz="0" w:space="0" w:color="auto"/>
      </w:divBdr>
    </w:div>
    <w:div w:id="583608556">
      <w:bodyDiv w:val="1"/>
      <w:marLeft w:val="0"/>
      <w:marRight w:val="0"/>
      <w:marTop w:val="0"/>
      <w:marBottom w:val="0"/>
      <w:divBdr>
        <w:top w:val="none" w:sz="0" w:space="0" w:color="auto"/>
        <w:left w:val="none" w:sz="0" w:space="0" w:color="auto"/>
        <w:bottom w:val="none" w:sz="0" w:space="0" w:color="auto"/>
        <w:right w:val="none" w:sz="0" w:space="0" w:color="auto"/>
      </w:divBdr>
    </w:div>
    <w:div w:id="585111864">
      <w:bodyDiv w:val="1"/>
      <w:marLeft w:val="0"/>
      <w:marRight w:val="0"/>
      <w:marTop w:val="0"/>
      <w:marBottom w:val="0"/>
      <w:divBdr>
        <w:top w:val="none" w:sz="0" w:space="0" w:color="auto"/>
        <w:left w:val="none" w:sz="0" w:space="0" w:color="auto"/>
        <w:bottom w:val="none" w:sz="0" w:space="0" w:color="auto"/>
        <w:right w:val="none" w:sz="0" w:space="0" w:color="auto"/>
      </w:divBdr>
    </w:div>
    <w:div w:id="611865909">
      <w:bodyDiv w:val="1"/>
      <w:marLeft w:val="0"/>
      <w:marRight w:val="0"/>
      <w:marTop w:val="0"/>
      <w:marBottom w:val="0"/>
      <w:divBdr>
        <w:top w:val="none" w:sz="0" w:space="0" w:color="auto"/>
        <w:left w:val="none" w:sz="0" w:space="0" w:color="auto"/>
        <w:bottom w:val="none" w:sz="0" w:space="0" w:color="auto"/>
        <w:right w:val="none" w:sz="0" w:space="0" w:color="auto"/>
      </w:divBdr>
    </w:div>
    <w:div w:id="615795293">
      <w:bodyDiv w:val="1"/>
      <w:marLeft w:val="0"/>
      <w:marRight w:val="0"/>
      <w:marTop w:val="0"/>
      <w:marBottom w:val="0"/>
      <w:divBdr>
        <w:top w:val="none" w:sz="0" w:space="0" w:color="auto"/>
        <w:left w:val="none" w:sz="0" w:space="0" w:color="auto"/>
        <w:bottom w:val="none" w:sz="0" w:space="0" w:color="auto"/>
        <w:right w:val="none" w:sz="0" w:space="0" w:color="auto"/>
      </w:divBdr>
      <w:divsChild>
        <w:div w:id="1014457872">
          <w:marLeft w:val="547"/>
          <w:marRight w:val="0"/>
          <w:marTop w:val="154"/>
          <w:marBottom w:val="0"/>
          <w:divBdr>
            <w:top w:val="none" w:sz="0" w:space="0" w:color="auto"/>
            <w:left w:val="none" w:sz="0" w:space="0" w:color="auto"/>
            <w:bottom w:val="none" w:sz="0" w:space="0" w:color="auto"/>
            <w:right w:val="none" w:sz="0" w:space="0" w:color="auto"/>
          </w:divBdr>
        </w:div>
      </w:divsChild>
    </w:div>
    <w:div w:id="616063147">
      <w:bodyDiv w:val="1"/>
      <w:marLeft w:val="0"/>
      <w:marRight w:val="0"/>
      <w:marTop w:val="0"/>
      <w:marBottom w:val="0"/>
      <w:divBdr>
        <w:top w:val="none" w:sz="0" w:space="0" w:color="auto"/>
        <w:left w:val="none" w:sz="0" w:space="0" w:color="auto"/>
        <w:bottom w:val="none" w:sz="0" w:space="0" w:color="auto"/>
        <w:right w:val="none" w:sz="0" w:space="0" w:color="auto"/>
      </w:divBdr>
    </w:div>
    <w:div w:id="629439892">
      <w:bodyDiv w:val="1"/>
      <w:marLeft w:val="0"/>
      <w:marRight w:val="0"/>
      <w:marTop w:val="0"/>
      <w:marBottom w:val="0"/>
      <w:divBdr>
        <w:top w:val="none" w:sz="0" w:space="0" w:color="auto"/>
        <w:left w:val="none" w:sz="0" w:space="0" w:color="auto"/>
        <w:bottom w:val="none" w:sz="0" w:space="0" w:color="auto"/>
        <w:right w:val="none" w:sz="0" w:space="0" w:color="auto"/>
      </w:divBdr>
    </w:div>
    <w:div w:id="649403428">
      <w:bodyDiv w:val="1"/>
      <w:marLeft w:val="0"/>
      <w:marRight w:val="0"/>
      <w:marTop w:val="0"/>
      <w:marBottom w:val="0"/>
      <w:divBdr>
        <w:top w:val="none" w:sz="0" w:space="0" w:color="auto"/>
        <w:left w:val="none" w:sz="0" w:space="0" w:color="auto"/>
        <w:bottom w:val="none" w:sz="0" w:space="0" w:color="auto"/>
        <w:right w:val="none" w:sz="0" w:space="0" w:color="auto"/>
      </w:divBdr>
    </w:div>
    <w:div w:id="663977767">
      <w:bodyDiv w:val="1"/>
      <w:marLeft w:val="0"/>
      <w:marRight w:val="0"/>
      <w:marTop w:val="0"/>
      <w:marBottom w:val="0"/>
      <w:divBdr>
        <w:top w:val="none" w:sz="0" w:space="0" w:color="auto"/>
        <w:left w:val="none" w:sz="0" w:space="0" w:color="auto"/>
        <w:bottom w:val="none" w:sz="0" w:space="0" w:color="auto"/>
        <w:right w:val="none" w:sz="0" w:space="0" w:color="auto"/>
      </w:divBdr>
    </w:div>
    <w:div w:id="671645624">
      <w:bodyDiv w:val="1"/>
      <w:marLeft w:val="0"/>
      <w:marRight w:val="0"/>
      <w:marTop w:val="0"/>
      <w:marBottom w:val="0"/>
      <w:divBdr>
        <w:top w:val="none" w:sz="0" w:space="0" w:color="auto"/>
        <w:left w:val="none" w:sz="0" w:space="0" w:color="auto"/>
        <w:bottom w:val="none" w:sz="0" w:space="0" w:color="auto"/>
        <w:right w:val="none" w:sz="0" w:space="0" w:color="auto"/>
      </w:divBdr>
      <w:divsChild>
        <w:div w:id="867373709">
          <w:marLeft w:val="547"/>
          <w:marRight w:val="0"/>
          <w:marTop w:val="154"/>
          <w:marBottom w:val="0"/>
          <w:divBdr>
            <w:top w:val="none" w:sz="0" w:space="0" w:color="auto"/>
            <w:left w:val="none" w:sz="0" w:space="0" w:color="auto"/>
            <w:bottom w:val="none" w:sz="0" w:space="0" w:color="auto"/>
            <w:right w:val="none" w:sz="0" w:space="0" w:color="auto"/>
          </w:divBdr>
        </w:div>
      </w:divsChild>
    </w:div>
    <w:div w:id="701516994">
      <w:bodyDiv w:val="1"/>
      <w:marLeft w:val="0"/>
      <w:marRight w:val="0"/>
      <w:marTop w:val="0"/>
      <w:marBottom w:val="0"/>
      <w:divBdr>
        <w:top w:val="none" w:sz="0" w:space="0" w:color="auto"/>
        <w:left w:val="none" w:sz="0" w:space="0" w:color="auto"/>
        <w:bottom w:val="none" w:sz="0" w:space="0" w:color="auto"/>
        <w:right w:val="none" w:sz="0" w:space="0" w:color="auto"/>
      </w:divBdr>
    </w:div>
    <w:div w:id="735126915">
      <w:bodyDiv w:val="1"/>
      <w:marLeft w:val="0"/>
      <w:marRight w:val="0"/>
      <w:marTop w:val="0"/>
      <w:marBottom w:val="0"/>
      <w:divBdr>
        <w:top w:val="none" w:sz="0" w:space="0" w:color="auto"/>
        <w:left w:val="none" w:sz="0" w:space="0" w:color="auto"/>
        <w:bottom w:val="none" w:sz="0" w:space="0" w:color="auto"/>
        <w:right w:val="none" w:sz="0" w:space="0" w:color="auto"/>
      </w:divBdr>
      <w:divsChild>
        <w:div w:id="109252440">
          <w:marLeft w:val="547"/>
          <w:marRight w:val="0"/>
          <w:marTop w:val="134"/>
          <w:marBottom w:val="0"/>
          <w:divBdr>
            <w:top w:val="none" w:sz="0" w:space="0" w:color="auto"/>
            <w:left w:val="none" w:sz="0" w:space="0" w:color="auto"/>
            <w:bottom w:val="none" w:sz="0" w:space="0" w:color="auto"/>
            <w:right w:val="none" w:sz="0" w:space="0" w:color="auto"/>
          </w:divBdr>
        </w:div>
        <w:div w:id="170486093">
          <w:marLeft w:val="547"/>
          <w:marRight w:val="0"/>
          <w:marTop w:val="134"/>
          <w:marBottom w:val="0"/>
          <w:divBdr>
            <w:top w:val="none" w:sz="0" w:space="0" w:color="auto"/>
            <w:left w:val="none" w:sz="0" w:space="0" w:color="auto"/>
            <w:bottom w:val="none" w:sz="0" w:space="0" w:color="auto"/>
            <w:right w:val="none" w:sz="0" w:space="0" w:color="auto"/>
          </w:divBdr>
        </w:div>
        <w:div w:id="1100877969">
          <w:marLeft w:val="547"/>
          <w:marRight w:val="0"/>
          <w:marTop w:val="134"/>
          <w:marBottom w:val="0"/>
          <w:divBdr>
            <w:top w:val="none" w:sz="0" w:space="0" w:color="auto"/>
            <w:left w:val="none" w:sz="0" w:space="0" w:color="auto"/>
            <w:bottom w:val="none" w:sz="0" w:space="0" w:color="auto"/>
            <w:right w:val="none" w:sz="0" w:space="0" w:color="auto"/>
          </w:divBdr>
        </w:div>
        <w:div w:id="1647854488">
          <w:marLeft w:val="547"/>
          <w:marRight w:val="0"/>
          <w:marTop w:val="134"/>
          <w:marBottom w:val="0"/>
          <w:divBdr>
            <w:top w:val="none" w:sz="0" w:space="0" w:color="auto"/>
            <w:left w:val="none" w:sz="0" w:space="0" w:color="auto"/>
            <w:bottom w:val="none" w:sz="0" w:space="0" w:color="auto"/>
            <w:right w:val="none" w:sz="0" w:space="0" w:color="auto"/>
          </w:divBdr>
        </w:div>
      </w:divsChild>
    </w:div>
    <w:div w:id="741609296">
      <w:bodyDiv w:val="1"/>
      <w:marLeft w:val="0"/>
      <w:marRight w:val="0"/>
      <w:marTop w:val="0"/>
      <w:marBottom w:val="0"/>
      <w:divBdr>
        <w:top w:val="none" w:sz="0" w:space="0" w:color="auto"/>
        <w:left w:val="none" w:sz="0" w:space="0" w:color="auto"/>
        <w:bottom w:val="none" w:sz="0" w:space="0" w:color="auto"/>
        <w:right w:val="none" w:sz="0" w:space="0" w:color="auto"/>
      </w:divBdr>
    </w:div>
    <w:div w:id="751856468">
      <w:bodyDiv w:val="1"/>
      <w:marLeft w:val="0"/>
      <w:marRight w:val="0"/>
      <w:marTop w:val="0"/>
      <w:marBottom w:val="0"/>
      <w:divBdr>
        <w:top w:val="none" w:sz="0" w:space="0" w:color="auto"/>
        <w:left w:val="none" w:sz="0" w:space="0" w:color="auto"/>
        <w:bottom w:val="none" w:sz="0" w:space="0" w:color="auto"/>
        <w:right w:val="none" w:sz="0" w:space="0" w:color="auto"/>
      </w:divBdr>
    </w:div>
    <w:div w:id="753281283">
      <w:bodyDiv w:val="1"/>
      <w:marLeft w:val="0"/>
      <w:marRight w:val="0"/>
      <w:marTop w:val="0"/>
      <w:marBottom w:val="0"/>
      <w:divBdr>
        <w:top w:val="none" w:sz="0" w:space="0" w:color="auto"/>
        <w:left w:val="none" w:sz="0" w:space="0" w:color="auto"/>
        <w:bottom w:val="none" w:sz="0" w:space="0" w:color="auto"/>
        <w:right w:val="none" w:sz="0" w:space="0" w:color="auto"/>
      </w:divBdr>
    </w:div>
    <w:div w:id="758982446">
      <w:bodyDiv w:val="1"/>
      <w:marLeft w:val="0"/>
      <w:marRight w:val="0"/>
      <w:marTop w:val="0"/>
      <w:marBottom w:val="0"/>
      <w:divBdr>
        <w:top w:val="none" w:sz="0" w:space="0" w:color="auto"/>
        <w:left w:val="none" w:sz="0" w:space="0" w:color="auto"/>
        <w:bottom w:val="none" w:sz="0" w:space="0" w:color="auto"/>
        <w:right w:val="none" w:sz="0" w:space="0" w:color="auto"/>
      </w:divBdr>
    </w:div>
    <w:div w:id="763694551">
      <w:bodyDiv w:val="1"/>
      <w:marLeft w:val="0"/>
      <w:marRight w:val="0"/>
      <w:marTop w:val="0"/>
      <w:marBottom w:val="0"/>
      <w:divBdr>
        <w:top w:val="none" w:sz="0" w:space="0" w:color="auto"/>
        <w:left w:val="none" w:sz="0" w:space="0" w:color="auto"/>
        <w:bottom w:val="none" w:sz="0" w:space="0" w:color="auto"/>
        <w:right w:val="none" w:sz="0" w:space="0" w:color="auto"/>
      </w:divBdr>
    </w:div>
    <w:div w:id="776945870">
      <w:bodyDiv w:val="1"/>
      <w:marLeft w:val="0"/>
      <w:marRight w:val="0"/>
      <w:marTop w:val="0"/>
      <w:marBottom w:val="0"/>
      <w:divBdr>
        <w:top w:val="none" w:sz="0" w:space="0" w:color="auto"/>
        <w:left w:val="none" w:sz="0" w:space="0" w:color="auto"/>
        <w:bottom w:val="none" w:sz="0" w:space="0" w:color="auto"/>
        <w:right w:val="none" w:sz="0" w:space="0" w:color="auto"/>
      </w:divBdr>
      <w:divsChild>
        <w:div w:id="17783310">
          <w:marLeft w:val="1800"/>
          <w:marRight w:val="0"/>
          <w:marTop w:val="115"/>
          <w:marBottom w:val="0"/>
          <w:divBdr>
            <w:top w:val="none" w:sz="0" w:space="0" w:color="auto"/>
            <w:left w:val="none" w:sz="0" w:space="0" w:color="auto"/>
            <w:bottom w:val="none" w:sz="0" w:space="0" w:color="auto"/>
            <w:right w:val="none" w:sz="0" w:space="0" w:color="auto"/>
          </w:divBdr>
        </w:div>
        <w:div w:id="1616597427">
          <w:marLeft w:val="1800"/>
          <w:marRight w:val="0"/>
          <w:marTop w:val="115"/>
          <w:marBottom w:val="0"/>
          <w:divBdr>
            <w:top w:val="none" w:sz="0" w:space="0" w:color="auto"/>
            <w:left w:val="none" w:sz="0" w:space="0" w:color="auto"/>
            <w:bottom w:val="none" w:sz="0" w:space="0" w:color="auto"/>
            <w:right w:val="none" w:sz="0" w:space="0" w:color="auto"/>
          </w:divBdr>
        </w:div>
        <w:div w:id="1806969067">
          <w:marLeft w:val="1800"/>
          <w:marRight w:val="0"/>
          <w:marTop w:val="115"/>
          <w:marBottom w:val="0"/>
          <w:divBdr>
            <w:top w:val="none" w:sz="0" w:space="0" w:color="auto"/>
            <w:left w:val="none" w:sz="0" w:space="0" w:color="auto"/>
            <w:bottom w:val="none" w:sz="0" w:space="0" w:color="auto"/>
            <w:right w:val="none" w:sz="0" w:space="0" w:color="auto"/>
          </w:divBdr>
        </w:div>
        <w:div w:id="1852910613">
          <w:marLeft w:val="1800"/>
          <w:marRight w:val="0"/>
          <w:marTop w:val="115"/>
          <w:marBottom w:val="0"/>
          <w:divBdr>
            <w:top w:val="none" w:sz="0" w:space="0" w:color="auto"/>
            <w:left w:val="none" w:sz="0" w:space="0" w:color="auto"/>
            <w:bottom w:val="none" w:sz="0" w:space="0" w:color="auto"/>
            <w:right w:val="none" w:sz="0" w:space="0" w:color="auto"/>
          </w:divBdr>
        </w:div>
        <w:div w:id="1959749545">
          <w:marLeft w:val="1800"/>
          <w:marRight w:val="0"/>
          <w:marTop w:val="115"/>
          <w:marBottom w:val="0"/>
          <w:divBdr>
            <w:top w:val="none" w:sz="0" w:space="0" w:color="auto"/>
            <w:left w:val="none" w:sz="0" w:space="0" w:color="auto"/>
            <w:bottom w:val="none" w:sz="0" w:space="0" w:color="auto"/>
            <w:right w:val="none" w:sz="0" w:space="0" w:color="auto"/>
          </w:divBdr>
        </w:div>
      </w:divsChild>
    </w:div>
    <w:div w:id="796293966">
      <w:bodyDiv w:val="1"/>
      <w:marLeft w:val="0"/>
      <w:marRight w:val="0"/>
      <w:marTop w:val="0"/>
      <w:marBottom w:val="0"/>
      <w:divBdr>
        <w:top w:val="none" w:sz="0" w:space="0" w:color="auto"/>
        <w:left w:val="none" w:sz="0" w:space="0" w:color="auto"/>
        <w:bottom w:val="none" w:sz="0" w:space="0" w:color="auto"/>
        <w:right w:val="none" w:sz="0" w:space="0" w:color="auto"/>
      </w:divBdr>
      <w:divsChild>
        <w:div w:id="1339892072">
          <w:marLeft w:val="547"/>
          <w:marRight w:val="0"/>
          <w:marTop w:val="154"/>
          <w:marBottom w:val="0"/>
          <w:divBdr>
            <w:top w:val="none" w:sz="0" w:space="0" w:color="auto"/>
            <w:left w:val="none" w:sz="0" w:space="0" w:color="auto"/>
            <w:bottom w:val="none" w:sz="0" w:space="0" w:color="auto"/>
            <w:right w:val="none" w:sz="0" w:space="0" w:color="auto"/>
          </w:divBdr>
        </w:div>
      </w:divsChild>
    </w:div>
    <w:div w:id="822086550">
      <w:bodyDiv w:val="1"/>
      <w:marLeft w:val="0"/>
      <w:marRight w:val="0"/>
      <w:marTop w:val="0"/>
      <w:marBottom w:val="0"/>
      <w:divBdr>
        <w:top w:val="none" w:sz="0" w:space="0" w:color="auto"/>
        <w:left w:val="none" w:sz="0" w:space="0" w:color="auto"/>
        <w:bottom w:val="none" w:sz="0" w:space="0" w:color="auto"/>
        <w:right w:val="none" w:sz="0" w:space="0" w:color="auto"/>
      </w:divBdr>
    </w:div>
    <w:div w:id="862280274">
      <w:bodyDiv w:val="1"/>
      <w:marLeft w:val="0"/>
      <w:marRight w:val="0"/>
      <w:marTop w:val="0"/>
      <w:marBottom w:val="0"/>
      <w:divBdr>
        <w:top w:val="none" w:sz="0" w:space="0" w:color="auto"/>
        <w:left w:val="none" w:sz="0" w:space="0" w:color="auto"/>
        <w:bottom w:val="none" w:sz="0" w:space="0" w:color="auto"/>
        <w:right w:val="none" w:sz="0" w:space="0" w:color="auto"/>
      </w:divBdr>
    </w:div>
    <w:div w:id="869029977">
      <w:bodyDiv w:val="1"/>
      <w:marLeft w:val="0"/>
      <w:marRight w:val="0"/>
      <w:marTop w:val="0"/>
      <w:marBottom w:val="0"/>
      <w:divBdr>
        <w:top w:val="none" w:sz="0" w:space="0" w:color="auto"/>
        <w:left w:val="none" w:sz="0" w:space="0" w:color="auto"/>
        <w:bottom w:val="none" w:sz="0" w:space="0" w:color="auto"/>
        <w:right w:val="none" w:sz="0" w:space="0" w:color="auto"/>
      </w:divBdr>
    </w:div>
    <w:div w:id="874972987">
      <w:bodyDiv w:val="1"/>
      <w:marLeft w:val="0"/>
      <w:marRight w:val="0"/>
      <w:marTop w:val="0"/>
      <w:marBottom w:val="0"/>
      <w:divBdr>
        <w:top w:val="none" w:sz="0" w:space="0" w:color="auto"/>
        <w:left w:val="none" w:sz="0" w:space="0" w:color="auto"/>
        <w:bottom w:val="none" w:sz="0" w:space="0" w:color="auto"/>
        <w:right w:val="none" w:sz="0" w:space="0" w:color="auto"/>
      </w:divBdr>
      <w:divsChild>
        <w:div w:id="257759677">
          <w:marLeft w:val="1166"/>
          <w:marRight w:val="0"/>
          <w:marTop w:val="134"/>
          <w:marBottom w:val="0"/>
          <w:divBdr>
            <w:top w:val="none" w:sz="0" w:space="0" w:color="auto"/>
            <w:left w:val="none" w:sz="0" w:space="0" w:color="auto"/>
            <w:bottom w:val="none" w:sz="0" w:space="0" w:color="auto"/>
            <w:right w:val="none" w:sz="0" w:space="0" w:color="auto"/>
          </w:divBdr>
        </w:div>
        <w:div w:id="1667199601">
          <w:marLeft w:val="1166"/>
          <w:marRight w:val="0"/>
          <w:marTop w:val="134"/>
          <w:marBottom w:val="0"/>
          <w:divBdr>
            <w:top w:val="none" w:sz="0" w:space="0" w:color="auto"/>
            <w:left w:val="none" w:sz="0" w:space="0" w:color="auto"/>
            <w:bottom w:val="none" w:sz="0" w:space="0" w:color="auto"/>
            <w:right w:val="none" w:sz="0" w:space="0" w:color="auto"/>
          </w:divBdr>
        </w:div>
        <w:div w:id="1770195675">
          <w:marLeft w:val="1166"/>
          <w:marRight w:val="0"/>
          <w:marTop w:val="134"/>
          <w:marBottom w:val="0"/>
          <w:divBdr>
            <w:top w:val="none" w:sz="0" w:space="0" w:color="auto"/>
            <w:left w:val="none" w:sz="0" w:space="0" w:color="auto"/>
            <w:bottom w:val="none" w:sz="0" w:space="0" w:color="auto"/>
            <w:right w:val="none" w:sz="0" w:space="0" w:color="auto"/>
          </w:divBdr>
        </w:div>
        <w:div w:id="1864978345">
          <w:marLeft w:val="1166"/>
          <w:marRight w:val="0"/>
          <w:marTop w:val="134"/>
          <w:marBottom w:val="0"/>
          <w:divBdr>
            <w:top w:val="none" w:sz="0" w:space="0" w:color="auto"/>
            <w:left w:val="none" w:sz="0" w:space="0" w:color="auto"/>
            <w:bottom w:val="none" w:sz="0" w:space="0" w:color="auto"/>
            <w:right w:val="none" w:sz="0" w:space="0" w:color="auto"/>
          </w:divBdr>
        </w:div>
        <w:div w:id="2023972670">
          <w:marLeft w:val="1166"/>
          <w:marRight w:val="0"/>
          <w:marTop w:val="134"/>
          <w:marBottom w:val="0"/>
          <w:divBdr>
            <w:top w:val="none" w:sz="0" w:space="0" w:color="auto"/>
            <w:left w:val="none" w:sz="0" w:space="0" w:color="auto"/>
            <w:bottom w:val="none" w:sz="0" w:space="0" w:color="auto"/>
            <w:right w:val="none" w:sz="0" w:space="0" w:color="auto"/>
          </w:divBdr>
        </w:div>
        <w:div w:id="2087680671">
          <w:marLeft w:val="1166"/>
          <w:marRight w:val="0"/>
          <w:marTop w:val="134"/>
          <w:marBottom w:val="0"/>
          <w:divBdr>
            <w:top w:val="none" w:sz="0" w:space="0" w:color="auto"/>
            <w:left w:val="none" w:sz="0" w:space="0" w:color="auto"/>
            <w:bottom w:val="none" w:sz="0" w:space="0" w:color="auto"/>
            <w:right w:val="none" w:sz="0" w:space="0" w:color="auto"/>
          </w:divBdr>
        </w:div>
      </w:divsChild>
    </w:div>
    <w:div w:id="875044617">
      <w:bodyDiv w:val="1"/>
      <w:marLeft w:val="0"/>
      <w:marRight w:val="0"/>
      <w:marTop w:val="0"/>
      <w:marBottom w:val="0"/>
      <w:divBdr>
        <w:top w:val="none" w:sz="0" w:space="0" w:color="auto"/>
        <w:left w:val="none" w:sz="0" w:space="0" w:color="auto"/>
        <w:bottom w:val="none" w:sz="0" w:space="0" w:color="auto"/>
        <w:right w:val="none" w:sz="0" w:space="0" w:color="auto"/>
      </w:divBdr>
    </w:div>
    <w:div w:id="879587991">
      <w:bodyDiv w:val="1"/>
      <w:marLeft w:val="0"/>
      <w:marRight w:val="0"/>
      <w:marTop w:val="0"/>
      <w:marBottom w:val="0"/>
      <w:divBdr>
        <w:top w:val="none" w:sz="0" w:space="0" w:color="auto"/>
        <w:left w:val="none" w:sz="0" w:space="0" w:color="auto"/>
        <w:bottom w:val="none" w:sz="0" w:space="0" w:color="auto"/>
        <w:right w:val="none" w:sz="0" w:space="0" w:color="auto"/>
      </w:divBdr>
      <w:divsChild>
        <w:div w:id="1196965196">
          <w:marLeft w:val="547"/>
          <w:marRight w:val="0"/>
          <w:marTop w:val="154"/>
          <w:marBottom w:val="0"/>
          <w:divBdr>
            <w:top w:val="none" w:sz="0" w:space="0" w:color="auto"/>
            <w:left w:val="none" w:sz="0" w:space="0" w:color="auto"/>
            <w:bottom w:val="none" w:sz="0" w:space="0" w:color="auto"/>
            <w:right w:val="none" w:sz="0" w:space="0" w:color="auto"/>
          </w:divBdr>
        </w:div>
      </w:divsChild>
    </w:div>
    <w:div w:id="881481409">
      <w:bodyDiv w:val="1"/>
      <w:marLeft w:val="0"/>
      <w:marRight w:val="0"/>
      <w:marTop w:val="0"/>
      <w:marBottom w:val="0"/>
      <w:divBdr>
        <w:top w:val="none" w:sz="0" w:space="0" w:color="auto"/>
        <w:left w:val="none" w:sz="0" w:space="0" w:color="auto"/>
        <w:bottom w:val="none" w:sz="0" w:space="0" w:color="auto"/>
        <w:right w:val="none" w:sz="0" w:space="0" w:color="auto"/>
      </w:divBdr>
    </w:div>
    <w:div w:id="882137381">
      <w:bodyDiv w:val="1"/>
      <w:marLeft w:val="0"/>
      <w:marRight w:val="0"/>
      <w:marTop w:val="0"/>
      <w:marBottom w:val="0"/>
      <w:divBdr>
        <w:top w:val="none" w:sz="0" w:space="0" w:color="auto"/>
        <w:left w:val="none" w:sz="0" w:space="0" w:color="auto"/>
        <w:bottom w:val="none" w:sz="0" w:space="0" w:color="auto"/>
        <w:right w:val="none" w:sz="0" w:space="0" w:color="auto"/>
      </w:divBdr>
    </w:div>
    <w:div w:id="885261041">
      <w:bodyDiv w:val="1"/>
      <w:marLeft w:val="0"/>
      <w:marRight w:val="0"/>
      <w:marTop w:val="0"/>
      <w:marBottom w:val="0"/>
      <w:divBdr>
        <w:top w:val="none" w:sz="0" w:space="0" w:color="auto"/>
        <w:left w:val="none" w:sz="0" w:space="0" w:color="auto"/>
        <w:bottom w:val="none" w:sz="0" w:space="0" w:color="auto"/>
        <w:right w:val="none" w:sz="0" w:space="0" w:color="auto"/>
      </w:divBdr>
      <w:divsChild>
        <w:div w:id="1155607359">
          <w:marLeft w:val="547"/>
          <w:marRight w:val="0"/>
          <w:marTop w:val="115"/>
          <w:marBottom w:val="0"/>
          <w:divBdr>
            <w:top w:val="none" w:sz="0" w:space="0" w:color="auto"/>
            <w:left w:val="none" w:sz="0" w:space="0" w:color="auto"/>
            <w:bottom w:val="none" w:sz="0" w:space="0" w:color="auto"/>
            <w:right w:val="none" w:sz="0" w:space="0" w:color="auto"/>
          </w:divBdr>
        </w:div>
        <w:div w:id="1264024356">
          <w:marLeft w:val="547"/>
          <w:marRight w:val="0"/>
          <w:marTop w:val="115"/>
          <w:marBottom w:val="0"/>
          <w:divBdr>
            <w:top w:val="none" w:sz="0" w:space="0" w:color="auto"/>
            <w:left w:val="none" w:sz="0" w:space="0" w:color="auto"/>
            <w:bottom w:val="none" w:sz="0" w:space="0" w:color="auto"/>
            <w:right w:val="none" w:sz="0" w:space="0" w:color="auto"/>
          </w:divBdr>
        </w:div>
        <w:div w:id="1460950231">
          <w:marLeft w:val="547"/>
          <w:marRight w:val="0"/>
          <w:marTop w:val="115"/>
          <w:marBottom w:val="0"/>
          <w:divBdr>
            <w:top w:val="none" w:sz="0" w:space="0" w:color="auto"/>
            <w:left w:val="none" w:sz="0" w:space="0" w:color="auto"/>
            <w:bottom w:val="none" w:sz="0" w:space="0" w:color="auto"/>
            <w:right w:val="none" w:sz="0" w:space="0" w:color="auto"/>
          </w:divBdr>
        </w:div>
      </w:divsChild>
    </w:div>
    <w:div w:id="886264175">
      <w:bodyDiv w:val="1"/>
      <w:marLeft w:val="0"/>
      <w:marRight w:val="0"/>
      <w:marTop w:val="0"/>
      <w:marBottom w:val="0"/>
      <w:divBdr>
        <w:top w:val="none" w:sz="0" w:space="0" w:color="auto"/>
        <w:left w:val="none" w:sz="0" w:space="0" w:color="auto"/>
        <w:bottom w:val="none" w:sz="0" w:space="0" w:color="auto"/>
        <w:right w:val="none" w:sz="0" w:space="0" w:color="auto"/>
      </w:divBdr>
    </w:div>
    <w:div w:id="899366089">
      <w:bodyDiv w:val="1"/>
      <w:marLeft w:val="0"/>
      <w:marRight w:val="0"/>
      <w:marTop w:val="0"/>
      <w:marBottom w:val="0"/>
      <w:divBdr>
        <w:top w:val="none" w:sz="0" w:space="0" w:color="auto"/>
        <w:left w:val="none" w:sz="0" w:space="0" w:color="auto"/>
        <w:bottom w:val="none" w:sz="0" w:space="0" w:color="auto"/>
        <w:right w:val="none" w:sz="0" w:space="0" w:color="auto"/>
      </w:divBdr>
      <w:divsChild>
        <w:div w:id="495153582">
          <w:marLeft w:val="547"/>
          <w:marRight w:val="0"/>
          <w:marTop w:val="154"/>
          <w:marBottom w:val="0"/>
          <w:divBdr>
            <w:top w:val="none" w:sz="0" w:space="0" w:color="auto"/>
            <w:left w:val="none" w:sz="0" w:space="0" w:color="auto"/>
            <w:bottom w:val="none" w:sz="0" w:space="0" w:color="auto"/>
            <w:right w:val="none" w:sz="0" w:space="0" w:color="auto"/>
          </w:divBdr>
        </w:div>
        <w:div w:id="1127049815">
          <w:marLeft w:val="547"/>
          <w:marRight w:val="0"/>
          <w:marTop w:val="154"/>
          <w:marBottom w:val="0"/>
          <w:divBdr>
            <w:top w:val="none" w:sz="0" w:space="0" w:color="auto"/>
            <w:left w:val="none" w:sz="0" w:space="0" w:color="auto"/>
            <w:bottom w:val="none" w:sz="0" w:space="0" w:color="auto"/>
            <w:right w:val="none" w:sz="0" w:space="0" w:color="auto"/>
          </w:divBdr>
        </w:div>
      </w:divsChild>
    </w:div>
    <w:div w:id="927689371">
      <w:bodyDiv w:val="1"/>
      <w:marLeft w:val="0"/>
      <w:marRight w:val="0"/>
      <w:marTop w:val="0"/>
      <w:marBottom w:val="0"/>
      <w:divBdr>
        <w:top w:val="none" w:sz="0" w:space="0" w:color="auto"/>
        <w:left w:val="none" w:sz="0" w:space="0" w:color="auto"/>
        <w:bottom w:val="none" w:sz="0" w:space="0" w:color="auto"/>
        <w:right w:val="none" w:sz="0" w:space="0" w:color="auto"/>
      </w:divBdr>
    </w:div>
    <w:div w:id="928349617">
      <w:bodyDiv w:val="1"/>
      <w:marLeft w:val="0"/>
      <w:marRight w:val="0"/>
      <w:marTop w:val="0"/>
      <w:marBottom w:val="0"/>
      <w:divBdr>
        <w:top w:val="none" w:sz="0" w:space="0" w:color="auto"/>
        <w:left w:val="none" w:sz="0" w:space="0" w:color="auto"/>
        <w:bottom w:val="none" w:sz="0" w:space="0" w:color="auto"/>
        <w:right w:val="none" w:sz="0" w:space="0" w:color="auto"/>
      </w:divBdr>
      <w:divsChild>
        <w:div w:id="1319187074">
          <w:marLeft w:val="547"/>
          <w:marRight w:val="0"/>
          <w:marTop w:val="154"/>
          <w:marBottom w:val="0"/>
          <w:divBdr>
            <w:top w:val="none" w:sz="0" w:space="0" w:color="auto"/>
            <w:left w:val="none" w:sz="0" w:space="0" w:color="auto"/>
            <w:bottom w:val="none" w:sz="0" w:space="0" w:color="auto"/>
            <w:right w:val="none" w:sz="0" w:space="0" w:color="auto"/>
          </w:divBdr>
        </w:div>
      </w:divsChild>
    </w:div>
    <w:div w:id="939871459">
      <w:bodyDiv w:val="1"/>
      <w:marLeft w:val="0"/>
      <w:marRight w:val="0"/>
      <w:marTop w:val="0"/>
      <w:marBottom w:val="0"/>
      <w:divBdr>
        <w:top w:val="none" w:sz="0" w:space="0" w:color="auto"/>
        <w:left w:val="none" w:sz="0" w:space="0" w:color="auto"/>
        <w:bottom w:val="none" w:sz="0" w:space="0" w:color="auto"/>
        <w:right w:val="none" w:sz="0" w:space="0" w:color="auto"/>
      </w:divBdr>
      <w:divsChild>
        <w:div w:id="339938700">
          <w:marLeft w:val="547"/>
          <w:marRight w:val="0"/>
          <w:marTop w:val="154"/>
          <w:marBottom w:val="0"/>
          <w:divBdr>
            <w:top w:val="none" w:sz="0" w:space="0" w:color="auto"/>
            <w:left w:val="none" w:sz="0" w:space="0" w:color="auto"/>
            <w:bottom w:val="none" w:sz="0" w:space="0" w:color="auto"/>
            <w:right w:val="none" w:sz="0" w:space="0" w:color="auto"/>
          </w:divBdr>
        </w:div>
        <w:div w:id="946277181">
          <w:marLeft w:val="547"/>
          <w:marRight w:val="0"/>
          <w:marTop w:val="154"/>
          <w:marBottom w:val="0"/>
          <w:divBdr>
            <w:top w:val="none" w:sz="0" w:space="0" w:color="auto"/>
            <w:left w:val="none" w:sz="0" w:space="0" w:color="auto"/>
            <w:bottom w:val="none" w:sz="0" w:space="0" w:color="auto"/>
            <w:right w:val="none" w:sz="0" w:space="0" w:color="auto"/>
          </w:divBdr>
        </w:div>
        <w:div w:id="1214852523">
          <w:marLeft w:val="547"/>
          <w:marRight w:val="0"/>
          <w:marTop w:val="154"/>
          <w:marBottom w:val="0"/>
          <w:divBdr>
            <w:top w:val="none" w:sz="0" w:space="0" w:color="auto"/>
            <w:left w:val="none" w:sz="0" w:space="0" w:color="auto"/>
            <w:bottom w:val="none" w:sz="0" w:space="0" w:color="auto"/>
            <w:right w:val="none" w:sz="0" w:space="0" w:color="auto"/>
          </w:divBdr>
        </w:div>
        <w:div w:id="1521040613">
          <w:marLeft w:val="547"/>
          <w:marRight w:val="0"/>
          <w:marTop w:val="154"/>
          <w:marBottom w:val="0"/>
          <w:divBdr>
            <w:top w:val="none" w:sz="0" w:space="0" w:color="auto"/>
            <w:left w:val="none" w:sz="0" w:space="0" w:color="auto"/>
            <w:bottom w:val="none" w:sz="0" w:space="0" w:color="auto"/>
            <w:right w:val="none" w:sz="0" w:space="0" w:color="auto"/>
          </w:divBdr>
        </w:div>
      </w:divsChild>
    </w:div>
    <w:div w:id="1030228716">
      <w:bodyDiv w:val="1"/>
      <w:marLeft w:val="0"/>
      <w:marRight w:val="0"/>
      <w:marTop w:val="0"/>
      <w:marBottom w:val="0"/>
      <w:divBdr>
        <w:top w:val="none" w:sz="0" w:space="0" w:color="auto"/>
        <w:left w:val="none" w:sz="0" w:space="0" w:color="auto"/>
        <w:bottom w:val="none" w:sz="0" w:space="0" w:color="auto"/>
        <w:right w:val="none" w:sz="0" w:space="0" w:color="auto"/>
      </w:divBdr>
    </w:div>
    <w:div w:id="1091194803">
      <w:bodyDiv w:val="1"/>
      <w:marLeft w:val="0"/>
      <w:marRight w:val="0"/>
      <w:marTop w:val="0"/>
      <w:marBottom w:val="0"/>
      <w:divBdr>
        <w:top w:val="none" w:sz="0" w:space="0" w:color="auto"/>
        <w:left w:val="none" w:sz="0" w:space="0" w:color="auto"/>
        <w:bottom w:val="none" w:sz="0" w:space="0" w:color="auto"/>
        <w:right w:val="none" w:sz="0" w:space="0" w:color="auto"/>
      </w:divBdr>
    </w:div>
    <w:div w:id="1092774661">
      <w:bodyDiv w:val="1"/>
      <w:marLeft w:val="0"/>
      <w:marRight w:val="0"/>
      <w:marTop w:val="0"/>
      <w:marBottom w:val="0"/>
      <w:divBdr>
        <w:top w:val="none" w:sz="0" w:space="0" w:color="auto"/>
        <w:left w:val="none" w:sz="0" w:space="0" w:color="auto"/>
        <w:bottom w:val="none" w:sz="0" w:space="0" w:color="auto"/>
        <w:right w:val="none" w:sz="0" w:space="0" w:color="auto"/>
      </w:divBdr>
      <w:divsChild>
        <w:div w:id="1513182302">
          <w:marLeft w:val="547"/>
          <w:marRight w:val="0"/>
          <w:marTop w:val="154"/>
          <w:marBottom w:val="0"/>
          <w:divBdr>
            <w:top w:val="none" w:sz="0" w:space="0" w:color="auto"/>
            <w:left w:val="none" w:sz="0" w:space="0" w:color="auto"/>
            <w:bottom w:val="none" w:sz="0" w:space="0" w:color="auto"/>
            <w:right w:val="none" w:sz="0" w:space="0" w:color="auto"/>
          </w:divBdr>
        </w:div>
      </w:divsChild>
    </w:div>
    <w:div w:id="1104304696">
      <w:bodyDiv w:val="1"/>
      <w:marLeft w:val="0"/>
      <w:marRight w:val="0"/>
      <w:marTop w:val="0"/>
      <w:marBottom w:val="0"/>
      <w:divBdr>
        <w:top w:val="none" w:sz="0" w:space="0" w:color="auto"/>
        <w:left w:val="none" w:sz="0" w:space="0" w:color="auto"/>
        <w:bottom w:val="none" w:sz="0" w:space="0" w:color="auto"/>
        <w:right w:val="none" w:sz="0" w:space="0" w:color="auto"/>
      </w:divBdr>
      <w:divsChild>
        <w:div w:id="22681712">
          <w:marLeft w:val="1800"/>
          <w:marRight w:val="0"/>
          <w:marTop w:val="134"/>
          <w:marBottom w:val="0"/>
          <w:divBdr>
            <w:top w:val="none" w:sz="0" w:space="0" w:color="auto"/>
            <w:left w:val="none" w:sz="0" w:space="0" w:color="auto"/>
            <w:bottom w:val="none" w:sz="0" w:space="0" w:color="auto"/>
            <w:right w:val="none" w:sz="0" w:space="0" w:color="auto"/>
          </w:divBdr>
        </w:div>
        <w:div w:id="283777783">
          <w:marLeft w:val="1800"/>
          <w:marRight w:val="0"/>
          <w:marTop w:val="134"/>
          <w:marBottom w:val="0"/>
          <w:divBdr>
            <w:top w:val="none" w:sz="0" w:space="0" w:color="auto"/>
            <w:left w:val="none" w:sz="0" w:space="0" w:color="auto"/>
            <w:bottom w:val="none" w:sz="0" w:space="0" w:color="auto"/>
            <w:right w:val="none" w:sz="0" w:space="0" w:color="auto"/>
          </w:divBdr>
        </w:div>
        <w:div w:id="1946569812">
          <w:marLeft w:val="1800"/>
          <w:marRight w:val="0"/>
          <w:marTop w:val="134"/>
          <w:marBottom w:val="0"/>
          <w:divBdr>
            <w:top w:val="none" w:sz="0" w:space="0" w:color="auto"/>
            <w:left w:val="none" w:sz="0" w:space="0" w:color="auto"/>
            <w:bottom w:val="none" w:sz="0" w:space="0" w:color="auto"/>
            <w:right w:val="none" w:sz="0" w:space="0" w:color="auto"/>
          </w:divBdr>
        </w:div>
      </w:divsChild>
    </w:div>
    <w:div w:id="1119644372">
      <w:bodyDiv w:val="1"/>
      <w:marLeft w:val="0"/>
      <w:marRight w:val="0"/>
      <w:marTop w:val="0"/>
      <w:marBottom w:val="0"/>
      <w:divBdr>
        <w:top w:val="none" w:sz="0" w:space="0" w:color="auto"/>
        <w:left w:val="none" w:sz="0" w:space="0" w:color="auto"/>
        <w:bottom w:val="none" w:sz="0" w:space="0" w:color="auto"/>
        <w:right w:val="none" w:sz="0" w:space="0" w:color="auto"/>
      </w:divBdr>
      <w:divsChild>
        <w:div w:id="607346743">
          <w:marLeft w:val="547"/>
          <w:marRight w:val="0"/>
          <w:marTop w:val="115"/>
          <w:marBottom w:val="0"/>
          <w:divBdr>
            <w:top w:val="none" w:sz="0" w:space="0" w:color="auto"/>
            <w:left w:val="none" w:sz="0" w:space="0" w:color="auto"/>
            <w:bottom w:val="none" w:sz="0" w:space="0" w:color="auto"/>
            <w:right w:val="none" w:sz="0" w:space="0" w:color="auto"/>
          </w:divBdr>
        </w:div>
      </w:divsChild>
    </w:div>
    <w:div w:id="1119646466">
      <w:bodyDiv w:val="1"/>
      <w:marLeft w:val="0"/>
      <w:marRight w:val="0"/>
      <w:marTop w:val="0"/>
      <w:marBottom w:val="0"/>
      <w:divBdr>
        <w:top w:val="none" w:sz="0" w:space="0" w:color="auto"/>
        <w:left w:val="none" w:sz="0" w:space="0" w:color="auto"/>
        <w:bottom w:val="none" w:sz="0" w:space="0" w:color="auto"/>
        <w:right w:val="none" w:sz="0" w:space="0" w:color="auto"/>
      </w:divBdr>
      <w:divsChild>
        <w:div w:id="868110017">
          <w:marLeft w:val="547"/>
          <w:marRight w:val="0"/>
          <w:marTop w:val="134"/>
          <w:marBottom w:val="0"/>
          <w:divBdr>
            <w:top w:val="none" w:sz="0" w:space="0" w:color="auto"/>
            <w:left w:val="none" w:sz="0" w:space="0" w:color="auto"/>
            <w:bottom w:val="none" w:sz="0" w:space="0" w:color="auto"/>
            <w:right w:val="none" w:sz="0" w:space="0" w:color="auto"/>
          </w:divBdr>
        </w:div>
        <w:div w:id="1045562718">
          <w:marLeft w:val="547"/>
          <w:marRight w:val="0"/>
          <w:marTop w:val="134"/>
          <w:marBottom w:val="0"/>
          <w:divBdr>
            <w:top w:val="none" w:sz="0" w:space="0" w:color="auto"/>
            <w:left w:val="none" w:sz="0" w:space="0" w:color="auto"/>
            <w:bottom w:val="none" w:sz="0" w:space="0" w:color="auto"/>
            <w:right w:val="none" w:sz="0" w:space="0" w:color="auto"/>
          </w:divBdr>
        </w:div>
        <w:div w:id="1109740668">
          <w:marLeft w:val="547"/>
          <w:marRight w:val="0"/>
          <w:marTop w:val="134"/>
          <w:marBottom w:val="0"/>
          <w:divBdr>
            <w:top w:val="none" w:sz="0" w:space="0" w:color="auto"/>
            <w:left w:val="none" w:sz="0" w:space="0" w:color="auto"/>
            <w:bottom w:val="none" w:sz="0" w:space="0" w:color="auto"/>
            <w:right w:val="none" w:sz="0" w:space="0" w:color="auto"/>
          </w:divBdr>
        </w:div>
        <w:div w:id="1453134958">
          <w:marLeft w:val="547"/>
          <w:marRight w:val="0"/>
          <w:marTop w:val="134"/>
          <w:marBottom w:val="0"/>
          <w:divBdr>
            <w:top w:val="none" w:sz="0" w:space="0" w:color="auto"/>
            <w:left w:val="none" w:sz="0" w:space="0" w:color="auto"/>
            <w:bottom w:val="none" w:sz="0" w:space="0" w:color="auto"/>
            <w:right w:val="none" w:sz="0" w:space="0" w:color="auto"/>
          </w:divBdr>
        </w:div>
        <w:div w:id="1608384850">
          <w:marLeft w:val="547"/>
          <w:marRight w:val="0"/>
          <w:marTop w:val="134"/>
          <w:marBottom w:val="0"/>
          <w:divBdr>
            <w:top w:val="none" w:sz="0" w:space="0" w:color="auto"/>
            <w:left w:val="none" w:sz="0" w:space="0" w:color="auto"/>
            <w:bottom w:val="none" w:sz="0" w:space="0" w:color="auto"/>
            <w:right w:val="none" w:sz="0" w:space="0" w:color="auto"/>
          </w:divBdr>
        </w:div>
      </w:divsChild>
    </w:div>
    <w:div w:id="1154682882">
      <w:bodyDiv w:val="1"/>
      <w:marLeft w:val="0"/>
      <w:marRight w:val="0"/>
      <w:marTop w:val="0"/>
      <w:marBottom w:val="0"/>
      <w:divBdr>
        <w:top w:val="none" w:sz="0" w:space="0" w:color="auto"/>
        <w:left w:val="none" w:sz="0" w:space="0" w:color="auto"/>
        <w:bottom w:val="none" w:sz="0" w:space="0" w:color="auto"/>
        <w:right w:val="none" w:sz="0" w:space="0" w:color="auto"/>
      </w:divBdr>
    </w:div>
    <w:div w:id="1183741153">
      <w:bodyDiv w:val="1"/>
      <w:marLeft w:val="0"/>
      <w:marRight w:val="0"/>
      <w:marTop w:val="0"/>
      <w:marBottom w:val="0"/>
      <w:divBdr>
        <w:top w:val="none" w:sz="0" w:space="0" w:color="auto"/>
        <w:left w:val="none" w:sz="0" w:space="0" w:color="auto"/>
        <w:bottom w:val="none" w:sz="0" w:space="0" w:color="auto"/>
        <w:right w:val="none" w:sz="0" w:space="0" w:color="auto"/>
      </w:divBdr>
    </w:div>
    <w:div w:id="1203440911">
      <w:bodyDiv w:val="1"/>
      <w:marLeft w:val="0"/>
      <w:marRight w:val="0"/>
      <w:marTop w:val="0"/>
      <w:marBottom w:val="0"/>
      <w:divBdr>
        <w:top w:val="none" w:sz="0" w:space="0" w:color="auto"/>
        <w:left w:val="none" w:sz="0" w:space="0" w:color="auto"/>
        <w:bottom w:val="none" w:sz="0" w:space="0" w:color="auto"/>
        <w:right w:val="none" w:sz="0" w:space="0" w:color="auto"/>
      </w:divBdr>
      <w:divsChild>
        <w:div w:id="551230358">
          <w:marLeft w:val="547"/>
          <w:marRight w:val="0"/>
          <w:marTop w:val="134"/>
          <w:marBottom w:val="0"/>
          <w:divBdr>
            <w:top w:val="none" w:sz="0" w:space="0" w:color="auto"/>
            <w:left w:val="none" w:sz="0" w:space="0" w:color="auto"/>
            <w:bottom w:val="none" w:sz="0" w:space="0" w:color="auto"/>
            <w:right w:val="none" w:sz="0" w:space="0" w:color="auto"/>
          </w:divBdr>
        </w:div>
        <w:div w:id="1285038248">
          <w:marLeft w:val="547"/>
          <w:marRight w:val="0"/>
          <w:marTop w:val="134"/>
          <w:marBottom w:val="0"/>
          <w:divBdr>
            <w:top w:val="none" w:sz="0" w:space="0" w:color="auto"/>
            <w:left w:val="none" w:sz="0" w:space="0" w:color="auto"/>
            <w:bottom w:val="none" w:sz="0" w:space="0" w:color="auto"/>
            <w:right w:val="none" w:sz="0" w:space="0" w:color="auto"/>
          </w:divBdr>
        </w:div>
        <w:div w:id="1665821252">
          <w:marLeft w:val="547"/>
          <w:marRight w:val="0"/>
          <w:marTop w:val="134"/>
          <w:marBottom w:val="0"/>
          <w:divBdr>
            <w:top w:val="none" w:sz="0" w:space="0" w:color="auto"/>
            <w:left w:val="none" w:sz="0" w:space="0" w:color="auto"/>
            <w:bottom w:val="none" w:sz="0" w:space="0" w:color="auto"/>
            <w:right w:val="none" w:sz="0" w:space="0" w:color="auto"/>
          </w:divBdr>
        </w:div>
        <w:div w:id="1740057577">
          <w:marLeft w:val="547"/>
          <w:marRight w:val="0"/>
          <w:marTop w:val="134"/>
          <w:marBottom w:val="0"/>
          <w:divBdr>
            <w:top w:val="none" w:sz="0" w:space="0" w:color="auto"/>
            <w:left w:val="none" w:sz="0" w:space="0" w:color="auto"/>
            <w:bottom w:val="none" w:sz="0" w:space="0" w:color="auto"/>
            <w:right w:val="none" w:sz="0" w:space="0" w:color="auto"/>
          </w:divBdr>
        </w:div>
      </w:divsChild>
    </w:div>
    <w:div w:id="1213347110">
      <w:bodyDiv w:val="1"/>
      <w:marLeft w:val="0"/>
      <w:marRight w:val="0"/>
      <w:marTop w:val="0"/>
      <w:marBottom w:val="0"/>
      <w:divBdr>
        <w:top w:val="none" w:sz="0" w:space="0" w:color="auto"/>
        <w:left w:val="none" w:sz="0" w:space="0" w:color="auto"/>
        <w:bottom w:val="none" w:sz="0" w:space="0" w:color="auto"/>
        <w:right w:val="none" w:sz="0" w:space="0" w:color="auto"/>
      </w:divBdr>
      <w:divsChild>
        <w:div w:id="1696466990">
          <w:marLeft w:val="547"/>
          <w:marRight w:val="0"/>
          <w:marTop w:val="115"/>
          <w:marBottom w:val="0"/>
          <w:divBdr>
            <w:top w:val="none" w:sz="0" w:space="0" w:color="auto"/>
            <w:left w:val="none" w:sz="0" w:space="0" w:color="auto"/>
            <w:bottom w:val="none" w:sz="0" w:space="0" w:color="auto"/>
            <w:right w:val="none" w:sz="0" w:space="0" w:color="auto"/>
          </w:divBdr>
        </w:div>
      </w:divsChild>
    </w:div>
    <w:div w:id="1236819108">
      <w:bodyDiv w:val="1"/>
      <w:marLeft w:val="0"/>
      <w:marRight w:val="0"/>
      <w:marTop w:val="0"/>
      <w:marBottom w:val="0"/>
      <w:divBdr>
        <w:top w:val="none" w:sz="0" w:space="0" w:color="auto"/>
        <w:left w:val="none" w:sz="0" w:space="0" w:color="auto"/>
        <w:bottom w:val="none" w:sz="0" w:space="0" w:color="auto"/>
        <w:right w:val="none" w:sz="0" w:space="0" w:color="auto"/>
      </w:divBdr>
    </w:div>
    <w:div w:id="1260524976">
      <w:bodyDiv w:val="1"/>
      <w:marLeft w:val="0"/>
      <w:marRight w:val="0"/>
      <w:marTop w:val="0"/>
      <w:marBottom w:val="0"/>
      <w:divBdr>
        <w:top w:val="none" w:sz="0" w:space="0" w:color="auto"/>
        <w:left w:val="none" w:sz="0" w:space="0" w:color="auto"/>
        <w:bottom w:val="none" w:sz="0" w:space="0" w:color="auto"/>
        <w:right w:val="none" w:sz="0" w:space="0" w:color="auto"/>
      </w:divBdr>
    </w:div>
    <w:div w:id="1267890192">
      <w:bodyDiv w:val="1"/>
      <w:marLeft w:val="0"/>
      <w:marRight w:val="0"/>
      <w:marTop w:val="0"/>
      <w:marBottom w:val="0"/>
      <w:divBdr>
        <w:top w:val="none" w:sz="0" w:space="0" w:color="auto"/>
        <w:left w:val="none" w:sz="0" w:space="0" w:color="auto"/>
        <w:bottom w:val="none" w:sz="0" w:space="0" w:color="auto"/>
        <w:right w:val="none" w:sz="0" w:space="0" w:color="auto"/>
      </w:divBdr>
    </w:div>
    <w:div w:id="1285817023">
      <w:bodyDiv w:val="1"/>
      <w:marLeft w:val="0"/>
      <w:marRight w:val="0"/>
      <w:marTop w:val="0"/>
      <w:marBottom w:val="0"/>
      <w:divBdr>
        <w:top w:val="none" w:sz="0" w:space="0" w:color="auto"/>
        <w:left w:val="none" w:sz="0" w:space="0" w:color="auto"/>
        <w:bottom w:val="none" w:sz="0" w:space="0" w:color="auto"/>
        <w:right w:val="none" w:sz="0" w:space="0" w:color="auto"/>
      </w:divBdr>
      <w:divsChild>
        <w:div w:id="275453865">
          <w:marLeft w:val="547"/>
          <w:marRight w:val="0"/>
          <w:marTop w:val="154"/>
          <w:marBottom w:val="0"/>
          <w:divBdr>
            <w:top w:val="none" w:sz="0" w:space="0" w:color="auto"/>
            <w:left w:val="none" w:sz="0" w:space="0" w:color="auto"/>
            <w:bottom w:val="none" w:sz="0" w:space="0" w:color="auto"/>
            <w:right w:val="none" w:sz="0" w:space="0" w:color="auto"/>
          </w:divBdr>
        </w:div>
      </w:divsChild>
    </w:div>
    <w:div w:id="1293750704">
      <w:bodyDiv w:val="1"/>
      <w:marLeft w:val="0"/>
      <w:marRight w:val="0"/>
      <w:marTop w:val="0"/>
      <w:marBottom w:val="0"/>
      <w:divBdr>
        <w:top w:val="none" w:sz="0" w:space="0" w:color="auto"/>
        <w:left w:val="none" w:sz="0" w:space="0" w:color="auto"/>
        <w:bottom w:val="none" w:sz="0" w:space="0" w:color="auto"/>
        <w:right w:val="none" w:sz="0" w:space="0" w:color="auto"/>
      </w:divBdr>
    </w:div>
    <w:div w:id="1295480075">
      <w:bodyDiv w:val="1"/>
      <w:marLeft w:val="0"/>
      <w:marRight w:val="0"/>
      <w:marTop w:val="0"/>
      <w:marBottom w:val="0"/>
      <w:divBdr>
        <w:top w:val="none" w:sz="0" w:space="0" w:color="auto"/>
        <w:left w:val="none" w:sz="0" w:space="0" w:color="auto"/>
        <w:bottom w:val="none" w:sz="0" w:space="0" w:color="auto"/>
        <w:right w:val="none" w:sz="0" w:space="0" w:color="auto"/>
      </w:divBdr>
    </w:div>
    <w:div w:id="1327781776">
      <w:bodyDiv w:val="1"/>
      <w:marLeft w:val="0"/>
      <w:marRight w:val="0"/>
      <w:marTop w:val="0"/>
      <w:marBottom w:val="0"/>
      <w:divBdr>
        <w:top w:val="none" w:sz="0" w:space="0" w:color="auto"/>
        <w:left w:val="none" w:sz="0" w:space="0" w:color="auto"/>
        <w:bottom w:val="none" w:sz="0" w:space="0" w:color="auto"/>
        <w:right w:val="none" w:sz="0" w:space="0" w:color="auto"/>
      </w:divBdr>
    </w:div>
    <w:div w:id="1341934784">
      <w:bodyDiv w:val="1"/>
      <w:marLeft w:val="0"/>
      <w:marRight w:val="0"/>
      <w:marTop w:val="0"/>
      <w:marBottom w:val="0"/>
      <w:divBdr>
        <w:top w:val="none" w:sz="0" w:space="0" w:color="auto"/>
        <w:left w:val="none" w:sz="0" w:space="0" w:color="auto"/>
        <w:bottom w:val="none" w:sz="0" w:space="0" w:color="auto"/>
        <w:right w:val="none" w:sz="0" w:space="0" w:color="auto"/>
      </w:divBdr>
    </w:div>
    <w:div w:id="1395077978">
      <w:bodyDiv w:val="1"/>
      <w:marLeft w:val="0"/>
      <w:marRight w:val="0"/>
      <w:marTop w:val="0"/>
      <w:marBottom w:val="0"/>
      <w:divBdr>
        <w:top w:val="none" w:sz="0" w:space="0" w:color="auto"/>
        <w:left w:val="none" w:sz="0" w:space="0" w:color="auto"/>
        <w:bottom w:val="none" w:sz="0" w:space="0" w:color="auto"/>
        <w:right w:val="none" w:sz="0" w:space="0" w:color="auto"/>
      </w:divBdr>
    </w:div>
    <w:div w:id="1395811669">
      <w:bodyDiv w:val="1"/>
      <w:marLeft w:val="0"/>
      <w:marRight w:val="0"/>
      <w:marTop w:val="0"/>
      <w:marBottom w:val="0"/>
      <w:divBdr>
        <w:top w:val="none" w:sz="0" w:space="0" w:color="auto"/>
        <w:left w:val="none" w:sz="0" w:space="0" w:color="auto"/>
        <w:bottom w:val="none" w:sz="0" w:space="0" w:color="auto"/>
        <w:right w:val="none" w:sz="0" w:space="0" w:color="auto"/>
      </w:divBdr>
    </w:div>
    <w:div w:id="1404453189">
      <w:bodyDiv w:val="1"/>
      <w:marLeft w:val="0"/>
      <w:marRight w:val="0"/>
      <w:marTop w:val="0"/>
      <w:marBottom w:val="0"/>
      <w:divBdr>
        <w:top w:val="none" w:sz="0" w:space="0" w:color="auto"/>
        <w:left w:val="none" w:sz="0" w:space="0" w:color="auto"/>
        <w:bottom w:val="none" w:sz="0" w:space="0" w:color="auto"/>
        <w:right w:val="none" w:sz="0" w:space="0" w:color="auto"/>
      </w:divBdr>
    </w:div>
    <w:div w:id="1408109138">
      <w:bodyDiv w:val="1"/>
      <w:marLeft w:val="0"/>
      <w:marRight w:val="0"/>
      <w:marTop w:val="0"/>
      <w:marBottom w:val="0"/>
      <w:divBdr>
        <w:top w:val="none" w:sz="0" w:space="0" w:color="auto"/>
        <w:left w:val="none" w:sz="0" w:space="0" w:color="auto"/>
        <w:bottom w:val="none" w:sz="0" w:space="0" w:color="auto"/>
        <w:right w:val="none" w:sz="0" w:space="0" w:color="auto"/>
      </w:divBdr>
    </w:div>
    <w:div w:id="1420909391">
      <w:bodyDiv w:val="1"/>
      <w:marLeft w:val="0"/>
      <w:marRight w:val="0"/>
      <w:marTop w:val="0"/>
      <w:marBottom w:val="0"/>
      <w:divBdr>
        <w:top w:val="none" w:sz="0" w:space="0" w:color="auto"/>
        <w:left w:val="none" w:sz="0" w:space="0" w:color="auto"/>
        <w:bottom w:val="none" w:sz="0" w:space="0" w:color="auto"/>
        <w:right w:val="none" w:sz="0" w:space="0" w:color="auto"/>
      </w:divBdr>
    </w:div>
    <w:div w:id="1426995198">
      <w:bodyDiv w:val="1"/>
      <w:marLeft w:val="0"/>
      <w:marRight w:val="0"/>
      <w:marTop w:val="0"/>
      <w:marBottom w:val="0"/>
      <w:divBdr>
        <w:top w:val="none" w:sz="0" w:space="0" w:color="auto"/>
        <w:left w:val="none" w:sz="0" w:space="0" w:color="auto"/>
        <w:bottom w:val="none" w:sz="0" w:space="0" w:color="auto"/>
        <w:right w:val="none" w:sz="0" w:space="0" w:color="auto"/>
      </w:divBdr>
      <w:divsChild>
        <w:div w:id="204097156">
          <w:marLeft w:val="547"/>
          <w:marRight w:val="0"/>
          <w:marTop w:val="134"/>
          <w:marBottom w:val="0"/>
          <w:divBdr>
            <w:top w:val="none" w:sz="0" w:space="0" w:color="auto"/>
            <w:left w:val="none" w:sz="0" w:space="0" w:color="auto"/>
            <w:bottom w:val="none" w:sz="0" w:space="0" w:color="auto"/>
            <w:right w:val="none" w:sz="0" w:space="0" w:color="auto"/>
          </w:divBdr>
        </w:div>
      </w:divsChild>
    </w:div>
    <w:div w:id="1447694278">
      <w:bodyDiv w:val="1"/>
      <w:marLeft w:val="0"/>
      <w:marRight w:val="0"/>
      <w:marTop w:val="0"/>
      <w:marBottom w:val="0"/>
      <w:divBdr>
        <w:top w:val="none" w:sz="0" w:space="0" w:color="auto"/>
        <w:left w:val="none" w:sz="0" w:space="0" w:color="auto"/>
        <w:bottom w:val="none" w:sz="0" w:space="0" w:color="auto"/>
        <w:right w:val="none" w:sz="0" w:space="0" w:color="auto"/>
      </w:divBdr>
      <w:divsChild>
        <w:div w:id="1753701338">
          <w:marLeft w:val="547"/>
          <w:marRight w:val="0"/>
          <w:marTop w:val="154"/>
          <w:marBottom w:val="0"/>
          <w:divBdr>
            <w:top w:val="none" w:sz="0" w:space="0" w:color="auto"/>
            <w:left w:val="none" w:sz="0" w:space="0" w:color="auto"/>
            <w:bottom w:val="none" w:sz="0" w:space="0" w:color="auto"/>
            <w:right w:val="none" w:sz="0" w:space="0" w:color="auto"/>
          </w:divBdr>
        </w:div>
      </w:divsChild>
    </w:div>
    <w:div w:id="1468010254">
      <w:bodyDiv w:val="1"/>
      <w:marLeft w:val="0"/>
      <w:marRight w:val="0"/>
      <w:marTop w:val="0"/>
      <w:marBottom w:val="0"/>
      <w:divBdr>
        <w:top w:val="none" w:sz="0" w:space="0" w:color="auto"/>
        <w:left w:val="none" w:sz="0" w:space="0" w:color="auto"/>
        <w:bottom w:val="none" w:sz="0" w:space="0" w:color="auto"/>
        <w:right w:val="none" w:sz="0" w:space="0" w:color="auto"/>
      </w:divBdr>
      <w:divsChild>
        <w:div w:id="959144682">
          <w:marLeft w:val="547"/>
          <w:marRight w:val="0"/>
          <w:marTop w:val="154"/>
          <w:marBottom w:val="0"/>
          <w:divBdr>
            <w:top w:val="none" w:sz="0" w:space="0" w:color="auto"/>
            <w:left w:val="none" w:sz="0" w:space="0" w:color="auto"/>
            <w:bottom w:val="none" w:sz="0" w:space="0" w:color="auto"/>
            <w:right w:val="none" w:sz="0" w:space="0" w:color="auto"/>
          </w:divBdr>
        </w:div>
      </w:divsChild>
    </w:div>
    <w:div w:id="1481573673">
      <w:bodyDiv w:val="1"/>
      <w:marLeft w:val="0"/>
      <w:marRight w:val="0"/>
      <w:marTop w:val="0"/>
      <w:marBottom w:val="0"/>
      <w:divBdr>
        <w:top w:val="none" w:sz="0" w:space="0" w:color="auto"/>
        <w:left w:val="none" w:sz="0" w:space="0" w:color="auto"/>
        <w:bottom w:val="none" w:sz="0" w:space="0" w:color="auto"/>
        <w:right w:val="none" w:sz="0" w:space="0" w:color="auto"/>
      </w:divBdr>
    </w:div>
    <w:div w:id="1494907208">
      <w:bodyDiv w:val="1"/>
      <w:marLeft w:val="0"/>
      <w:marRight w:val="0"/>
      <w:marTop w:val="0"/>
      <w:marBottom w:val="0"/>
      <w:divBdr>
        <w:top w:val="none" w:sz="0" w:space="0" w:color="auto"/>
        <w:left w:val="none" w:sz="0" w:space="0" w:color="auto"/>
        <w:bottom w:val="none" w:sz="0" w:space="0" w:color="auto"/>
        <w:right w:val="none" w:sz="0" w:space="0" w:color="auto"/>
      </w:divBdr>
    </w:div>
    <w:div w:id="1525246839">
      <w:bodyDiv w:val="1"/>
      <w:marLeft w:val="0"/>
      <w:marRight w:val="0"/>
      <w:marTop w:val="0"/>
      <w:marBottom w:val="0"/>
      <w:divBdr>
        <w:top w:val="none" w:sz="0" w:space="0" w:color="auto"/>
        <w:left w:val="none" w:sz="0" w:space="0" w:color="auto"/>
        <w:bottom w:val="none" w:sz="0" w:space="0" w:color="auto"/>
        <w:right w:val="none" w:sz="0" w:space="0" w:color="auto"/>
      </w:divBdr>
      <w:divsChild>
        <w:div w:id="1901748587">
          <w:marLeft w:val="547"/>
          <w:marRight w:val="0"/>
          <w:marTop w:val="154"/>
          <w:marBottom w:val="0"/>
          <w:divBdr>
            <w:top w:val="none" w:sz="0" w:space="0" w:color="auto"/>
            <w:left w:val="none" w:sz="0" w:space="0" w:color="auto"/>
            <w:bottom w:val="none" w:sz="0" w:space="0" w:color="auto"/>
            <w:right w:val="none" w:sz="0" w:space="0" w:color="auto"/>
          </w:divBdr>
        </w:div>
      </w:divsChild>
    </w:div>
    <w:div w:id="1525249342">
      <w:bodyDiv w:val="1"/>
      <w:marLeft w:val="0"/>
      <w:marRight w:val="0"/>
      <w:marTop w:val="0"/>
      <w:marBottom w:val="0"/>
      <w:divBdr>
        <w:top w:val="none" w:sz="0" w:space="0" w:color="auto"/>
        <w:left w:val="none" w:sz="0" w:space="0" w:color="auto"/>
        <w:bottom w:val="none" w:sz="0" w:space="0" w:color="auto"/>
        <w:right w:val="none" w:sz="0" w:space="0" w:color="auto"/>
      </w:divBdr>
    </w:div>
    <w:div w:id="1526866734">
      <w:bodyDiv w:val="1"/>
      <w:marLeft w:val="0"/>
      <w:marRight w:val="0"/>
      <w:marTop w:val="0"/>
      <w:marBottom w:val="0"/>
      <w:divBdr>
        <w:top w:val="none" w:sz="0" w:space="0" w:color="auto"/>
        <w:left w:val="none" w:sz="0" w:space="0" w:color="auto"/>
        <w:bottom w:val="none" w:sz="0" w:space="0" w:color="auto"/>
        <w:right w:val="none" w:sz="0" w:space="0" w:color="auto"/>
      </w:divBdr>
    </w:div>
    <w:div w:id="1546791099">
      <w:bodyDiv w:val="1"/>
      <w:marLeft w:val="0"/>
      <w:marRight w:val="0"/>
      <w:marTop w:val="0"/>
      <w:marBottom w:val="0"/>
      <w:divBdr>
        <w:top w:val="none" w:sz="0" w:space="0" w:color="auto"/>
        <w:left w:val="none" w:sz="0" w:space="0" w:color="auto"/>
        <w:bottom w:val="none" w:sz="0" w:space="0" w:color="auto"/>
        <w:right w:val="none" w:sz="0" w:space="0" w:color="auto"/>
      </w:divBdr>
      <w:divsChild>
        <w:div w:id="460660961">
          <w:marLeft w:val="547"/>
          <w:marRight w:val="0"/>
          <w:marTop w:val="134"/>
          <w:marBottom w:val="0"/>
          <w:divBdr>
            <w:top w:val="none" w:sz="0" w:space="0" w:color="auto"/>
            <w:left w:val="none" w:sz="0" w:space="0" w:color="auto"/>
            <w:bottom w:val="none" w:sz="0" w:space="0" w:color="auto"/>
            <w:right w:val="none" w:sz="0" w:space="0" w:color="auto"/>
          </w:divBdr>
        </w:div>
        <w:div w:id="1501114595">
          <w:marLeft w:val="547"/>
          <w:marRight w:val="0"/>
          <w:marTop w:val="134"/>
          <w:marBottom w:val="0"/>
          <w:divBdr>
            <w:top w:val="none" w:sz="0" w:space="0" w:color="auto"/>
            <w:left w:val="none" w:sz="0" w:space="0" w:color="auto"/>
            <w:bottom w:val="none" w:sz="0" w:space="0" w:color="auto"/>
            <w:right w:val="none" w:sz="0" w:space="0" w:color="auto"/>
          </w:divBdr>
        </w:div>
      </w:divsChild>
    </w:div>
    <w:div w:id="1547984061">
      <w:bodyDiv w:val="1"/>
      <w:marLeft w:val="0"/>
      <w:marRight w:val="0"/>
      <w:marTop w:val="0"/>
      <w:marBottom w:val="0"/>
      <w:divBdr>
        <w:top w:val="none" w:sz="0" w:space="0" w:color="auto"/>
        <w:left w:val="none" w:sz="0" w:space="0" w:color="auto"/>
        <w:bottom w:val="none" w:sz="0" w:space="0" w:color="auto"/>
        <w:right w:val="none" w:sz="0" w:space="0" w:color="auto"/>
      </w:divBdr>
      <w:divsChild>
        <w:div w:id="336618337">
          <w:marLeft w:val="547"/>
          <w:marRight w:val="0"/>
          <w:marTop w:val="154"/>
          <w:marBottom w:val="0"/>
          <w:divBdr>
            <w:top w:val="none" w:sz="0" w:space="0" w:color="auto"/>
            <w:left w:val="none" w:sz="0" w:space="0" w:color="auto"/>
            <w:bottom w:val="none" w:sz="0" w:space="0" w:color="auto"/>
            <w:right w:val="none" w:sz="0" w:space="0" w:color="auto"/>
          </w:divBdr>
        </w:div>
        <w:div w:id="767430870">
          <w:marLeft w:val="547"/>
          <w:marRight w:val="0"/>
          <w:marTop w:val="154"/>
          <w:marBottom w:val="0"/>
          <w:divBdr>
            <w:top w:val="none" w:sz="0" w:space="0" w:color="auto"/>
            <w:left w:val="none" w:sz="0" w:space="0" w:color="auto"/>
            <w:bottom w:val="none" w:sz="0" w:space="0" w:color="auto"/>
            <w:right w:val="none" w:sz="0" w:space="0" w:color="auto"/>
          </w:divBdr>
        </w:div>
        <w:div w:id="1913588414">
          <w:marLeft w:val="547"/>
          <w:marRight w:val="0"/>
          <w:marTop w:val="154"/>
          <w:marBottom w:val="0"/>
          <w:divBdr>
            <w:top w:val="none" w:sz="0" w:space="0" w:color="auto"/>
            <w:left w:val="none" w:sz="0" w:space="0" w:color="auto"/>
            <w:bottom w:val="none" w:sz="0" w:space="0" w:color="auto"/>
            <w:right w:val="none" w:sz="0" w:space="0" w:color="auto"/>
          </w:divBdr>
        </w:div>
      </w:divsChild>
    </w:div>
    <w:div w:id="1558860618">
      <w:bodyDiv w:val="1"/>
      <w:marLeft w:val="0"/>
      <w:marRight w:val="0"/>
      <w:marTop w:val="0"/>
      <w:marBottom w:val="0"/>
      <w:divBdr>
        <w:top w:val="none" w:sz="0" w:space="0" w:color="auto"/>
        <w:left w:val="none" w:sz="0" w:space="0" w:color="auto"/>
        <w:bottom w:val="none" w:sz="0" w:space="0" w:color="auto"/>
        <w:right w:val="none" w:sz="0" w:space="0" w:color="auto"/>
      </w:divBdr>
    </w:div>
    <w:div w:id="1580672194">
      <w:bodyDiv w:val="1"/>
      <w:marLeft w:val="0"/>
      <w:marRight w:val="0"/>
      <w:marTop w:val="0"/>
      <w:marBottom w:val="0"/>
      <w:divBdr>
        <w:top w:val="none" w:sz="0" w:space="0" w:color="auto"/>
        <w:left w:val="none" w:sz="0" w:space="0" w:color="auto"/>
        <w:bottom w:val="none" w:sz="0" w:space="0" w:color="auto"/>
        <w:right w:val="none" w:sz="0" w:space="0" w:color="auto"/>
      </w:divBdr>
      <w:divsChild>
        <w:div w:id="859667418">
          <w:marLeft w:val="547"/>
          <w:marRight w:val="0"/>
          <w:marTop w:val="134"/>
          <w:marBottom w:val="0"/>
          <w:divBdr>
            <w:top w:val="none" w:sz="0" w:space="0" w:color="auto"/>
            <w:left w:val="none" w:sz="0" w:space="0" w:color="auto"/>
            <w:bottom w:val="none" w:sz="0" w:space="0" w:color="auto"/>
            <w:right w:val="none" w:sz="0" w:space="0" w:color="auto"/>
          </w:divBdr>
        </w:div>
        <w:div w:id="1766225987">
          <w:marLeft w:val="547"/>
          <w:marRight w:val="0"/>
          <w:marTop w:val="134"/>
          <w:marBottom w:val="0"/>
          <w:divBdr>
            <w:top w:val="none" w:sz="0" w:space="0" w:color="auto"/>
            <w:left w:val="none" w:sz="0" w:space="0" w:color="auto"/>
            <w:bottom w:val="none" w:sz="0" w:space="0" w:color="auto"/>
            <w:right w:val="none" w:sz="0" w:space="0" w:color="auto"/>
          </w:divBdr>
        </w:div>
        <w:div w:id="1978758619">
          <w:marLeft w:val="547"/>
          <w:marRight w:val="0"/>
          <w:marTop w:val="134"/>
          <w:marBottom w:val="0"/>
          <w:divBdr>
            <w:top w:val="none" w:sz="0" w:space="0" w:color="auto"/>
            <w:left w:val="none" w:sz="0" w:space="0" w:color="auto"/>
            <w:bottom w:val="none" w:sz="0" w:space="0" w:color="auto"/>
            <w:right w:val="none" w:sz="0" w:space="0" w:color="auto"/>
          </w:divBdr>
        </w:div>
        <w:div w:id="2094547441">
          <w:marLeft w:val="547"/>
          <w:marRight w:val="0"/>
          <w:marTop w:val="134"/>
          <w:marBottom w:val="0"/>
          <w:divBdr>
            <w:top w:val="none" w:sz="0" w:space="0" w:color="auto"/>
            <w:left w:val="none" w:sz="0" w:space="0" w:color="auto"/>
            <w:bottom w:val="none" w:sz="0" w:space="0" w:color="auto"/>
            <w:right w:val="none" w:sz="0" w:space="0" w:color="auto"/>
          </w:divBdr>
        </w:div>
        <w:div w:id="2100323822">
          <w:marLeft w:val="547"/>
          <w:marRight w:val="0"/>
          <w:marTop w:val="134"/>
          <w:marBottom w:val="0"/>
          <w:divBdr>
            <w:top w:val="none" w:sz="0" w:space="0" w:color="auto"/>
            <w:left w:val="none" w:sz="0" w:space="0" w:color="auto"/>
            <w:bottom w:val="none" w:sz="0" w:space="0" w:color="auto"/>
            <w:right w:val="none" w:sz="0" w:space="0" w:color="auto"/>
          </w:divBdr>
        </w:div>
      </w:divsChild>
    </w:div>
    <w:div w:id="1597401031">
      <w:bodyDiv w:val="1"/>
      <w:marLeft w:val="0"/>
      <w:marRight w:val="0"/>
      <w:marTop w:val="0"/>
      <w:marBottom w:val="0"/>
      <w:divBdr>
        <w:top w:val="none" w:sz="0" w:space="0" w:color="auto"/>
        <w:left w:val="none" w:sz="0" w:space="0" w:color="auto"/>
        <w:bottom w:val="none" w:sz="0" w:space="0" w:color="auto"/>
        <w:right w:val="none" w:sz="0" w:space="0" w:color="auto"/>
      </w:divBdr>
      <w:divsChild>
        <w:div w:id="1675374889">
          <w:marLeft w:val="547"/>
          <w:marRight w:val="0"/>
          <w:marTop w:val="154"/>
          <w:marBottom w:val="0"/>
          <w:divBdr>
            <w:top w:val="none" w:sz="0" w:space="0" w:color="auto"/>
            <w:left w:val="none" w:sz="0" w:space="0" w:color="auto"/>
            <w:bottom w:val="none" w:sz="0" w:space="0" w:color="auto"/>
            <w:right w:val="none" w:sz="0" w:space="0" w:color="auto"/>
          </w:divBdr>
        </w:div>
        <w:div w:id="1996105266">
          <w:marLeft w:val="547"/>
          <w:marRight w:val="0"/>
          <w:marTop w:val="154"/>
          <w:marBottom w:val="0"/>
          <w:divBdr>
            <w:top w:val="none" w:sz="0" w:space="0" w:color="auto"/>
            <w:left w:val="none" w:sz="0" w:space="0" w:color="auto"/>
            <w:bottom w:val="none" w:sz="0" w:space="0" w:color="auto"/>
            <w:right w:val="none" w:sz="0" w:space="0" w:color="auto"/>
          </w:divBdr>
        </w:div>
      </w:divsChild>
    </w:div>
    <w:div w:id="1606886232">
      <w:bodyDiv w:val="1"/>
      <w:marLeft w:val="0"/>
      <w:marRight w:val="0"/>
      <w:marTop w:val="0"/>
      <w:marBottom w:val="0"/>
      <w:divBdr>
        <w:top w:val="none" w:sz="0" w:space="0" w:color="auto"/>
        <w:left w:val="none" w:sz="0" w:space="0" w:color="auto"/>
        <w:bottom w:val="none" w:sz="0" w:space="0" w:color="auto"/>
        <w:right w:val="none" w:sz="0" w:space="0" w:color="auto"/>
      </w:divBdr>
    </w:div>
    <w:div w:id="1607695552">
      <w:bodyDiv w:val="1"/>
      <w:marLeft w:val="0"/>
      <w:marRight w:val="0"/>
      <w:marTop w:val="0"/>
      <w:marBottom w:val="0"/>
      <w:divBdr>
        <w:top w:val="none" w:sz="0" w:space="0" w:color="auto"/>
        <w:left w:val="none" w:sz="0" w:space="0" w:color="auto"/>
        <w:bottom w:val="none" w:sz="0" w:space="0" w:color="auto"/>
        <w:right w:val="none" w:sz="0" w:space="0" w:color="auto"/>
      </w:divBdr>
      <w:divsChild>
        <w:div w:id="1177574359">
          <w:marLeft w:val="547"/>
          <w:marRight w:val="0"/>
          <w:marTop w:val="154"/>
          <w:marBottom w:val="0"/>
          <w:divBdr>
            <w:top w:val="none" w:sz="0" w:space="0" w:color="auto"/>
            <w:left w:val="none" w:sz="0" w:space="0" w:color="auto"/>
            <w:bottom w:val="none" w:sz="0" w:space="0" w:color="auto"/>
            <w:right w:val="none" w:sz="0" w:space="0" w:color="auto"/>
          </w:divBdr>
        </w:div>
      </w:divsChild>
    </w:div>
    <w:div w:id="1627854539">
      <w:bodyDiv w:val="1"/>
      <w:marLeft w:val="0"/>
      <w:marRight w:val="0"/>
      <w:marTop w:val="0"/>
      <w:marBottom w:val="0"/>
      <w:divBdr>
        <w:top w:val="none" w:sz="0" w:space="0" w:color="auto"/>
        <w:left w:val="none" w:sz="0" w:space="0" w:color="auto"/>
        <w:bottom w:val="none" w:sz="0" w:space="0" w:color="auto"/>
        <w:right w:val="none" w:sz="0" w:space="0" w:color="auto"/>
      </w:divBdr>
    </w:div>
    <w:div w:id="1630237835">
      <w:bodyDiv w:val="1"/>
      <w:marLeft w:val="0"/>
      <w:marRight w:val="0"/>
      <w:marTop w:val="0"/>
      <w:marBottom w:val="0"/>
      <w:divBdr>
        <w:top w:val="none" w:sz="0" w:space="0" w:color="auto"/>
        <w:left w:val="none" w:sz="0" w:space="0" w:color="auto"/>
        <w:bottom w:val="none" w:sz="0" w:space="0" w:color="auto"/>
        <w:right w:val="none" w:sz="0" w:space="0" w:color="auto"/>
      </w:divBdr>
      <w:divsChild>
        <w:div w:id="772896418">
          <w:marLeft w:val="547"/>
          <w:marRight w:val="0"/>
          <w:marTop w:val="134"/>
          <w:marBottom w:val="0"/>
          <w:divBdr>
            <w:top w:val="none" w:sz="0" w:space="0" w:color="auto"/>
            <w:left w:val="none" w:sz="0" w:space="0" w:color="auto"/>
            <w:bottom w:val="none" w:sz="0" w:space="0" w:color="auto"/>
            <w:right w:val="none" w:sz="0" w:space="0" w:color="auto"/>
          </w:divBdr>
        </w:div>
      </w:divsChild>
    </w:div>
    <w:div w:id="1632133802">
      <w:bodyDiv w:val="1"/>
      <w:marLeft w:val="0"/>
      <w:marRight w:val="0"/>
      <w:marTop w:val="0"/>
      <w:marBottom w:val="0"/>
      <w:divBdr>
        <w:top w:val="none" w:sz="0" w:space="0" w:color="auto"/>
        <w:left w:val="none" w:sz="0" w:space="0" w:color="auto"/>
        <w:bottom w:val="none" w:sz="0" w:space="0" w:color="auto"/>
        <w:right w:val="none" w:sz="0" w:space="0" w:color="auto"/>
      </w:divBdr>
      <w:divsChild>
        <w:div w:id="1451824919">
          <w:marLeft w:val="547"/>
          <w:marRight w:val="0"/>
          <w:marTop w:val="154"/>
          <w:marBottom w:val="0"/>
          <w:divBdr>
            <w:top w:val="none" w:sz="0" w:space="0" w:color="auto"/>
            <w:left w:val="none" w:sz="0" w:space="0" w:color="auto"/>
            <w:bottom w:val="none" w:sz="0" w:space="0" w:color="auto"/>
            <w:right w:val="none" w:sz="0" w:space="0" w:color="auto"/>
          </w:divBdr>
        </w:div>
      </w:divsChild>
    </w:div>
    <w:div w:id="1651862489">
      <w:bodyDiv w:val="1"/>
      <w:marLeft w:val="0"/>
      <w:marRight w:val="0"/>
      <w:marTop w:val="0"/>
      <w:marBottom w:val="0"/>
      <w:divBdr>
        <w:top w:val="none" w:sz="0" w:space="0" w:color="auto"/>
        <w:left w:val="none" w:sz="0" w:space="0" w:color="auto"/>
        <w:bottom w:val="none" w:sz="0" w:space="0" w:color="auto"/>
        <w:right w:val="none" w:sz="0" w:space="0" w:color="auto"/>
      </w:divBdr>
      <w:divsChild>
        <w:div w:id="692997071">
          <w:marLeft w:val="547"/>
          <w:marRight w:val="0"/>
          <w:marTop w:val="154"/>
          <w:marBottom w:val="0"/>
          <w:divBdr>
            <w:top w:val="none" w:sz="0" w:space="0" w:color="auto"/>
            <w:left w:val="none" w:sz="0" w:space="0" w:color="auto"/>
            <w:bottom w:val="none" w:sz="0" w:space="0" w:color="auto"/>
            <w:right w:val="none" w:sz="0" w:space="0" w:color="auto"/>
          </w:divBdr>
        </w:div>
        <w:div w:id="856850370">
          <w:marLeft w:val="547"/>
          <w:marRight w:val="0"/>
          <w:marTop w:val="154"/>
          <w:marBottom w:val="0"/>
          <w:divBdr>
            <w:top w:val="none" w:sz="0" w:space="0" w:color="auto"/>
            <w:left w:val="none" w:sz="0" w:space="0" w:color="auto"/>
            <w:bottom w:val="none" w:sz="0" w:space="0" w:color="auto"/>
            <w:right w:val="none" w:sz="0" w:space="0" w:color="auto"/>
          </w:divBdr>
        </w:div>
        <w:div w:id="1934051328">
          <w:marLeft w:val="547"/>
          <w:marRight w:val="0"/>
          <w:marTop w:val="154"/>
          <w:marBottom w:val="0"/>
          <w:divBdr>
            <w:top w:val="none" w:sz="0" w:space="0" w:color="auto"/>
            <w:left w:val="none" w:sz="0" w:space="0" w:color="auto"/>
            <w:bottom w:val="none" w:sz="0" w:space="0" w:color="auto"/>
            <w:right w:val="none" w:sz="0" w:space="0" w:color="auto"/>
          </w:divBdr>
        </w:div>
      </w:divsChild>
    </w:div>
    <w:div w:id="1657031814">
      <w:bodyDiv w:val="1"/>
      <w:marLeft w:val="0"/>
      <w:marRight w:val="0"/>
      <w:marTop w:val="0"/>
      <w:marBottom w:val="0"/>
      <w:divBdr>
        <w:top w:val="none" w:sz="0" w:space="0" w:color="auto"/>
        <w:left w:val="none" w:sz="0" w:space="0" w:color="auto"/>
        <w:bottom w:val="none" w:sz="0" w:space="0" w:color="auto"/>
        <w:right w:val="none" w:sz="0" w:space="0" w:color="auto"/>
      </w:divBdr>
      <w:divsChild>
        <w:div w:id="165948099">
          <w:marLeft w:val="1800"/>
          <w:marRight w:val="0"/>
          <w:marTop w:val="134"/>
          <w:marBottom w:val="0"/>
          <w:divBdr>
            <w:top w:val="none" w:sz="0" w:space="0" w:color="auto"/>
            <w:left w:val="none" w:sz="0" w:space="0" w:color="auto"/>
            <w:bottom w:val="none" w:sz="0" w:space="0" w:color="auto"/>
            <w:right w:val="none" w:sz="0" w:space="0" w:color="auto"/>
          </w:divBdr>
        </w:div>
        <w:div w:id="240792235">
          <w:marLeft w:val="1800"/>
          <w:marRight w:val="0"/>
          <w:marTop w:val="134"/>
          <w:marBottom w:val="0"/>
          <w:divBdr>
            <w:top w:val="none" w:sz="0" w:space="0" w:color="auto"/>
            <w:left w:val="none" w:sz="0" w:space="0" w:color="auto"/>
            <w:bottom w:val="none" w:sz="0" w:space="0" w:color="auto"/>
            <w:right w:val="none" w:sz="0" w:space="0" w:color="auto"/>
          </w:divBdr>
        </w:div>
        <w:div w:id="1501971718">
          <w:marLeft w:val="1800"/>
          <w:marRight w:val="0"/>
          <w:marTop w:val="134"/>
          <w:marBottom w:val="0"/>
          <w:divBdr>
            <w:top w:val="none" w:sz="0" w:space="0" w:color="auto"/>
            <w:left w:val="none" w:sz="0" w:space="0" w:color="auto"/>
            <w:bottom w:val="none" w:sz="0" w:space="0" w:color="auto"/>
            <w:right w:val="none" w:sz="0" w:space="0" w:color="auto"/>
          </w:divBdr>
        </w:div>
      </w:divsChild>
    </w:div>
    <w:div w:id="1665817564">
      <w:bodyDiv w:val="1"/>
      <w:marLeft w:val="0"/>
      <w:marRight w:val="0"/>
      <w:marTop w:val="0"/>
      <w:marBottom w:val="0"/>
      <w:divBdr>
        <w:top w:val="none" w:sz="0" w:space="0" w:color="auto"/>
        <w:left w:val="none" w:sz="0" w:space="0" w:color="auto"/>
        <w:bottom w:val="none" w:sz="0" w:space="0" w:color="auto"/>
        <w:right w:val="none" w:sz="0" w:space="0" w:color="auto"/>
      </w:divBdr>
    </w:div>
    <w:div w:id="1672639638">
      <w:bodyDiv w:val="1"/>
      <w:marLeft w:val="0"/>
      <w:marRight w:val="0"/>
      <w:marTop w:val="0"/>
      <w:marBottom w:val="0"/>
      <w:divBdr>
        <w:top w:val="none" w:sz="0" w:space="0" w:color="auto"/>
        <w:left w:val="none" w:sz="0" w:space="0" w:color="auto"/>
        <w:bottom w:val="none" w:sz="0" w:space="0" w:color="auto"/>
        <w:right w:val="none" w:sz="0" w:space="0" w:color="auto"/>
      </w:divBdr>
      <w:divsChild>
        <w:div w:id="110439600">
          <w:marLeft w:val="547"/>
          <w:marRight w:val="0"/>
          <w:marTop w:val="115"/>
          <w:marBottom w:val="0"/>
          <w:divBdr>
            <w:top w:val="none" w:sz="0" w:space="0" w:color="auto"/>
            <w:left w:val="none" w:sz="0" w:space="0" w:color="auto"/>
            <w:bottom w:val="none" w:sz="0" w:space="0" w:color="auto"/>
            <w:right w:val="none" w:sz="0" w:space="0" w:color="auto"/>
          </w:divBdr>
        </w:div>
        <w:div w:id="1654993093">
          <w:marLeft w:val="547"/>
          <w:marRight w:val="0"/>
          <w:marTop w:val="115"/>
          <w:marBottom w:val="0"/>
          <w:divBdr>
            <w:top w:val="none" w:sz="0" w:space="0" w:color="auto"/>
            <w:left w:val="none" w:sz="0" w:space="0" w:color="auto"/>
            <w:bottom w:val="none" w:sz="0" w:space="0" w:color="auto"/>
            <w:right w:val="none" w:sz="0" w:space="0" w:color="auto"/>
          </w:divBdr>
        </w:div>
      </w:divsChild>
    </w:div>
    <w:div w:id="1689452988">
      <w:bodyDiv w:val="1"/>
      <w:marLeft w:val="0"/>
      <w:marRight w:val="0"/>
      <w:marTop w:val="0"/>
      <w:marBottom w:val="0"/>
      <w:divBdr>
        <w:top w:val="none" w:sz="0" w:space="0" w:color="auto"/>
        <w:left w:val="none" w:sz="0" w:space="0" w:color="auto"/>
        <w:bottom w:val="none" w:sz="0" w:space="0" w:color="auto"/>
        <w:right w:val="none" w:sz="0" w:space="0" w:color="auto"/>
      </w:divBdr>
      <w:divsChild>
        <w:div w:id="259997173">
          <w:marLeft w:val="547"/>
          <w:marRight w:val="0"/>
          <w:marTop w:val="96"/>
          <w:marBottom w:val="0"/>
          <w:divBdr>
            <w:top w:val="none" w:sz="0" w:space="0" w:color="auto"/>
            <w:left w:val="none" w:sz="0" w:space="0" w:color="auto"/>
            <w:bottom w:val="none" w:sz="0" w:space="0" w:color="auto"/>
            <w:right w:val="none" w:sz="0" w:space="0" w:color="auto"/>
          </w:divBdr>
        </w:div>
        <w:div w:id="260188828">
          <w:marLeft w:val="547"/>
          <w:marRight w:val="0"/>
          <w:marTop w:val="96"/>
          <w:marBottom w:val="0"/>
          <w:divBdr>
            <w:top w:val="none" w:sz="0" w:space="0" w:color="auto"/>
            <w:left w:val="none" w:sz="0" w:space="0" w:color="auto"/>
            <w:bottom w:val="none" w:sz="0" w:space="0" w:color="auto"/>
            <w:right w:val="none" w:sz="0" w:space="0" w:color="auto"/>
          </w:divBdr>
        </w:div>
        <w:div w:id="566454180">
          <w:marLeft w:val="547"/>
          <w:marRight w:val="0"/>
          <w:marTop w:val="96"/>
          <w:marBottom w:val="0"/>
          <w:divBdr>
            <w:top w:val="none" w:sz="0" w:space="0" w:color="auto"/>
            <w:left w:val="none" w:sz="0" w:space="0" w:color="auto"/>
            <w:bottom w:val="none" w:sz="0" w:space="0" w:color="auto"/>
            <w:right w:val="none" w:sz="0" w:space="0" w:color="auto"/>
          </w:divBdr>
        </w:div>
        <w:div w:id="626349091">
          <w:marLeft w:val="547"/>
          <w:marRight w:val="0"/>
          <w:marTop w:val="96"/>
          <w:marBottom w:val="0"/>
          <w:divBdr>
            <w:top w:val="none" w:sz="0" w:space="0" w:color="auto"/>
            <w:left w:val="none" w:sz="0" w:space="0" w:color="auto"/>
            <w:bottom w:val="none" w:sz="0" w:space="0" w:color="auto"/>
            <w:right w:val="none" w:sz="0" w:space="0" w:color="auto"/>
          </w:divBdr>
        </w:div>
        <w:div w:id="933709205">
          <w:marLeft w:val="547"/>
          <w:marRight w:val="0"/>
          <w:marTop w:val="96"/>
          <w:marBottom w:val="0"/>
          <w:divBdr>
            <w:top w:val="none" w:sz="0" w:space="0" w:color="auto"/>
            <w:left w:val="none" w:sz="0" w:space="0" w:color="auto"/>
            <w:bottom w:val="none" w:sz="0" w:space="0" w:color="auto"/>
            <w:right w:val="none" w:sz="0" w:space="0" w:color="auto"/>
          </w:divBdr>
        </w:div>
        <w:div w:id="1315448528">
          <w:marLeft w:val="547"/>
          <w:marRight w:val="0"/>
          <w:marTop w:val="96"/>
          <w:marBottom w:val="0"/>
          <w:divBdr>
            <w:top w:val="none" w:sz="0" w:space="0" w:color="auto"/>
            <w:left w:val="none" w:sz="0" w:space="0" w:color="auto"/>
            <w:bottom w:val="none" w:sz="0" w:space="0" w:color="auto"/>
            <w:right w:val="none" w:sz="0" w:space="0" w:color="auto"/>
          </w:divBdr>
        </w:div>
        <w:div w:id="1788353951">
          <w:marLeft w:val="547"/>
          <w:marRight w:val="0"/>
          <w:marTop w:val="96"/>
          <w:marBottom w:val="0"/>
          <w:divBdr>
            <w:top w:val="none" w:sz="0" w:space="0" w:color="auto"/>
            <w:left w:val="none" w:sz="0" w:space="0" w:color="auto"/>
            <w:bottom w:val="none" w:sz="0" w:space="0" w:color="auto"/>
            <w:right w:val="none" w:sz="0" w:space="0" w:color="auto"/>
          </w:divBdr>
        </w:div>
        <w:div w:id="1797290664">
          <w:marLeft w:val="547"/>
          <w:marRight w:val="0"/>
          <w:marTop w:val="96"/>
          <w:marBottom w:val="0"/>
          <w:divBdr>
            <w:top w:val="none" w:sz="0" w:space="0" w:color="auto"/>
            <w:left w:val="none" w:sz="0" w:space="0" w:color="auto"/>
            <w:bottom w:val="none" w:sz="0" w:space="0" w:color="auto"/>
            <w:right w:val="none" w:sz="0" w:space="0" w:color="auto"/>
          </w:divBdr>
        </w:div>
      </w:divsChild>
    </w:div>
    <w:div w:id="1699697900">
      <w:bodyDiv w:val="1"/>
      <w:marLeft w:val="0"/>
      <w:marRight w:val="0"/>
      <w:marTop w:val="0"/>
      <w:marBottom w:val="0"/>
      <w:divBdr>
        <w:top w:val="none" w:sz="0" w:space="0" w:color="auto"/>
        <w:left w:val="none" w:sz="0" w:space="0" w:color="auto"/>
        <w:bottom w:val="none" w:sz="0" w:space="0" w:color="auto"/>
        <w:right w:val="none" w:sz="0" w:space="0" w:color="auto"/>
      </w:divBdr>
      <w:divsChild>
        <w:div w:id="508957249">
          <w:marLeft w:val="547"/>
          <w:marRight w:val="0"/>
          <w:marTop w:val="134"/>
          <w:marBottom w:val="0"/>
          <w:divBdr>
            <w:top w:val="none" w:sz="0" w:space="0" w:color="auto"/>
            <w:left w:val="none" w:sz="0" w:space="0" w:color="auto"/>
            <w:bottom w:val="none" w:sz="0" w:space="0" w:color="auto"/>
            <w:right w:val="none" w:sz="0" w:space="0" w:color="auto"/>
          </w:divBdr>
        </w:div>
      </w:divsChild>
    </w:div>
    <w:div w:id="1706252111">
      <w:bodyDiv w:val="1"/>
      <w:marLeft w:val="0"/>
      <w:marRight w:val="0"/>
      <w:marTop w:val="0"/>
      <w:marBottom w:val="0"/>
      <w:divBdr>
        <w:top w:val="none" w:sz="0" w:space="0" w:color="auto"/>
        <w:left w:val="none" w:sz="0" w:space="0" w:color="auto"/>
        <w:bottom w:val="none" w:sz="0" w:space="0" w:color="auto"/>
        <w:right w:val="none" w:sz="0" w:space="0" w:color="auto"/>
      </w:divBdr>
    </w:div>
    <w:div w:id="1717243662">
      <w:bodyDiv w:val="1"/>
      <w:marLeft w:val="0"/>
      <w:marRight w:val="0"/>
      <w:marTop w:val="0"/>
      <w:marBottom w:val="0"/>
      <w:divBdr>
        <w:top w:val="none" w:sz="0" w:space="0" w:color="auto"/>
        <w:left w:val="none" w:sz="0" w:space="0" w:color="auto"/>
        <w:bottom w:val="none" w:sz="0" w:space="0" w:color="auto"/>
        <w:right w:val="none" w:sz="0" w:space="0" w:color="auto"/>
      </w:divBdr>
    </w:div>
    <w:div w:id="1732926573">
      <w:bodyDiv w:val="1"/>
      <w:marLeft w:val="0"/>
      <w:marRight w:val="0"/>
      <w:marTop w:val="0"/>
      <w:marBottom w:val="0"/>
      <w:divBdr>
        <w:top w:val="none" w:sz="0" w:space="0" w:color="auto"/>
        <w:left w:val="none" w:sz="0" w:space="0" w:color="auto"/>
        <w:bottom w:val="none" w:sz="0" w:space="0" w:color="auto"/>
        <w:right w:val="none" w:sz="0" w:space="0" w:color="auto"/>
      </w:divBdr>
      <w:divsChild>
        <w:div w:id="1208222793">
          <w:marLeft w:val="547"/>
          <w:marRight w:val="0"/>
          <w:marTop w:val="154"/>
          <w:marBottom w:val="0"/>
          <w:divBdr>
            <w:top w:val="none" w:sz="0" w:space="0" w:color="auto"/>
            <w:left w:val="none" w:sz="0" w:space="0" w:color="auto"/>
            <w:bottom w:val="none" w:sz="0" w:space="0" w:color="auto"/>
            <w:right w:val="none" w:sz="0" w:space="0" w:color="auto"/>
          </w:divBdr>
        </w:div>
        <w:div w:id="1656568935">
          <w:marLeft w:val="547"/>
          <w:marRight w:val="0"/>
          <w:marTop w:val="154"/>
          <w:marBottom w:val="0"/>
          <w:divBdr>
            <w:top w:val="none" w:sz="0" w:space="0" w:color="auto"/>
            <w:left w:val="none" w:sz="0" w:space="0" w:color="auto"/>
            <w:bottom w:val="none" w:sz="0" w:space="0" w:color="auto"/>
            <w:right w:val="none" w:sz="0" w:space="0" w:color="auto"/>
          </w:divBdr>
        </w:div>
      </w:divsChild>
    </w:div>
    <w:div w:id="1748452510">
      <w:bodyDiv w:val="1"/>
      <w:marLeft w:val="0"/>
      <w:marRight w:val="0"/>
      <w:marTop w:val="0"/>
      <w:marBottom w:val="0"/>
      <w:divBdr>
        <w:top w:val="none" w:sz="0" w:space="0" w:color="auto"/>
        <w:left w:val="none" w:sz="0" w:space="0" w:color="auto"/>
        <w:bottom w:val="none" w:sz="0" w:space="0" w:color="auto"/>
        <w:right w:val="none" w:sz="0" w:space="0" w:color="auto"/>
      </w:divBdr>
    </w:div>
    <w:div w:id="1752005599">
      <w:bodyDiv w:val="1"/>
      <w:marLeft w:val="0"/>
      <w:marRight w:val="0"/>
      <w:marTop w:val="0"/>
      <w:marBottom w:val="0"/>
      <w:divBdr>
        <w:top w:val="none" w:sz="0" w:space="0" w:color="auto"/>
        <w:left w:val="none" w:sz="0" w:space="0" w:color="auto"/>
        <w:bottom w:val="none" w:sz="0" w:space="0" w:color="auto"/>
        <w:right w:val="none" w:sz="0" w:space="0" w:color="auto"/>
      </w:divBdr>
    </w:div>
    <w:div w:id="1756972642">
      <w:bodyDiv w:val="1"/>
      <w:marLeft w:val="0"/>
      <w:marRight w:val="0"/>
      <w:marTop w:val="0"/>
      <w:marBottom w:val="0"/>
      <w:divBdr>
        <w:top w:val="none" w:sz="0" w:space="0" w:color="auto"/>
        <w:left w:val="none" w:sz="0" w:space="0" w:color="auto"/>
        <w:bottom w:val="none" w:sz="0" w:space="0" w:color="auto"/>
        <w:right w:val="none" w:sz="0" w:space="0" w:color="auto"/>
      </w:divBdr>
    </w:div>
    <w:div w:id="1818644025">
      <w:bodyDiv w:val="1"/>
      <w:marLeft w:val="0"/>
      <w:marRight w:val="0"/>
      <w:marTop w:val="0"/>
      <w:marBottom w:val="0"/>
      <w:divBdr>
        <w:top w:val="none" w:sz="0" w:space="0" w:color="auto"/>
        <w:left w:val="none" w:sz="0" w:space="0" w:color="auto"/>
        <w:bottom w:val="none" w:sz="0" w:space="0" w:color="auto"/>
        <w:right w:val="none" w:sz="0" w:space="0" w:color="auto"/>
      </w:divBdr>
      <w:divsChild>
        <w:div w:id="1478692644">
          <w:marLeft w:val="965"/>
          <w:marRight w:val="0"/>
          <w:marTop w:val="115"/>
          <w:marBottom w:val="0"/>
          <w:divBdr>
            <w:top w:val="none" w:sz="0" w:space="0" w:color="auto"/>
            <w:left w:val="none" w:sz="0" w:space="0" w:color="auto"/>
            <w:bottom w:val="none" w:sz="0" w:space="0" w:color="auto"/>
            <w:right w:val="none" w:sz="0" w:space="0" w:color="auto"/>
          </w:divBdr>
        </w:div>
      </w:divsChild>
    </w:div>
    <w:div w:id="1833135046">
      <w:bodyDiv w:val="1"/>
      <w:marLeft w:val="0"/>
      <w:marRight w:val="0"/>
      <w:marTop w:val="0"/>
      <w:marBottom w:val="0"/>
      <w:divBdr>
        <w:top w:val="none" w:sz="0" w:space="0" w:color="auto"/>
        <w:left w:val="none" w:sz="0" w:space="0" w:color="auto"/>
        <w:bottom w:val="none" w:sz="0" w:space="0" w:color="auto"/>
        <w:right w:val="none" w:sz="0" w:space="0" w:color="auto"/>
      </w:divBdr>
      <w:divsChild>
        <w:div w:id="854927459">
          <w:marLeft w:val="1800"/>
          <w:marRight w:val="0"/>
          <w:marTop w:val="134"/>
          <w:marBottom w:val="0"/>
          <w:divBdr>
            <w:top w:val="none" w:sz="0" w:space="0" w:color="auto"/>
            <w:left w:val="none" w:sz="0" w:space="0" w:color="auto"/>
            <w:bottom w:val="none" w:sz="0" w:space="0" w:color="auto"/>
            <w:right w:val="none" w:sz="0" w:space="0" w:color="auto"/>
          </w:divBdr>
        </w:div>
        <w:div w:id="956642951">
          <w:marLeft w:val="1800"/>
          <w:marRight w:val="0"/>
          <w:marTop w:val="134"/>
          <w:marBottom w:val="0"/>
          <w:divBdr>
            <w:top w:val="none" w:sz="0" w:space="0" w:color="auto"/>
            <w:left w:val="none" w:sz="0" w:space="0" w:color="auto"/>
            <w:bottom w:val="none" w:sz="0" w:space="0" w:color="auto"/>
            <w:right w:val="none" w:sz="0" w:space="0" w:color="auto"/>
          </w:divBdr>
        </w:div>
        <w:div w:id="1769545730">
          <w:marLeft w:val="1800"/>
          <w:marRight w:val="0"/>
          <w:marTop w:val="134"/>
          <w:marBottom w:val="0"/>
          <w:divBdr>
            <w:top w:val="none" w:sz="0" w:space="0" w:color="auto"/>
            <w:left w:val="none" w:sz="0" w:space="0" w:color="auto"/>
            <w:bottom w:val="none" w:sz="0" w:space="0" w:color="auto"/>
            <w:right w:val="none" w:sz="0" w:space="0" w:color="auto"/>
          </w:divBdr>
        </w:div>
        <w:div w:id="1835534985">
          <w:marLeft w:val="1800"/>
          <w:marRight w:val="0"/>
          <w:marTop w:val="134"/>
          <w:marBottom w:val="0"/>
          <w:divBdr>
            <w:top w:val="none" w:sz="0" w:space="0" w:color="auto"/>
            <w:left w:val="none" w:sz="0" w:space="0" w:color="auto"/>
            <w:bottom w:val="none" w:sz="0" w:space="0" w:color="auto"/>
            <w:right w:val="none" w:sz="0" w:space="0" w:color="auto"/>
          </w:divBdr>
        </w:div>
        <w:div w:id="1911428794">
          <w:marLeft w:val="1800"/>
          <w:marRight w:val="0"/>
          <w:marTop w:val="134"/>
          <w:marBottom w:val="0"/>
          <w:divBdr>
            <w:top w:val="none" w:sz="0" w:space="0" w:color="auto"/>
            <w:left w:val="none" w:sz="0" w:space="0" w:color="auto"/>
            <w:bottom w:val="none" w:sz="0" w:space="0" w:color="auto"/>
            <w:right w:val="none" w:sz="0" w:space="0" w:color="auto"/>
          </w:divBdr>
        </w:div>
        <w:div w:id="2008745403">
          <w:marLeft w:val="1800"/>
          <w:marRight w:val="0"/>
          <w:marTop w:val="134"/>
          <w:marBottom w:val="0"/>
          <w:divBdr>
            <w:top w:val="none" w:sz="0" w:space="0" w:color="auto"/>
            <w:left w:val="none" w:sz="0" w:space="0" w:color="auto"/>
            <w:bottom w:val="none" w:sz="0" w:space="0" w:color="auto"/>
            <w:right w:val="none" w:sz="0" w:space="0" w:color="auto"/>
          </w:divBdr>
        </w:div>
        <w:div w:id="2081243947">
          <w:marLeft w:val="1800"/>
          <w:marRight w:val="0"/>
          <w:marTop w:val="134"/>
          <w:marBottom w:val="0"/>
          <w:divBdr>
            <w:top w:val="none" w:sz="0" w:space="0" w:color="auto"/>
            <w:left w:val="none" w:sz="0" w:space="0" w:color="auto"/>
            <w:bottom w:val="none" w:sz="0" w:space="0" w:color="auto"/>
            <w:right w:val="none" w:sz="0" w:space="0" w:color="auto"/>
          </w:divBdr>
        </w:div>
      </w:divsChild>
    </w:div>
    <w:div w:id="1841851076">
      <w:bodyDiv w:val="1"/>
      <w:marLeft w:val="0"/>
      <w:marRight w:val="0"/>
      <w:marTop w:val="0"/>
      <w:marBottom w:val="0"/>
      <w:divBdr>
        <w:top w:val="none" w:sz="0" w:space="0" w:color="auto"/>
        <w:left w:val="none" w:sz="0" w:space="0" w:color="auto"/>
        <w:bottom w:val="none" w:sz="0" w:space="0" w:color="auto"/>
        <w:right w:val="none" w:sz="0" w:space="0" w:color="auto"/>
      </w:divBdr>
    </w:div>
    <w:div w:id="1857377408">
      <w:bodyDiv w:val="1"/>
      <w:marLeft w:val="0"/>
      <w:marRight w:val="0"/>
      <w:marTop w:val="0"/>
      <w:marBottom w:val="0"/>
      <w:divBdr>
        <w:top w:val="none" w:sz="0" w:space="0" w:color="auto"/>
        <w:left w:val="none" w:sz="0" w:space="0" w:color="auto"/>
        <w:bottom w:val="none" w:sz="0" w:space="0" w:color="auto"/>
        <w:right w:val="none" w:sz="0" w:space="0" w:color="auto"/>
      </w:divBdr>
    </w:div>
    <w:div w:id="1868449850">
      <w:bodyDiv w:val="1"/>
      <w:marLeft w:val="0"/>
      <w:marRight w:val="0"/>
      <w:marTop w:val="0"/>
      <w:marBottom w:val="0"/>
      <w:divBdr>
        <w:top w:val="none" w:sz="0" w:space="0" w:color="auto"/>
        <w:left w:val="none" w:sz="0" w:space="0" w:color="auto"/>
        <w:bottom w:val="none" w:sz="0" w:space="0" w:color="auto"/>
        <w:right w:val="none" w:sz="0" w:space="0" w:color="auto"/>
      </w:divBdr>
      <w:divsChild>
        <w:div w:id="1034576005">
          <w:marLeft w:val="547"/>
          <w:marRight w:val="0"/>
          <w:marTop w:val="134"/>
          <w:marBottom w:val="0"/>
          <w:divBdr>
            <w:top w:val="none" w:sz="0" w:space="0" w:color="auto"/>
            <w:left w:val="none" w:sz="0" w:space="0" w:color="auto"/>
            <w:bottom w:val="none" w:sz="0" w:space="0" w:color="auto"/>
            <w:right w:val="none" w:sz="0" w:space="0" w:color="auto"/>
          </w:divBdr>
        </w:div>
      </w:divsChild>
    </w:div>
    <w:div w:id="1873301012">
      <w:bodyDiv w:val="1"/>
      <w:marLeft w:val="0"/>
      <w:marRight w:val="0"/>
      <w:marTop w:val="0"/>
      <w:marBottom w:val="0"/>
      <w:divBdr>
        <w:top w:val="none" w:sz="0" w:space="0" w:color="auto"/>
        <w:left w:val="none" w:sz="0" w:space="0" w:color="auto"/>
        <w:bottom w:val="none" w:sz="0" w:space="0" w:color="auto"/>
        <w:right w:val="none" w:sz="0" w:space="0" w:color="auto"/>
      </w:divBdr>
    </w:div>
    <w:div w:id="1879006755">
      <w:bodyDiv w:val="1"/>
      <w:marLeft w:val="0"/>
      <w:marRight w:val="0"/>
      <w:marTop w:val="0"/>
      <w:marBottom w:val="0"/>
      <w:divBdr>
        <w:top w:val="none" w:sz="0" w:space="0" w:color="auto"/>
        <w:left w:val="none" w:sz="0" w:space="0" w:color="auto"/>
        <w:bottom w:val="none" w:sz="0" w:space="0" w:color="auto"/>
        <w:right w:val="none" w:sz="0" w:space="0" w:color="auto"/>
      </w:divBdr>
    </w:div>
    <w:div w:id="1893731297">
      <w:bodyDiv w:val="1"/>
      <w:marLeft w:val="0"/>
      <w:marRight w:val="0"/>
      <w:marTop w:val="0"/>
      <w:marBottom w:val="0"/>
      <w:divBdr>
        <w:top w:val="none" w:sz="0" w:space="0" w:color="auto"/>
        <w:left w:val="none" w:sz="0" w:space="0" w:color="auto"/>
        <w:bottom w:val="none" w:sz="0" w:space="0" w:color="auto"/>
        <w:right w:val="none" w:sz="0" w:space="0" w:color="auto"/>
      </w:divBdr>
    </w:div>
    <w:div w:id="1904214114">
      <w:bodyDiv w:val="1"/>
      <w:marLeft w:val="0"/>
      <w:marRight w:val="0"/>
      <w:marTop w:val="0"/>
      <w:marBottom w:val="0"/>
      <w:divBdr>
        <w:top w:val="none" w:sz="0" w:space="0" w:color="auto"/>
        <w:left w:val="none" w:sz="0" w:space="0" w:color="auto"/>
        <w:bottom w:val="none" w:sz="0" w:space="0" w:color="auto"/>
        <w:right w:val="none" w:sz="0" w:space="0" w:color="auto"/>
      </w:divBdr>
    </w:div>
    <w:div w:id="1914391724">
      <w:bodyDiv w:val="1"/>
      <w:marLeft w:val="0"/>
      <w:marRight w:val="0"/>
      <w:marTop w:val="0"/>
      <w:marBottom w:val="0"/>
      <w:divBdr>
        <w:top w:val="none" w:sz="0" w:space="0" w:color="auto"/>
        <w:left w:val="none" w:sz="0" w:space="0" w:color="auto"/>
        <w:bottom w:val="none" w:sz="0" w:space="0" w:color="auto"/>
        <w:right w:val="none" w:sz="0" w:space="0" w:color="auto"/>
      </w:divBdr>
    </w:div>
    <w:div w:id="1927302173">
      <w:bodyDiv w:val="1"/>
      <w:marLeft w:val="0"/>
      <w:marRight w:val="0"/>
      <w:marTop w:val="0"/>
      <w:marBottom w:val="0"/>
      <w:divBdr>
        <w:top w:val="none" w:sz="0" w:space="0" w:color="auto"/>
        <w:left w:val="none" w:sz="0" w:space="0" w:color="auto"/>
        <w:bottom w:val="none" w:sz="0" w:space="0" w:color="auto"/>
        <w:right w:val="none" w:sz="0" w:space="0" w:color="auto"/>
      </w:divBdr>
    </w:div>
    <w:div w:id="1948543062">
      <w:bodyDiv w:val="1"/>
      <w:marLeft w:val="0"/>
      <w:marRight w:val="0"/>
      <w:marTop w:val="0"/>
      <w:marBottom w:val="0"/>
      <w:divBdr>
        <w:top w:val="none" w:sz="0" w:space="0" w:color="auto"/>
        <w:left w:val="none" w:sz="0" w:space="0" w:color="auto"/>
        <w:bottom w:val="none" w:sz="0" w:space="0" w:color="auto"/>
        <w:right w:val="none" w:sz="0" w:space="0" w:color="auto"/>
      </w:divBdr>
    </w:div>
    <w:div w:id="1973636366">
      <w:bodyDiv w:val="1"/>
      <w:marLeft w:val="0"/>
      <w:marRight w:val="0"/>
      <w:marTop w:val="0"/>
      <w:marBottom w:val="0"/>
      <w:divBdr>
        <w:top w:val="none" w:sz="0" w:space="0" w:color="auto"/>
        <w:left w:val="none" w:sz="0" w:space="0" w:color="auto"/>
        <w:bottom w:val="none" w:sz="0" w:space="0" w:color="auto"/>
        <w:right w:val="none" w:sz="0" w:space="0" w:color="auto"/>
      </w:divBdr>
    </w:div>
    <w:div w:id="1989822814">
      <w:bodyDiv w:val="1"/>
      <w:marLeft w:val="0"/>
      <w:marRight w:val="0"/>
      <w:marTop w:val="0"/>
      <w:marBottom w:val="0"/>
      <w:divBdr>
        <w:top w:val="none" w:sz="0" w:space="0" w:color="auto"/>
        <w:left w:val="none" w:sz="0" w:space="0" w:color="auto"/>
        <w:bottom w:val="none" w:sz="0" w:space="0" w:color="auto"/>
        <w:right w:val="none" w:sz="0" w:space="0" w:color="auto"/>
      </w:divBdr>
    </w:div>
    <w:div w:id="1994019020">
      <w:bodyDiv w:val="1"/>
      <w:marLeft w:val="0"/>
      <w:marRight w:val="0"/>
      <w:marTop w:val="0"/>
      <w:marBottom w:val="0"/>
      <w:divBdr>
        <w:top w:val="none" w:sz="0" w:space="0" w:color="auto"/>
        <w:left w:val="none" w:sz="0" w:space="0" w:color="auto"/>
        <w:bottom w:val="none" w:sz="0" w:space="0" w:color="auto"/>
        <w:right w:val="none" w:sz="0" w:space="0" w:color="auto"/>
      </w:divBdr>
    </w:div>
    <w:div w:id="2055765120">
      <w:bodyDiv w:val="1"/>
      <w:marLeft w:val="0"/>
      <w:marRight w:val="0"/>
      <w:marTop w:val="0"/>
      <w:marBottom w:val="0"/>
      <w:divBdr>
        <w:top w:val="none" w:sz="0" w:space="0" w:color="auto"/>
        <w:left w:val="none" w:sz="0" w:space="0" w:color="auto"/>
        <w:bottom w:val="none" w:sz="0" w:space="0" w:color="auto"/>
        <w:right w:val="none" w:sz="0" w:space="0" w:color="auto"/>
      </w:divBdr>
    </w:div>
    <w:div w:id="2060781296">
      <w:bodyDiv w:val="1"/>
      <w:marLeft w:val="0"/>
      <w:marRight w:val="0"/>
      <w:marTop w:val="0"/>
      <w:marBottom w:val="0"/>
      <w:divBdr>
        <w:top w:val="none" w:sz="0" w:space="0" w:color="auto"/>
        <w:left w:val="none" w:sz="0" w:space="0" w:color="auto"/>
        <w:bottom w:val="none" w:sz="0" w:space="0" w:color="auto"/>
        <w:right w:val="none" w:sz="0" w:space="0" w:color="auto"/>
      </w:divBdr>
    </w:div>
    <w:div w:id="2069575761">
      <w:bodyDiv w:val="1"/>
      <w:marLeft w:val="0"/>
      <w:marRight w:val="0"/>
      <w:marTop w:val="0"/>
      <w:marBottom w:val="0"/>
      <w:divBdr>
        <w:top w:val="none" w:sz="0" w:space="0" w:color="auto"/>
        <w:left w:val="none" w:sz="0" w:space="0" w:color="auto"/>
        <w:bottom w:val="none" w:sz="0" w:space="0" w:color="auto"/>
        <w:right w:val="none" w:sz="0" w:space="0" w:color="auto"/>
      </w:divBdr>
    </w:div>
    <w:div w:id="2087217088">
      <w:bodyDiv w:val="1"/>
      <w:marLeft w:val="0"/>
      <w:marRight w:val="0"/>
      <w:marTop w:val="0"/>
      <w:marBottom w:val="0"/>
      <w:divBdr>
        <w:top w:val="none" w:sz="0" w:space="0" w:color="auto"/>
        <w:left w:val="none" w:sz="0" w:space="0" w:color="auto"/>
        <w:bottom w:val="none" w:sz="0" w:space="0" w:color="auto"/>
        <w:right w:val="none" w:sz="0" w:space="0" w:color="auto"/>
      </w:divBdr>
    </w:div>
    <w:div w:id="2089305602">
      <w:bodyDiv w:val="1"/>
      <w:marLeft w:val="0"/>
      <w:marRight w:val="0"/>
      <w:marTop w:val="0"/>
      <w:marBottom w:val="0"/>
      <w:divBdr>
        <w:top w:val="none" w:sz="0" w:space="0" w:color="auto"/>
        <w:left w:val="none" w:sz="0" w:space="0" w:color="auto"/>
        <w:bottom w:val="none" w:sz="0" w:space="0" w:color="auto"/>
        <w:right w:val="none" w:sz="0" w:space="0" w:color="auto"/>
      </w:divBdr>
      <w:divsChild>
        <w:div w:id="1642617802">
          <w:marLeft w:val="547"/>
          <w:marRight w:val="0"/>
          <w:marTop w:val="154"/>
          <w:marBottom w:val="0"/>
          <w:divBdr>
            <w:top w:val="none" w:sz="0" w:space="0" w:color="auto"/>
            <w:left w:val="none" w:sz="0" w:space="0" w:color="auto"/>
            <w:bottom w:val="none" w:sz="0" w:space="0" w:color="auto"/>
            <w:right w:val="none" w:sz="0" w:space="0" w:color="auto"/>
          </w:divBdr>
        </w:div>
      </w:divsChild>
    </w:div>
    <w:div w:id="2118131424">
      <w:bodyDiv w:val="1"/>
      <w:marLeft w:val="0"/>
      <w:marRight w:val="0"/>
      <w:marTop w:val="0"/>
      <w:marBottom w:val="0"/>
      <w:divBdr>
        <w:top w:val="none" w:sz="0" w:space="0" w:color="auto"/>
        <w:left w:val="none" w:sz="0" w:space="0" w:color="auto"/>
        <w:bottom w:val="none" w:sz="0" w:space="0" w:color="auto"/>
        <w:right w:val="none" w:sz="0" w:space="0" w:color="auto"/>
      </w:divBdr>
      <w:divsChild>
        <w:div w:id="1124932580">
          <w:marLeft w:val="547"/>
          <w:marRight w:val="0"/>
          <w:marTop w:val="115"/>
          <w:marBottom w:val="0"/>
          <w:divBdr>
            <w:top w:val="none" w:sz="0" w:space="0" w:color="auto"/>
            <w:left w:val="none" w:sz="0" w:space="0" w:color="auto"/>
            <w:bottom w:val="none" w:sz="0" w:space="0" w:color="auto"/>
            <w:right w:val="none" w:sz="0" w:space="0" w:color="auto"/>
          </w:divBdr>
        </w:div>
        <w:div w:id="1855993169">
          <w:marLeft w:val="547"/>
          <w:marRight w:val="0"/>
          <w:marTop w:val="115"/>
          <w:marBottom w:val="0"/>
          <w:divBdr>
            <w:top w:val="none" w:sz="0" w:space="0" w:color="auto"/>
            <w:left w:val="none" w:sz="0" w:space="0" w:color="auto"/>
            <w:bottom w:val="none" w:sz="0" w:space="0" w:color="auto"/>
            <w:right w:val="none" w:sz="0" w:space="0" w:color="auto"/>
          </w:divBdr>
        </w:div>
      </w:divsChild>
    </w:div>
    <w:div w:id="2138915275">
      <w:bodyDiv w:val="1"/>
      <w:marLeft w:val="0"/>
      <w:marRight w:val="0"/>
      <w:marTop w:val="0"/>
      <w:marBottom w:val="0"/>
      <w:divBdr>
        <w:top w:val="none" w:sz="0" w:space="0" w:color="auto"/>
        <w:left w:val="none" w:sz="0" w:space="0" w:color="auto"/>
        <w:bottom w:val="none" w:sz="0" w:space="0" w:color="auto"/>
        <w:right w:val="none" w:sz="0" w:space="0" w:color="auto"/>
      </w:divBdr>
      <w:divsChild>
        <w:div w:id="526720218">
          <w:marLeft w:val="547"/>
          <w:marRight w:val="0"/>
          <w:marTop w:val="154"/>
          <w:marBottom w:val="0"/>
          <w:divBdr>
            <w:top w:val="none" w:sz="0" w:space="0" w:color="auto"/>
            <w:left w:val="none" w:sz="0" w:space="0" w:color="auto"/>
            <w:bottom w:val="none" w:sz="0" w:space="0" w:color="auto"/>
            <w:right w:val="none" w:sz="0" w:space="0" w:color="auto"/>
          </w:divBdr>
        </w:div>
        <w:div w:id="1199271517">
          <w:marLeft w:val="547"/>
          <w:marRight w:val="0"/>
          <w:marTop w:val="154"/>
          <w:marBottom w:val="0"/>
          <w:divBdr>
            <w:top w:val="none" w:sz="0" w:space="0" w:color="auto"/>
            <w:left w:val="none" w:sz="0" w:space="0" w:color="auto"/>
            <w:bottom w:val="none" w:sz="0" w:space="0" w:color="auto"/>
            <w:right w:val="none" w:sz="0" w:space="0" w:color="auto"/>
          </w:divBdr>
        </w:div>
        <w:div w:id="1441681829">
          <w:marLeft w:val="547"/>
          <w:marRight w:val="0"/>
          <w:marTop w:val="154"/>
          <w:marBottom w:val="0"/>
          <w:divBdr>
            <w:top w:val="none" w:sz="0" w:space="0" w:color="auto"/>
            <w:left w:val="none" w:sz="0" w:space="0" w:color="auto"/>
            <w:bottom w:val="none" w:sz="0" w:space="0" w:color="auto"/>
            <w:right w:val="none" w:sz="0" w:space="0" w:color="auto"/>
          </w:divBdr>
        </w:div>
        <w:div w:id="145290035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oleObject" Target="file:///C:\KARIM\AMINA\IPC\RAPPORT%20ANNUEL\rapport%202019\Donn&#233;es%20ann&#233;e%202019.xlsx" TargetMode="External"/><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1" Type="http://schemas.openxmlformats.org/officeDocument/2006/relationships/oleObject" Target="file:///C:\KARIM\AMINA\IPC\RAPPORT%20ANNUEL\rapport%202019\Donn&#233;es%20ann&#233;e%2020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KARIM\AMINA\IPC\RAPPORT%20ANNUEL\rapport%202019\Donn&#233;es%20ann&#233;e%2020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KARIM\AMINA\IPC\RAPPORT%20ANNUEL\rapport%202019\Donn&#233;es%20ann&#233;e%20201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KARIM\AMINA\IPC\RAPPORT%20ANNUEL\rapport%202019\Donn&#233;es%20ann&#233;e%20201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KARIM\AMINA\IPC\RAPPORT%20ANNUEL\rapport%202019\Donn&#233;es%20ann&#233;e%20201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KARIM\AMINA\IPC\RAPPORT%20ANNUEL\rapport%202019\Donn&#233;es%20ann&#233;e%20201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KARIM\AMINA\IPC\RAPPORT%20ANNUEL\rapport%202019\Donn&#233;es%20ann&#233;e%20201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KARIM\AMINA\IPC\RAPPORT%20ANNUEL\rapport%202019\Donn&#233;es%20ann&#233;e%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4.7006051326918E-2"/>
          <c:y val="8.6469524642752996E-2"/>
          <c:w val="0.94727216389617952"/>
          <c:h val="0.62671566054243633"/>
        </c:manualLayout>
      </c:layout>
      <c:barChart>
        <c:barDir val="col"/>
        <c:grouping val="clustered"/>
        <c:ser>
          <c:idx val="0"/>
          <c:order val="0"/>
          <c:tx>
            <c:strRef>
              <c:f>'IPC par ville'!$B$23</c:f>
              <c:strCache>
                <c:ptCount val="1"/>
                <c:pt idx="0">
                  <c:v>2018</c:v>
                </c:pt>
              </c:strCache>
            </c:strRef>
          </c:tx>
          <c:spPr>
            <a:solidFill>
              <a:schemeClr val="tx2">
                <a:lumMod val="40000"/>
                <a:lumOff val="60000"/>
              </a:schemeClr>
            </a:solidFill>
          </c:spPr>
          <c:cat>
            <c:strRef>
              <c:f>'IPC par ville'!$A$24:$A$41</c:f>
              <c:strCache>
                <c:ptCount val="18"/>
                <c:pt idx="0">
                  <c:v>Safi</c:v>
                </c:pt>
                <c:pt idx="1">
                  <c:v>Rabat</c:v>
                </c:pt>
                <c:pt idx="2">
                  <c:v>Agadir</c:v>
                </c:pt>
                <c:pt idx="3">
                  <c:v>Oujda</c:v>
                </c:pt>
                <c:pt idx="4">
                  <c:v>Beni mellal</c:v>
                </c:pt>
                <c:pt idx="5">
                  <c:v>Kenitra</c:v>
                </c:pt>
                <c:pt idx="6">
                  <c:v>Settat</c:v>
                </c:pt>
                <c:pt idx="7">
                  <c:v>Marrakech</c:v>
                </c:pt>
                <c:pt idx="8">
                  <c:v>Guelmim</c:v>
                </c:pt>
                <c:pt idx="9">
                  <c:v>Tétouan</c:v>
                </c:pt>
                <c:pt idx="10">
                  <c:v>Ensemble</c:v>
                </c:pt>
                <c:pt idx="11">
                  <c:v>El houceima</c:v>
                </c:pt>
                <c:pt idx="12">
                  <c:v>Tanger</c:v>
                </c:pt>
                <c:pt idx="13">
                  <c:v>Meknes</c:v>
                </c:pt>
                <c:pt idx="14">
                  <c:v>Fes</c:v>
                </c:pt>
                <c:pt idx="15">
                  <c:v>Dakhla</c:v>
                </c:pt>
                <c:pt idx="16">
                  <c:v>Laayoune</c:v>
                </c:pt>
                <c:pt idx="17">
                  <c:v>Casa</c:v>
                </c:pt>
              </c:strCache>
            </c:strRef>
          </c:cat>
          <c:val>
            <c:numRef>
              <c:f>'IPC par ville'!$B$24:$B$41</c:f>
              <c:numCache>
                <c:formatCode>0.0</c:formatCode>
                <c:ptCount val="18"/>
                <c:pt idx="0">
                  <c:v>115.84166666666682</c:v>
                </c:pt>
                <c:pt idx="1">
                  <c:v>117.13333333333279</c:v>
                </c:pt>
                <c:pt idx="2">
                  <c:v>117.95833333333285</c:v>
                </c:pt>
                <c:pt idx="3">
                  <c:v>118.37499999999999</c:v>
                </c:pt>
                <c:pt idx="4">
                  <c:v>118.10000000000001</c:v>
                </c:pt>
                <c:pt idx="5">
                  <c:v>118.53333333333325</c:v>
                </c:pt>
                <c:pt idx="6">
                  <c:v>117.70833333333285</c:v>
                </c:pt>
                <c:pt idx="7">
                  <c:v>119.75000000000001</c:v>
                </c:pt>
                <c:pt idx="8">
                  <c:v>119.41666666666742</c:v>
                </c:pt>
                <c:pt idx="9">
                  <c:v>120.14999999999999</c:v>
                </c:pt>
                <c:pt idx="10">
                  <c:v>120.05</c:v>
                </c:pt>
                <c:pt idx="11">
                  <c:v>120.26666666666669</c:v>
                </c:pt>
                <c:pt idx="12">
                  <c:v>121.77499999999999</c:v>
                </c:pt>
                <c:pt idx="13">
                  <c:v>121.65833333333242</c:v>
                </c:pt>
                <c:pt idx="14">
                  <c:v>120.89999999999999</c:v>
                </c:pt>
                <c:pt idx="15">
                  <c:v>121.94166666666766</c:v>
                </c:pt>
                <c:pt idx="16">
                  <c:v>122.07499999999999</c:v>
                </c:pt>
                <c:pt idx="17">
                  <c:v>122.77500000000001</c:v>
                </c:pt>
              </c:numCache>
            </c:numRef>
          </c:val>
        </c:ser>
        <c:ser>
          <c:idx val="1"/>
          <c:order val="1"/>
          <c:tx>
            <c:strRef>
              <c:f>'IPC par ville'!$C$23</c:f>
              <c:strCache>
                <c:ptCount val="1"/>
                <c:pt idx="0">
                  <c:v>2019</c:v>
                </c:pt>
              </c:strCache>
            </c:strRef>
          </c:tx>
          <c:spPr>
            <a:blipFill>
              <a:blip xmlns:r="http://schemas.openxmlformats.org/officeDocument/2006/relationships" r:embed="rId1"/>
              <a:tile tx="0" ty="0" sx="100000" sy="100000" flip="none" algn="tl"/>
            </a:blipFill>
          </c:spPr>
          <c:dPt>
            <c:idx val="5"/>
            <c:spPr>
              <a:solidFill>
                <a:srgbClr val="FF0000"/>
              </a:solidFill>
            </c:spPr>
          </c:dPt>
          <c:dPt>
            <c:idx val="10"/>
            <c:spPr>
              <a:solidFill>
                <a:srgbClr val="FF0000"/>
              </a:solidFill>
            </c:spPr>
          </c:dPt>
          <c:cat>
            <c:strRef>
              <c:f>'IPC par ville'!$A$24:$A$41</c:f>
              <c:strCache>
                <c:ptCount val="18"/>
                <c:pt idx="0">
                  <c:v>Safi</c:v>
                </c:pt>
                <c:pt idx="1">
                  <c:v>Rabat</c:v>
                </c:pt>
                <c:pt idx="2">
                  <c:v>Agadir</c:v>
                </c:pt>
                <c:pt idx="3">
                  <c:v>Oujda</c:v>
                </c:pt>
                <c:pt idx="4">
                  <c:v>Beni mellal</c:v>
                </c:pt>
                <c:pt idx="5">
                  <c:v>Kenitra</c:v>
                </c:pt>
                <c:pt idx="6">
                  <c:v>Settat</c:v>
                </c:pt>
                <c:pt idx="7">
                  <c:v>Marrakech</c:v>
                </c:pt>
                <c:pt idx="8">
                  <c:v>Guelmim</c:v>
                </c:pt>
                <c:pt idx="9">
                  <c:v>Tétouan</c:v>
                </c:pt>
                <c:pt idx="10">
                  <c:v>Ensemble</c:v>
                </c:pt>
                <c:pt idx="11">
                  <c:v>El houceima</c:v>
                </c:pt>
                <c:pt idx="12">
                  <c:v>Tanger</c:v>
                </c:pt>
                <c:pt idx="13">
                  <c:v>Meknes</c:v>
                </c:pt>
                <c:pt idx="14">
                  <c:v>Fes</c:v>
                </c:pt>
                <c:pt idx="15">
                  <c:v>Dakhla</c:v>
                </c:pt>
                <c:pt idx="16">
                  <c:v>Laayoune</c:v>
                </c:pt>
                <c:pt idx="17">
                  <c:v>Casa</c:v>
                </c:pt>
              </c:strCache>
            </c:strRef>
          </c:cat>
          <c:val>
            <c:numRef>
              <c:f>'IPC par ville'!$C$24:$C$41</c:f>
              <c:numCache>
                <c:formatCode>0.0</c:formatCode>
                <c:ptCount val="18"/>
                <c:pt idx="0">
                  <c:v>116.30000000000001</c:v>
                </c:pt>
                <c:pt idx="1">
                  <c:v>117.48333333333331</c:v>
                </c:pt>
                <c:pt idx="2">
                  <c:v>118.00833333333277</c:v>
                </c:pt>
                <c:pt idx="3">
                  <c:v>118.06666666666666</c:v>
                </c:pt>
                <c:pt idx="4">
                  <c:v>118.72500000000001</c:v>
                </c:pt>
                <c:pt idx="5">
                  <c:v>118.74166666666746</c:v>
                </c:pt>
                <c:pt idx="6">
                  <c:v>118.8833333333328</c:v>
                </c:pt>
                <c:pt idx="7">
                  <c:v>119.83333333333285</c:v>
                </c:pt>
                <c:pt idx="8">
                  <c:v>120.14166666666669</c:v>
                </c:pt>
                <c:pt idx="9">
                  <c:v>120.37499999999999</c:v>
                </c:pt>
                <c:pt idx="10">
                  <c:v>120.42500000000003</c:v>
                </c:pt>
                <c:pt idx="11">
                  <c:v>120.91666666666742</c:v>
                </c:pt>
                <c:pt idx="12">
                  <c:v>122.05</c:v>
                </c:pt>
                <c:pt idx="13">
                  <c:v>122.28333333333325</c:v>
                </c:pt>
                <c:pt idx="14">
                  <c:v>122.35000000000001</c:v>
                </c:pt>
                <c:pt idx="15">
                  <c:v>122.39166666666669</c:v>
                </c:pt>
                <c:pt idx="16">
                  <c:v>122.65833333333237</c:v>
                </c:pt>
                <c:pt idx="17">
                  <c:v>123.57499999999999</c:v>
                </c:pt>
              </c:numCache>
            </c:numRef>
          </c:val>
        </c:ser>
        <c:axId val="92205824"/>
        <c:axId val="92207360"/>
      </c:barChart>
      <c:catAx>
        <c:axId val="92205824"/>
        <c:scaling>
          <c:orientation val="minMax"/>
        </c:scaling>
        <c:axPos val="b"/>
        <c:numFmt formatCode="General" sourceLinked="1"/>
        <c:tickLblPos val="nextTo"/>
        <c:txPr>
          <a:bodyPr rot="-5400000" vert="horz"/>
          <a:lstStyle/>
          <a:p>
            <a:pPr>
              <a:defRPr b="1" i="0" u="none">
                <a:latin typeface="Times New Roman" pitchFamily="18" charset="0"/>
                <a:cs typeface="Times New Roman" pitchFamily="18" charset="0"/>
              </a:defRPr>
            </a:pPr>
            <a:endParaRPr lang="fr-FR"/>
          </a:p>
        </c:txPr>
        <c:crossAx val="92207360"/>
        <c:crosses val="autoZero"/>
        <c:auto val="1"/>
        <c:lblAlgn val="ctr"/>
        <c:lblOffset val="100"/>
      </c:catAx>
      <c:valAx>
        <c:axId val="92207360"/>
        <c:scaling>
          <c:orientation val="minMax"/>
        </c:scaling>
        <c:axPos val="l"/>
        <c:majorGridlines/>
        <c:numFmt formatCode="0" sourceLinked="0"/>
        <c:tickLblPos val="nextTo"/>
        <c:txPr>
          <a:bodyPr/>
          <a:lstStyle/>
          <a:p>
            <a:pPr>
              <a:defRPr sz="800">
                <a:latin typeface="Times New Roman" pitchFamily="18" charset="0"/>
                <a:cs typeface="Times New Roman" pitchFamily="18" charset="0"/>
              </a:defRPr>
            </a:pPr>
            <a:endParaRPr lang="fr-FR"/>
          </a:p>
        </c:txPr>
        <c:crossAx val="92205824"/>
        <c:crosses val="autoZero"/>
        <c:crossBetween val="between"/>
      </c:valAx>
    </c:plotArea>
    <c:legend>
      <c:legendPos val="r"/>
      <c:layout>
        <c:manualLayout>
          <c:xMode val="edge"/>
          <c:yMode val="edge"/>
          <c:x val="9.0006014873140833E-2"/>
          <c:y val="0.15160877369892797"/>
          <c:w val="9.5179133858267692E-2"/>
          <c:h val="0.14881211920581988"/>
        </c:manualLayout>
      </c:layout>
    </c:legend>
    <c:plotVisOnly val="1"/>
  </c:chart>
  <c:spPr>
    <a:solidFill>
      <a:schemeClr val="tx2">
        <a:lumMod val="20000"/>
        <a:lumOff val="80000"/>
      </a:schemeClr>
    </a:solidFill>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autoTitleDeleted val="1"/>
    <c:view3D>
      <c:rotX val="0"/>
      <c:rotY val="0"/>
      <c:rAngAx val="1"/>
    </c:view3D>
    <c:sideWall>
      <c:spPr>
        <a:noFill/>
      </c:spPr>
    </c:sideWall>
    <c:backWall>
      <c:spPr>
        <a:noFill/>
      </c:spPr>
    </c:backWall>
    <c:plotArea>
      <c:layout>
        <c:manualLayout>
          <c:layoutTarget val="inner"/>
          <c:xMode val="edge"/>
          <c:yMode val="edge"/>
          <c:x val="1.5277741921604058E-2"/>
          <c:y val="3.3342562948862162E-2"/>
          <c:w val="0.98463103997246249"/>
          <c:h val="0.9111680548601947"/>
        </c:manualLayout>
      </c:layout>
      <c:bar3DChart>
        <c:barDir val="col"/>
        <c:grouping val="clustered"/>
        <c:ser>
          <c:idx val="0"/>
          <c:order val="0"/>
          <c:dPt>
            <c:idx val="3"/>
            <c:spPr>
              <a:solidFill>
                <a:schemeClr val="tx1"/>
              </a:solidFill>
            </c:spPr>
          </c:dPt>
          <c:dPt>
            <c:idx val="7"/>
            <c:spPr>
              <a:solidFill>
                <a:schemeClr val="tx1"/>
              </a:solidFill>
            </c:spPr>
          </c:dPt>
          <c:dLbls>
            <c:txPr>
              <a:bodyPr/>
              <a:lstStyle/>
              <a:p>
                <a:pPr>
                  <a:defRPr sz="800" b="1">
                    <a:latin typeface="Times New Roman" pitchFamily="18" charset="0"/>
                    <a:cs typeface="Times New Roman" pitchFamily="18" charset="0"/>
                  </a:defRPr>
                </a:pPr>
                <a:endParaRPr lang="fr-FR"/>
              </a:p>
            </c:txPr>
            <c:showVal val="1"/>
          </c:dLbls>
          <c:cat>
            <c:strRef>
              <c:f>'IPC par ville'!$A$48:$A$65</c:f>
              <c:strCache>
                <c:ptCount val="18"/>
                <c:pt idx="0">
                  <c:v>Oujda</c:v>
                </c:pt>
                <c:pt idx="1">
                  <c:v>Agadir</c:v>
                </c:pt>
                <c:pt idx="2">
                  <c:v>Marrakech</c:v>
                </c:pt>
                <c:pt idx="3">
                  <c:v>Kenitra</c:v>
                </c:pt>
                <c:pt idx="4">
                  <c:v>Tétouan</c:v>
                </c:pt>
                <c:pt idx="5">
                  <c:v>Tanger</c:v>
                </c:pt>
                <c:pt idx="6">
                  <c:v>Rabat</c:v>
                </c:pt>
                <c:pt idx="7">
                  <c:v>Ensemble</c:v>
                </c:pt>
                <c:pt idx="8">
                  <c:v>Dakhla</c:v>
                </c:pt>
                <c:pt idx="9">
                  <c:v>Safi</c:v>
                </c:pt>
                <c:pt idx="10">
                  <c:v>Laayoune</c:v>
                </c:pt>
                <c:pt idx="11">
                  <c:v>Meknes</c:v>
                </c:pt>
                <c:pt idx="12">
                  <c:v>Beni mellal</c:v>
                </c:pt>
                <c:pt idx="13">
                  <c:v>El houceima</c:v>
                </c:pt>
                <c:pt idx="14">
                  <c:v>Guelmim</c:v>
                </c:pt>
                <c:pt idx="15">
                  <c:v>Casa</c:v>
                </c:pt>
                <c:pt idx="16">
                  <c:v>Settat</c:v>
                </c:pt>
                <c:pt idx="17">
                  <c:v>Fes</c:v>
                </c:pt>
              </c:strCache>
            </c:strRef>
          </c:cat>
          <c:val>
            <c:numRef>
              <c:f>'IPC par ville'!$B$48:$B$65</c:f>
              <c:numCache>
                <c:formatCode>0.0</c:formatCode>
                <c:ptCount val="18"/>
                <c:pt idx="0">
                  <c:v>-0.2604716649067263</c:v>
                </c:pt>
                <c:pt idx="1">
                  <c:v>4.2387848816670154E-2</c:v>
                </c:pt>
                <c:pt idx="2">
                  <c:v>6.9589422407766333E-2</c:v>
                </c:pt>
                <c:pt idx="3">
                  <c:v>0.17575928009001049</c:v>
                </c:pt>
                <c:pt idx="4">
                  <c:v>0.18726591760299338</c:v>
                </c:pt>
                <c:pt idx="5">
                  <c:v>0.22582631903101616</c:v>
                </c:pt>
                <c:pt idx="6">
                  <c:v>0.29880478087650442</c:v>
                </c:pt>
                <c:pt idx="7">
                  <c:v>0.31236984589757061</c:v>
                </c:pt>
                <c:pt idx="8">
                  <c:v>0.36902890726441118</c:v>
                </c:pt>
                <c:pt idx="9">
                  <c:v>0.39565498884974937</c:v>
                </c:pt>
                <c:pt idx="10">
                  <c:v>0.47784831729128152</c:v>
                </c:pt>
                <c:pt idx="11">
                  <c:v>0.51373381738473378</c:v>
                </c:pt>
                <c:pt idx="12">
                  <c:v>0.5292125317527423</c:v>
                </c:pt>
                <c:pt idx="13">
                  <c:v>0.54046563192902752</c:v>
                </c:pt>
                <c:pt idx="14">
                  <c:v>0.6071179344033687</c:v>
                </c:pt>
                <c:pt idx="15">
                  <c:v>0.65159845245365833</c:v>
                </c:pt>
                <c:pt idx="16">
                  <c:v>0.99823008849558492</c:v>
                </c:pt>
                <c:pt idx="17">
                  <c:v>1.1993382961125039</c:v>
                </c:pt>
              </c:numCache>
            </c:numRef>
          </c:val>
        </c:ser>
        <c:shape val="cylinder"/>
        <c:axId val="92320512"/>
        <c:axId val="92328320"/>
        <c:axId val="0"/>
      </c:bar3DChart>
      <c:catAx>
        <c:axId val="92320512"/>
        <c:scaling>
          <c:orientation val="minMax"/>
        </c:scaling>
        <c:axPos val="b"/>
        <c:tickLblPos val="low"/>
        <c:txPr>
          <a:bodyPr rot="-5400000" vert="horz"/>
          <a:lstStyle/>
          <a:p>
            <a:pPr>
              <a:defRPr b="1">
                <a:latin typeface="Times New Roman" pitchFamily="18" charset="0"/>
                <a:cs typeface="Times New Roman" pitchFamily="18" charset="0"/>
              </a:defRPr>
            </a:pPr>
            <a:endParaRPr lang="fr-FR"/>
          </a:p>
        </c:txPr>
        <c:crossAx val="92328320"/>
        <c:crosses val="autoZero"/>
        <c:auto val="1"/>
        <c:lblAlgn val="ctr"/>
        <c:lblOffset val="100"/>
      </c:catAx>
      <c:valAx>
        <c:axId val="92328320"/>
        <c:scaling>
          <c:orientation val="minMax"/>
        </c:scaling>
        <c:axPos val="l"/>
        <c:majorGridlines/>
        <c:numFmt formatCode="0.0" sourceLinked="1"/>
        <c:tickLblPos val="none"/>
        <c:crossAx val="92320512"/>
        <c:crosses val="autoZero"/>
        <c:crossBetween val="between"/>
      </c:valAx>
    </c:plotArea>
    <c:plotVisOnly val="1"/>
  </c:chart>
  <c:spPr>
    <a:solidFill>
      <a:schemeClr val="tx2">
        <a:lumMod val="20000"/>
        <a:lumOff val="80000"/>
      </a:schemeClr>
    </a:soli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5.0012467191601975E-2"/>
          <c:y val="5.7822223260668104E-2"/>
          <c:w val="0.93165419947506567"/>
          <c:h val="0.8672420695187586"/>
        </c:manualLayout>
      </c:layout>
      <c:lineChart>
        <c:grouping val="standard"/>
        <c:ser>
          <c:idx val="0"/>
          <c:order val="0"/>
          <c:tx>
            <c:strRef>
              <c:f>'IA+INA Kenitra'!$A$48</c:f>
              <c:strCache>
                <c:ptCount val="1"/>
                <c:pt idx="0">
                  <c:v>KENITRA</c:v>
                </c:pt>
              </c:strCache>
            </c:strRef>
          </c:tx>
          <c:cat>
            <c:strRef>
              <c:f>'IA+INA Kenitra'!$B$47:$M$47</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'IA+INA Kenitra'!$B$48:$M$48</c:f>
              <c:numCache>
                <c:formatCode>0.0</c:formatCode>
                <c:ptCount val="12"/>
                <c:pt idx="0">
                  <c:v>118</c:v>
                </c:pt>
                <c:pt idx="1">
                  <c:v>118.2</c:v>
                </c:pt>
                <c:pt idx="2">
                  <c:v>118.3</c:v>
                </c:pt>
                <c:pt idx="3">
                  <c:v>118.4</c:v>
                </c:pt>
                <c:pt idx="4">
                  <c:v>120.1</c:v>
                </c:pt>
                <c:pt idx="5">
                  <c:v>119.8</c:v>
                </c:pt>
                <c:pt idx="6">
                  <c:v>118.2</c:v>
                </c:pt>
                <c:pt idx="7">
                  <c:v>118.9</c:v>
                </c:pt>
                <c:pt idx="8">
                  <c:v>118.3</c:v>
                </c:pt>
                <c:pt idx="9">
                  <c:v>118.3</c:v>
                </c:pt>
                <c:pt idx="10">
                  <c:v>119.2</c:v>
                </c:pt>
                <c:pt idx="11">
                  <c:v>119.2</c:v>
                </c:pt>
              </c:numCache>
            </c:numRef>
          </c:val>
        </c:ser>
        <c:ser>
          <c:idx val="1"/>
          <c:order val="1"/>
          <c:tx>
            <c:strRef>
              <c:f>'IA+INA Kenitra'!$A$49</c:f>
              <c:strCache>
                <c:ptCount val="1"/>
                <c:pt idx="0">
                  <c:v>NATIONAL</c:v>
                </c:pt>
              </c:strCache>
            </c:strRef>
          </c:tx>
          <c:marker>
            <c:symbol val="none"/>
          </c:marker>
          <c:cat>
            <c:strRef>
              <c:f>'IA+INA Kenitra'!$B$47:$M$47</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'IA+INA Kenitra'!$B$49:$M$49</c:f>
              <c:numCache>
                <c:formatCode>0.0</c:formatCode>
                <c:ptCount val="12"/>
                <c:pt idx="0">
                  <c:v>119.5</c:v>
                </c:pt>
                <c:pt idx="1">
                  <c:v>119.5</c:v>
                </c:pt>
                <c:pt idx="2">
                  <c:v>119.5</c:v>
                </c:pt>
                <c:pt idx="3">
                  <c:v>120.2</c:v>
                </c:pt>
                <c:pt idx="4">
                  <c:v>121</c:v>
                </c:pt>
                <c:pt idx="5">
                  <c:v>121.2</c:v>
                </c:pt>
                <c:pt idx="6">
                  <c:v>120.2</c:v>
                </c:pt>
                <c:pt idx="7">
                  <c:v>120.6</c:v>
                </c:pt>
                <c:pt idx="8">
                  <c:v>120.3</c:v>
                </c:pt>
                <c:pt idx="9">
                  <c:v>120.7</c:v>
                </c:pt>
                <c:pt idx="10">
                  <c:v>121.2</c:v>
                </c:pt>
                <c:pt idx="11">
                  <c:v>121.2</c:v>
                </c:pt>
              </c:numCache>
            </c:numRef>
          </c:val>
        </c:ser>
        <c:marker val="1"/>
        <c:axId val="92729344"/>
        <c:axId val="92731264"/>
      </c:lineChart>
      <c:catAx>
        <c:axId val="92729344"/>
        <c:scaling>
          <c:orientation val="minMax"/>
        </c:scaling>
        <c:axPos val="b"/>
        <c:tickLblPos val="nextTo"/>
        <c:txPr>
          <a:bodyPr/>
          <a:lstStyle/>
          <a:p>
            <a:pPr>
              <a:defRPr>
                <a:latin typeface="Times New Roman" pitchFamily="18" charset="0"/>
                <a:cs typeface="Times New Roman" pitchFamily="18" charset="0"/>
              </a:defRPr>
            </a:pPr>
            <a:endParaRPr lang="fr-FR"/>
          </a:p>
        </c:txPr>
        <c:crossAx val="92731264"/>
        <c:crosses val="autoZero"/>
        <c:auto val="1"/>
        <c:lblAlgn val="ctr"/>
        <c:lblOffset val="100"/>
      </c:catAx>
      <c:valAx>
        <c:axId val="92731264"/>
        <c:scaling>
          <c:orientation val="minMax"/>
        </c:scaling>
        <c:axPos val="l"/>
        <c:majorGridlines/>
        <c:numFmt formatCode="0" sourceLinked="0"/>
        <c:tickLblPos val="nextTo"/>
        <c:txPr>
          <a:bodyPr/>
          <a:lstStyle/>
          <a:p>
            <a:pPr>
              <a:defRPr>
                <a:latin typeface="Times New Roman" pitchFamily="18" charset="0"/>
                <a:cs typeface="Times New Roman" pitchFamily="18" charset="0"/>
              </a:defRPr>
            </a:pPr>
            <a:endParaRPr lang="fr-FR"/>
          </a:p>
        </c:txPr>
        <c:crossAx val="92729344"/>
        <c:crosses val="autoZero"/>
        <c:crossBetween val="between"/>
      </c:valAx>
    </c:plotArea>
    <c:legend>
      <c:legendPos val="b"/>
      <c:layout>
        <c:manualLayout>
          <c:xMode val="edge"/>
          <c:yMode val="edge"/>
          <c:x val="5.8136614173229094E-2"/>
          <c:y val="0.14368438320210108"/>
          <c:w val="0.25008656802640494"/>
          <c:h val="0.13505837122472369"/>
        </c:manualLayout>
      </c:layout>
      <c:txPr>
        <a:bodyPr/>
        <a:lstStyle/>
        <a:p>
          <a:pPr>
            <a:defRPr sz="800">
              <a:latin typeface="Times New Roman" pitchFamily="18" charset="0"/>
              <a:cs typeface="Times New Roman" pitchFamily="18" charset="0"/>
            </a:defRPr>
          </a:pPr>
          <a:endParaRPr lang="fr-FR"/>
        </a:p>
      </c:txPr>
    </c:legend>
    <c:plotVisOnly val="1"/>
  </c:chart>
  <c:spPr>
    <a:solidFill>
      <a:schemeClr val="tx2">
        <a:lumMod val="20000"/>
        <a:lumOff val="80000"/>
      </a:schemeClr>
    </a:soli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5.6228173839147001E-2"/>
          <c:y val="5.7859576843848716E-2"/>
          <c:w val="0.9437718261608623"/>
          <c:h val="0.80735575534720749"/>
        </c:manualLayout>
      </c:layout>
      <c:lineChart>
        <c:grouping val="standard"/>
        <c:ser>
          <c:idx val="0"/>
          <c:order val="0"/>
          <c:tx>
            <c:strRef>
              <c:f>'IA+INA Kenitra'!$A$4</c:f>
              <c:strCache>
                <c:ptCount val="1"/>
                <c:pt idx="0">
                  <c:v>IPA</c:v>
                </c:pt>
              </c:strCache>
            </c:strRef>
          </c:tx>
          <c:cat>
            <c:strRef>
              <c:f>'IA+INA Kenitra'!$B$2:$M$3</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'IA+INA Kenitra'!$B$4:$M$4</c:f>
              <c:numCache>
                <c:formatCode>0.0</c:formatCode>
                <c:ptCount val="12"/>
                <c:pt idx="0">
                  <c:v>126.3</c:v>
                </c:pt>
                <c:pt idx="1">
                  <c:v>126.6</c:v>
                </c:pt>
                <c:pt idx="2">
                  <c:v>126.6</c:v>
                </c:pt>
                <c:pt idx="3">
                  <c:v>126.5</c:v>
                </c:pt>
                <c:pt idx="4">
                  <c:v>130</c:v>
                </c:pt>
                <c:pt idx="5">
                  <c:v>129.19999999999999</c:v>
                </c:pt>
                <c:pt idx="6">
                  <c:v>125.5</c:v>
                </c:pt>
                <c:pt idx="7">
                  <c:v>127.1</c:v>
                </c:pt>
                <c:pt idx="8">
                  <c:v>125.8</c:v>
                </c:pt>
                <c:pt idx="9">
                  <c:v>125.6</c:v>
                </c:pt>
                <c:pt idx="10">
                  <c:v>127.7</c:v>
                </c:pt>
                <c:pt idx="11">
                  <c:v>127.7</c:v>
                </c:pt>
              </c:numCache>
            </c:numRef>
          </c:val>
        </c:ser>
        <c:ser>
          <c:idx val="1"/>
          <c:order val="1"/>
          <c:tx>
            <c:strRef>
              <c:f>'IA+INA Kenitra'!$A$5</c:f>
              <c:strCache>
                <c:ptCount val="1"/>
                <c:pt idx="0">
                  <c:v>IPNA</c:v>
                </c:pt>
              </c:strCache>
            </c:strRef>
          </c:tx>
          <c:cat>
            <c:strRef>
              <c:f>'IA+INA Kenitra'!$B$2:$M$3</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'IA+INA Kenitra'!$B$5:$M$5</c:f>
              <c:numCache>
                <c:formatCode>0.0</c:formatCode>
                <c:ptCount val="12"/>
                <c:pt idx="0">
                  <c:v>112.2</c:v>
                </c:pt>
                <c:pt idx="1">
                  <c:v>112.3</c:v>
                </c:pt>
                <c:pt idx="2">
                  <c:v>112.5</c:v>
                </c:pt>
                <c:pt idx="3">
                  <c:v>112.7</c:v>
                </c:pt>
                <c:pt idx="4">
                  <c:v>112.9</c:v>
                </c:pt>
                <c:pt idx="5">
                  <c:v>113</c:v>
                </c:pt>
                <c:pt idx="6">
                  <c:v>113.2</c:v>
                </c:pt>
                <c:pt idx="7">
                  <c:v>113.2</c:v>
                </c:pt>
                <c:pt idx="8">
                  <c:v>113.1</c:v>
                </c:pt>
                <c:pt idx="9">
                  <c:v>113.3</c:v>
                </c:pt>
                <c:pt idx="10">
                  <c:v>113.3</c:v>
                </c:pt>
                <c:pt idx="11">
                  <c:v>113.3</c:v>
                </c:pt>
              </c:numCache>
            </c:numRef>
          </c:val>
        </c:ser>
        <c:ser>
          <c:idx val="2"/>
          <c:order val="2"/>
          <c:tx>
            <c:strRef>
              <c:f>'IA+INA Kenitra'!$A$6</c:f>
              <c:strCache>
                <c:ptCount val="1"/>
                <c:pt idx="0">
                  <c:v>IG</c:v>
                </c:pt>
              </c:strCache>
            </c:strRef>
          </c:tx>
          <c:cat>
            <c:strRef>
              <c:f>'IA+INA Kenitra'!$B$2:$M$3</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'IA+INA Kenitra'!$B$6:$M$6</c:f>
              <c:numCache>
                <c:formatCode>0.0</c:formatCode>
                <c:ptCount val="12"/>
                <c:pt idx="0">
                  <c:v>118</c:v>
                </c:pt>
                <c:pt idx="1">
                  <c:v>118.2</c:v>
                </c:pt>
                <c:pt idx="2">
                  <c:v>118.3</c:v>
                </c:pt>
                <c:pt idx="3">
                  <c:v>118.4</c:v>
                </c:pt>
                <c:pt idx="4">
                  <c:v>120.1</c:v>
                </c:pt>
                <c:pt idx="5">
                  <c:v>119.8</c:v>
                </c:pt>
                <c:pt idx="6">
                  <c:v>118.2</c:v>
                </c:pt>
                <c:pt idx="7">
                  <c:v>118.9</c:v>
                </c:pt>
                <c:pt idx="8">
                  <c:v>118.3</c:v>
                </c:pt>
                <c:pt idx="9">
                  <c:v>118.3</c:v>
                </c:pt>
                <c:pt idx="10">
                  <c:v>119.2</c:v>
                </c:pt>
                <c:pt idx="11">
                  <c:v>119.2</c:v>
                </c:pt>
              </c:numCache>
            </c:numRef>
          </c:val>
        </c:ser>
        <c:marker val="1"/>
        <c:axId val="94451584"/>
        <c:axId val="101029760"/>
      </c:lineChart>
      <c:catAx>
        <c:axId val="94451584"/>
        <c:scaling>
          <c:orientation val="minMax"/>
        </c:scaling>
        <c:axPos val="b"/>
        <c:tickLblPos val="nextTo"/>
        <c:crossAx val="101029760"/>
        <c:crosses val="autoZero"/>
        <c:auto val="1"/>
        <c:lblAlgn val="ctr"/>
        <c:lblOffset val="100"/>
      </c:catAx>
      <c:valAx>
        <c:axId val="101029760"/>
        <c:scaling>
          <c:orientation val="minMax"/>
        </c:scaling>
        <c:axPos val="l"/>
        <c:majorGridlines/>
        <c:numFmt formatCode="0" sourceLinked="0"/>
        <c:tickLblPos val="nextTo"/>
        <c:crossAx val="94451584"/>
        <c:crosses val="autoZero"/>
        <c:crossBetween val="between"/>
      </c:valAx>
    </c:plotArea>
    <c:legend>
      <c:legendPos val="b"/>
      <c:layout>
        <c:manualLayout>
          <c:xMode val="edge"/>
          <c:yMode val="edge"/>
          <c:x val="0.33991670096887916"/>
          <c:y val="0.94452108979335259"/>
          <c:w val="0.30217878751665839"/>
          <c:h val="5.5478910206647004E-2"/>
        </c:manualLayout>
      </c:layout>
      <c:txPr>
        <a:bodyPr/>
        <a:lstStyle/>
        <a:p>
          <a:pPr>
            <a:defRPr sz="800"/>
          </a:pPr>
          <a:endParaRPr lang="fr-FR"/>
        </a:p>
      </c:txPr>
    </c:legend>
    <c:plotVisOnly val="1"/>
  </c:chart>
  <c:spPr>
    <a:solidFill>
      <a:schemeClr val="accent1">
        <a:lumMod val="40000"/>
        <a:lumOff val="60000"/>
      </a:schemeClr>
    </a:solidFill>
  </c:spPr>
  <c:txPr>
    <a:bodyPr/>
    <a:lstStyle/>
    <a:p>
      <a:pPr>
        <a:defRPr>
          <a:latin typeface="Times New Roman" pitchFamily="18" charset="0"/>
          <a:cs typeface="Times New Roman" pitchFamily="18" charset="0"/>
        </a:defRPr>
      </a:pPr>
      <a:endParaRPr lang="fr-F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fr-FR" sz="1200">
                <a:latin typeface="Times New Roman" pitchFamily="18" charset="0"/>
                <a:cs typeface="Times New Roman" pitchFamily="18" charset="0"/>
              </a:rPr>
              <a:t>Evolution de l'IPC</a:t>
            </a:r>
            <a:r>
              <a:rPr lang="fr-FR" sz="1200" baseline="0">
                <a:latin typeface="Times New Roman" pitchFamily="18" charset="0"/>
                <a:cs typeface="Times New Roman" pitchFamily="18" charset="0"/>
              </a:rPr>
              <a:t> de la ville de Kenitra entre 2007 et 2019</a:t>
            </a:r>
            <a:endParaRPr lang="fr-FR" sz="1200">
              <a:latin typeface="Times New Roman" pitchFamily="18" charset="0"/>
              <a:cs typeface="Times New Roman" pitchFamily="18" charset="0"/>
            </a:endParaRPr>
          </a:p>
        </c:rich>
      </c:tx>
      <c:layout>
        <c:manualLayout>
          <c:xMode val="edge"/>
          <c:yMode val="edge"/>
          <c:x val="0.21673165427804272"/>
          <c:y val="2.1086234702242249E-2"/>
        </c:manualLayout>
      </c:layout>
      <c:overlay val="1"/>
    </c:title>
    <c:plotArea>
      <c:layout>
        <c:manualLayout>
          <c:layoutTarget val="inner"/>
          <c:xMode val="edge"/>
          <c:yMode val="edge"/>
          <c:x val="4.0712223883839056E-2"/>
          <c:y val="8.5735667339103566E-2"/>
          <c:w val="0.86399506010403848"/>
          <c:h val="0.84395801551753846"/>
        </c:manualLayout>
      </c:layout>
      <c:lineChart>
        <c:grouping val="standard"/>
        <c:ser>
          <c:idx val="0"/>
          <c:order val="0"/>
          <c:tx>
            <c:strRef>
              <c:f>'IPCK par année'!$A$215</c:f>
              <c:strCache>
                <c:ptCount val="1"/>
                <c:pt idx="0">
                  <c:v>2007</c:v>
                </c:pt>
              </c:strCache>
            </c:strRef>
          </c:tx>
          <c:cat>
            <c:strRef>
              <c:f>'IPCK par année'!$B$214:$M$214</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'IPCK par année'!$B$215:$M$215</c:f>
              <c:numCache>
                <c:formatCode>0.0</c:formatCode>
                <c:ptCount val="12"/>
                <c:pt idx="0">
                  <c:v>100.4</c:v>
                </c:pt>
                <c:pt idx="1">
                  <c:v>100.6</c:v>
                </c:pt>
                <c:pt idx="2">
                  <c:v>100.5</c:v>
                </c:pt>
                <c:pt idx="3">
                  <c:v>101.4</c:v>
                </c:pt>
                <c:pt idx="4">
                  <c:v>100.8</c:v>
                </c:pt>
                <c:pt idx="5">
                  <c:v>101.4</c:v>
                </c:pt>
                <c:pt idx="6">
                  <c:v>101.4</c:v>
                </c:pt>
                <c:pt idx="7">
                  <c:v>102.6</c:v>
                </c:pt>
                <c:pt idx="8">
                  <c:v>103.3</c:v>
                </c:pt>
                <c:pt idx="9">
                  <c:v>103.7</c:v>
                </c:pt>
                <c:pt idx="10">
                  <c:v>103</c:v>
                </c:pt>
                <c:pt idx="11">
                  <c:v>102.9</c:v>
                </c:pt>
              </c:numCache>
            </c:numRef>
          </c:val>
        </c:ser>
        <c:ser>
          <c:idx val="10"/>
          <c:order val="1"/>
          <c:tx>
            <c:strRef>
              <c:f>'IPCK par année'!$A$216</c:f>
              <c:strCache>
                <c:ptCount val="1"/>
                <c:pt idx="0">
                  <c:v>2017</c:v>
                </c:pt>
              </c:strCache>
            </c:strRef>
          </c:tx>
          <c:cat>
            <c:strRef>
              <c:f>'IPCK par année'!$B$214:$M$214</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'IPCK par année'!$B$216:$M$216</c:f>
              <c:numCache>
                <c:formatCode>0.0</c:formatCode>
                <c:ptCount val="12"/>
                <c:pt idx="0">
                  <c:v>116.4</c:v>
                </c:pt>
                <c:pt idx="1">
                  <c:v>116.1</c:v>
                </c:pt>
                <c:pt idx="2">
                  <c:v>115.8</c:v>
                </c:pt>
                <c:pt idx="3">
                  <c:v>115.7</c:v>
                </c:pt>
                <c:pt idx="4">
                  <c:v>116.1</c:v>
                </c:pt>
                <c:pt idx="5">
                  <c:v>116.3</c:v>
                </c:pt>
                <c:pt idx="6">
                  <c:v>115.7</c:v>
                </c:pt>
                <c:pt idx="7">
                  <c:v>115.8</c:v>
                </c:pt>
                <c:pt idx="8">
                  <c:v>117.3</c:v>
                </c:pt>
                <c:pt idx="9">
                  <c:v>116.9</c:v>
                </c:pt>
                <c:pt idx="10">
                  <c:v>117.6</c:v>
                </c:pt>
                <c:pt idx="11">
                  <c:v>118.1</c:v>
                </c:pt>
              </c:numCache>
            </c:numRef>
          </c:val>
        </c:ser>
        <c:ser>
          <c:idx val="11"/>
          <c:order val="2"/>
          <c:tx>
            <c:strRef>
              <c:f>'IPCK par année'!$A$217</c:f>
              <c:strCache>
                <c:ptCount val="1"/>
                <c:pt idx="0">
                  <c:v>2018</c:v>
                </c:pt>
              </c:strCache>
            </c:strRef>
          </c:tx>
          <c:cat>
            <c:strRef>
              <c:f>'IPCK par année'!$B$214:$M$214</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'IPCK par année'!$B$217:$M$217</c:f>
              <c:numCache>
                <c:formatCode>0.0</c:formatCode>
                <c:ptCount val="12"/>
                <c:pt idx="0">
                  <c:v>118.2</c:v>
                </c:pt>
                <c:pt idx="1">
                  <c:v>117.9</c:v>
                </c:pt>
                <c:pt idx="2">
                  <c:v>118.5</c:v>
                </c:pt>
                <c:pt idx="3">
                  <c:v>118.5</c:v>
                </c:pt>
                <c:pt idx="4">
                  <c:v>119.6</c:v>
                </c:pt>
                <c:pt idx="5">
                  <c:v>119.9</c:v>
                </c:pt>
                <c:pt idx="6">
                  <c:v>117.8</c:v>
                </c:pt>
                <c:pt idx="7">
                  <c:v>118.1</c:v>
                </c:pt>
                <c:pt idx="8">
                  <c:v>118.6</c:v>
                </c:pt>
                <c:pt idx="9">
                  <c:v>118.3</c:v>
                </c:pt>
                <c:pt idx="10">
                  <c:v>118.6</c:v>
                </c:pt>
                <c:pt idx="11">
                  <c:v>118.4</c:v>
                </c:pt>
              </c:numCache>
            </c:numRef>
          </c:val>
        </c:ser>
        <c:ser>
          <c:idx val="12"/>
          <c:order val="3"/>
          <c:tx>
            <c:strRef>
              <c:f>'IPCK par année'!$A$218</c:f>
              <c:strCache>
                <c:ptCount val="1"/>
                <c:pt idx="0">
                  <c:v>2019</c:v>
                </c:pt>
              </c:strCache>
            </c:strRef>
          </c:tx>
          <c:spPr>
            <a:ln>
              <a:solidFill>
                <a:schemeClr val="tx1"/>
              </a:solidFill>
            </a:ln>
          </c:spPr>
          <c:cat>
            <c:strRef>
              <c:f>'IPCK par année'!$B$214:$M$214</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'IPCK par année'!$B$218:$M$218</c:f>
              <c:numCache>
                <c:formatCode>0.0</c:formatCode>
                <c:ptCount val="12"/>
                <c:pt idx="0">
                  <c:v>118</c:v>
                </c:pt>
                <c:pt idx="1">
                  <c:v>118.2</c:v>
                </c:pt>
                <c:pt idx="2">
                  <c:v>118.3</c:v>
                </c:pt>
                <c:pt idx="3">
                  <c:v>118.4</c:v>
                </c:pt>
                <c:pt idx="4">
                  <c:v>120.1</c:v>
                </c:pt>
                <c:pt idx="5">
                  <c:v>119.8</c:v>
                </c:pt>
                <c:pt idx="6">
                  <c:v>118.2</c:v>
                </c:pt>
                <c:pt idx="7">
                  <c:v>118.9</c:v>
                </c:pt>
                <c:pt idx="8">
                  <c:v>118.3</c:v>
                </c:pt>
                <c:pt idx="9">
                  <c:v>118.3</c:v>
                </c:pt>
                <c:pt idx="10">
                  <c:v>119.2</c:v>
                </c:pt>
                <c:pt idx="11">
                  <c:v>119.2</c:v>
                </c:pt>
              </c:numCache>
            </c:numRef>
          </c:val>
        </c:ser>
        <c:marker val="1"/>
        <c:axId val="107294080"/>
        <c:axId val="110047232"/>
      </c:lineChart>
      <c:catAx>
        <c:axId val="107294080"/>
        <c:scaling>
          <c:orientation val="minMax"/>
        </c:scaling>
        <c:axPos val="b"/>
        <c:tickLblPos val="nextTo"/>
        <c:txPr>
          <a:bodyPr/>
          <a:lstStyle/>
          <a:p>
            <a:pPr>
              <a:defRPr>
                <a:latin typeface="Times New Roman" pitchFamily="18" charset="0"/>
                <a:cs typeface="Times New Roman" pitchFamily="18" charset="0"/>
              </a:defRPr>
            </a:pPr>
            <a:endParaRPr lang="fr-FR"/>
          </a:p>
        </c:txPr>
        <c:crossAx val="110047232"/>
        <c:crosses val="autoZero"/>
        <c:auto val="1"/>
        <c:lblAlgn val="ctr"/>
        <c:lblOffset val="100"/>
      </c:catAx>
      <c:valAx>
        <c:axId val="110047232"/>
        <c:scaling>
          <c:orientation val="minMax"/>
          <c:max val="120"/>
          <c:min val="100"/>
        </c:scaling>
        <c:axPos val="l"/>
        <c:majorGridlines/>
        <c:numFmt formatCode="0" sourceLinked="0"/>
        <c:tickLblPos val="nextTo"/>
        <c:txPr>
          <a:bodyPr/>
          <a:lstStyle/>
          <a:p>
            <a:pPr>
              <a:defRPr>
                <a:latin typeface="Times New Roman" pitchFamily="18" charset="0"/>
                <a:cs typeface="Times New Roman" pitchFamily="18" charset="0"/>
              </a:defRPr>
            </a:pPr>
            <a:endParaRPr lang="fr-FR"/>
          </a:p>
        </c:txPr>
        <c:crossAx val="107294080"/>
        <c:crosses val="autoZero"/>
        <c:crossBetween val="between"/>
      </c:valAx>
    </c:plotArea>
    <c:legend>
      <c:legendPos val="r"/>
      <c:txPr>
        <a:bodyPr/>
        <a:lstStyle/>
        <a:p>
          <a:pPr>
            <a:defRPr>
              <a:latin typeface="Times New Roman" pitchFamily="18" charset="0"/>
              <a:cs typeface="Times New Roman" pitchFamily="18" charset="0"/>
            </a:defRPr>
          </a:pPr>
          <a:endParaRPr lang="fr-FR"/>
        </a:p>
      </c:txPr>
    </c:legend>
    <c:plotVisOnly val="1"/>
  </c:chart>
  <c:spPr>
    <a:solidFill>
      <a:schemeClr val="accent1">
        <a:lumMod val="40000"/>
        <a:lumOff val="60000"/>
      </a:schemeClr>
    </a:solidFil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4.9330547967218967E-2"/>
          <c:y val="9.2251096408476244E-2"/>
          <c:w val="0.90671051901673849"/>
          <c:h val="0.85498226459711701"/>
        </c:manualLayout>
      </c:layout>
      <c:lineChart>
        <c:grouping val="standard"/>
        <c:ser>
          <c:idx val="0"/>
          <c:order val="0"/>
          <c:tx>
            <c:strRef>
              <c:f>'EVOLUTION IPCK+IPCN'!$A$4</c:f>
              <c:strCache>
                <c:ptCount val="1"/>
                <c:pt idx="0">
                  <c:v>IPC KENITRA</c:v>
                </c:pt>
              </c:strCache>
            </c:strRef>
          </c:tx>
          <c:cat>
            <c:numRef>
              <c:f>'EVOLUTION IPCK+IPCN'!$B$3:$N$3</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'EVOLUTION IPCK+IPCN'!$B$4:$N$4</c:f>
              <c:numCache>
                <c:formatCode>0.0</c:formatCode>
                <c:ptCount val="13"/>
                <c:pt idx="0">
                  <c:v>101.8</c:v>
                </c:pt>
                <c:pt idx="1">
                  <c:v>105.7</c:v>
                </c:pt>
                <c:pt idx="2">
                  <c:v>106.9</c:v>
                </c:pt>
                <c:pt idx="3">
                  <c:v>107.10833333333254</c:v>
                </c:pt>
                <c:pt idx="4">
                  <c:v>108.95833333333285</c:v>
                </c:pt>
                <c:pt idx="5">
                  <c:v>110.29166666666737</c:v>
                </c:pt>
                <c:pt idx="6">
                  <c:v>112.31666666666666</c:v>
                </c:pt>
                <c:pt idx="7">
                  <c:v>112.90833333333325</c:v>
                </c:pt>
                <c:pt idx="8">
                  <c:v>114.59166666666682</c:v>
                </c:pt>
                <c:pt idx="9">
                  <c:v>115.98333333333335</c:v>
                </c:pt>
                <c:pt idx="10">
                  <c:v>116.48333333333331</c:v>
                </c:pt>
                <c:pt idx="11">
                  <c:v>118.53333333333325</c:v>
                </c:pt>
                <c:pt idx="12">
                  <c:v>118.7416666666674</c:v>
                </c:pt>
              </c:numCache>
            </c:numRef>
          </c:val>
        </c:ser>
        <c:ser>
          <c:idx val="1"/>
          <c:order val="1"/>
          <c:tx>
            <c:strRef>
              <c:f>'EVOLUTION IPCK+IPCN'!$A$5</c:f>
              <c:strCache>
                <c:ptCount val="1"/>
                <c:pt idx="0">
                  <c:v>IPC NATIONAL</c:v>
                </c:pt>
              </c:strCache>
            </c:strRef>
          </c:tx>
          <c:cat>
            <c:numRef>
              <c:f>'EVOLUTION IPCK+IPCN'!$B$3:$N$3</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'EVOLUTION IPCK+IPCN'!$B$5:$N$5</c:f>
              <c:numCache>
                <c:formatCode>0.0</c:formatCode>
                <c:ptCount val="13"/>
                <c:pt idx="0">
                  <c:v>102.5</c:v>
                </c:pt>
                <c:pt idx="1">
                  <c:v>106.3</c:v>
                </c:pt>
                <c:pt idx="2">
                  <c:v>107.4</c:v>
                </c:pt>
                <c:pt idx="3">
                  <c:v>108.425</c:v>
                </c:pt>
                <c:pt idx="4">
                  <c:v>109.40833333333325</c:v>
                </c:pt>
                <c:pt idx="5">
                  <c:v>110.82499999999999</c:v>
                </c:pt>
                <c:pt idx="6">
                  <c:v>112.90000000000002</c:v>
                </c:pt>
                <c:pt idx="7">
                  <c:v>113.40000000000002</c:v>
                </c:pt>
                <c:pt idx="8">
                  <c:v>115.16666666666669</c:v>
                </c:pt>
                <c:pt idx="9">
                  <c:v>117.05</c:v>
                </c:pt>
                <c:pt idx="10">
                  <c:v>117.93333333333331</c:v>
                </c:pt>
                <c:pt idx="11">
                  <c:v>120.05</c:v>
                </c:pt>
                <c:pt idx="12">
                  <c:v>120.42500000000003</c:v>
                </c:pt>
              </c:numCache>
            </c:numRef>
          </c:val>
        </c:ser>
        <c:marker val="1"/>
        <c:axId val="117814784"/>
        <c:axId val="117816320"/>
      </c:lineChart>
      <c:catAx>
        <c:axId val="117814784"/>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fr-FR"/>
          </a:p>
        </c:txPr>
        <c:crossAx val="117816320"/>
        <c:crosses val="autoZero"/>
        <c:auto val="1"/>
        <c:lblAlgn val="ctr"/>
        <c:lblOffset val="100"/>
      </c:catAx>
      <c:valAx>
        <c:axId val="117816320"/>
        <c:scaling>
          <c:orientation val="minMax"/>
          <c:max val="121"/>
          <c:min val="100"/>
        </c:scaling>
        <c:axPos val="l"/>
        <c:majorGridlines/>
        <c:numFmt formatCode="0" sourceLinked="0"/>
        <c:tickLblPos val="nextTo"/>
        <c:txPr>
          <a:bodyPr/>
          <a:lstStyle/>
          <a:p>
            <a:pPr>
              <a:defRPr sz="900">
                <a:latin typeface="Times New Roman" pitchFamily="18" charset="0"/>
                <a:cs typeface="Times New Roman" pitchFamily="18" charset="0"/>
              </a:defRPr>
            </a:pPr>
            <a:endParaRPr lang="fr-FR"/>
          </a:p>
        </c:txPr>
        <c:crossAx val="117814784"/>
        <c:crosses val="autoZero"/>
        <c:crossBetween val="between"/>
      </c:valAx>
    </c:plotArea>
    <c:legend>
      <c:legendPos val="r"/>
      <c:layout>
        <c:manualLayout>
          <c:xMode val="edge"/>
          <c:yMode val="edge"/>
          <c:x val="0.72204669153197965"/>
          <c:y val="0.60829324827662579"/>
          <c:w val="0.22732572937917819"/>
          <c:h val="0.10959341445955698"/>
        </c:manualLayout>
      </c:layout>
      <c:txPr>
        <a:bodyPr/>
        <a:lstStyle/>
        <a:p>
          <a:pPr>
            <a:defRPr>
              <a:latin typeface="Times New Roman" pitchFamily="18" charset="0"/>
              <a:cs typeface="Times New Roman" pitchFamily="18" charset="0"/>
            </a:defRPr>
          </a:pPr>
          <a:endParaRPr lang="fr-FR"/>
        </a:p>
      </c:txPr>
    </c:legend>
    <c:plotVisOnly val="1"/>
  </c:chart>
  <c:spPr>
    <a:solidFill>
      <a:schemeClr val="accent1">
        <a:lumMod val="40000"/>
        <a:lumOff val="60000"/>
      </a:schemeClr>
    </a:solidFill>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6.1699682276557456E-2"/>
          <c:y val="2.8252534609644376E-2"/>
          <c:w val="0.93830031772344269"/>
          <c:h val="0.8673972003499566"/>
        </c:manualLayout>
      </c:layout>
      <c:lineChart>
        <c:grouping val="standard"/>
        <c:ser>
          <c:idx val="0"/>
          <c:order val="0"/>
          <c:tx>
            <c:strRef>
              <c:f>'EVOLUTION IPCK+IPCN'!$A$39</c:f>
              <c:strCache>
                <c:ptCount val="1"/>
                <c:pt idx="0">
                  <c:v>IAK</c:v>
                </c:pt>
              </c:strCache>
            </c:strRef>
          </c:tx>
          <c:cat>
            <c:numRef>
              <c:f>'EVOLUTION IPCK+IPCN'!$B$38:$N$38</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'EVOLUTION IPCK+IPCN'!$B$39:$N$39</c:f>
              <c:numCache>
                <c:formatCode>0.0</c:formatCode>
                <c:ptCount val="13"/>
                <c:pt idx="0">
                  <c:v>103.67044166666582</c:v>
                </c:pt>
                <c:pt idx="1">
                  <c:v>111.80414999999999</c:v>
                </c:pt>
                <c:pt idx="2">
                  <c:v>113.81604166666665</c:v>
                </c:pt>
                <c:pt idx="3">
                  <c:v>113.70953333333333</c:v>
                </c:pt>
                <c:pt idx="4">
                  <c:v>116.70969166666664</c:v>
                </c:pt>
                <c:pt idx="5">
                  <c:v>118.47874999999998</c:v>
                </c:pt>
                <c:pt idx="6">
                  <c:v>121.34770000000002</c:v>
                </c:pt>
                <c:pt idx="7">
                  <c:v>120.57987499999975</c:v>
                </c:pt>
                <c:pt idx="8">
                  <c:v>123.48658333333333</c:v>
                </c:pt>
                <c:pt idx="9">
                  <c:v>125.74606666666669</c:v>
                </c:pt>
                <c:pt idx="10">
                  <c:v>124.76266666666666</c:v>
                </c:pt>
                <c:pt idx="11">
                  <c:v>127.4</c:v>
                </c:pt>
                <c:pt idx="12">
                  <c:v>127.05000000000001</c:v>
                </c:pt>
              </c:numCache>
            </c:numRef>
          </c:val>
        </c:ser>
        <c:ser>
          <c:idx val="1"/>
          <c:order val="1"/>
          <c:tx>
            <c:strRef>
              <c:f>'EVOLUTION IPCK+IPCN'!$A$40</c:f>
              <c:strCache>
                <c:ptCount val="1"/>
                <c:pt idx="0">
                  <c:v>INAK</c:v>
                </c:pt>
              </c:strCache>
            </c:strRef>
          </c:tx>
          <c:cat>
            <c:numRef>
              <c:f>'EVOLUTION IPCK+IPCN'!$B$38:$N$38</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'EVOLUTION IPCK+IPCN'!$B$40:$N$40</c:f>
              <c:numCache>
                <c:formatCode>0.0</c:formatCode>
                <c:ptCount val="13"/>
                <c:pt idx="0">
                  <c:v>100.53008554131092</c:v>
                </c:pt>
                <c:pt idx="1">
                  <c:v>101.36970555555511</c:v>
                </c:pt>
                <c:pt idx="2">
                  <c:v>102.00799323361822</c:v>
                </c:pt>
                <c:pt idx="3">
                  <c:v>102.42543076923074</c:v>
                </c:pt>
                <c:pt idx="4">
                  <c:v>103.45950648148151</c:v>
                </c:pt>
                <c:pt idx="5">
                  <c:v>104.48373575498555</c:v>
                </c:pt>
                <c:pt idx="6">
                  <c:v>105.91003618233619</c:v>
                </c:pt>
                <c:pt idx="7">
                  <c:v>107.46612856125392</c:v>
                </c:pt>
                <c:pt idx="8">
                  <c:v>108.28159757834811</c:v>
                </c:pt>
                <c:pt idx="9">
                  <c:v>109.05763361823369</c:v>
                </c:pt>
                <c:pt idx="10">
                  <c:v>110.60996011395927</c:v>
                </c:pt>
                <c:pt idx="11">
                  <c:v>112.3</c:v>
                </c:pt>
                <c:pt idx="12">
                  <c:v>112.91666666666737</c:v>
                </c:pt>
              </c:numCache>
            </c:numRef>
          </c:val>
        </c:ser>
        <c:ser>
          <c:idx val="2"/>
          <c:order val="2"/>
          <c:tx>
            <c:strRef>
              <c:f>'EVOLUTION IPCK+IPCN'!$A$41</c:f>
              <c:strCache>
                <c:ptCount val="1"/>
                <c:pt idx="0">
                  <c:v>IGK</c:v>
                </c:pt>
              </c:strCache>
            </c:strRef>
          </c:tx>
          <c:cat>
            <c:numRef>
              <c:f>'EVOLUTION IPCK+IPCN'!$B$38:$N$38</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'EVOLUTION IPCK+IPCN'!$B$41:$N$41</c:f>
              <c:numCache>
                <c:formatCode>0.0</c:formatCode>
                <c:ptCount val="13"/>
                <c:pt idx="0">
                  <c:v>101.83333333333285</c:v>
                </c:pt>
                <c:pt idx="1">
                  <c:v>105.70000000000003</c:v>
                </c:pt>
                <c:pt idx="2">
                  <c:v>106.90833333333325</c:v>
                </c:pt>
                <c:pt idx="3">
                  <c:v>107.10833333333254</c:v>
                </c:pt>
                <c:pt idx="4">
                  <c:v>108.95833333333285</c:v>
                </c:pt>
                <c:pt idx="5">
                  <c:v>110.29166666666737</c:v>
                </c:pt>
                <c:pt idx="6">
                  <c:v>112.31666666666666</c:v>
                </c:pt>
                <c:pt idx="7">
                  <c:v>112.90833333333325</c:v>
                </c:pt>
                <c:pt idx="8">
                  <c:v>114.59166666666682</c:v>
                </c:pt>
                <c:pt idx="9">
                  <c:v>115.98333333333335</c:v>
                </c:pt>
                <c:pt idx="10">
                  <c:v>116.48333333333331</c:v>
                </c:pt>
                <c:pt idx="11">
                  <c:v>118.5</c:v>
                </c:pt>
                <c:pt idx="12">
                  <c:v>118.7416666666674</c:v>
                </c:pt>
              </c:numCache>
            </c:numRef>
          </c:val>
        </c:ser>
        <c:marker val="1"/>
        <c:axId val="92177152"/>
        <c:axId val="92178688"/>
      </c:lineChart>
      <c:catAx>
        <c:axId val="92177152"/>
        <c:scaling>
          <c:orientation val="minMax"/>
        </c:scaling>
        <c:axPos val="b"/>
        <c:numFmt formatCode="General" sourceLinked="1"/>
        <c:tickLblPos val="nextTo"/>
        <c:txPr>
          <a:bodyPr/>
          <a:lstStyle/>
          <a:p>
            <a:pPr>
              <a:defRPr sz="900" b="1">
                <a:latin typeface="Times New Roman" pitchFamily="18" charset="0"/>
                <a:cs typeface="Times New Roman" pitchFamily="18" charset="0"/>
              </a:defRPr>
            </a:pPr>
            <a:endParaRPr lang="fr-FR"/>
          </a:p>
        </c:txPr>
        <c:crossAx val="92178688"/>
        <c:crosses val="autoZero"/>
        <c:auto val="1"/>
        <c:lblAlgn val="ctr"/>
        <c:lblOffset val="100"/>
      </c:catAx>
      <c:valAx>
        <c:axId val="92178688"/>
        <c:scaling>
          <c:orientation val="minMax"/>
          <c:max val="128"/>
          <c:min val="100"/>
        </c:scaling>
        <c:axPos val="l"/>
        <c:majorGridlines/>
        <c:numFmt formatCode="0" sourceLinked="0"/>
        <c:tickLblPos val="nextTo"/>
        <c:txPr>
          <a:bodyPr/>
          <a:lstStyle/>
          <a:p>
            <a:pPr>
              <a:defRPr sz="800">
                <a:latin typeface="Times New Roman" pitchFamily="18" charset="0"/>
                <a:cs typeface="Times New Roman" pitchFamily="18" charset="0"/>
              </a:defRPr>
            </a:pPr>
            <a:endParaRPr lang="fr-FR"/>
          </a:p>
        </c:txPr>
        <c:crossAx val="92177152"/>
        <c:crosses val="autoZero"/>
        <c:crossBetween val="between"/>
      </c:valAx>
    </c:plotArea>
    <c:legend>
      <c:legendPos val="r"/>
      <c:layout>
        <c:manualLayout>
          <c:xMode val="edge"/>
          <c:yMode val="edge"/>
          <c:x val="0.87984126984126987"/>
          <c:y val="0.68913591683392561"/>
          <c:w val="0.11904093567251461"/>
          <c:h val="0.14481627296587926"/>
        </c:manualLayout>
      </c:layout>
      <c:txPr>
        <a:bodyPr/>
        <a:lstStyle/>
        <a:p>
          <a:pPr>
            <a:defRPr sz="800" b="1">
              <a:latin typeface="Times New Roman" pitchFamily="18" charset="0"/>
              <a:cs typeface="Times New Roman" pitchFamily="18" charset="0"/>
            </a:defRPr>
          </a:pPr>
          <a:endParaRPr lang="fr-FR"/>
        </a:p>
      </c:txPr>
    </c:legend>
    <c:plotVisOnly val="1"/>
  </c:chart>
  <c:spPr>
    <a:solidFill>
      <a:schemeClr val="accent1">
        <a:lumMod val="40000"/>
        <a:lumOff val="60000"/>
      </a:schemeClr>
    </a:solidFill>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6.3819257886881822E-2"/>
          <c:y val="2.1412349772068212E-2"/>
          <c:w val="0.93277113890175489"/>
          <c:h val="0.91826605884789958"/>
        </c:manualLayout>
      </c:layout>
      <c:lineChart>
        <c:grouping val="standard"/>
        <c:ser>
          <c:idx val="0"/>
          <c:order val="0"/>
          <c:tx>
            <c:strRef>
              <c:f>'EVOLUTION IPCK+IPCN'!$A$10</c:f>
              <c:strCache>
                <c:ptCount val="1"/>
                <c:pt idx="0">
                  <c:v>IPC KENITRA</c:v>
                </c:pt>
              </c:strCache>
            </c:strRef>
          </c:tx>
          <c:cat>
            <c:numRef>
              <c:f>'EVOLUTION IPCK+IPCN'!$B$9:$N$9</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'EVOLUTION IPCK+IPCN'!$B$10:$N$10</c:f>
              <c:numCache>
                <c:formatCode>0.0</c:formatCode>
                <c:ptCount val="13"/>
                <c:pt idx="0">
                  <c:v>1.7999999999999852</c:v>
                </c:pt>
                <c:pt idx="1">
                  <c:v>3.8310412573674002</c:v>
                </c:pt>
                <c:pt idx="2">
                  <c:v>1.1352885525070979</c:v>
                </c:pt>
                <c:pt idx="3">
                  <c:v>0.19488618646707337</c:v>
                </c:pt>
                <c:pt idx="4">
                  <c:v>1.7272232163697174</c:v>
                </c:pt>
                <c:pt idx="5">
                  <c:v>1.2237093690248699</c:v>
                </c:pt>
                <c:pt idx="6">
                  <c:v>1.8360408009066882</c:v>
                </c:pt>
                <c:pt idx="7">
                  <c:v>0.52678438937526217</c:v>
                </c:pt>
                <c:pt idx="8">
                  <c:v>1.4908849361576788</c:v>
                </c:pt>
                <c:pt idx="9">
                  <c:v>1.2144571303905263</c:v>
                </c:pt>
                <c:pt idx="10">
                  <c:v>0.43109642189968994</c:v>
                </c:pt>
                <c:pt idx="11">
                  <c:v>1.7599084275289594</c:v>
                </c:pt>
                <c:pt idx="12">
                  <c:v>0.17575928009001043</c:v>
                </c:pt>
              </c:numCache>
            </c:numRef>
          </c:val>
        </c:ser>
        <c:ser>
          <c:idx val="1"/>
          <c:order val="1"/>
          <c:tx>
            <c:strRef>
              <c:f>'EVOLUTION IPCK+IPCN'!$A$11</c:f>
              <c:strCache>
                <c:ptCount val="1"/>
                <c:pt idx="0">
                  <c:v>IPC NATIONAL</c:v>
                </c:pt>
              </c:strCache>
            </c:strRef>
          </c:tx>
          <c:cat>
            <c:numRef>
              <c:f>'EVOLUTION IPCK+IPCN'!$B$9:$N$9</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'EVOLUTION IPCK+IPCN'!$B$11:$N$11</c:f>
              <c:numCache>
                <c:formatCode>0.0</c:formatCode>
                <c:ptCount val="13"/>
                <c:pt idx="0">
                  <c:v>2.5</c:v>
                </c:pt>
                <c:pt idx="1">
                  <c:v>3.7073170731707292</c:v>
                </c:pt>
                <c:pt idx="2">
                  <c:v>1.034807149576686</c:v>
                </c:pt>
                <c:pt idx="3">
                  <c:v>0.95437616387335866</c:v>
                </c:pt>
                <c:pt idx="4">
                  <c:v>0.90692490969177464</c:v>
                </c:pt>
                <c:pt idx="5">
                  <c:v>1.294843476273928</c:v>
                </c:pt>
                <c:pt idx="6">
                  <c:v>1.8723212271599416</c:v>
                </c:pt>
                <c:pt idx="7">
                  <c:v>0.44286979627989664</c:v>
                </c:pt>
                <c:pt idx="8">
                  <c:v>1.5579071134626679</c:v>
                </c:pt>
                <c:pt idx="9">
                  <c:v>1.6353111432706031</c:v>
                </c:pt>
                <c:pt idx="10">
                  <c:v>0.7546632493236447</c:v>
                </c:pt>
                <c:pt idx="11">
                  <c:v>1.7947993216506566</c:v>
                </c:pt>
                <c:pt idx="12">
                  <c:v>0.31236984589757039</c:v>
                </c:pt>
              </c:numCache>
            </c:numRef>
          </c:val>
        </c:ser>
        <c:marker val="1"/>
        <c:axId val="92268800"/>
        <c:axId val="92278784"/>
      </c:lineChart>
      <c:catAx>
        <c:axId val="92268800"/>
        <c:scaling>
          <c:orientation val="minMax"/>
        </c:scaling>
        <c:axPos val="b"/>
        <c:numFmt formatCode="General" sourceLinked="1"/>
        <c:tickLblPos val="nextTo"/>
        <c:txPr>
          <a:bodyPr/>
          <a:lstStyle/>
          <a:p>
            <a:pPr>
              <a:defRPr sz="900" b="1">
                <a:latin typeface="Times New Roman" pitchFamily="18" charset="0"/>
                <a:cs typeface="Times New Roman" pitchFamily="18" charset="0"/>
              </a:defRPr>
            </a:pPr>
            <a:endParaRPr lang="fr-FR"/>
          </a:p>
        </c:txPr>
        <c:crossAx val="92278784"/>
        <c:crosses val="autoZero"/>
        <c:auto val="1"/>
        <c:lblAlgn val="ctr"/>
        <c:lblOffset val="100"/>
      </c:catAx>
      <c:valAx>
        <c:axId val="92278784"/>
        <c:scaling>
          <c:orientation val="minMax"/>
        </c:scaling>
        <c:axPos val="l"/>
        <c:majorGridlines/>
        <c:numFmt formatCode="0.0" sourceLinked="1"/>
        <c:tickLblPos val="nextTo"/>
        <c:crossAx val="92268800"/>
        <c:crosses val="autoZero"/>
        <c:crossBetween val="between"/>
      </c:valAx>
    </c:plotArea>
    <c:legend>
      <c:legendPos val="r"/>
      <c:layout>
        <c:manualLayout>
          <c:xMode val="edge"/>
          <c:yMode val="edge"/>
          <c:x val="0.75309711286090064"/>
          <c:y val="0.21659207072800121"/>
          <c:w val="0.24690288713911013"/>
          <c:h val="0.10365796380715545"/>
        </c:manualLayout>
      </c:layout>
      <c:txPr>
        <a:bodyPr/>
        <a:lstStyle/>
        <a:p>
          <a:pPr>
            <a:defRPr sz="800" b="1">
              <a:latin typeface="Times New Roman" pitchFamily="18" charset="0"/>
              <a:cs typeface="Times New Roman" pitchFamily="18" charset="0"/>
            </a:defRPr>
          </a:pPr>
          <a:endParaRPr lang="fr-FR"/>
        </a:p>
      </c:txPr>
    </c:legend>
    <c:plotVisOnly val="1"/>
  </c:chart>
  <c:spPr>
    <a:solidFill>
      <a:schemeClr val="accent1">
        <a:lumMod val="40000"/>
        <a:lumOff val="60000"/>
      </a:schemeClr>
    </a:solidFill>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2.1380214952421414E-2"/>
          <c:y val="0.10968963691068657"/>
          <c:w val="0.9622508921973697"/>
          <c:h val="0.81632071853087462"/>
        </c:manualLayout>
      </c:layout>
      <c:lineChart>
        <c:grouping val="standard"/>
        <c:ser>
          <c:idx val="0"/>
          <c:order val="0"/>
          <c:tx>
            <c:strRef>
              <c:f>'glissements annuels'!$L$3</c:f>
              <c:strCache>
                <c:ptCount val="1"/>
                <c:pt idx="0">
                  <c:v>KENITRA</c:v>
                </c:pt>
              </c:strCache>
            </c:strRef>
          </c:tx>
          <c:spPr>
            <a:ln>
              <a:solidFill>
                <a:schemeClr val="tx1"/>
              </a:solidFill>
            </a:ln>
          </c:spPr>
          <c:marker>
            <c:symbol val="none"/>
          </c:marker>
          <c:cat>
            <c:numRef>
              <c:f>'glissements annuels'!$K$4:$K$159</c:f>
              <c:numCache>
                <c:formatCode>mmm\-yy</c:formatCode>
                <c:ptCount val="156"/>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42309</c:v>
                </c:pt>
                <c:pt idx="107">
                  <c:v>42339</c:v>
                </c:pt>
                <c:pt idx="108">
                  <c:v>42370</c:v>
                </c:pt>
                <c:pt idx="109">
                  <c:v>42401</c:v>
                </c:pt>
                <c:pt idx="110">
                  <c:v>42430</c:v>
                </c:pt>
                <c:pt idx="111">
                  <c:v>42461</c:v>
                </c:pt>
                <c:pt idx="112">
                  <c:v>42491</c:v>
                </c:pt>
                <c:pt idx="113">
                  <c:v>42522</c:v>
                </c:pt>
                <c:pt idx="114">
                  <c:v>42552</c:v>
                </c:pt>
                <c:pt idx="115">
                  <c:v>42583</c:v>
                </c:pt>
                <c:pt idx="116">
                  <c:v>42614</c:v>
                </c:pt>
                <c:pt idx="117">
                  <c:v>42644</c:v>
                </c:pt>
                <c:pt idx="118">
                  <c:v>42675</c:v>
                </c:pt>
                <c:pt idx="119">
                  <c:v>42705</c:v>
                </c:pt>
                <c:pt idx="120">
                  <c:v>42736</c:v>
                </c:pt>
                <c:pt idx="121">
                  <c:v>42767</c:v>
                </c:pt>
                <c:pt idx="122">
                  <c:v>42795</c:v>
                </c:pt>
                <c:pt idx="123">
                  <c:v>42826</c:v>
                </c:pt>
                <c:pt idx="124">
                  <c:v>42856</c:v>
                </c:pt>
                <c:pt idx="125">
                  <c:v>42887</c:v>
                </c:pt>
                <c:pt idx="126">
                  <c:v>42917</c:v>
                </c:pt>
                <c:pt idx="127">
                  <c:v>42948</c:v>
                </c:pt>
                <c:pt idx="128">
                  <c:v>42979</c:v>
                </c:pt>
                <c:pt idx="129">
                  <c:v>43009</c:v>
                </c:pt>
                <c:pt idx="130">
                  <c:v>43040</c:v>
                </c:pt>
                <c:pt idx="131">
                  <c:v>43070</c:v>
                </c:pt>
                <c:pt idx="132">
                  <c:v>43101</c:v>
                </c:pt>
                <c:pt idx="133">
                  <c:v>43132</c:v>
                </c:pt>
                <c:pt idx="134">
                  <c:v>43160</c:v>
                </c:pt>
                <c:pt idx="135">
                  <c:v>43191</c:v>
                </c:pt>
                <c:pt idx="136">
                  <c:v>43221</c:v>
                </c:pt>
                <c:pt idx="137">
                  <c:v>43252</c:v>
                </c:pt>
                <c:pt idx="138">
                  <c:v>43282</c:v>
                </c:pt>
                <c:pt idx="139">
                  <c:v>43313</c:v>
                </c:pt>
                <c:pt idx="140">
                  <c:v>43344</c:v>
                </c:pt>
                <c:pt idx="141">
                  <c:v>43374</c:v>
                </c:pt>
                <c:pt idx="142">
                  <c:v>43405</c:v>
                </c:pt>
                <c:pt idx="143">
                  <c:v>43435</c:v>
                </c:pt>
                <c:pt idx="144">
                  <c:v>43466</c:v>
                </c:pt>
                <c:pt idx="145">
                  <c:v>43497</c:v>
                </c:pt>
                <c:pt idx="146">
                  <c:v>43525</c:v>
                </c:pt>
                <c:pt idx="147">
                  <c:v>43556</c:v>
                </c:pt>
                <c:pt idx="148">
                  <c:v>43586</c:v>
                </c:pt>
                <c:pt idx="149">
                  <c:v>43617</c:v>
                </c:pt>
                <c:pt idx="150">
                  <c:v>43647</c:v>
                </c:pt>
                <c:pt idx="151">
                  <c:v>43678</c:v>
                </c:pt>
                <c:pt idx="152">
                  <c:v>43709</c:v>
                </c:pt>
                <c:pt idx="153">
                  <c:v>43739</c:v>
                </c:pt>
                <c:pt idx="154">
                  <c:v>43770</c:v>
                </c:pt>
                <c:pt idx="155">
                  <c:v>43800</c:v>
                </c:pt>
              </c:numCache>
            </c:numRef>
          </c:cat>
          <c:val>
            <c:numRef>
              <c:f>'glissements annuels'!$L$4:$L$159</c:f>
              <c:numCache>
                <c:formatCode>0.0</c:formatCode>
                <c:ptCount val="156"/>
                <c:pt idx="0">
                  <c:v>0.4</c:v>
                </c:pt>
                <c:pt idx="1">
                  <c:v>0.60000000000000064</c:v>
                </c:pt>
                <c:pt idx="2">
                  <c:v>0.5</c:v>
                </c:pt>
                <c:pt idx="3">
                  <c:v>1.4</c:v>
                </c:pt>
                <c:pt idx="4">
                  <c:v>0.8</c:v>
                </c:pt>
                <c:pt idx="5">
                  <c:v>1.4</c:v>
                </c:pt>
                <c:pt idx="6">
                  <c:v>1.4</c:v>
                </c:pt>
                <c:pt idx="7">
                  <c:v>2.6</c:v>
                </c:pt>
                <c:pt idx="8">
                  <c:v>3.3</c:v>
                </c:pt>
                <c:pt idx="9">
                  <c:v>3.7</c:v>
                </c:pt>
                <c:pt idx="10">
                  <c:v>3</c:v>
                </c:pt>
                <c:pt idx="11">
                  <c:v>2.9</c:v>
                </c:pt>
                <c:pt idx="12">
                  <c:v>2.5896414342629424</c:v>
                </c:pt>
                <c:pt idx="13">
                  <c:v>2.4850894632206737</c:v>
                </c:pt>
                <c:pt idx="14">
                  <c:v>3.6815920398009991</c:v>
                </c:pt>
                <c:pt idx="15">
                  <c:v>3.9447731755424091</c:v>
                </c:pt>
                <c:pt idx="16">
                  <c:v>5.2579365079364297</c:v>
                </c:pt>
                <c:pt idx="17">
                  <c:v>4.2406311637080831</c:v>
                </c:pt>
                <c:pt idx="18">
                  <c:v>4.4378698224852071</c:v>
                </c:pt>
                <c:pt idx="19">
                  <c:v>3.8986354775828467</c:v>
                </c:pt>
                <c:pt idx="20">
                  <c:v>3.7754114230396927</c:v>
                </c:pt>
                <c:pt idx="21">
                  <c:v>3.4715525554484028</c:v>
                </c:pt>
                <c:pt idx="22">
                  <c:v>3.5922330097087367</c:v>
                </c:pt>
                <c:pt idx="23">
                  <c:v>4.1788143828960065</c:v>
                </c:pt>
                <c:pt idx="24">
                  <c:v>3.4951456310679547</c:v>
                </c:pt>
                <c:pt idx="25">
                  <c:v>3.8797284190106436</c:v>
                </c:pt>
                <c:pt idx="26">
                  <c:v>3.2629558541266714</c:v>
                </c:pt>
                <c:pt idx="27">
                  <c:v>2.1821631878557843</c:v>
                </c:pt>
                <c:pt idx="28">
                  <c:v>9.4250706880309648E-2</c:v>
                </c:pt>
                <c:pt idx="29">
                  <c:v>-0.37842951750237352</c:v>
                </c:pt>
                <c:pt idx="30">
                  <c:v>-0.2832861189801808</c:v>
                </c:pt>
                <c:pt idx="31">
                  <c:v>9.3808630394004264E-2</c:v>
                </c:pt>
                <c:pt idx="32">
                  <c:v>2.0522388059701377</c:v>
                </c:pt>
                <c:pt idx="33">
                  <c:v>1.2115563839701664</c:v>
                </c:pt>
                <c:pt idx="34">
                  <c:v>0.28116213683223734</c:v>
                </c:pt>
                <c:pt idx="35">
                  <c:v>-1.9589552238806149</c:v>
                </c:pt>
                <c:pt idx="36">
                  <c:v>-1.3133208255159396</c:v>
                </c:pt>
                <c:pt idx="37">
                  <c:v>-1.027077497665728</c:v>
                </c:pt>
                <c:pt idx="38">
                  <c:v>-0.37174721189590287</c:v>
                </c:pt>
                <c:pt idx="39">
                  <c:v>-0.27855153203342353</c:v>
                </c:pt>
                <c:pt idx="40">
                  <c:v>1.3182674199623281</c:v>
                </c:pt>
                <c:pt idx="41">
                  <c:v>0.94966761633429009</c:v>
                </c:pt>
                <c:pt idx="42">
                  <c:v>0.75757575757577555</c:v>
                </c:pt>
                <c:pt idx="43">
                  <c:v>0.46860356138707004</c:v>
                </c:pt>
                <c:pt idx="44">
                  <c:v>-1.005484460694706</c:v>
                </c:pt>
                <c:pt idx="45">
                  <c:v>-0.46040515653775327</c:v>
                </c:pt>
                <c:pt idx="46">
                  <c:v>1.0280373831775647</c:v>
                </c:pt>
                <c:pt idx="47">
                  <c:v>2.2835394862036211</c:v>
                </c:pt>
                <c:pt idx="48">
                  <c:v>2.5665399239543749</c:v>
                </c:pt>
                <c:pt idx="49">
                  <c:v>2.9245283018867871</c:v>
                </c:pt>
                <c:pt idx="50">
                  <c:v>1.8656716417910446</c:v>
                </c:pt>
                <c:pt idx="51">
                  <c:v>0.46554934823091243</c:v>
                </c:pt>
                <c:pt idx="52">
                  <c:v>0.83643122676580461</c:v>
                </c:pt>
                <c:pt idx="53">
                  <c:v>1.5992474129821288</c:v>
                </c:pt>
                <c:pt idx="54">
                  <c:v>1.7857142857142656</c:v>
                </c:pt>
                <c:pt idx="55">
                  <c:v>2.4253731343283529</c:v>
                </c:pt>
                <c:pt idx="56">
                  <c:v>1.8467220683287255</c:v>
                </c:pt>
                <c:pt idx="57">
                  <c:v>1.665124884366338</c:v>
                </c:pt>
                <c:pt idx="58">
                  <c:v>1.2950971322849258</c:v>
                </c:pt>
                <c:pt idx="59">
                  <c:v>1.4883720930232505</c:v>
                </c:pt>
                <c:pt idx="60">
                  <c:v>1.2974976830398348</c:v>
                </c:pt>
                <c:pt idx="61">
                  <c:v>0.36663611365720244</c:v>
                </c:pt>
                <c:pt idx="62">
                  <c:v>9.1575091575087655E-2</c:v>
                </c:pt>
                <c:pt idx="63">
                  <c:v>0.74142724745134114</c:v>
                </c:pt>
                <c:pt idx="64">
                  <c:v>0.55299539170506351</c:v>
                </c:pt>
                <c:pt idx="65">
                  <c:v>1.7592592592592566</c:v>
                </c:pt>
                <c:pt idx="66">
                  <c:v>1.6620498614958543</c:v>
                </c:pt>
                <c:pt idx="67">
                  <c:v>0.81967213114754622</c:v>
                </c:pt>
                <c:pt idx="68">
                  <c:v>0.81595648232094808</c:v>
                </c:pt>
                <c:pt idx="69">
                  <c:v>2.0928116469517715</c:v>
                </c:pt>
                <c:pt idx="70">
                  <c:v>2.1004566210045637</c:v>
                </c:pt>
                <c:pt idx="71">
                  <c:v>2.3831347387718078</c:v>
                </c:pt>
                <c:pt idx="72">
                  <c:v>2.4702653247941191</c:v>
                </c:pt>
                <c:pt idx="73">
                  <c:v>2.1004566210045637</c:v>
                </c:pt>
                <c:pt idx="74">
                  <c:v>2.287282708142758</c:v>
                </c:pt>
                <c:pt idx="75">
                  <c:v>2.7598896044158177</c:v>
                </c:pt>
                <c:pt idx="76">
                  <c:v>2.9330889092575627</c:v>
                </c:pt>
                <c:pt idx="77">
                  <c:v>2.2747952684258452</c:v>
                </c:pt>
                <c:pt idx="78">
                  <c:v>1.9981834695731358</c:v>
                </c:pt>
                <c:pt idx="79">
                  <c:v>2.5293586269195987</c:v>
                </c:pt>
                <c:pt idx="80">
                  <c:v>1.7985611510791286</c:v>
                </c:pt>
                <c:pt idx="81">
                  <c:v>8.9126559714790568E-2</c:v>
                </c:pt>
                <c:pt idx="82">
                  <c:v>0.53667262969589791</c:v>
                </c:pt>
                <c:pt idx="83">
                  <c:v>0.35810205908683218</c:v>
                </c:pt>
                <c:pt idx="84">
                  <c:v>0.53571428571428059</c:v>
                </c:pt>
                <c:pt idx="85">
                  <c:v>0.44722719141323775</c:v>
                </c:pt>
                <c:pt idx="86">
                  <c:v>0.44722719141323775</c:v>
                </c:pt>
                <c:pt idx="87">
                  <c:v>0.17905102954342347</c:v>
                </c:pt>
                <c:pt idx="88">
                  <c:v>-0.17809439002671787</c:v>
                </c:pt>
                <c:pt idx="89">
                  <c:v>-8.896797153025772E-2</c:v>
                </c:pt>
                <c:pt idx="90">
                  <c:v>0</c:v>
                </c:pt>
                <c:pt idx="91">
                  <c:v>-0.26431718061673759</c:v>
                </c:pt>
                <c:pt idx="92">
                  <c:v>0.35335689045935942</c:v>
                </c:pt>
                <c:pt idx="93">
                  <c:v>1.424755120213733</c:v>
                </c:pt>
                <c:pt idx="94">
                  <c:v>1.5124555160142261</c:v>
                </c:pt>
                <c:pt idx="95">
                  <c:v>1.9625334522747573</c:v>
                </c:pt>
                <c:pt idx="96">
                  <c:v>1.7761989342806401</c:v>
                </c:pt>
                <c:pt idx="97">
                  <c:v>1.6028495102404248</c:v>
                </c:pt>
                <c:pt idx="98">
                  <c:v>1.8699910952804946</c:v>
                </c:pt>
                <c:pt idx="99">
                  <c:v>1.9660411081322586</c:v>
                </c:pt>
                <c:pt idx="100">
                  <c:v>2.1409455842997374</c:v>
                </c:pt>
                <c:pt idx="101">
                  <c:v>1.8699910952804946</c:v>
                </c:pt>
                <c:pt idx="102">
                  <c:v>2.6714158504007126</c:v>
                </c:pt>
                <c:pt idx="103">
                  <c:v>1.678445229681983</c:v>
                </c:pt>
                <c:pt idx="104">
                  <c:v>1.0563380281690167</c:v>
                </c:pt>
                <c:pt idx="105">
                  <c:v>1.1413520632133527</c:v>
                </c:pt>
                <c:pt idx="106">
                  <c:v>0.26292725679229745</c:v>
                </c:pt>
                <c:pt idx="107">
                  <c:v>-8.7489063867011649E-2</c:v>
                </c:pt>
                <c:pt idx="108">
                  <c:v>-0.43630017452007275</c:v>
                </c:pt>
                <c:pt idx="109">
                  <c:v>8.7642418930769961E-2</c:v>
                </c:pt>
                <c:pt idx="110">
                  <c:v>0.78671328671327911</c:v>
                </c:pt>
                <c:pt idx="111">
                  <c:v>1.0517090271691405</c:v>
                </c:pt>
                <c:pt idx="112">
                  <c:v>1.572052401746745</c:v>
                </c:pt>
                <c:pt idx="113">
                  <c:v>2.0979020979020992</c:v>
                </c:pt>
                <c:pt idx="114">
                  <c:v>1.1274934952298237</c:v>
                </c:pt>
                <c:pt idx="115">
                  <c:v>1.4769765421372738</c:v>
                </c:pt>
                <c:pt idx="116">
                  <c:v>2.1777003484320869</c:v>
                </c:pt>
                <c:pt idx="117">
                  <c:v>1.041666666666669</c:v>
                </c:pt>
                <c:pt idx="118">
                  <c:v>1.5734265734265709</c:v>
                </c:pt>
                <c:pt idx="119">
                  <c:v>2.0140105078809092</c:v>
                </c:pt>
                <c:pt idx="120">
                  <c:v>2.0157756354075467</c:v>
                </c:pt>
                <c:pt idx="121">
                  <c:v>1.6637478108581361</c:v>
                </c:pt>
                <c:pt idx="122">
                  <c:v>0.43365134431916735</c:v>
                </c:pt>
                <c:pt idx="123">
                  <c:v>0.34692107545533885</c:v>
                </c:pt>
                <c:pt idx="124">
                  <c:v>-0.17196904557180179</c:v>
                </c:pt>
                <c:pt idx="125">
                  <c:v>-0.42808219178082646</c:v>
                </c:pt>
                <c:pt idx="126">
                  <c:v>-0.77186963979416523</c:v>
                </c:pt>
                <c:pt idx="127">
                  <c:v>-0.85616438356164359</c:v>
                </c:pt>
                <c:pt idx="128">
                  <c:v>0</c:v>
                </c:pt>
                <c:pt idx="129">
                  <c:v>0.42955326460481352</c:v>
                </c:pt>
                <c:pt idx="130">
                  <c:v>1.2048192771084159</c:v>
                </c:pt>
                <c:pt idx="131">
                  <c:v>1.3733905579399013</c:v>
                </c:pt>
                <c:pt idx="132">
                  <c:v>1.5463917525773068</c:v>
                </c:pt>
                <c:pt idx="133">
                  <c:v>1.5503875968992435</c:v>
                </c:pt>
                <c:pt idx="134">
                  <c:v>2.3316062176165828</c:v>
                </c:pt>
                <c:pt idx="135">
                  <c:v>2.4200518582541042</c:v>
                </c:pt>
                <c:pt idx="136">
                  <c:v>3.0146425495262577</c:v>
                </c:pt>
                <c:pt idx="137">
                  <c:v>3.0954428202923547</c:v>
                </c:pt>
                <c:pt idx="138">
                  <c:v>1.8150388936905739</c:v>
                </c:pt>
                <c:pt idx="139">
                  <c:v>1.9861830742659849</c:v>
                </c:pt>
                <c:pt idx="140">
                  <c:v>1.1082693947144038</c:v>
                </c:pt>
                <c:pt idx="141">
                  <c:v>1.1976047904191423</c:v>
                </c:pt>
                <c:pt idx="142">
                  <c:v>0.85034013605442693</c:v>
                </c:pt>
                <c:pt idx="143">
                  <c:v>0.25402201524133056</c:v>
                </c:pt>
                <c:pt idx="144">
                  <c:v>-0.16920473773265893</c:v>
                </c:pt>
                <c:pt idx="145">
                  <c:v>0.25445292620865123</c:v>
                </c:pt>
                <c:pt idx="146">
                  <c:v>-0.16877637130801917</c:v>
                </c:pt>
                <c:pt idx="147">
                  <c:v>-8.4388185654003633E-2</c:v>
                </c:pt>
                <c:pt idx="148">
                  <c:v>0.41806020066889632</c:v>
                </c:pt>
                <c:pt idx="149">
                  <c:v>-8.3402835696420791E-2</c:v>
                </c:pt>
                <c:pt idx="150">
                  <c:v>0.33955857385399918</c:v>
                </c:pt>
                <c:pt idx="151">
                  <c:v>0.67739204064353931</c:v>
                </c:pt>
                <c:pt idx="152">
                  <c:v>-0.25295109612141414</c:v>
                </c:pt>
                <c:pt idx="153">
                  <c:v>0</c:v>
                </c:pt>
                <c:pt idx="154">
                  <c:v>0.50590219224284028</c:v>
                </c:pt>
                <c:pt idx="155">
                  <c:v>0.67567567567568521</c:v>
                </c:pt>
              </c:numCache>
            </c:numRef>
          </c:val>
          <c:smooth val="1"/>
        </c:ser>
        <c:ser>
          <c:idx val="1"/>
          <c:order val="1"/>
          <c:tx>
            <c:strRef>
              <c:f>'glissements annuels'!$M$3</c:f>
              <c:strCache>
                <c:ptCount val="1"/>
                <c:pt idx="0">
                  <c:v>MAROC</c:v>
                </c:pt>
              </c:strCache>
            </c:strRef>
          </c:tx>
          <c:spPr>
            <a:ln>
              <a:solidFill>
                <a:schemeClr val="accent2">
                  <a:lumMod val="60000"/>
                  <a:lumOff val="40000"/>
                </a:schemeClr>
              </a:solidFill>
            </a:ln>
          </c:spPr>
          <c:marker>
            <c:symbol val="triangle"/>
            <c:size val="5"/>
          </c:marker>
          <c:cat>
            <c:numRef>
              <c:f>'glissements annuels'!$K$4:$K$159</c:f>
              <c:numCache>
                <c:formatCode>mmm\-yy</c:formatCode>
                <c:ptCount val="156"/>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42309</c:v>
                </c:pt>
                <c:pt idx="107">
                  <c:v>42339</c:v>
                </c:pt>
                <c:pt idx="108">
                  <c:v>42370</c:v>
                </c:pt>
                <c:pt idx="109">
                  <c:v>42401</c:v>
                </c:pt>
                <c:pt idx="110">
                  <c:v>42430</c:v>
                </c:pt>
                <c:pt idx="111">
                  <c:v>42461</c:v>
                </c:pt>
                <c:pt idx="112">
                  <c:v>42491</c:v>
                </c:pt>
                <c:pt idx="113">
                  <c:v>42522</c:v>
                </c:pt>
                <c:pt idx="114">
                  <c:v>42552</c:v>
                </c:pt>
                <c:pt idx="115">
                  <c:v>42583</c:v>
                </c:pt>
                <c:pt idx="116">
                  <c:v>42614</c:v>
                </c:pt>
                <c:pt idx="117">
                  <c:v>42644</c:v>
                </c:pt>
                <c:pt idx="118">
                  <c:v>42675</c:v>
                </c:pt>
                <c:pt idx="119">
                  <c:v>42705</c:v>
                </c:pt>
                <c:pt idx="120">
                  <c:v>42736</c:v>
                </c:pt>
                <c:pt idx="121">
                  <c:v>42767</c:v>
                </c:pt>
                <c:pt idx="122">
                  <c:v>42795</c:v>
                </c:pt>
                <c:pt idx="123">
                  <c:v>42826</c:v>
                </c:pt>
                <c:pt idx="124">
                  <c:v>42856</c:v>
                </c:pt>
                <c:pt idx="125">
                  <c:v>42887</c:v>
                </c:pt>
                <c:pt idx="126">
                  <c:v>42917</c:v>
                </c:pt>
                <c:pt idx="127">
                  <c:v>42948</c:v>
                </c:pt>
                <c:pt idx="128">
                  <c:v>42979</c:v>
                </c:pt>
                <c:pt idx="129">
                  <c:v>43009</c:v>
                </c:pt>
                <c:pt idx="130">
                  <c:v>43040</c:v>
                </c:pt>
                <c:pt idx="131">
                  <c:v>43070</c:v>
                </c:pt>
                <c:pt idx="132">
                  <c:v>43101</c:v>
                </c:pt>
                <c:pt idx="133">
                  <c:v>43132</c:v>
                </c:pt>
                <c:pt idx="134">
                  <c:v>43160</c:v>
                </c:pt>
                <c:pt idx="135">
                  <c:v>43191</c:v>
                </c:pt>
                <c:pt idx="136">
                  <c:v>43221</c:v>
                </c:pt>
                <c:pt idx="137">
                  <c:v>43252</c:v>
                </c:pt>
                <c:pt idx="138">
                  <c:v>43282</c:v>
                </c:pt>
                <c:pt idx="139">
                  <c:v>43313</c:v>
                </c:pt>
                <c:pt idx="140">
                  <c:v>43344</c:v>
                </c:pt>
                <c:pt idx="141">
                  <c:v>43374</c:v>
                </c:pt>
                <c:pt idx="142">
                  <c:v>43405</c:v>
                </c:pt>
                <c:pt idx="143">
                  <c:v>43435</c:v>
                </c:pt>
                <c:pt idx="144">
                  <c:v>43466</c:v>
                </c:pt>
                <c:pt idx="145">
                  <c:v>43497</c:v>
                </c:pt>
                <c:pt idx="146">
                  <c:v>43525</c:v>
                </c:pt>
                <c:pt idx="147">
                  <c:v>43556</c:v>
                </c:pt>
                <c:pt idx="148">
                  <c:v>43586</c:v>
                </c:pt>
                <c:pt idx="149">
                  <c:v>43617</c:v>
                </c:pt>
                <c:pt idx="150">
                  <c:v>43647</c:v>
                </c:pt>
                <c:pt idx="151">
                  <c:v>43678</c:v>
                </c:pt>
                <c:pt idx="152">
                  <c:v>43709</c:v>
                </c:pt>
                <c:pt idx="153">
                  <c:v>43739</c:v>
                </c:pt>
                <c:pt idx="154">
                  <c:v>43770</c:v>
                </c:pt>
                <c:pt idx="155">
                  <c:v>43800</c:v>
                </c:pt>
              </c:numCache>
            </c:numRef>
          </c:cat>
          <c:val>
            <c:numRef>
              <c:f>'glissements annuels'!$M$4:$M$159</c:f>
              <c:numCache>
                <c:formatCode>0.0</c:formatCode>
                <c:ptCount val="156"/>
                <c:pt idx="0">
                  <c:v>0.5</c:v>
                </c:pt>
                <c:pt idx="1">
                  <c:v>1</c:v>
                </c:pt>
                <c:pt idx="2">
                  <c:v>1.6</c:v>
                </c:pt>
                <c:pt idx="3">
                  <c:v>2.6</c:v>
                </c:pt>
                <c:pt idx="4">
                  <c:v>1.4</c:v>
                </c:pt>
                <c:pt idx="5">
                  <c:v>1.7</c:v>
                </c:pt>
                <c:pt idx="6">
                  <c:v>1.7</c:v>
                </c:pt>
                <c:pt idx="7">
                  <c:v>2.8</c:v>
                </c:pt>
                <c:pt idx="8">
                  <c:v>4</c:v>
                </c:pt>
                <c:pt idx="9">
                  <c:v>4.3</c:v>
                </c:pt>
                <c:pt idx="10">
                  <c:v>3.6</c:v>
                </c:pt>
                <c:pt idx="11">
                  <c:v>3.8</c:v>
                </c:pt>
                <c:pt idx="12">
                  <c:v>2.0689655172413812</c:v>
                </c:pt>
                <c:pt idx="13">
                  <c:v>2.9702970297029712</c:v>
                </c:pt>
                <c:pt idx="14">
                  <c:v>3.4448818897637787</c:v>
                </c:pt>
                <c:pt idx="15">
                  <c:v>3.3138401559454227</c:v>
                </c:pt>
                <c:pt idx="16">
                  <c:v>5.2268244575936853</c:v>
                </c:pt>
                <c:pt idx="17">
                  <c:v>4.4247787610619467</c:v>
                </c:pt>
                <c:pt idx="18">
                  <c:v>4.6214355948869255</c:v>
                </c:pt>
                <c:pt idx="19">
                  <c:v>4.0856031128404924</c:v>
                </c:pt>
                <c:pt idx="20">
                  <c:v>3.5576923076923279</c:v>
                </c:pt>
                <c:pt idx="21">
                  <c:v>3.2598274209012521</c:v>
                </c:pt>
                <c:pt idx="22">
                  <c:v>3.7644787644787701</c:v>
                </c:pt>
                <c:pt idx="23">
                  <c:v>4.0462427745664824</c:v>
                </c:pt>
                <c:pt idx="24">
                  <c:v>3.4749034749034777</c:v>
                </c:pt>
                <c:pt idx="25">
                  <c:v>3.2692307692307812</c:v>
                </c:pt>
                <c:pt idx="26">
                  <c:v>2.7592768791627078</c:v>
                </c:pt>
                <c:pt idx="27">
                  <c:v>2.4528301886792367</c:v>
                </c:pt>
                <c:pt idx="28">
                  <c:v>0.18744142455483151</c:v>
                </c:pt>
                <c:pt idx="29">
                  <c:v>-0.56497175141243761</c:v>
                </c:pt>
                <c:pt idx="30">
                  <c:v>-0.56390977443610268</c:v>
                </c:pt>
                <c:pt idx="31">
                  <c:v>0.37383177570094417</c:v>
                </c:pt>
                <c:pt idx="32">
                  <c:v>1.949860724233978</c:v>
                </c:pt>
                <c:pt idx="33">
                  <c:v>0.74280408542246712</c:v>
                </c:pt>
                <c:pt idx="34">
                  <c:v>-0.65116279069767702</c:v>
                </c:pt>
                <c:pt idx="35">
                  <c:v>-1.5740740740740766</c:v>
                </c:pt>
                <c:pt idx="36">
                  <c:v>-0.65298507462687627</c:v>
                </c:pt>
                <c:pt idx="37">
                  <c:v>9.3109869646177248E-2</c:v>
                </c:pt>
                <c:pt idx="38">
                  <c:v>0.92592592592592549</c:v>
                </c:pt>
                <c:pt idx="39">
                  <c:v>9.2081031307558459E-2</c:v>
                </c:pt>
                <c:pt idx="40">
                  <c:v>1.6838166510757691</c:v>
                </c:pt>
                <c:pt idx="41">
                  <c:v>1.893939393939382</c:v>
                </c:pt>
                <c:pt idx="42">
                  <c:v>1.1342155009451906</c:v>
                </c:pt>
                <c:pt idx="43">
                  <c:v>0.55865921787709472</c:v>
                </c:pt>
                <c:pt idx="44">
                  <c:v>-0.27322404371584696</c:v>
                </c:pt>
                <c:pt idx="45">
                  <c:v>1.751152073732732</c:v>
                </c:pt>
                <c:pt idx="46">
                  <c:v>2.6217228464419708</c:v>
                </c:pt>
                <c:pt idx="47">
                  <c:v>2.1636876763876005</c:v>
                </c:pt>
                <c:pt idx="48">
                  <c:v>2.1596244131455373</c:v>
                </c:pt>
                <c:pt idx="49">
                  <c:v>2.0465116279069964</c:v>
                </c:pt>
                <c:pt idx="50">
                  <c:v>0.55045871559632509</c:v>
                </c:pt>
                <c:pt idx="51">
                  <c:v>-0.27598896044158172</c:v>
                </c:pt>
                <c:pt idx="52">
                  <c:v>0</c:v>
                </c:pt>
                <c:pt idx="53">
                  <c:v>0.65055762081784652</c:v>
                </c:pt>
                <c:pt idx="54">
                  <c:v>1.7757009345794446</c:v>
                </c:pt>
                <c:pt idx="55">
                  <c:v>2.2222222222222276</c:v>
                </c:pt>
                <c:pt idx="56">
                  <c:v>0.82191780821918836</c:v>
                </c:pt>
                <c:pt idx="57">
                  <c:v>-0.36231884057971825</c:v>
                </c:pt>
                <c:pt idx="58">
                  <c:v>0.4562043795620464</c:v>
                </c:pt>
                <c:pt idx="59">
                  <c:v>0.92081031307550665</c:v>
                </c:pt>
                <c:pt idx="60">
                  <c:v>0.91911764705882371</c:v>
                </c:pt>
                <c:pt idx="61">
                  <c:v>0.36463081130354991</c:v>
                </c:pt>
                <c:pt idx="62">
                  <c:v>0.27372262773723682</c:v>
                </c:pt>
                <c:pt idx="63">
                  <c:v>1.1992619926199155</c:v>
                </c:pt>
                <c:pt idx="64">
                  <c:v>1.0119595216191299</c:v>
                </c:pt>
                <c:pt idx="65">
                  <c:v>1.9390581717451705</c:v>
                </c:pt>
                <c:pt idx="66">
                  <c:v>1.6528925619834771</c:v>
                </c:pt>
                <c:pt idx="67">
                  <c:v>0.9963768115942</c:v>
                </c:pt>
                <c:pt idx="68">
                  <c:v>1.1775362318840554</c:v>
                </c:pt>
                <c:pt idx="69">
                  <c:v>1.8181818181818181</c:v>
                </c:pt>
                <c:pt idx="70">
                  <c:v>1.6348773841961961</c:v>
                </c:pt>
                <c:pt idx="71">
                  <c:v>2.5547445255474592</c:v>
                </c:pt>
                <c:pt idx="72">
                  <c:v>2.5500910746812382</c:v>
                </c:pt>
                <c:pt idx="73">
                  <c:v>2.1798365122615855</c:v>
                </c:pt>
                <c:pt idx="74">
                  <c:v>2.1838034576888004</c:v>
                </c:pt>
                <c:pt idx="75">
                  <c:v>2.3701002734731027</c:v>
                </c:pt>
                <c:pt idx="76">
                  <c:v>2.8233151183971001</c:v>
                </c:pt>
                <c:pt idx="77">
                  <c:v>2.2644927536231885</c:v>
                </c:pt>
                <c:pt idx="78">
                  <c:v>1.6260162601625989</c:v>
                </c:pt>
                <c:pt idx="79">
                  <c:v>1.8834080717488741</c:v>
                </c:pt>
                <c:pt idx="80">
                  <c:v>1.7009847806624689</c:v>
                </c:pt>
                <c:pt idx="81">
                  <c:v>1.5178571428571455</c:v>
                </c:pt>
                <c:pt idx="82">
                  <c:v>0.98302055406612532</c:v>
                </c:pt>
                <c:pt idx="83">
                  <c:v>0.44483985765124551</c:v>
                </c:pt>
                <c:pt idx="84">
                  <c:v>0.53285968028420005</c:v>
                </c:pt>
                <c:pt idx="85">
                  <c:v>0.44444444444444442</c:v>
                </c:pt>
                <c:pt idx="86">
                  <c:v>0.35618878005343596</c:v>
                </c:pt>
                <c:pt idx="87">
                  <c:v>0.44523597506678525</c:v>
                </c:pt>
                <c:pt idx="88">
                  <c:v>-0.26572187776794925</c:v>
                </c:pt>
                <c:pt idx="89">
                  <c:v>-8.8573959255986295E-2</c:v>
                </c:pt>
                <c:pt idx="90">
                  <c:v>0.35555555555556062</c:v>
                </c:pt>
                <c:pt idx="91">
                  <c:v>0</c:v>
                </c:pt>
                <c:pt idx="92">
                  <c:v>8.802816901409341E-2</c:v>
                </c:pt>
                <c:pt idx="93">
                  <c:v>0.61565523306949566</c:v>
                </c:pt>
                <c:pt idx="94">
                  <c:v>1.2389380530973422</c:v>
                </c:pt>
                <c:pt idx="95">
                  <c:v>1.5943312666076146</c:v>
                </c:pt>
                <c:pt idx="96">
                  <c:v>1.5901060070671338</c:v>
                </c:pt>
                <c:pt idx="97">
                  <c:v>1.3274336283185839</c:v>
                </c:pt>
                <c:pt idx="98">
                  <c:v>1.5971606033717809</c:v>
                </c:pt>
                <c:pt idx="99">
                  <c:v>1.6843971631205845</c:v>
                </c:pt>
                <c:pt idx="100">
                  <c:v>2.0426287744227447</c:v>
                </c:pt>
                <c:pt idx="101">
                  <c:v>1.9503546099290805</c:v>
                </c:pt>
                <c:pt idx="102">
                  <c:v>2.3914968999114157</c:v>
                </c:pt>
                <c:pt idx="103">
                  <c:v>1.6725352112676106</c:v>
                </c:pt>
                <c:pt idx="104">
                  <c:v>1.5831134564643774</c:v>
                </c:pt>
                <c:pt idx="105">
                  <c:v>1.3986013986013937</c:v>
                </c:pt>
                <c:pt idx="106">
                  <c:v>0.87412587412588383</c:v>
                </c:pt>
                <c:pt idx="107">
                  <c:v>0.6102877070619025</c:v>
                </c:pt>
                <c:pt idx="108">
                  <c:v>0.26086956521739141</c:v>
                </c:pt>
                <c:pt idx="109">
                  <c:v>0.87336244541484709</c:v>
                </c:pt>
                <c:pt idx="110">
                  <c:v>1.834061135371174</c:v>
                </c:pt>
                <c:pt idx="111">
                  <c:v>1.5693112467305992</c:v>
                </c:pt>
                <c:pt idx="112">
                  <c:v>1.914708442123576</c:v>
                </c:pt>
                <c:pt idx="113">
                  <c:v>2.260869565217408</c:v>
                </c:pt>
                <c:pt idx="114">
                  <c:v>1.5570934256055464</c:v>
                </c:pt>
                <c:pt idx="115">
                  <c:v>1.6450216450216419</c:v>
                </c:pt>
                <c:pt idx="116">
                  <c:v>2.3376623376623398</c:v>
                </c:pt>
                <c:pt idx="117">
                  <c:v>1.637931034482764</c:v>
                </c:pt>
                <c:pt idx="118">
                  <c:v>1.906412478336228</c:v>
                </c:pt>
                <c:pt idx="119">
                  <c:v>1.8197573656845705</c:v>
                </c:pt>
                <c:pt idx="120">
                  <c:v>2.0815264527320294</c:v>
                </c:pt>
                <c:pt idx="121">
                  <c:v>1.6450216450216419</c:v>
                </c:pt>
                <c:pt idx="122">
                  <c:v>8.5763293310470598E-2</c:v>
                </c:pt>
                <c:pt idx="123">
                  <c:v>0.34334763948498342</c:v>
                </c:pt>
                <c:pt idx="124">
                  <c:v>0.341588385994887</c:v>
                </c:pt>
                <c:pt idx="125">
                  <c:v>0.25510204081633353</c:v>
                </c:pt>
                <c:pt idx="126">
                  <c:v>-8.5178875638848822E-2</c:v>
                </c:pt>
                <c:pt idx="127">
                  <c:v>0.25553662691652224</c:v>
                </c:pt>
                <c:pt idx="128">
                  <c:v>0.42301184433164385</c:v>
                </c:pt>
                <c:pt idx="129">
                  <c:v>0.59372349448684369</c:v>
                </c:pt>
                <c:pt idx="130">
                  <c:v>1.2755102040816326</c:v>
                </c:pt>
                <c:pt idx="131">
                  <c:v>1.8723404255319278</c:v>
                </c:pt>
                <c:pt idx="132">
                  <c:v>2.0390824129141767</c:v>
                </c:pt>
                <c:pt idx="133">
                  <c:v>1.7887563884156679</c:v>
                </c:pt>
                <c:pt idx="134">
                  <c:v>2.4850042844901385</c:v>
                </c:pt>
                <c:pt idx="135">
                  <c:v>2.6518391787852797</c:v>
                </c:pt>
                <c:pt idx="136">
                  <c:v>2.6382978723404413</c:v>
                </c:pt>
                <c:pt idx="137">
                  <c:v>2.5445292620865447</c:v>
                </c:pt>
                <c:pt idx="138">
                  <c:v>2.1312872975277082</c:v>
                </c:pt>
                <c:pt idx="139">
                  <c:v>1.6992353440951573</c:v>
                </c:pt>
                <c:pt idx="140">
                  <c:v>1.0951979780960381</c:v>
                </c:pt>
                <c:pt idx="141">
                  <c:v>1.0961214165261479</c:v>
                </c:pt>
                <c:pt idx="142">
                  <c:v>1.3434089000839704</c:v>
                </c:pt>
                <c:pt idx="143">
                  <c:v>8.3542188805341949E-2</c:v>
                </c:pt>
                <c:pt idx="144">
                  <c:v>-0.4995836802664444</c:v>
                </c:pt>
                <c:pt idx="145">
                  <c:v>0</c:v>
                </c:pt>
                <c:pt idx="146">
                  <c:v>-8.3612040133774726E-2</c:v>
                </c:pt>
                <c:pt idx="147">
                  <c:v>0.16666666666666902</c:v>
                </c:pt>
                <c:pt idx="148">
                  <c:v>0.33167495854063689</c:v>
                </c:pt>
                <c:pt idx="149">
                  <c:v>0.24813895781637646</c:v>
                </c:pt>
                <c:pt idx="150">
                  <c:v>0.3338898163606116</c:v>
                </c:pt>
                <c:pt idx="151">
                  <c:v>0.75187969924812215</c:v>
                </c:pt>
                <c:pt idx="152">
                  <c:v>0.24999999999999964</c:v>
                </c:pt>
                <c:pt idx="153">
                  <c:v>0.66722268557130704</c:v>
                </c:pt>
                <c:pt idx="154">
                  <c:v>0.41425020712510358</c:v>
                </c:pt>
                <c:pt idx="155">
                  <c:v>1.1686143572621002</c:v>
                </c:pt>
              </c:numCache>
            </c:numRef>
          </c:val>
          <c:smooth val="1"/>
        </c:ser>
        <c:marker val="1"/>
        <c:axId val="92430336"/>
        <c:axId val="92431872"/>
      </c:lineChart>
      <c:dateAx>
        <c:axId val="92430336"/>
        <c:scaling>
          <c:orientation val="minMax"/>
        </c:scaling>
        <c:axPos val="b"/>
        <c:numFmt formatCode="mmm\-yy" sourceLinked="1"/>
        <c:tickLblPos val="low"/>
        <c:txPr>
          <a:bodyPr/>
          <a:lstStyle/>
          <a:p>
            <a:pPr>
              <a:defRPr sz="800" b="0">
                <a:latin typeface="Times New Roman" pitchFamily="18" charset="0"/>
                <a:cs typeface="Times New Roman" pitchFamily="18" charset="0"/>
              </a:defRPr>
            </a:pPr>
            <a:endParaRPr lang="fr-FR"/>
          </a:p>
        </c:txPr>
        <c:crossAx val="92431872"/>
        <c:crosses val="autoZero"/>
        <c:auto val="1"/>
        <c:lblOffset val="100"/>
      </c:dateAx>
      <c:valAx>
        <c:axId val="92431872"/>
        <c:scaling>
          <c:orientation val="minMax"/>
        </c:scaling>
        <c:axPos val="l"/>
        <c:majorGridlines/>
        <c:numFmt formatCode="0" sourceLinked="0"/>
        <c:tickLblPos val="nextTo"/>
        <c:txPr>
          <a:bodyPr/>
          <a:lstStyle/>
          <a:p>
            <a:pPr>
              <a:defRPr sz="800" b="1"/>
            </a:pPr>
            <a:endParaRPr lang="fr-FR"/>
          </a:p>
        </c:txPr>
        <c:crossAx val="92430336"/>
        <c:crosses val="autoZero"/>
        <c:crossBetween val="between"/>
      </c:valAx>
    </c:plotArea>
    <c:legend>
      <c:legendPos val="r"/>
      <c:layout>
        <c:manualLayout>
          <c:xMode val="edge"/>
          <c:yMode val="edge"/>
          <c:x val="0.55485644692575753"/>
          <c:y val="0.85679366394990164"/>
          <c:w val="0.39458407921586414"/>
          <c:h val="3.5966967543691185E-2"/>
        </c:manualLayout>
      </c:layout>
      <c:txPr>
        <a:bodyPr/>
        <a:lstStyle/>
        <a:p>
          <a:pPr>
            <a:defRPr sz="800" b="1">
              <a:latin typeface="Times New Roman" pitchFamily="18" charset="0"/>
              <a:cs typeface="Times New Roman" pitchFamily="18" charset="0"/>
            </a:defRPr>
          </a:pPr>
          <a:endParaRPr lang="fr-FR"/>
        </a:p>
      </c:txPr>
    </c:legend>
    <c:plotVisOnly val="1"/>
  </c:chart>
  <c:spPr>
    <a:solidFill>
      <a:schemeClr val="accent1">
        <a:lumMod val="40000"/>
        <a:lumOff val="60000"/>
      </a:schemeClr>
    </a:solidFill>
  </c:sp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Année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B69D03-9D3D-48DC-8418-5CFC9D8ED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53</Pages>
  <Words>11433</Words>
  <Characters>62887</Characters>
  <Application>Microsoft Office Word</Application>
  <DocSecurity>0</DocSecurity>
  <Lines>524</Lines>
  <Paragraphs>148</Paragraphs>
  <ScaleCrop>false</ScaleCrop>
  <HeadingPairs>
    <vt:vector size="2" baseType="variant">
      <vt:variant>
        <vt:lpstr>Titre</vt:lpstr>
      </vt:variant>
      <vt:variant>
        <vt:i4>1</vt:i4>
      </vt:variant>
    </vt:vector>
  </HeadingPairs>
  <TitlesOfParts>
    <vt:vector size="1" baseType="lpstr">
      <vt:lpstr>Indice des Prix à la Consommation (Base100:2006)           ville de Kenitra</vt:lpstr>
    </vt:vector>
  </TitlesOfParts>
  <Company>Sweet</Company>
  <LinksUpToDate>false</LinksUpToDate>
  <CharactersWithSpaces>74172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Indice des Prix à la Consommation (Base100:2006)           ville de Kenitra</dc:title>
  <dc:subject>Rapport annuel</dc:subject>
  <dc:creator>SWEET</dc:creator>
  <cp:lastModifiedBy>hp</cp:lastModifiedBy>
  <cp:revision>26</cp:revision>
  <cp:lastPrinted>2020-10-08T11:31:00Z</cp:lastPrinted>
  <dcterms:created xsi:type="dcterms:W3CDTF">2020-09-01T12:19:00Z</dcterms:created>
  <dcterms:modified xsi:type="dcterms:W3CDTF">2020-10-22T11:16:00Z</dcterms:modified>
</cp:coreProperties>
</file>