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4308006"/>
        <w:docPartObj>
          <w:docPartGallery w:val="Cover Pages"/>
          <w:docPartUnique/>
        </w:docPartObj>
      </w:sdtPr>
      <w:sdtEndPr>
        <w:rPr>
          <w:rFonts w:asciiTheme="minorHAnsi" w:eastAsiaTheme="minorHAnsi" w:hAnsiTheme="minorHAnsi" w:cstheme="minorBidi"/>
          <w:b/>
          <w:bCs/>
        </w:rPr>
      </w:sdtEndPr>
      <w:sdtContent>
        <w:tbl>
          <w:tblPr>
            <w:tblpPr w:leftFromText="187" w:rightFromText="187" w:horzAnchor="margin" w:tblpXSpec="center" w:tblpY="2881"/>
            <w:tblW w:w="4239" w:type="pct"/>
            <w:tblBorders>
              <w:left w:val="single" w:sz="18" w:space="0" w:color="4F81BD" w:themeColor="accent1"/>
            </w:tblBorders>
            <w:tblLook w:val="04A0"/>
          </w:tblPr>
          <w:tblGrid>
            <w:gridCol w:w="8007"/>
          </w:tblGrid>
          <w:tr w:rsidR="007B49E0" w:rsidTr="003F5F7D">
            <w:tc>
              <w:tcPr>
                <w:tcW w:w="8007" w:type="dxa"/>
                <w:tcMar>
                  <w:top w:w="216" w:type="dxa"/>
                  <w:left w:w="115" w:type="dxa"/>
                  <w:bottom w:w="216" w:type="dxa"/>
                  <w:right w:w="115" w:type="dxa"/>
                </w:tcMar>
              </w:tcPr>
              <w:p w:rsidR="007B49E0" w:rsidRDefault="007B49E0">
                <w:pPr>
                  <w:pStyle w:val="Sansinterligne"/>
                  <w:rPr>
                    <w:rFonts w:asciiTheme="majorHAnsi" w:eastAsiaTheme="majorEastAsia" w:hAnsiTheme="majorHAnsi" w:cstheme="majorBidi"/>
                  </w:rPr>
                </w:pPr>
              </w:p>
            </w:tc>
          </w:tr>
          <w:tr w:rsidR="007B49E0" w:rsidTr="003F5F7D">
            <w:tc>
              <w:tcPr>
                <w:tcW w:w="8007" w:type="dxa"/>
              </w:tcPr>
              <w:sdt>
                <w:sdtPr>
                  <w:rPr>
                    <w:rFonts w:asciiTheme="majorHAnsi" w:eastAsiaTheme="majorEastAsia" w:hAnsiTheme="majorHAnsi" w:cstheme="majorBidi"/>
                    <w:b/>
                    <w:bCs/>
                    <w:sz w:val="32"/>
                    <w:szCs w:val="32"/>
                  </w:rPr>
                  <w:alias w:val="Titre"/>
                  <w:id w:val="13406919"/>
                  <w:dataBinding w:prefixMappings="xmlns:ns0='http://schemas.openxmlformats.org/package/2006/metadata/core-properties' xmlns:ns1='http://purl.org/dc/elements/1.1/'" w:xpath="/ns0:coreProperties[1]/ns1:title[1]" w:storeItemID="{6C3C8BC8-F283-45AE-878A-BAB7291924A1}"/>
                  <w:text/>
                </w:sdtPr>
                <w:sdtContent>
                  <w:p w:rsidR="007B49E0" w:rsidRDefault="008B74DA" w:rsidP="003F5F7D">
                    <w:pPr>
                      <w:pStyle w:val="Sansinterligne"/>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b/>
                        <w:bCs/>
                        <w:sz w:val="32"/>
                        <w:szCs w:val="32"/>
                      </w:rPr>
                      <w:t>Indice des Prix à la Consommation (Base100:2006)           ville de Kenitra</w:t>
                    </w:r>
                  </w:p>
                </w:sdtContent>
              </w:sdt>
            </w:tc>
          </w:tr>
          <w:tr w:rsidR="007B49E0" w:rsidTr="003F5F7D">
            <w:sdt>
              <w:sdtPr>
                <w:rPr>
                  <w:rFonts w:asciiTheme="majorHAnsi" w:eastAsiaTheme="majorEastAsia" w:hAnsiTheme="majorHAnsi" w:cstheme="majorBidi"/>
                  <w:b/>
                  <w:bCs/>
                  <w:sz w:val="28"/>
                  <w:szCs w:val="28"/>
                </w:rPr>
                <w:alias w:val="Sous-titre"/>
                <w:id w:val="13406923"/>
                <w:dataBinding w:prefixMappings="xmlns:ns0='http://schemas.openxmlformats.org/package/2006/metadata/core-properties' xmlns:ns1='http://purl.org/dc/elements/1.1/'" w:xpath="/ns0:coreProperties[1]/ns1:subject[1]" w:storeItemID="{6C3C8BC8-F283-45AE-878A-BAB7291924A1}"/>
                <w:text/>
              </w:sdtPr>
              <w:sdtContent>
                <w:tc>
                  <w:tcPr>
                    <w:tcW w:w="8007" w:type="dxa"/>
                    <w:tcMar>
                      <w:top w:w="216" w:type="dxa"/>
                      <w:left w:w="115" w:type="dxa"/>
                      <w:bottom w:w="216" w:type="dxa"/>
                      <w:right w:w="115" w:type="dxa"/>
                    </w:tcMar>
                  </w:tcPr>
                  <w:p w:rsidR="007B49E0" w:rsidRPr="007B49E0" w:rsidRDefault="008B74DA" w:rsidP="007B49E0">
                    <w:pPr>
                      <w:pStyle w:val="Sansinterligne"/>
                      <w:rPr>
                        <w:rFonts w:asciiTheme="majorHAnsi" w:eastAsiaTheme="majorEastAsia" w:hAnsiTheme="majorHAnsi" w:cstheme="majorBidi"/>
                        <w:sz w:val="28"/>
                        <w:szCs w:val="28"/>
                      </w:rPr>
                    </w:pPr>
                    <w:r>
                      <w:rPr>
                        <w:rFonts w:asciiTheme="majorHAnsi" w:eastAsiaTheme="majorEastAsia" w:hAnsiTheme="majorHAnsi" w:cstheme="majorBidi"/>
                        <w:b/>
                        <w:bCs/>
                        <w:sz w:val="28"/>
                        <w:szCs w:val="28"/>
                      </w:rPr>
                      <w:t>Rapport annuel</w:t>
                    </w:r>
                  </w:p>
                </w:tc>
              </w:sdtContent>
            </w:sdt>
          </w:tr>
        </w:tbl>
        <w:p w:rsidR="007B49E0" w:rsidRDefault="007B49E0"/>
        <w:p w:rsidR="007B49E0" w:rsidRDefault="007B49E0"/>
        <w:tbl>
          <w:tblPr>
            <w:tblpPr w:leftFromText="187" w:rightFromText="187" w:horzAnchor="margin" w:tblpXSpec="center" w:tblpYSpec="bottom"/>
            <w:tblW w:w="4000" w:type="pct"/>
            <w:tblLook w:val="04A0"/>
          </w:tblPr>
          <w:tblGrid>
            <w:gridCol w:w="7555"/>
          </w:tblGrid>
          <w:tr w:rsidR="007B49E0">
            <w:tc>
              <w:tcPr>
                <w:tcW w:w="7672" w:type="dxa"/>
                <w:tcMar>
                  <w:top w:w="216" w:type="dxa"/>
                  <w:left w:w="115" w:type="dxa"/>
                  <w:bottom w:w="216" w:type="dxa"/>
                  <w:right w:w="115" w:type="dxa"/>
                </w:tcMar>
              </w:tcPr>
              <w:sdt>
                <w:sdtPr>
                  <w:rPr>
                    <w:b/>
                    <w:bCs/>
                    <w:color w:val="4F81BD" w:themeColor="accent1"/>
                    <w:sz w:val="24"/>
                    <w:szCs w:val="24"/>
                  </w:rPr>
                  <w:alias w:val="Date"/>
                  <w:id w:val="13406932"/>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7B49E0" w:rsidRPr="007B49E0" w:rsidRDefault="008B74DA" w:rsidP="007B49E0">
                    <w:pPr>
                      <w:pStyle w:val="Sansinterligne"/>
                      <w:rPr>
                        <w:b/>
                        <w:bCs/>
                        <w:color w:val="4F81BD" w:themeColor="accent1"/>
                        <w:sz w:val="24"/>
                        <w:szCs w:val="24"/>
                      </w:rPr>
                    </w:pPr>
                    <w:r>
                      <w:rPr>
                        <w:b/>
                        <w:bCs/>
                        <w:sz w:val="24"/>
                        <w:szCs w:val="24"/>
                      </w:rPr>
                      <w:t>Année 2017</w:t>
                    </w:r>
                  </w:p>
                </w:sdtContent>
              </w:sdt>
              <w:p w:rsidR="007B49E0" w:rsidRPr="007B49E0" w:rsidRDefault="007B49E0">
                <w:pPr>
                  <w:pStyle w:val="Sansinterligne"/>
                  <w:rPr>
                    <w:b/>
                    <w:bCs/>
                    <w:color w:val="4F81BD" w:themeColor="accent1"/>
                    <w:sz w:val="24"/>
                    <w:szCs w:val="24"/>
                  </w:rPr>
                </w:pPr>
              </w:p>
            </w:tc>
          </w:tr>
        </w:tbl>
        <w:p w:rsidR="007B49E0" w:rsidRDefault="007B49E0"/>
        <w:p w:rsidR="007B49E0" w:rsidRDefault="007B49E0">
          <w:r>
            <w:rPr>
              <w:b/>
              <w:bCs/>
            </w:rPr>
            <w:br w:type="page"/>
          </w:r>
        </w:p>
      </w:sdtContent>
    </w:sdt>
    <w:sdt>
      <w:sdtPr>
        <w:rPr>
          <w:rFonts w:asciiTheme="minorHAnsi" w:eastAsiaTheme="minorHAnsi" w:hAnsiTheme="minorHAnsi" w:cstheme="minorBidi"/>
          <w:b w:val="0"/>
          <w:bCs w:val="0"/>
          <w:color w:val="auto"/>
          <w:sz w:val="22"/>
          <w:szCs w:val="22"/>
        </w:rPr>
        <w:id w:val="1569297"/>
        <w:docPartObj>
          <w:docPartGallery w:val="Table of Contents"/>
          <w:docPartUnique/>
        </w:docPartObj>
      </w:sdtPr>
      <w:sdtContent>
        <w:p w:rsidR="00832702" w:rsidRDefault="00832702" w:rsidP="00132051">
          <w:pPr>
            <w:pStyle w:val="En-ttedetabledesmatires"/>
          </w:pPr>
          <w:r>
            <w:t>S</w:t>
          </w:r>
          <w:r w:rsidR="00132051">
            <w:t>OMMAIRE</w:t>
          </w:r>
        </w:p>
        <w:p w:rsidR="008B74DA" w:rsidRPr="008B74DA" w:rsidRDefault="001022E9">
          <w:pPr>
            <w:pStyle w:val="TM1"/>
            <w:tabs>
              <w:tab w:val="right" w:leader="dot" w:pos="9204"/>
            </w:tabs>
            <w:rPr>
              <w:rFonts w:asciiTheme="majorBidi" w:eastAsiaTheme="minorEastAsia" w:hAnsiTheme="majorBidi" w:cstheme="majorBidi"/>
              <w:noProof/>
              <w:lang w:eastAsia="fr-FR"/>
            </w:rPr>
          </w:pPr>
          <w:r>
            <w:fldChar w:fldCharType="begin"/>
          </w:r>
          <w:r w:rsidR="00FC4512">
            <w:instrText xml:space="preserve"> TOC \o "1-4" \h \z \u </w:instrText>
          </w:r>
          <w:r>
            <w:fldChar w:fldCharType="separate"/>
          </w:r>
          <w:hyperlink w:anchor="_Toc515273991" w:history="1">
            <w:r w:rsidR="008B74DA" w:rsidRPr="008B74DA">
              <w:rPr>
                <w:rStyle w:val="Lienhypertexte"/>
                <w:rFonts w:asciiTheme="majorBidi" w:hAnsiTheme="majorBidi" w:cstheme="majorBidi"/>
                <w:noProof/>
              </w:rPr>
              <w:t>Liste des tableaux</w:t>
            </w:r>
            <w:r w:rsidR="008B74DA" w:rsidRPr="008B74DA">
              <w:rPr>
                <w:rFonts w:asciiTheme="majorBidi" w:hAnsiTheme="majorBidi" w:cstheme="majorBidi"/>
                <w:noProof/>
                <w:webHidden/>
              </w:rPr>
              <w:tab/>
            </w:r>
            <w:r w:rsidR="008B74DA"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_Toc515273991 \h </w:instrText>
            </w:r>
            <w:r w:rsidR="008B74DA" w:rsidRPr="008B74DA">
              <w:rPr>
                <w:rFonts w:asciiTheme="majorBidi" w:hAnsiTheme="majorBidi" w:cstheme="majorBidi"/>
                <w:noProof/>
                <w:webHidden/>
              </w:rPr>
            </w:r>
            <w:r w:rsidR="008B74DA" w:rsidRPr="008B74DA">
              <w:rPr>
                <w:rFonts w:asciiTheme="majorBidi" w:hAnsiTheme="majorBidi" w:cstheme="majorBidi"/>
                <w:noProof/>
                <w:webHidden/>
              </w:rPr>
              <w:fldChar w:fldCharType="separate"/>
            </w:r>
            <w:r w:rsidR="00156FC8">
              <w:rPr>
                <w:rFonts w:asciiTheme="majorBidi" w:hAnsiTheme="majorBidi" w:cstheme="majorBidi"/>
                <w:noProof/>
                <w:webHidden/>
              </w:rPr>
              <w:t>3</w:t>
            </w:r>
            <w:r w:rsidR="008B74DA" w:rsidRPr="008B74DA">
              <w:rPr>
                <w:rFonts w:asciiTheme="majorBidi" w:hAnsiTheme="majorBidi" w:cstheme="majorBidi"/>
                <w:noProof/>
                <w:webHidden/>
              </w:rPr>
              <w:fldChar w:fldCharType="end"/>
            </w:r>
          </w:hyperlink>
        </w:p>
        <w:p w:rsidR="008B74DA" w:rsidRPr="008B74DA" w:rsidRDefault="008B74DA">
          <w:pPr>
            <w:pStyle w:val="TM1"/>
            <w:tabs>
              <w:tab w:val="right" w:leader="dot" w:pos="9204"/>
            </w:tabs>
            <w:rPr>
              <w:rFonts w:asciiTheme="majorBidi" w:eastAsiaTheme="minorEastAsia" w:hAnsiTheme="majorBidi" w:cstheme="majorBidi"/>
              <w:noProof/>
              <w:lang w:eastAsia="fr-FR"/>
            </w:rPr>
          </w:pPr>
          <w:hyperlink w:anchor="_Toc515273992" w:history="1">
            <w:r w:rsidRPr="008B74DA">
              <w:rPr>
                <w:rStyle w:val="Lienhypertexte"/>
                <w:rFonts w:asciiTheme="majorBidi" w:hAnsiTheme="majorBidi" w:cstheme="majorBidi"/>
                <w:noProof/>
              </w:rPr>
              <w:t>Liste des graphiques</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_Toc515273992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4</w:t>
            </w:r>
            <w:r w:rsidRPr="008B74DA">
              <w:rPr>
                <w:rFonts w:asciiTheme="majorBidi" w:hAnsiTheme="majorBidi" w:cstheme="majorBidi"/>
                <w:noProof/>
                <w:webHidden/>
              </w:rPr>
              <w:fldChar w:fldCharType="end"/>
            </w:r>
          </w:hyperlink>
        </w:p>
        <w:p w:rsidR="008B74DA" w:rsidRPr="008B74DA" w:rsidRDefault="008B74DA">
          <w:pPr>
            <w:pStyle w:val="TM1"/>
            <w:tabs>
              <w:tab w:val="right" w:leader="dot" w:pos="9204"/>
            </w:tabs>
            <w:rPr>
              <w:rFonts w:asciiTheme="majorBidi" w:eastAsiaTheme="minorEastAsia" w:hAnsiTheme="majorBidi" w:cstheme="majorBidi"/>
              <w:noProof/>
              <w:lang w:eastAsia="fr-FR"/>
            </w:rPr>
          </w:pPr>
          <w:hyperlink w:anchor="_Toc515273993" w:history="1">
            <w:r w:rsidRPr="008B74DA">
              <w:rPr>
                <w:rStyle w:val="Lienhypertexte"/>
                <w:rFonts w:asciiTheme="majorBidi" w:hAnsiTheme="majorBidi" w:cstheme="majorBidi"/>
                <w:noProof/>
              </w:rPr>
              <w:t>Listes des tableaux annexes</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_Toc515273993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w:t>
            </w:r>
            <w:r w:rsidRPr="008B74DA">
              <w:rPr>
                <w:rFonts w:asciiTheme="majorBidi" w:hAnsiTheme="majorBidi" w:cstheme="majorBidi"/>
                <w:noProof/>
                <w:webHidden/>
              </w:rPr>
              <w:fldChar w:fldCharType="end"/>
            </w:r>
          </w:hyperlink>
        </w:p>
        <w:p w:rsidR="008B74DA" w:rsidRPr="008B74DA" w:rsidRDefault="008B74DA">
          <w:pPr>
            <w:pStyle w:val="TM1"/>
            <w:tabs>
              <w:tab w:val="right" w:leader="dot" w:pos="9204"/>
            </w:tabs>
            <w:rPr>
              <w:rFonts w:asciiTheme="majorBidi" w:eastAsiaTheme="minorEastAsia" w:hAnsiTheme="majorBidi" w:cstheme="majorBidi"/>
              <w:noProof/>
              <w:lang w:eastAsia="fr-FR"/>
            </w:rPr>
          </w:pPr>
          <w:hyperlink w:anchor="_Toc515273994" w:history="1">
            <w:r w:rsidRPr="008B74DA">
              <w:rPr>
                <w:rStyle w:val="Lienhypertexte"/>
                <w:rFonts w:asciiTheme="majorBidi" w:hAnsiTheme="majorBidi" w:cstheme="majorBidi"/>
                <w:noProof/>
              </w:rPr>
              <w:t>Introduction</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_Toc515273994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9</w:t>
            </w:r>
            <w:r w:rsidRPr="008B74DA">
              <w:rPr>
                <w:rFonts w:asciiTheme="majorBidi" w:hAnsiTheme="majorBidi" w:cstheme="majorBidi"/>
                <w:noProof/>
                <w:webHidden/>
              </w:rPr>
              <w:fldChar w:fldCharType="end"/>
            </w:r>
          </w:hyperlink>
        </w:p>
        <w:p w:rsidR="008B74DA" w:rsidRPr="008B74DA" w:rsidRDefault="008B74DA">
          <w:pPr>
            <w:pStyle w:val="TM1"/>
            <w:tabs>
              <w:tab w:val="right" w:leader="dot" w:pos="9204"/>
            </w:tabs>
            <w:rPr>
              <w:rFonts w:asciiTheme="majorBidi" w:eastAsiaTheme="minorEastAsia" w:hAnsiTheme="majorBidi" w:cstheme="majorBidi"/>
              <w:noProof/>
              <w:lang w:eastAsia="fr-FR"/>
            </w:rPr>
          </w:pPr>
          <w:hyperlink w:anchor="_Toc515273995" w:history="1">
            <w:r w:rsidRPr="008B74DA">
              <w:rPr>
                <w:rStyle w:val="Lienhypertexte"/>
                <w:rFonts w:asciiTheme="majorBidi" w:hAnsiTheme="majorBidi" w:cstheme="majorBidi"/>
                <w:noProof/>
              </w:rPr>
              <w:t>II- Méthodologie de l’Indice des Prix à la Consommation (Base 100:2006)</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_Toc515273995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17</w:t>
            </w:r>
            <w:r w:rsidRPr="008B74DA">
              <w:rPr>
                <w:rFonts w:asciiTheme="majorBidi" w:hAnsiTheme="majorBidi" w:cstheme="majorBidi"/>
                <w:noProof/>
                <w:webHidden/>
              </w:rPr>
              <w:fldChar w:fldCharType="end"/>
            </w:r>
          </w:hyperlink>
        </w:p>
        <w:p w:rsidR="008B74DA" w:rsidRPr="008B74DA" w:rsidRDefault="008B74DA">
          <w:pPr>
            <w:pStyle w:val="TM2"/>
            <w:tabs>
              <w:tab w:val="right" w:leader="dot" w:pos="9204"/>
            </w:tabs>
            <w:rPr>
              <w:rFonts w:asciiTheme="majorBidi" w:eastAsiaTheme="minorEastAsia" w:hAnsiTheme="majorBidi" w:cstheme="majorBidi"/>
              <w:noProof/>
              <w:lang w:eastAsia="fr-FR"/>
            </w:rPr>
          </w:pPr>
          <w:hyperlink w:anchor="_Toc515273996" w:history="1">
            <w:r w:rsidRPr="008B74DA">
              <w:rPr>
                <w:rStyle w:val="Lienhypertexte"/>
                <w:rFonts w:asciiTheme="majorBidi" w:hAnsiTheme="majorBidi" w:cstheme="majorBidi"/>
                <w:noProof/>
              </w:rPr>
              <w:t>II-1 Définition et objectifs</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_Toc515273996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17</w:t>
            </w:r>
            <w:r w:rsidRPr="008B74DA">
              <w:rPr>
                <w:rFonts w:asciiTheme="majorBidi" w:hAnsiTheme="majorBidi" w:cstheme="majorBidi"/>
                <w:noProof/>
                <w:webHidden/>
              </w:rPr>
              <w:fldChar w:fldCharType="end"/>
            </w:r>
          </w:hyperlink>
        </w:p>
        <w:p w:rsidR="008B74DA" w:rsidRPr="008B74DA" w:rsidRDefault="008B74DA">
          <w:pPr>
            <w:pStyle w:val="TM3"/>
            <w:tabs>
              <w:tab w:val="right" w:leader="dot" w:pos="9204"/>
            </w:tabs>
            <w:rPr>
              <w:rFonts w:asciiTheme="majorBidi" w:eastAsiaTheme="minorEastAsia" w:hAnsiTheme="majorBidi" w:cstheme="majorBidi"/>
              <w:noProof/>
              <w:lang w:eastAsia="fr-FR"/>
            </w:rPr>
          </w:pPr>
          <w:hyperlink w:anchor="_Toc515273997" w:history="1">
            <w:r w:rsidRPr="008B74DA">
              <w:rPr>
                <w:rStyle w:val="Lienhypertexte"/>
                <w:rFonts w:asciiTheme="majorBidi" w:hAnsiTheme="majorBidi" w:cstheme="majorBidi"/>
                <w:noProof/>
              </w:rPr>
              <w:t>II-1-1 Définition</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_Toc515273997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17</w:t>
            </w:r>
            <w:r w:rsidRPr="008B74DA">
              <w:rPr>
                <w:rFonts w:asciiTheme="majorBidi" w:hAnsiTheme="majorBidi" w:cstheme="majorBidi"/>
                <w:noProof/>
                <w:webHidden/>
              </w:rPr>
              <w:fldChar w:fldCharType="end"/>
            </w:r>
          </w:hyperlink>
        </w:p>
        <w:p w:rsidR="008B74DA" w:rsidRPr="008B74DA" w:rsidRDefault="008B74DA">
          <w:pPr>
            <w:pStyle w:val="TM3"/>
            <w:tabs>
              <w:tab w:val="right" w:leader="dot" w:pos="9204"/>
            </w:tabs>
            <w:rPr>
              <w:rFonts w:asciiTheme="majorBidi" w:eastAsiaTheme="minorEastAsia" w:hAnsiTheme="majorBidi" w:cstheme="majorBidi"/>
              <w:noProof/>
              <w:lang w:eastAsia="fr-FR"/>
            </w:rPr>
          </w:pPr>
          <w:hyperlink w:anchor="_Toc515273998" w:history="1">
            <w:r w:rsidRPr="008B74DA">
              <w:rPr>
                <w:rStyle w:val="Lienhypertexte"/>
                <w:rFonts w:asciiTheme="majorBidi" w:hAnsiTheme="majorBidi" w:cstheme="majorBidi"/>
                <w:noProof/>
              </w:rPr>
              <w:t>II-1-2 Objectifs</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_Toc515273998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17</w:t>
            </w:r>
            <w:r w:rsidRPr="008B74DA">
              <w:rPr>
                <w:rFonts w:asciiTheme="majorBidi" w:hAnsiTheme="majorBidi" w:cstheme="majorBidi"/>
                <w:noProof/>
                <w:webHidden/>
              </w:rPr>
              <w:fldChar w:fldCharType="end"/>
            </w:r>
          </w:hyperlink>
        </w:p>
        <w:p w:rsidR="008B74DA" w:rsidRPr="008B74DA" w:rsidRDefault="008B74DA">
          <w:pPr>
            <w:pStyle w:val="TM2"/>
            <w:tabs>
              <w:tab w:val="right" w:leader="dot" w:pos="9204"/>
            </w:tabs>
            <w:rPr>
              <w:rFonts w:asciiTheme="majorBidi" w:eastAsiaTheme="minorEastAsia" w:hAnsiTheme="majorBidi" w:cstheme="majorBidi"/>
              <w:noProof/>
              <w:lang w:eastAsia="fr-FR"/>
            </w:rPr>
          </w:pPr>
          <w:hyperlink w:anchor="_Toc515273999" w:history="1">
            <w:r w:rsidRPr="008B74DA">
              <w:rPr>
                <w:rStyle w:val="Lienhypertexte"/>
                <w:rFonts w:asciiTheme="majorBidi" w:hAnsiTheme="majorBidi" w:cstheme="majorBidi"/>
                <w:noProof/>
              </w:rPr>
              <w:t>II-2 Couverture de l’IPC</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_Toc515273999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17</w:t>
            </w:r>
            <w:r w:rsidRPr="008B74DA">
              <w:rPr>
                <w:rFonts w:asciiTheme="majorBidi" w:hAnsiTheme="majorBidi" w:cstheme="majorBidi"/>
                <w:noProof/>
                <w:webHidden/>
              </w:rPr>
              <w:fldChar w:fldCharType="end"/>
            </w:r>
          </w:hyperlink>
        </w:p>
        <w:p w:rsidR="008B74DA" w:rsidRPr="008B74DA" w:rsidRDefault="008B74DA">
          <w:pPr>
            <w:pStyle w:val="TM2"/>
            <w:tabs>
              <w:tab w:val="right" w:leader="dot" w:pos="9204"/>
            </w:tabs>
            <w:rPr>
              <w:rFonts w:asciiTheme="majorBidi" w:eastAsiaTheme="minorEastAsia" w:hAnsiTheme="majorBidi" w:cstheme="majorBidi"/>
              <w:noProof/>
              <w:lang w:eastAsia="fr-FR"/>
            </w:rPr>
          </w:pPr>
          <w:hyperlink w:anchor="_Toc515274000" w:history="1">
            <w:r w:rsidRPr="008B74DA">
              <w:rPr>
                <w:rStyle w:val="Lienhypertexte"/>
                <w:rFonts w:asciiTheme="majorBidi" w:hAnsiTheme="majorBidi" w:cstheme="majorBidi"/>
                <w:noProof/>
              </w:rPr>
              <w:t>II-3 Panier de l’indice</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_Toc515274000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17</w:t>
            </w:r>
            <w:r w:rsidRPr="008B74DA">
              <w:rPr>
                <w:rFonts w:asciiTheme="majorBidi" w:hAnsiTheme="majorBidi" w:cstheme="majorBidi"/>
                <w:noProof/>
                <w:webHidden/>
              </w:rPr>
              <w:fldChar w:fldCharType="end"/>
            </w:r>
          </w:hyperlink>
        </w:p>
        <w:p w:rsidR="008B74DA" w:rsidRPr="008B74DA" w:rsidRDefault="008B74DA">
          <w:pPr>
            <w:pStyle w:val="TM2"/>
            <w:tabs>
              <w:tab w:val="right" w:leader="dot" w:pos="9204"/>
            </w:tabs>
            <w:rPr>
              <w:rFonts w:asciiTheme="majorBidi" w:eastAsiaTheme="minorEastAsia" w:hAnsiTheme="majorBidi" w:cstheme="majorBidi"/>
              <w:noProof/>
              <w:lang w:eastAsia="fr-FR"/>
            </w:rPr>
          </w:pPr>
          <w:hyperlink w:anchor="_Toc515274001" w:history="1">
            <w:r w:rsidRPr="008B74DA">
              <w:rPr>
                <w:rStyle w:val="Lienhypertexte"/>
                <w:rFonts w:asciiTheme="majorBidi" w:hAnsiTheme="majorBidi" w:cstheme="majorBidi"/>
                <w:noProof/>
                <w:lang w:val="en-US"/>
              </w:rPr>
              <w:t xml:space="preserve">II-4 </w:t>
            </w:r>
            <w:r w:rsidRPr="008B74DA">
              <w:rPr>
                <w:rStyle w:val="Lienhypertexte"/>
                <w:rFonts w:asciiTheme="majorBidi" w:hAnsiTheme="majorBidi" w:cstheme="majorBidi"/>
                <w:noProof/>
              </w:rPr>
              <w:t>Pondérations</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_Toc515274001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18</w:t>
            </w:r>
            <w:r w:rsidRPr="008B74DA">
              <w:rPr>
                <w:rFonts w:asciiTheme="majorBidi" w:hAnsiTheme="majorBidi" w:cstheme="majorBidi"/>
                <w:noProof/>
                <w:webHidden/>
              </w:rPr>
              <w:fldChar w:fldCharType="end"/>
            </w:r>
          </w:hyperlink>
        </w:p>
        <w:p w:rsidR="008B74DA" w:rsidRPr="008B74DA" w:rsidRDefault="008B74DA">
          <w:pPr>
            <w:pStyle w:val="TM2"/>
            <w:tabs>
              <w:tab w:val="right" w:leader="dot" w:pos="9204"/>
            </w:tabs>
            <w:rPr>
              <w:rFonts w:asciiTheme="majorBidi" w:eastAsiaTheme="minorEastAsia" w:hAnsiTheme="majorBidi" w:cstheme="majorBidi"/>
              <w:noProof/>
              <w:lang w:eastAsia="fr-FR"/>
            </w:rPr>
          </w:pPr>
          <w:hyperlink w:anchor="_Toc515274002" w:history="1">
            <w:r w:rsidRPr="008B74DA">
              <w:rPr>
                <w:rStyle w:val="Lienhypertexte"/>
                <w:rFonts w:asciiTheme="majorBidi" w:hAnsiTheme="majorBidi" w:cstheme="majorBidi"/>
                <w:noProof/>
              </w:rPr>
              <w:t>II-5 Collecte des prix</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_Toc515274002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19</w:t>
            </w:r>
            <w:r w:rsidRPr="008B74DA">
              <w:rPr>
                <w:rFonts w:asciiTheme="majorBidi" w:hAnsiTheme="majorBidi" w:cstheme="majorBidi"/>
                <w:noProof/>
                <w:webHidden/>
              </w:rPr>
              <w:fldChar w:fldCharType="end"/>
            </w:r>
          </w:hyperlink>
        </w:p>
        <w:p w:rsidR="008B74DA" w:rsidRPr="008B74DA" w:rsidRDefault="008B74DA">
          <w:pPr>
            <w:pStyle w:val="TM3"/>
            <w:tabs>
              <w:tab w:val="right" w:leader="dot" w:pos="9204"/>
            </w:tabs>
            <w:rPr>
              <w:rFonts w:asciiTheme="majorBidi" w:eastAsiaTheme="minorEastAsia" w:hAnsiTheme="majorBidi" w:cstheme="majorBidi"/>
              <w:noProof/>
              <w:lang w:eastAsia="fr-FR"/>
            </w:rPr>
          </w:pPr>
          <w:hyperlink w:anchor="_Toc515274003" w:history="1">
            <w:r w:rsidRPr="008B74DA">
              <w:rPr>
                <w:rStyle w:val="Lienhypertexte"/>
                <w:rFonts w:asciiTheme="majorBidi" w:hAnsiTheme="majorBidi" w:cstheme="majorBidi"/>
                <w:noProof/>
              </w:rPr>
              <w:t>II-5-3 Périodicité de l’enquête</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_Toc515274003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20</w:t>
            </w:r>
            <w:r w:rsidRPr="008B74DA">
              <w:rPr>
                <w:rFonts w:asciiTheme="majorBidi" w:hAnsiTheme="majorBidi" w:cstheme="majorBidi"/>
                <w:noProof/>
                <w:webHidden/>
              </w:rPr>
              <w:fldChar w:fldCharType="end"/>
            </w:r>
          </w:hyperlink>
        </w:p>
        <w:p w:rsidR="008B74DA" w:rsidRPr="008B74DA" w:rsidRDefault="008B74DA">
          <w:pPr>
            <w:pStyle w:val="TM3"/>
            <w:tabs>
              <w:tab w:val="right" w:leader="dot" w:pos="9204"/>
            </w:tabs>
            <w:rPr>
              <w:rFonts w:asciiTheme="majorBidi" w:eastAsiaTheme="minorEastAsia" w:hAnsiTheme="majorBidi" w:cstheme="majorBidi"/>
              <w:noProof/>
              <w:lang w:eastAsia="fr-FR"/>
            </w:rPr>
          </w:pPr>
          <w:hyperlink w:anchor="_Toc515274004" w:history="1">
            <w:r w:rsidRPr="008B74DA">
              <w:rPr>
                <w:rStyle w:val="Lienhypertexte"/>
                <w:rFonts w:asciiTheme="majorBidi" w:hAnsiTheme="majorBidi" w:cstheme="majorBidi"/>
                <w:noProof/>
              </w:rPr>
              <w:t>II-5-4 Questionnaires de l’enquête</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_Toc515274004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21</w:t>
            </w:r>
            <w:r w:rsidRPr="008B74DA">
              <w:rPr>
                <w:rFonts w:asciiTheme="majorBidi" w:hAnsiTheme="majorBidi" w:cstheme="majorBidi"/>
                <w:noProof/>
                <w:webHidden/>
              </w:rPr>
              <w:fldChar w:fldCharType="end"/>
            </w:r>
          </w:hyperlink>
        </w:p>
        <w:p w:rsidR="008B74DA" w:rsidRPr="008B74DA" w:rsidRDefault="008B74DA">
          <w:pPr>
            <w:pStyle w:val="TM3"/>
            <w:tabs>
              <w:tab w:val="right" w:leader="dot" w:pos="9204"/>
            </w:tabs>
            <w:rPr>
              <w:rFonts w:asciiTheme="majorBidi" w:eastAsiaTheme="minorEastAsia" w:hAnsiTheme="majorBidi" w:cstheme="majorBidi"/>
              <w:noProof/>
              <w:lang w:eastAsia="fr-FR"/>
            </w:rPr>
          </w:pPr>
          <w:hyperlink w:anchor="_Toc515274005" w:history="1">
            <w:r w:rsidRPr="008B74DA">
              <w:rPr>
                <w:rStyle w:val="Lienhypertexte"/>
                <w:rFonts w:asciiTheme="majorBidi" w:hAnsiTheme="majorBidi" w:cstheme="majorBidi"/>
                <w:noProof/>
              </w:rPr>
              <w:t>II-5-5 Problèmes et difficultés d’observation des prix</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_Toc515274005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21</w:t>
            </w:r>
            <w:r w:rsidRPr="008B74DA">
              <w:rPr>
                <w:rFonts w:asciiTheme="majorBidi" w:hAnsiTheme="majorBidi" w:cstheme="majorBidi"/>
                <w:noProof/>
                <w:webHidden/>
              </w:rPr>
              <w:fldChar w:fldCharType="end"/>
            </w:r>
          </w:hyperlink>
        </w:p>
        <w:p w:rsidR="008B74DA" w:rsidRPr="008B74DA" w:rsidRDefault="008B74DA">
          <w:pPr>
            <w:pStyle w:val="TM1"/>
            <w:tabs>
              <w:tab w:val="right" w:leader="dot" w:pos="9204"/>
            </w:tabs>
            <w:rPr>
              <w:rFonts w:asciiTheme="majorBidi" w:eastAsiaTheme="minorEastAsia" w:hAnsiTheme="majorBidi" w:cstheme="majorBidi"/>
              <w:noProof/>
              <w:lang w:eastAsia="fr-FR"/>
            </w:rPr>
          </w:pPr>
          <w:hyperlink w:anchor="_Toc515274006" w:history="1">
            <w:r w:rsidRPr="008B74DA">
              <w:rPr>
                <w:rStyle w:val="Lienhypertexte"/>
                <w:rFonts w:asciiTheme="majorBidi" w:hAnsiTheme="majorBidi" w:cstheme="majorBidi"/>
                <w:noProof/>
              </w:rPr>
              <w:t>III- IPC (Base100 :2006)  de la ville de Kenitra : évolution entre 2007 et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_Toc515274006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25</w:t>
            </w:r>
            <w:r w:rsidRPr="008B74DA">
              <w:rPr>
                <w:rFonts w:asciiTheme="majorBidi" w:hAnsiTheme="majorBidi" w:cstheme="majorBidi"/>
                <w:noProof/>
                <w:webHidden/>
              </w:rPr>
              <w:fldChar w:fldCharType="end"/>
            </w:r>
          </w:hyperlink>
        </w:p>
        <w:p w:rsidR="008B74DA" w:rsidRPr="008B74DA" w:rsidRDefault="008B74DA">
          <w:pPr>
            <w:pStyle w:val="TM2"/>
            <w:tabs>
              <w:tab w:val="right" w:leader="dot" w:pos="9204"/>
            </w:tabs>
            <w:rPr>
              <w:rFonts w:asciiTheme="majorBidi" w:eastAsiaTheme="minorEastAsia" w:hAnsiTheme="majorBidi" w:cstheme="majorBidi"/>
              <w:noProof/>
              <w:lang w:eastAsia="fr-FR"/>
            </w:rPr>
          </w:pPr>
          <w:hyperlink w:anchor="_Toc515274007" w:history="1">
            <w:r w:rsidRPr="008B74DA">
              <w:rPr>
                <w:rStyle w:val="Lienhypertexte"/>
                <w:rFonts w:asciiTheme="majorBidi" w:hAnsiTheme="majorBidi" w:cstheme="majorBidi"/>
                <w:noProof/>
              </w:rPr>
              <w:t>III-1 IPC général par ville en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_Toc515274007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25</w:t>
            </w:r>
            <w:r w:rsidRPr="008B74DA">
              <w:rPr>
                <w:rFonts w:asciiTheme="majorBidi" w:hAnsiTheme="majorBidi" w:cstheme="majorBidi"/>
                <w:noProof/>
                <w:webHidden/>
              </w:rPr>
              <w:fldChar w:fldCharType="end"/>
            </w:r>
          </w:hyperlink>
        </w:p>
        <w:p w:rsidR="008B74DA" w:rsidRPr="008B74DA" w:rsidRDefault="008B74DA">
          <w:pPr>
            <w:pStyle w:val="TM2"/>
            <w:tabs>
              <w:tab w:val="right" w:leader="dot" w:pos="9204"/>
            </w:tabs>
            <w:rPr>
              <w:rFonts w:asciiTheme="majorBidi" w:eastAsiaTheme="minorEastAsia" w:hAnsiTheme="majorBidi" w:cstheme="majorBidi"/>
              <w:noProof/>
              <w:lang w:eastAsia="fr-FR"/>
            </w:rPr>
          </w:pPr>
          <w:hyperlink w:anchor="_Toc515274008" w:history="1">
            <w:r w:rsidRPr="008B74DA">
              <w:rPr>
                <w:rStyle w:val="Lienhypertexte"/>
                <w:rFonts w:asciiTheme="majorBidi" w:hAnsiTheme="majorBidi" w:cstheme="majorBidi"/>
                <w:noProof/>
              </w:rPr>
              <w:t>III-2 Evolution mensuelle de l’IPC (base100 :2006) en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_Toc515274008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27</w:t>
            </w:r>
            <w:r w:rsidRPr="008B74DA">
              <w:rPr>
                <w:rFonts w:asciiTheme="majorBidi" w:hAnsiTheme="majorBidi" w:cstheme="majorBidi"/>
                <w:noProof/>
                <w:webHidden/>
              </w:rPr>
              <w:fldChar w:fldCharType="end"/>
            </w:r>
          </w:hyperlink>
        </w:p>
        <w:p w:rsidR="008B74DA" w:rsidRPr="008B74DA" w:rsidRDefault="008B74DA">
          <w:pPr>
            <w:pStyle w:val="TM3"/>
            <w:tabs>
              <w:tab w:val="right" w:leader="dot" w:pos="9204"/>
            </w:tabs>
            <w:rPr>
              <w:rFonts w:asciiTheme="majorBidi" w:eastAsiaTheme="minorEastAsia" w:hAnsiTheme="majorBidi" w:cstheme="majorBidi"/>
              <w:noProof/>
              <w:lang w:eastAsia="fr-FR"/>
            </w:rPr>
          </w:pPr>
          <w:hyperlink w:anchor="_Toc515274009" w:history="1">
            <w:r w:rsidRPr="008B74DA">
              <w:rPr>
                <w:rStyle w:val="Lienhypertexte"/>
                <w:rFonts w:asciiTheme="majorBidi" w:hAnsiTheme="majorBidi" w:cstheme="majorBidi"/>
                <w:noProof/>
              </w:rPr>
              <w:t>III-2-1 Comparaison entre l’IPC général de Kenitra et celui du Maroc en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_Toc515274009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27</w:t>
            </w:r>
            <w:r w:rsidRPr="008B74DA">
              <w:rPr>
                <w:rFonts w:asciiTheme="majorBidi" w:hAnsiTheme="majorBidi" w:cstheme="majorBidi"/>
                <w:noProof/>
                <w:webHidden/>
              </w:rPr>
              <w:fldChar w:fldCharType="end"/>
            </w:r>
          </w:hyperlink>
        </w:p>
        <w:p w:rsidR="008B74DA" w:rsidRPr="008B74DA" w:rsidRDefault="008B74DA">
          <w:pPr>
            <w:pStyle w:val="TM3"/>
            <w:tabs>
              <w:tab w:val="right" w:leader="dot" w:pos="9204"/>
            </w:tabs>
            <w:rPr>
              <w:rFonts w:asciiTheme="majorBidi" w:eastAsiaTheme="minorEastAsia" w:hAnsiTheme="majorBidi" w:cstheme="majorBidi"/>
              <w:noProof/>
              <w:lang w:eastAsia="fr-FR"/>
            </w:rPr>
          </w:pPr>
          <w:hyperlink w:anchor="_Toc515274010" w:history="1">
            <w:r w:rsidRPr="008B74DA">
              <w:rPr>
                <w:rStyle w:val="Lienhypertexte"/>
                <w:rFonts w:asciiTheme="majorBidi" w:hAnsiTheme="majorBidi" w:cstheme="majorBidi"/>
                <w:noProof/>
              </w:rPr>
              <w:t>III-2-2 Comparaison entre les indices : général, alimentaire et non alimentaire de la ville de Kénitra en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_Toc515274010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28</w:t>
            </w:r>
            <w:r w:rsidRPr="008B74DA">
              <w:rPr>
                <w:rFonts w:asciiTheme="majorBidi" w:hAnsiTheme="majorBidi" w:cstheme="majorBidi"/>
                <w:noProof/>
                <w:webHidden/>
              </w:rPr>
              <w:fldChar w:fldCharType="end"/>
            </w:r>
          </w:hyperlink>
        </w:p>
        <w:p w:rsidR="008B74DA" w:rsidRPr="008B74DA" w:rsidRDefault="008B74DA">
          <w:pPr>
            <w:pStyle w:val="TM2"/>
            <w:tabs>
              <w:tab w:val="right" w:leader="dot" w:pos="9204"/>
            </w:tabs>
            <w:rPr>
              <w:rFonts w:asciiTheme="majorBidi" w:eastAsiaTheme="minorEastAsia" w:hAnsiTheme="majorBidi" w:cstheme="majorBidi"/>
              <w:noProof/>
              <w:lang w:eastAsia="fr-FR"/>
            </w:rPr>
          </w:pPr>
          <w:hyperlink w:anchor="_Toc515274011" w:history="1">
            <w:r w:rsidRPr="008B74DA">
              <w:rPr>
                <w:rStyle w:val="Lienhypertexte"/>
                <w:rFonts w:asciiTheme="majorBidi" w:hAnsiTheme="majorBidi" w:cstheme="majorBidi"/>
                <w:noProof/>
              </w:rPr>
              <w:t>III-3 Evolution de l’IPC par division, groupe et classe entre 2016 et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_Toc515274011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29</w:t>
            </w:r>
            <w:r w:rsidRPr="008B74DA">
              <w:rPr>
                <w:rFonts w:asciiTheme="majorBidi" w:hAnsiTheme="majorBidi" w:cstheme="majorBidi"/>
                <w:noProof/>
                <w:webHidden/>
              </w:rPr>
              <w:fldChar w:fldCharType="end"/>
            </w:r>
          </w:hyperlink>
        </w:p>
        <w:p w:rsidR="008B74DA" w:rsidRPr="008B74DA" w:rsidRDefault="008B74DA">
          <w:pPr>
            <w:pStyle w:val="TM2"/>
            <w:tabs>
              <w:tab w:val="right" w:leader="dot" w:pos="9204"/>
            </w:tabs>
            <w:rPr>
              <w:rFonts w:asciiTheme="majorBidi" w:eastAsiaTheme="minorEastAsia" w:hAnsiTheme="majorBidi" w:cstheme="majorBidi"/>
              <w:noProof/>
              <w:lang w:eastAsia="fr-FR"/>
            </w:rPr>
          </w:pPr>
          <w:hyperlink w:anchor="_Toc515274012" w:history="1">
            <w:r w:rsidRPr="008B74DA">
              <w:rPr>
                <w:rStyle w:val="Lienhypertexte"/>
                <w:rFonts w:asciiTheme="majorBidi" w:hAnsiTheme="majorBidi" w:cstheme="majorBidi"/>
                <w:noProof/>
              </w:rPr>
              <w:t>III-4 Evolution de l’IPC général de la ville de Kenitra entre 2007 et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_Toc515274012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31</w:t>
            </w:r>
            <w:r w:rsidRPr="008B74DA">
              <w:rPr>
                <w:rFonts w:asciiTheme="majorBidi" w:hAnsiTheme="majorBidi" w:cstheme="majorBidi"/>
                <w:noProof/>
                <w:webHidden/>
              </w:rPr>
              <w:fldChar w:fldCharType="end"/>
            </w:r>
          </w:hyperlink>
        </w:p>
        <w:p w:rsidR="008B74DA" w:rsidRPr="008B74DA" w:rsidRDefault="008B74DA">
          <w:pPr>
            <w:pStyle w:val="TM3"/>
            <w:tabs>
              <w:tab w:val="right" w:leader="dot" w:pos="9204"/>
            </w:tabs>
            <w:rPr>
              <w:rFonts w:asciiTheme="majorBidi" w:eastAsiaTheme="minorEastAsia" w:hAnsiTheme="majorBidi" w:cstheme="majorBidi"/>
              <w:noProof/>
              <w:lang w:eastAsia="fr-FR"/>
            </w:rPr>
          </w:pPr>
          <w:hyperlink w:anchor="_Toc515274013" w:history="1">
            <w:r w:rsidRPr="008B74DA">
              <w:rPr>
                <w:rStyle w:val="Lienhypertexte"/>
                <w:rFonts w:asciiTheme="majorBidi" w:hAnsiTheme="majorBidi" w:cstheme="majorBidi"/>
                <w:noProof/>
              </w:rPr>
              <w:t>III-4-1 Evolution mensuelle de l’IPC</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_Toc515274013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31</w:t>
            </w:r>
            <w:r w:rsidRPr="008B74DA">
              <w:rPr>
                <w:rFonts w:asciiTheme="majorBidi" w:hAnsiTheme="majorBidi" w:cstheme="majorBidi"/>
                <w:noProof/>
                <w:webHidden/>
              </w:rPr>
              <w:fldChar w:fldCharType="end"/>
            </w:r>
          </w:hyperlink>
        </w:p>
        <w:p w:rsidR="008B74DA" w:rsidRPr="008B74DA" w:rsidRDefault="008B74DA">
          <w:pPr>
            <w:pStyle w:val="TM3"/>
            <w:tabs>
              <w:tab w:val="right" w:leader="dot" w:pos="9204"/>
            </w:tabs>
            <w:rPr>
              <w:rFonts w:asciiTheme="majorBidi" w:eastAsiaTheme="minorEastAsia" w:hAnsiTheme="majorBidi" w:cstheme="majorBidi"/>
              <w:noProof/>
              <w:lang w:eastAsia="fr-FR"/>
            </w:rPr>
          </w:pPr>
          <w:hyperlink w:anchor="_Toc515274014" w:history="1">
            <w:r w:rsidRPr="008B74DA">
              <w:rPr>
                <w:rStyle w:val="Lienhypertexte"/>
                <w:rFonts w:asciiTheme="majorBidi" w:hAnsiTheme="majorBidi" w:cstheme="majorBidi"/>
                <w:noProof/>
              </w:rPr>
              <w:t>III-4-2 Evolution annuelle de l’IPC</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_Toc515274014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33</w:t>
            </w:r>
            <w:r w:rsidRPr="008B74DA">
              <w:rPr>
                <w:rFonts w:asciiTheme="majorBidi" w:hAnsiTheme="majorBidi" w:cstheme="majorBidi"/>
                <w:noProof/>
                <w:webHidden/>
              </w:rPr>
              <w:fldChar w:fldCharType="end"/>
            </w:r>
          </w:hyperlink>
        </w:p>
        <w:p w:rsidR="008B74DA" w:rsidRPr="008B74DA" w:rsidRDefault="008B74DA">
          <w:pPr>
            <w:pStyle w:val="TM4"/>
            <w:tabs>
              <w:tab w:val="right" w:leader="dot" w:pos="9204"/>
            </w:tabs>
            <w:rPr>
              <w:rFonts w:asciiTheme="majorBidi" w:eastAsiaTheme="minorEastAsia" w:hAnsiTheme="majorBidi" w:cstheme="majorBidi"/>
              <w:noProof/>
              <w:lang w:eastAsia="fr-FR"/>
            </w:rPr>
          </w:pPr>
          <w:hyperlink w:anchor="_Toc515274015" w:history="1">
            <w:r w:rsidRPr="008B74DA">
              <w:rPr>
                <w:rStyle w:val="Lienhypertexte"/>
                <w:rFonts w:asciiTheme="majorBidi" w:hAnsiTheme="majorBidi" w:cstheme="majorBidi"/>
                <w:noProof/>
              </w:rPr>
              <w:t>III-4-2-1  Evolution annuelle des indices généraux de Kénitra et du Maroc</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_Toc515274015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33</w:t>
            </w:r>
            <w:r w:rsidRPr="008B74DA">
              <w:rPr>
                <w:rFonts w:asciiTheme="majorBidi" w:hAnsiTheme="majorBidi" w:cstheme="majorBidi"/>
                <w:noProof/>
                <w:webHidden/>
              </w:rPr>
              <w:fldChar w:fldCharType="end"/>
            </w:r>
          </w:hyperlink>
        </w:p>
        <w:p w:rsidR="008B74DA" w:rsidRPr="008B74DA" w:rsidRDefault="008B74DA">
          <w:pPr>
            <w:pStyle w:val="TM4"/>
            <w:tabs>
              <w:tab w:val="right" w:leader="dot" w:pos="9204"/>
            </w:tabs>
            <w:rPr>
              <w:rFonts w:asciiTheme="majorBidi" w:eastAsiaTheme="minorEastAsia" w:hAnsiTheme="majorBidi" w:cstheme="majorBidi"/>
              <w:noProof/>
              <w:lang w:eastAsia="fr-FR"/>
            </w:rPr>
          </w:pPr>
          <w:hyperlink w:anchor="_Toc515274016" w:history="1">
            <w:r w:rsidRPr="008B74DA">
              <w:rPr>
                <w:rStyle w:val="Lienhypertexte"/>
                <w:rFonts w:asciiTheme="majorBidi" w:hAnsiTheme="majorBidi" w:cstheme="majorBidi"/>
                <w:noProof/>
              </w:rPr>
              <w:t>III-4-2-2 Evolution annuelle des indices : général, alimentaire et non alimentaire de la ville de Kénitra</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_Toc515274016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34</w:t>
            </w:r>
            <w:r w:rsidRPr="008B74DA">
              <w:rPr>
                <w:rFonts w:asciiTheme="majorBidi" w:hAnsiTheme="majorBidi" w:cstheme="majorBidi"/>
                <w:noProof/>
                <w:webHidden/>
              </w:rPr>
              <w:fldChar w:fldCharType="end"/>
            </w:r>
          </w:hyperlink>
        </w:p>
        <w:p w:rsidR="008B74DA" w:rsidRPr="008B74DA" w:rsidRDefault="008B74DA">
          <w:pPr>
            <w:pStyle w:val="TM3"/>
            <w:tabs>
              <w:tab w:val="right" w:leader="dot" w:pos="9204"/>
            </w:tabs>
            <w:rPr>
              <w:rFonts w:asciiTheme="majorBidi" w:eastAsiaTheme="minorEastAsia" w:hAnsiTheme="majorBidi" w:cstheme="majorBidi"/>
              <w:noProof/>
              <w:lang w:eastAsia="fr-FR"/>
            </w:rPr>
          </w:pPr>
          <w:hyperlink w:anchor="_Toc515274017" w:history="1">
            <w:r w:rsidRPr="008B74DA">
              <w:rPr>
                <w:rStyle w:val="Lienhypertexte"/>
                <w:rFonts w:asciiTheme="majorBidi" w:hAnsiTheme="majorBidi" w:cstheme="majorBidi"/>
                <w:noProof/>
              </w:rPr>
              <w:t>III-4-3 Evolution de l’inflation générale</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_Toc515274017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35</w:t>
            </w:r>
            <w:r w:rsidRPr="008B74DA">
              <w:rPr>
                <w:rFonts w:asciiTheme="majorBidi" w:hAnsiTheme="majorBidi" w:cstheme="majorBidi"/>
                <w:noProof/>
                <w:webHidden/>
              </w:rPr>
              <w:fldChar w:fldCharType="end"/>
            </w:r>
          </w:hyperlink>
        </w:p>
        <w:p w:rsidR="008B74DA" w:rsidRPr="008B74DA" w:rsidRDefault="008B74DA">
          <w:pPr>
            <w:pStyle w:val="TM4"/>
            <w:tabs>
              <w:tab w:val="right" w:leader="dot" w:pos="9204"/>
            </w:tabs>
            <w:rPr>
              <w:rFonts w:asciiTheme="majorBidi" w:eastAsiaTheme="minorEastAsia" w:hAnsiTheme="majorBidi" w:cstheme="majorBidi"/>
              <w:noProof/>
              <w:lang w:eastAsia="fr-FR"/>
            </w:rPr>
          </w:pPr>
          <w:hyperlink w:anchor="_Toc515274018" w:history="1">
            <w:r w:rsidRPr="008B74DA">
              <w:rPr>
                <w:rStyle w:val="Lienhypertexte"/>
                <w:rFonts w:asciiTheme="majorBidi" w:hAnsiTheme="majorBidi" w:cstheme="majorBidi"/>
                <w:noProof/>
              </w:rPr>
              <w:t>III-4-3-1 Evolution annuelle de l’inflation</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_Toc515274018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35</w:t>
            </w:r>
            <w:r w:rsidRPr="008B74DA">
              <w:rPr>
                <w:rFonts w:asciiTheme="majorBidi" w:hAnsiTheme="majorBidi" w:cstheme="majorBidi"/>
                <w:noProof/>
                <w:webHidden/>
              </w:rPr>
              <w:fldChar w:fldCharType="end"/>
            </w:r>
          </w:hyperlink>
        </w:p>
        <w:p w:rsidR="008B74DA" w:rsidRPr="008B74DA" w:rsidRDefault="008B74DA">
          <w:pPr>
            <w:pStyle w:val="TM4"/>
            <w:tabs>
              <w:tab w:val="right" w:leader="dot" w:pos="9204"/>
            </w:tabs>
            <w:rPr>
              <w:rFonts w:asciiTheme="majorBidi" w:eastAsiaTheme="minorEastAsia" w:hAnsiTheme="majorBidi" w:cstheme="majorBidi"/>
              <w:noProof/>
              <w:lang w:eastAsia="fr-FR"/>
            </w:rPr>
          </w:pPr>
          <w:hyperlink w:anchor="_Toc515274019" w:history="1">
            <w:r w:rsidRPr="008B74DA">
              <w:rPr>
                <w:rStyle w:val="Lienhypertexte"/>
                <w:rFonts w:asciiTheme="majorBidi" w:hAnsiTheme="majorBidi" w:cstheme="majorBidi"/>
                <w:noProof/>
              </w:rPr>
              <w:t>III-4-3-2 Glissements annuels</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_Toc515274019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36</w:t>
            </w:r>
            <w:r w:rsidRPr="008B74DA">
              <w:rPr>
                <w:rFonts w:asciiTheme="majorBidi" w:hAnsiTheme="majorBidi" w:cstheme="majorBidi"/>
                <w:noProof/>
                <w:webHidden/>
              </w:rPr>
              <w:fldChar w:fldCharType="end"/>
            </w:r>
          </w:hyperlink>
        </w:p>
        <w:p w:rsidR="008B74DA" w:rsidRDefault="008B74DA">
          <w:pPr>
            <w:pStyle w:val="TM1"/>
            <w:tabs>
              <w:tab w:val="right" w:leader="dot" w:pos="9204"/>
            </w:tabs>
            <w:rPr>
              <w:rFonts w:eastAsiaTheme="minorEastAsia"/>
              <w:noProof/>
              <w:lang w:eastAsia="fr-FR"/>
            </w:rPr>
          </w:pPr>
          <w:hyperlink w:anchor="_Toc515274020" w:history="1">
            <w:r w:rsidRPr="008B74DA">
              <w:rPr>
                <w:rStyle w:val="Lienhypertexte"/>
                <w:rFonts w:asciiTheme="majorBidi" w:hAnsiTheme="majorBidi" w:cstheme="majorBidi"/>
                <w:noProof/>
              </w:rPr>
              <w:t>CONCLUSION</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_Toc515274020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41</w:t>
            </w:r>
            <w:r w:rsidRPr="008B74DA">
              <w:rPr>
                <w:rFonts w:asciiTheme="majorBidi" w:hAnsiTheme="majorBidi" w:cstheme="majorBidi"/>
                <w:noProof/>
                <w:webHidden/>
              </w:rPr>
              <w:fldChar w:fldCharType="end"/>
            </w:r>
          </w:hyperlink>
        </w:p>
        <w:p w:rsidR="008B74DA" w:rsidRDefault="001022E9" w:rsidP="008B74DA">
          <w:r>
            <w:fldChar w:fldCharType="end"/>
          </w:r>
        </w:p>
      </w:sdtContent>
    </w:sdt>
    <w:p w:rsidR="0036690E" w:rsidRPr="005405A4" w:rsidRDefault="00FB3E9B" w:rsidP="005405A4">
      <w:pPr>
        <w:pStyle w:val="Titre1"/>
        <w:rPr>
          <w:color w:val="4F81BD" w:themeColor="accent1"/>
        </w:rPr>
      </w:pPr>
      <w:bookmarkStart w:id="0" w:name="_Toc515273991"/>
      <w:r w:rsidRPr="005405A4">
        <w:rPr>
          <w:color w:val="4F81BD" w:themeColor="accent1"/>
        </w:rPr>
        <w:lastRenderedPageBreak/>
        <w:t>Liste des tableaux</w:t>
      </w:r>
      <w:bookmarkEnd w:id="0"/>
    </w:p>
    <w:p w:rsidR="0036690E" w:rsidRDefault="0036690E" w:rsidP="0036690E"/>
    <w:p w:rsidR="008B74DA" w:rsidRPr="008B74DA" w:rsidRDefault="001022E9" w:rsidP="008B74DA">
      <w:pPr>
        <w:pStyle w:val="Tabledesillustrations"/>
        <w:tabs>
          <w:tab w:val="right" w:leader="dot" w:pos="9204"/>
        </w:tabs>
        <w:spacing w:before="120"/>
        <w:rPr>
          <w:rFonts w:asciiTheme="majorBidi" w:eastAsiaTheme="minorEastAsia" w:hAnsiTheme="majorBidi" w:cstheme="majorBidi"/>
          <w:noProof/>
          <w:lang w:eastAsia="fr-FR"/>
        </w:rPr>
      </w:pPr>
      <w:r w:rsidRPr="008B74DA">
        <w:rPr>
          <w:rFonts w:asciiTheme="majorBidi" w:hAnsiTheme="majorBidi" w:cstheme="majorBidi"/>
          <w:color w:val="0070C0"/>
        </w:rPr>
        <w:fldChar w:fldCharType="begin"/>
      </w:r>
      <w:r w:rsidR="00486BC8" w:rsidRPr="008B74DA">
        <w:rPr>
          <w:rFonts w:asciiTheme="majorBidi" w:hAnsiTheme="majorBidi" w:cstheme="majorBidi"/>
          <w:color w:val="0070C0"/>
        </w:rPr>
        <w:instrText xml:space="preserve"> TOC \h \z \c "Tableau" </w:instrText>
      </w:r>
      <w:r w:rsidRPr="008B74DA">
        <w:rPr>
          <w:rFonts w:asciiTheme="majorBidi" w:hAnsiTheme="majorBidi" w:cstheme="majorBidi"/>
          <w:color w:val="0070C0"/>
        </w:rPr>
        <w:fldChar w:fldCharType="separate"/>
      </w:r>
      <w:hyperlink w:anchor="_Toc515274021" w:history="1">
        <w:r w:rsidR="008B74DA" w:rsidRPr="008B74DA">
          <w:rPr>
            <w:rStyle w:val="Lienhypertexte"/>
            <w:rFonts w:asciiTheme="majorBidi" w:hAnsiTheme="majorBidi" w:cstheme="majorBidi"/>
            <w:noProof/>
          </w:rPr>
          <w:t>Tableau 1 : Coefficients de pondération des grands groupes de produits en 2007 et 2014</w:t>
        </w:r>
        <w:r w:rsidR="008B74DA" w:rsidRPr="008B74DA">
          <w:rPr>
            <w:rFonts w:asciiTheme="majorBidi" w:hAnsiTheme="majorBidi" w:cstheme="majorBidi"/>
            <w:noProof/>
            <w:webHidden/>
          </w:rPr>
          <w:tab/>
        </w:r>
        <w:r w:rsidR="008B74DA"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_Toc515274021 \h </w:instrText>
        </w:r>
        <w:r w:rsidR="008B74DA" w:rsidRPr="008B74DA">
          <w:rPr>
            <w:rFonts w:asciiTheme="majorBidi" w:hAnsiTheme="majorBidi" w:cstheme="majorBidi"/>
            <w:noProof/>
            <w:webHidden/>
          </w:rPr>
        </w:r>
        <w:r w:rsidR="008B74DA" w:rsidRPr="008B74DA">
          <w:rPr>
            <w:rFonts w:asciiTheme="majorBidi" w:hAnsiTheme="majorBidi" w:cstheme="majorBidi"/>
            <w:noProof/>
            <w:webHidden/>
          </w:rPr>
          <w:fldChar w:fldCharType="separate"/>
        </w:r>
        <w:r w:rsidR="00156FC8">
          <w:rPr>
            <w:rFonts w:asciiTheme="majorBidi" w:hAnsiTheme="majorBidi" w:cstheme="majorBidi"/>
            <w:noProof/>
            <w:webHidden/>
          </w:rPr>
          <w:t>19</w:t>
        </w:r>
        <w:r w:rsidR="008B74DA"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022" w:history="1">
        <w:r w:rsidRPr="008B74DA">
          <w:rPr>
            <w:rStyle w:val="Lienhypertexte"/>
            <w:rFonts w:asciiTheme="majorBidi" w:hAnsiTheme="majorBidi" w:cstheme="majorBidi"/>
            <w:noProof/>
          </w:rPr>
          <w:t>Tableau 2 : Liste des zones d’enquêtes par quartier de concentrations</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_Toc515274022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20</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023" w:history="1">
        <w:r w:rsidRPr="008B74DA">
          <w:rPr>
            <w:rStyle w:val="Lienhypertexte"/>
            <w:rFonts w:asciiTheme="majorBidi" w:hAnsiTheme="majorBidi" w:cstheme="majorBidi"/>
            <w:noProof/>
          </w:rPr>
          <w:t>Tableau 3 : IPC général (Base 100 :2006) par ville en 2016 et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_Toc515274023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25</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024" w:history="1">
        <w:r w:rsidRPr="008B74DA">
          <w:rPr>
            <w:rStyle w:val="Lienhypertexte"/>
            <w:rFonts w:asciiTheme="majorBidi" w:hAnsiTheme="majorBidi" w:cstheme="majorBidi"/>
            <w:noProof/>
          </w:rPr>
          <w:t>Tableau 4 : IPC général par mois - Année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_Toc515274024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27</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025" w:history="1">
        <w:r w:rsidRPr="008B74DA">
          <w:rPr>
            <w:rStyle w:val="Lienhypertexte"/>
            <w:rFonts w:asciiTheme="majorBidi" w:hAnsiTheme="majorBidi" w:cstheme="majorBidi"/>
            <w:noProof/>
          </w:rPr>
          <w:t xml:space="preserve">Tableau 5 : </w:t>
        </w:r>
        <w:r w:rsidRPr="008B74DA">
          <w:rPr>
            <w:rStyle w:val="Lienhypertexte"/>
            <w:rFonts w:asciiTheme="majorBidi" w:eastAsia="Times New Roman" w:hAnsiTheme="majorBidi" w:cstheme="majorBidi"/>
            <w:noProof/>
            <w:lang w:eastAsia="fr-FR"/>
          </w:rPr>
          <w:t>Indices : général, alimentaire et non alimentaire de la ville de Kénitra</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_Toc515274025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28</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026" w:history="1">
        <w:r w:rsidRPr="008B74DA">
          <w:rPr>
            <w:rStyle w:val="Lienhypertexte"/>
            <w:rFonts w:asciiTheme="majorBidi" w:hAnsiTheme="majorBidi" w:cstheme="majorBidi"/>
            <w:noProof/>
          </w:rPr>
          <w:t xml:space="preserve">Tableau 6 : </w:t>
        </w:r>
        <w:r w:rsidRPr="008B74DA">
          <w:rPr>
            <w:rStyle w:val="Lienhypertexte"/>
            <w:rFonts w:asciiTheme="majorBidi" w:eastAsia="Times New Roman" w:hAnsiTheme="majorBidi" w:cstheme="majorBidi"/>
            <w:noProof/>
            <w:lang w:eastAsia="fr-FR"/>
          </w:rPr>
          <w:t>Evolution de l'IPC (Base 100: 2006) par division entre 2016 et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_Toc515274026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30</w:t>
        </w:r>
        <w:r w:rsidRPr="008B74DA">
          <w:rPr>
            <w:rFonts w:asciiTheme="majorBidi" w:hAnsiTheme="majorBidi" w:cstheme="majorBidi"/>
            <w:noProof/>
            <w:webHidden/>
          </w:rPr>
          <w:fldChar w:fldCharType="end"/>
        </w:r>
      </w:hyperlink>
    </w:p>
    <w:p w:rsidR="00BC2DF5" w:rsidRPr="008B74DA" w:rsidRDefault="001022E9" w:rsidP="005405A4">
      <w:pPr>
        <w:pStyle w:val="Titre1"/>
        <w:spacing w:before="240" w:after="240"/>
        <w:rPr>
          <w:rFonts w:asciiTheme="majorBidi" w:hAnsiTheme="majorBidi"/>
          <w:b w:val="0"/>
          <w:bCs w:val="0"/>
          <w:color w:val="0070C0"/>
          <w:sz w:val="22"/>
          <w:szCs w:val="22"/>
        </w:rPr>
      </w:pPr>
      <w:r w:rsidRPr="008B74DA">
        <w:rPr>
          <w:rFonts w:asciiTheme="majorBidi" w:hAnsiTheme="majorBidi"/>
          <w:b w:val="0"/>
          <w:bCs w:val="0"/>
          <w:color w:val="0070C0"/>
          <w:sz w:val="22"/>
          <w:szCs w:val="22"/>
        </w:rPr>
        <w:fldChar w:fldCharType="end"/>
      </w:r>
    </w:p>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170E99" w:rsidRDefault="00170E99">
      <w:r>
        <w:br w:type="page"/>
      </w:r>
    </w:p>
    <w:p w:rsidR="00DF65E2" w:rsidRPr="005405A4" w:rsidRDefault="00DF65E2" w:rsidP="005405A4">
      <w:pPr>
        <w:pStyle w:val="Titre1"/>
        <w:rPr>
          <w:rFonts w:ascii="Cambria" w:hAnsi="Cambria"/>
          <w:bCs w:val="0"/>
          <w:color w:val="4F81BD" w:themeColor="accent1"/>
        </w:rPr>
      </w:pPr>
      <w:bookmarkStart w:id="1" w:name="_Toc515273992"/>
      <w:r w:rsidRPr="005405A4">
        <w:rPr>
          <w:rFonts w:ascii="Cambria" w:hAnsi="Cambria"/>
          <w:bCs w:val="0"/>
          <w:color w:val="4F81BD" w:themeColor="accent1"/>
        </w:rPr>
        <w:lastRenderedPageBreak/>
        <w:t>Liste des graphiques</w:t>
      </w:r>
      <w:bookmarkEnd w:id="1"/>
    </w:p>
    <w:p w:rsidR="00462F63" w:rsidRPr="00462F63" w:rsidRDefault="00462F63" w:rsidP="00462F63"/>
    <w:p w:rsidR="008B74DA" w:rsidRDefault="001022E9" w:rsidP="008B74DA">
      <w:pPr>
        <w:pStyle w:val="Tabledesillustrations"/>
        <w:tabs>
          <w:tab w:val="right" w:leader="dot" w:pos="9204"/>
        </w:tabs>
        <w:spacing w:before="120"/>
        <w:rPr>
          <w:rFonts w:eastAsiaTheme="minorEastAsia"/>
          <w:noProof/>
          <w:lang w:eastAsia="fr-FR"/>
        </w:rPr>
      </w:pPr>
      <w:r>
        <w:rPr>
          <w:rFonts w:asciiTheme="majorBidi" w:hAnsiTheme="majorBidi"/>
          <w:b/>
          <w:bCs/>
          <w:color w:val="0070C0"/>
        </w:rPr>
        <w:fldChar w:fldCharType="begin"/>
      </w:r>
      <w:r w:rsidR="0036690E">
        <w:rPr>
          <w:rFonts w:asciiTheme="majorBidi" w:hAnsiTheme="majorBidi"/>
          <w:b/>
          <w:bCs/>
          <w:color w:val="0070C0"/>
        </w:rPr>
        <w:instrText xml:space="preserve"> TOC \h \z \c "Graphique" </w:instrText>
      </w:r>
      <w:r>
        <w:rPr>
          <w:rFonts w:asciiTheme="majorBidi" w:hAnsiTheme="majorBidi"/>
          <w:b/>
          <w:bCs/>
          <w:color w:val="0070C0"/>
        </w:rPr>
        <w:fldChar w:fldCharType="separate"/>
      </w:r>
      <w:hyperlink w:anchor="_Toc515274104" w:history="1">
        <w:r w:rsidR="008B74DA" w:rsidRPr="00DF52C1">
          <w:rPr>
            <w:rStyle w:val="Lienhypertexte"/>
            <w:rFonts w:asciiTheme="majorBidi" w:hAnsiTheme="majorBidi" w:cstheme="majorBidi"/>
            <w:noProof/>
          </w:rPr>
          <w:t>Graphique 1 : IPC général  par ville en 2016 et 2017</w:t>
        </w:r>
        <w:r w:rsidR="008B74DA">
          <w:rPr>
            <w:noProof/>
            <w:webHidden/>
          </w:rPr>
          <w:tab/>
        </w:r>
        <w:r w:rsidR="008B74DA">
          <w:rPr>
            <w:noProof/>
            <w:webHidden/>
          </w:rPr>
          <w:fldChar w:fldCharType="begin"/>
        </w:r>
        <w:r w:rsidR="008B74DA">
          <w:rPr>
            <w:noProof/>
            <w:webHidden/>
          </w:rPr>
          <w:instrText xml:space="preserve"> PAGEREF _Toc515274104 \h </w:instrText>
        </w:r>
        <w:r w:rsidR="008B74DA">
          <w:rPr>
            <w:noProof/>
            <w:webHidden/>
          </w:rPr>
        </w:r>
        <w:r w:rsidR="008B74DA">
          <w:rPr>
            <w:noProof/>
            <w:webHidden/>
          </w:rPr>
          <w:fldChar w:fldCharType="separate"/>
        </w:r>
        <w:r w:rsidR="00156FC8">
          <w:rPr>
            <w:noProof/>
            <w:webHidden/>
          </w:rPr>
          <w:t>26</w:t>
        </w:r>
        <w:r w:rsidR="008B74DA">
          <w:rPr>
            <w:noProof/>
            <w:webHidden/>
          </w:rPr>
          <w:fldChar w:fldCharType="end"/>
        </w:r>
      </w:hyperlink>
    </w:p>
    <w:p w:rsidR="008B74DA" w:rsidRDefault="008B74DA" w:rsidP="008B74DA">
      <w:pPr>
        <w:pStyle w:val="Tabledesillustrations"/>
        <w:tabs>
          <w:tab w:val="right" w:leader="dot" w:pos="9204"/>
        </w:tabs>
        <w:spacing w:before="120"/>
        <w:rPr>
          <w:rFonts w:eastAsiaTheme="minorEastAsia"/>
          <w:noProof/>
          <w:lang w:eastAsia="fr-FR"/>
        </w:rPr>
      </w:pPr>
      <w:hyperlink w:anchor="_Toc515274105" w:history="1">
        <w:r w:rsidRPr="00DF52C1">
          <w:rPr>
            <w:rStyle w:val="Lienhypertexte"/>
            <w:noProof/>
          </w:rPr>
          <w:t>Graphique 2</w:t>
        </w:r>
        <w:r w:rsidRPr="00DF52C1">
          <w:rPr>
            <w:rStyle w:val="Lienhypertexte"/>
            <w:rFonts w:ascii="Times New Roman" w:hAnsi="Times New Roman"/>
            <w:noProof/>
          </w:rPr>
          <w:t xml:space="preserve"> : </w:t>
        </w:r>
        <w:r w:rsidRPr="00DF52C1">
          <w:rPr>
            <w:rStyle w:val="Lienhypertexte"/>
            <w:rFonts w:ascii="Times New Roman" w:hAnsi="Times New Roman" w:cstheme="majorBidi"/>
            <w:noProof/>
          </w:rPr>
          <w:t>Inflation générale par ville (en %) -Année 2017-</w:t>
        </w:r>
        <w:r>
          <w:rPr>
            <w:noProof/>
            <w:webHidden/>
          </w:rPr>
          <w:tab/>
        </w:r>
        <w:r>
          <w:rPr>
            <w:noProof/>
            <w:webHidden/>
          </w:rPr>
          <w:fldChar w:fldCharType="begin"/>
        </w:r>
        <w:r>
          <w:rPr>
            <w:noProof/>
            <w:webHidden/>
          </w:rPr>
          <w:instrText xml:space="preserve"> PAGEREF _Toc515274105 \h </w:instrText>
        </w:r>
        <w:r>
          <w:rPr>
            <w:noProof/>
            <w:webHidden/>
          </w:rPr>
        </w:r>
        <w:r>
          <w:rPr>
            <w:noProof/>
            <w:webHidden/>
          </w:rPr>
          <w:fldChar w:fldCharType="separate"/>
        </w:r>
        <w:r w:rsidR="00156FC8">
          <w:rPr>
            <w:noProof/>
            <w:webHidden/>
          </w:rPr>
          <w:t>26</w:t>
        </w:r>
        <w:r>
          <w:rPr>
            <w:noProof/>
            <w:webHidden/>
          </w:rPr>
          <w:fldChar w:fldCharType="end"/>
        </w:r>
      </w:hyperlink>
    </w:p>
    <w:p w:rsidR="008B74DA" w:rsidRDefault="008B74DA" w:rsidP="008B74DA">
      <w:pPr>
        <w:pStyle w:val="Tabledesillustrations"/>
        <w:tabs>
          <w:tab w:val="right" w:leader="dot" w:pos="9204"/>
        </w:tabs>
        <w:spacing w:before="120"/>
        <w:rPr>
          <w:rFonts w:eastAsiaTheme="minorEastAsia"/>
          <w:noProof/>
          <w:lang w:eastAsia="fr-FR"/>
        </w:rPr>
      </w:pPr>
      <w:hyperlink w:anchor="_Toc515274106" w:history="1">
        <w:r w:rsidRPr="00DF52C1">
          <w:rPr>
            <w:rStyle w:val="Lienhypertexte"/>
            <w:rFonts w:ascii="Times New Roman" w:hAnsi="Times New Roman"/>
            <w:noProof/>
          </w:rPr>
          <w:t xml:space="preserve">Graphique 3 : </w:t>
        </w:r>
        <w:r w:rsidRPr="00DF52C1">
          <w:rPr>
            <w:rStyle w:val="Lienhypertexte"/>
            <w:rFonts w:ascii="Times New Roman" w:hAnsi="Times New Roman" w:cstheme="majorBidi"/>
            <w:noProof/>
          </w:rPr>
          <w:t>IPC général de la ville de Kénitra et du Maroc -Année 2017-</w:t>
        </w:r>
        <w:r>
          <w:rPr>
            <w:noProof/>
            <w:webHidden/>
          </w:rPr>
          <w:tab/>
        </w:r>
        <w:r>
          <w:rPr>
            <w:noProof/>
            <w:webHidden/>
          </w:rPr>
          <w:fldChar w:fldCharType="begin"/>
        </w:r>
        <w:r>
          <w:rPr>
            <w:noProof/>
            <w:webHidden/>
          </w:rPr>
          <w:instrText xml:space="preserve"> PAGEREF _Toc515274106 \h </w:instrText>
        </w:r>
        <w:r>
          <w:rPr>
            <w:noProof/>
            <w:webHidden/>
          </w:rPr>
        </w:r>
        <w:r>
          <w:rPr>
            <w:noProof/>
            <w:webHidden/>
          </w:rPr>
          <w:fldChar w:fldCharType="separate"/>
        </w:r>
        <w:r w:rsidR="00156FC8">
          <w:rPr>
            <w:noProof/>
            <w:webHidden/>
          </w:rPr>
          <w:t>27</w:t>
        </w:r>
        <w:r>
          <w:rPr>
            <w:noProof/>
            <w:webHidden/>
          </w:rPr>
          <w:fldChar w:fldCharType="end"/>
        </w:r>
      </w:hyperlink>
    </w:p>
    <w:p w:rsidR="008B74DA" w:rsidRDefault="008B74DA" w:rsidP="008B74DA">
      <w:pPr>
        <w:pStyle w:val="Tabledesillustrations"/>
        <w:tabs>
          <w:tab w:val="right" w:leader="dot" w:pos="9204"/>
        </w:tabs>
        <w:spacing w:before="120"/>
        <w:rPr>
          <w:rFonts w:eastAsiaTheme="minorEastAsia"/>
          <w:noProof/>
          <w:lang w:eastAsia="fr-FR"/>
        </w:rPr>
      </w:pPr>
      <w:hyperlink w:anchor="_Toc515274107" w:history="1">
        <w:r w:rsidRPr="00DF52C1">
          <w:rPr>
            <w:rStyle w:val="Lienhypertexte"/>
            <w:rFonts w:ascii="Times New Roman" w:hAnsi="Times New Roman"/>
            <w:noProof/>
          </w:rPr>
          <w:t xml:space="preserve">Graphique 4: </w:t>
        </w:r>
        <w:r w:rsidRPr="00DF52C1">
          <w:rPr>
            <w:rStyle w:val="Lienhypertexte"/>
            <w:rFonts w:ascii="Times New Roman" w:hAnsi="Times New Roman" w:cstheme="majorBidi"/>
            <w:noProof/>
          </w:rPr>
          <w:t>Indices : général, alimentaire et non alimentaire de la ville de Kénitra - Année 2017-</w:t>
        </w:r>
        <w:r>
          <w:rPr>
            <w:noProof/>
            <w:webHidden/>
          </w:rPr>
          <w:tab/>
        </w:r>
        <w:r>
          <w:rPr>
            <w:noProof/>
            <w:webHidden/>
          </w:rPr>
          <w:fldChar w:fldCharType="begin"/>
        </w:r>
        <w:r>
          <w:rPr>
            <w:noProof/>
            <w:webHidden/>
          </w:rPr>
          <w:instrText xml:space="preserve"> PAGEREF _Toc515274107 \h </w:instrText>
        </w:r>
        <w:r>
          <w:rPr>
            <w:noProof/>
            <w:webHidden/>
          </w:rPr>
        </w:r>
        <w:r>
          <w:rPr>
            <w:noProof/>
            <w:webHidden/>
          </w:rPr>
          <w:fldChar w:fldCharType="separate"/>
        </w:r>
        <w:r w:rsidR="00156FC8">
          <w:rPr>
            <w:noProof/>
            <w:webHidden/>
          </w:rPr>
          <w:t>29</w:t>
        </w:r>
        <w:r>
          <w:rPr>
            <w:noProof/>
            <w:webHidden/>
          </w:rPr>
          <w:fldChar w:fldCharType="end"/>
        </w:r>
      </w:hyperlink>
    </w:p>
    <w:p w:rsidR="008B74DA" w:rsidRDefault="008B74DA" w:rsidP="008B74DA">
      <w:pPr>
        <w:pStyle w:val="Tabledesillustrations"/>
        <w:tabs>
          <w:tab w:val="right" w:leader="dot" w:pos="9204"/>
        </w:tabs>
        <w:spacing w:before="120"/>
        <w:rPr>
          <w:rFonts w:eastAsiaTheme="minorEastAsia"/>
          <w:noProof/>
          <w:lang w:eastAsia="fr-FR"/>
        </w:rPr>
      </w:pPr>
      <w:hyperlink w:anchor="_Toc515274108" w:history="1">
        <w:r w:rsidRPr="00DF52C1">
          <w:rPr>
            <w:rStyle w:val="Lienhypertexte"/>
            <w:rFonts w:ascii="Times New Roman" w:hAnsi="Times New Roman"/>
            <w:noProof/>
          </w:rPr>
          <w:t xml:space="preserve">Graphique 5 : </w:t>
        </w:r>
        <w:r w:rsidRPr="00DF52C1">
          <w:rPr>
            <w:rStyle w:val="Lienhypertexte"/>
            <w:rFonts w:ascii="Times New Roman" w:hAnsi="Times New Roman" w:cstheme="majorBidi"/>
            <w:noProof/>
          </w:rPr>
          <w:t>Evolution de l'IPC de la ville de Kenitra entre 2007 et 2017</w:t>
        </w:r>
        <w:r>
          <w:rPr>
            <w:noProof/>
            <w:webHidden/>
          </w:rPr>
          <w:tab/>
        </w:r>
        <w:r>
          <w:rPr>
            <w:noProof/>
            <w:webHidden/>
          </w:rPr>
          <w:fldChar w:fldCharType="begin"/>
        </w:r>
        <w:r>
          <w:rPr>
            <w:noProof/>
            <w:webHidden/>
          </w:rPr>
          <w:instrText xml:space="preserve"> PAGEREF _Toc515274108 \h </w:instrText>
        </w:r>
        <w:r>
          <w:rPr>
            <w:noProof/>
            <w:webHidden/>
          </w:rPr>
        </w:r>
        <w:r>
          <w:rPr>
            <w:noProof/>
            <w:webHidden/>
          </w:rPr>
          <w:fldChar w:fldCharType="separate"/>
        </w:r>
        <w:r w:rsidR="00156FC8">
          <w:rPr>
            <w:noProof/>
            <w:webHidden/>
          </w:rPr>
          <w:t>33</w:t>
        </w:r>
        <w:r>
          <w:rPr>
            <w:noProof/>
            <w:webHidden/>
          </w:rPr>
          <w:fldChar w:fldCharType="end"/>
        </w:r>
      </w:hyperlink>
    </w:p>
    <w:p w:rsidR="008B74DA" w:rsidRDefault="008B74DA" w:rsidP="008B74DA">
      <w:pPr>
        <w:pStyle w:val="Tabledesillustrations"/>
        <w:tabs>
          <w:tab w:val="right" w:leader="dot" w:pos="9204"/>
        </w:tabs>
        <w:spacing w:before="120"/>
        <w:rPr>
          <w:rFonts w:eastAsiaTheme="minorEastAsia"/>
          <w:noProof/>
          <w:lang w:eastAsia="fr-FR"/>
        </w:rPr>
      </w:pPr>
      <w:hyperlink w:anchor="_Toc515274109" w:history="1">
        <w:r w:rsidRPr="00DF52C1">
          <w:rPr>
            <w:rStyle w:val="Lienhypertexte"/>
            <w:rFonts w:ascii="Times New Roman" w:hAnsi="Times New Roman"/>
            <w:noProof/>
          </w:rPr>
          <w:t xml:space="preserve">Graphique 6 : </w:t>
        </w:r>
        <w:r w:rsidRPr="00DF52C1">
          <w:rPr>
            <w:rStyle w:val="Lienhypertexte"/>
            <w:rFonts w:ascii="Times New Roman" w:hAnsi="Times New Roman" w:cstheme="majorBidi"/>
            <w:noProof/>
          </w:rPr>
          <w:t>Evolution de l'IPC  général de la ville de  Kénitra et du Maroc entre 2007 et 2017</w:t>
        </w:r>
        <w:r>
          <w:rPr>
            <w:noProof/>
            <w:webHidden/>
          </w:rPr>
          <w:tab/>
        </w:r>
        <w:r>
          <w:rPr>
            <w:noProof/>
            <w:webHidden/>
          </w:rPr>
          <w:fldChar w:fldCharType="begin"/>
        </w:r>
        <w:r>
          <w:rPr>
            <w:noProof/>
            <w:webHidden/>
          </w:rPr>
          <w:instrText xml:space="preserve"> PAGEREF _Toc515274109 \h </w:instrText>
        </w:r>
        <w:r>
          <w:rPr>
            <w:noProof/>
            <w:webHidden/>
          </w:rPr>
        </w:r>
        <w:r>
          <w:rPr>
            <w:noProof/>
            <w:webHidden/>
          </w:rPr>
          <w:fldChar w:fldCharType="separate"/>
        </w:r>
        <w:r w:rsidR="00156FC8">
          <w:rPr>
            <w:noProof/>
            <w:webHidden/>
          </w:rPr>
          <w:t>34</w:t>
        </w:r>
        <w:r>
          <w:rPr>
            <w:noProof/>
            <w:webHidden/>
          </w:rPr>
          <w:fldChar w:fldCharType="end"/>
        </w:r>
      </w:hyperlink>
    </w:p>
    <w:p w:rsidR="008B74DA" w:rsidRDefault="008B74DA" w:rsidP="008B74DA">
      <w:pPr>
        <w:pStyle w:val="Tabledesillustrations"/>
        <w:tabs>
          <w:tab w:val="right" w:leader="dot" w:pos="9204"/>
        </w:tabs>
        <w:spacing w:before="120"/>
        <w:rPr>
          <w:rFonts w:eastAsiaTheme="minorEastAsia"/>
          <w:noProof/>
          <w:lang w:eastAsia="fr-FR"/>
        </w:rPr>
      </w:pPr>
      <w:hyperlink w:anchor="_Toc515274110" w:history="1">
        <w:r w:rsidRPr="00DF52C1">
          <w:rPr>
            <w:rStyle w:val="Lienhypertexte"/>
            <w:rFonts w:ascii="Times New Roman" w:hAnsi="Times New Roman"/>
            <w:noProof/>
          </w:rPr>
          <w:t xml:space="preserve">Graphique 7 : </w:t>
        </w:r>
        <w:r w:rsidRPr="00DF52C1">
          <w:rPr>
            <w:rStyle w:val="Lienhypertexte"/>
            <w:rFonts w:ascii="Times New Roman" w:hAnsi="Times New Roman" w:cstheme="majorBidi"/>
            <w:noProof/>
          </w:rPr>
          <w:t>Evolution des indices alimentaire, non alimentaire et général entre 2007 et 2011,</w:t>
        </w:r>
        <w:r>
          <w:rPr>
            <w:noProof/>
            <w:webHidden/>
          </w:rPr>
          <w:tab/>
        </w:r>
        <w:r>
          <w:rPr>
            <w:noProof/>
            <w:webHidden/>
          </w:rPr>
          <w:fldChar w:fldCharType="begin"/>
        </w:r>
        <w:r>
          <w:rPr>
            <w:noProof/>
            <w:webHidden/>
          </w:rPr>
          <w:instrText xml:space="preserve"> PAGEREF _Toc515274110 \h </w:instrText>
        </w:r>
        <w:r>
          <w:rPr>
            <w:noProof/>
            <w:webHidden/>
          </w:rPr>
        </w:r>
        <w:r>
          <w:rPr>
            <w:noProof/>
            <w:webHidden/>
          </w:rPr>
          <w:fldChar w:fldCharType="separate"/>
        </w:r>
        <w:r w:rsidR="00156FC8">
          <w:rPr>
            <w:noProof/>
            <w:webHidden/>
          </w:rPr>
          <w:t>35</w:t>
        </w:r>
        <w:r>
          <w:rPr>
            <w:noProof/>
            <w:webHidden/>
          </w:rPr>
          <w:fldChar w:fldCharType="end"/>
        </w:r>
      </w:hyperlink>
    </w:p>
    <w:p w:rsidR="008B74DA" w:rsidRDefault="008B74DA" w:rsidP="008B74DA">
      <w:pPr>
        <w:pStyle w:val="Tabledesillustrations"/>
        <w:tabs>
          <w:tab w:val="right" w:leader="dot" w:pos="9204"/>
        </w:tabs>
        <w:spacing w:before="120"/>
        <w:rPr>
          <w:rFonts w:eastAsiaTheme="minorEastAsia"/>
          <w:noProof/>
          <w:lang w:eastAsia="fr-FR"/>
        </w:rPr>
      </w:pPr>
      <w:hyperlink w:anchor="_Toc515274111" w:history="1">
        <w:r w:rsidRPr="00DF52C1">
          <w:rPr>
            <w:rStyle w:val="Lienhypertexte"/>
            <w:rFonts w:ascii="Times New Roman" w:hAnsi="Times New Roman"/>
            <w:noProof/>
          </w:rPr>
          <w:t xml:space="preserve">Graphique 8 : </w:t>
        </w:r>
        <w:r w:rsidRPr="00DF52C1">
          <w:rPr>
            <w:rStyle w:val="Lienhypertexte"/>
            <w:rFonts w:ascii="Times New Roman" w:hAnsi="Times New Roman" w:cstheme="majorBidi"/>
            <w:noProof/>
          </w:rPr>
          <w:t>Evolution de l'inflation générale entre 2007 et 2017</w:t>
        </w:r>
        <w:r>
          <w:rPr>
            <w:noProof/>
            <w:webHidden/>
          </w:rPr>
          <w:tab/>
        </w:r>
        <w:r>
          <w:rPr>
            <w:noProof/>
            <w:webHidden/>
          </w:rPr>
          <w:fldChar w:fldCharType="begin"/>
        </w:r>
        <w:r>
          <w:rPr>
            <w:noProof/>
            <w:webHidden/>
          </w:rPr>
          <w:instrText xml:space="preserve"> PAGEREF _Toc515274111 \h </w:instrText>
        </w:r>
        <w:r>
          <w:rPr>
            <w:noProof/>
            <w:webHidden/>
          </w:rPr>
        </w:r>
        <w:r>
          <w:rPr>
            <w:noProof/>
            <w:webHidden/>
          </w:rPr>
          <w:fldChar w:fldCharType="separate"/>
        </w:r>
        <w:r w:rsidR="00156FC8">
          <w:rPr>
            <w:noProof/>
            <w:webHidden/>
          </w:rPr>
          <w:t>36</w:t>
        </w:r>
        <w:r>
          <w:rPr>
            <w:noProof/>
            <w:webHidden/>
          </w:rPr>
          <w:fldChar w:fldCharType="end"/>
        </w:r>
      </w:hyperlink>
    </w:p>
    <w:p w:rsidR="008B74DA" w:rsidRDefault="008B74DA" w:rsidP="008B74DA">
      <w:pPr>
        <w:pStyle w:val="Tabledesillustrations"/>
        <w:tabs>
          <w:tab w:val="right" w:leader="dot" w:pos="9204"/>
        </w:tabs>
        <w:spacing w:before="120"/>
        <w:rPr>
          <w:rFonts w:eastAsiaTheme="minorEastAsia"/>
          <w:noProof/>
          <w:lang w:eastAsia="fr-FR"/>
        </w:rPr>
      </w:pPr>
      <w:hyperlink w:anchor="_Toc515274112" w:history="1">
        <w:r w:rsidRPr="00DF52C1">
          <w:rPr>
            <w:rStyle w:val="Lienhypertexte"/>
            <w:rFonts w:asciiTheme="majorBidi" w:hAnsiTheme="majorBidi" w:cstheme="majorBidi"/>
            <w:noProof/>
          </w:rPr>
          <w:t>Graphique 9 : IPC de la ville de Kénitra et du Maroc : glissements annuels entre 2007 et 2017</w:t>
        </w:r>
        <w:r>
          <w:rPr>
            <w:noProof/>
            <w:webHidden/>
          </w:rPr>
          <w:tab/>
        </w:r>
        <w:r>
          <w:rPr>
            <w:noProof/>
            <w:webHidden/>
          </w:rPr>
          <w:fldChar w:fldCharType="begin"/>
        </w:r>
        <w:r>
          <w:rPr>
            <w:noProof/>
            <w:webHidden/>
          </w:rPr>
          <w:instrText xml:space="preserve"> PAGEREF _Toc515274112 \h </w:instrText>
        </w:r>
        <w:r>
          <w:rPr>
            <w:noProof/>
            <w:webHidden/>
          </w:rPr>
        </w:r>
        <w:r>
          <w:rPr>
            <w:noProof/>
            <w:webHidden/>
          </w:rPr>
          <w:fldChar w:fldCharType="separate"/>
        </w:r>
        <w:r w:rsidR="00156FC8">
          <w:rPr>
            <w:noProof/>
            <w:webHidden/>
          </w:rPr>
          <w:t>37</w:t>
        </w:r>
        <w:r>
          <w:rPr>
            <w:noProof/>
            <w:webHidden/>
          </w:rPr>
          <w:fldChar w:fldCharType="end"/>
        </w:r>
      </w:hyperlink>
    </w:p>
    <w:p w:rsidR="00BC2DF5" w:rsidRDefault="001022E9" w:rsidP="005405A4">
      <w:pPr>
        <w:pStyle w:val="Tabledesillustrations"/>
        <w:tabs>
          <w:tab w:val="right" w:leader="dot" w:pos="9204"/>
        </w:tabs>
        <w:spacing w:before="240" w:after="240"/>
        <w:rPr>
          <w:rFonts w:asciiTheme="majorBidi" w:hAnsiTheme="majorBidi"/>
          <w:b/>
          <w:bCs/>
          <w:color w:val="0070C0"/>
        </w:rPr>
      </w:pPr>
      <w:r>
        <w:rPr>
          <w:rFonts w:asciiTheme="majorBidi" w:hAnsiTheme="majorBidi"/>
          <w:b/>
          <w:bCs/>
          <w:color w:val="0070C0"/>
        </w:rPr>
        <w:fldChar w:fldCharType="end"/>
      </w:r>
    </w:p>
    <w:p w:rsidR="00462F63" w:rsidRDefault="00462F63" w:rsidP="00462F63"/>
    <w:p w:rsidR="00462F63" w:rsidRDefault="00462F63" w:rsidP="005B5C23">
      <w:pPr>
        <w:pStyle w:val="Titre1"/>
        <w:rPr>
          <w:color w:val="0070C0"/>
        </w:rPr>
      </w:pPr>
    </w:p>
    <w:p w:rsidR="00462F63" w:rsidRDefault="00462F63" w:rsidP="00462F63"/>
    <w:p w:rsidR="00F67E78" w:rsidRDefault="00F67E78" w:rsidP="00462F63"/>
    <w:p w:rsidR="00F67E78" w:rsidRDefault="00F67E78" w:rsidP="00462F63"/>
    <w:p w:rsidR="00F67E78" w:rsidRDefault="00F67E78" w:rsidP="00462F63"/>
    <w:p w:rsidR="00F67E78" w:rsidRDefault="00F67E78" w:rsidP="00462F63"/>
    <w:p w:rsidR="00462F63" w:rsidRDefault="00462F63" w:rsidP="00462F63"/>
    <w:p w:rsidR="00F67E78" w:rsidRDefault="00F67E78" w:rsidP="00462F63"/>
    <w:p w:rsidR="00F67E78" w:rsidRDefault="00F67E78" w:rsidP="00462F63"/>
    <w:p w:rsidR="00F67E78" w:rsidRDefault="00F67E78" w:rsidP="00462F63"/>
    <w:p w:rsidR="00002361" w:rsidRDefault="00002361">
      <w:r>
        <w:br w:type="page"/>
      </w:r>
    </w:p>
    <w:p w:rsidR="00BC2DF5" w:rsidRPr="008B74DA" w:rsidRDefault="00951E73" w:rsidP="005405A4">
      <w:pPr>
        <w:pStyle w:val="Titre1"/>
        <w:rPr>
          <w:color w:val="0070C0"/>
        </w:rPr>
      </w:pPr>
      <w:bookmarkStart w:id="2" w:name="_Toc515273993"/>
      <w:r w:rsidRPr="008B74DA">
        <w:rPr>
          <w:color w:val="0070C0"/>
        </w:rPr>
        <w:lastRenderedPageBreak/>
        <w:t>Listes des tableaux annexe</w:t>
      </w:r>
      <w:r w:rsidR="00F67E78" w:rsidRPr="008B74DA">
        <w:rPr>
          <w:color w:val="0070C0"/>
        </w:rPr>
        <w:t>s</w:t>
      </w:r>
      <w:bookmarkEnd w:id="2"/>
    </w:p>
    <w:p w:rsidR="00F67E78" w:rsidRPr="00F67E78" w:rsidRDefault="00F67E78" w:rsidP="00F67E78"/>
    <w:p w:rsidR="008B74DA" w:rsidRPr="008B74DA" w:rsidRDefault="001022E9" w:rsidP="008B74DA">
      <w:pPr>
        <w:pStyle w:val="Tabledesillustrations"/>
        <w:tabs>
          <w:tab w:val="right" w:leader="dot" w:pos="9204"/>
        </w:tabs>
        <w:spacing w:before="120"/>
        <w:rPr>
          <w:rFonts w:asciiTheme="majorBidi" w:eastAsiaTheme="minorEastAsia" w:hAnsiTheme="majorBidi" w:cstheme="majorBidi"/>
          <w:noProof/>
          <w:lang w:eastAsia="fr-FR"/>
        </w:rPr>
      </w:pPr>
      <w:r w:rsidRPr="001022E9">
        <w:rPr>
          <w:rFonts w:asciiTheme="majorBidi" w:hAnsiTheme="majorBidi"/>
          <w:b/>
          <w:bCs/>
          <w:color w:val="0070C0"/>
        </w:rPr>
        <w:fldChar w:fldCharType="begin"/>
      </w:r>
      <w:r w:rsidR="00F67E78">
        <w:rPr>
          <w:rFonts w:asciiTheme="majorBidi" w:hAnsiTheme="majorBidi"/>
          <w:b/>
          <w:bCs/>
          <w:color w:val="0070C0"/>
        </w:rPr>
        <w:instrText xml:space="preserve"> TOC \f F \h \z \c "Tableau A" </w:instrText>
      </w:r>
      <w:r w:rsidRPr="001022E9">
        <w:rPr>
          <w:rFonts w:asciiTheme="majorBidi" w:hAnsiTheme="majorBidi"/>
          <w:b/>
          <w:bCs/>
          <w:color w:val="0070C0"/>
        </w:rPr>
        <w:fldChar w:fldCharType="separate"/>
      </w:r>
      <w:hyperlink w:anchor="_Toc515274113" w:history="1">
        <w:r w:rsidR="008B74DA" w:rsidRPr="008B74DA">
          <w:rPr>
            <w:rStyle w:val="Lienhypertexte"/>
            <w:rFonts w:asciiTheme="majorBidi" w:hAnsiTheme="majorBidi" w:cstheme="majorBidi"/>
            <w:noProof/>
          </w:rPr>
          <w:t xml:space="preserve">Tableau A 1 : </w:t>
        </w:r>
        <w:r w:rsidR="008B74DA" w:rsidRPr="008B74DA">
          <w:rPr>
            <w:rStyle w:val="Lienhypertexte"/>
            <w:rFonts w:asciiTheme="majorBidi" w:eastAsia="Times New Roman" w:hAnsiTheme="majorBidi" w:cstheme="majorBidi"/>
            <w:noProof/>
            <w:lang w:eastAsia="fr-FR"/>
          </w:rPr>
          <w:t>IPC de la ville de Kenitra par division, groupe et classes de produits</w:t>
        </w:r>
        <w:r w:rsidR="008B74DA" w:rsidRPr="008B74DA">
          <w:rPr>
            <w:rFonts w:asciiTheme="majorBidi" w:hAnsiTheme="majorBidi" w:cstheme="majorBidi"/>
            <w:noProof/>
            <w:webHidden/>
          </w:rPr>
          <w:tab/>
        </w:r>
        <w:r w:rsidR="008B74DA"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_Toc515274113 \h </w:instrText>
        </w:r>
        <w:r w:rsidR="008B74DA" w:rsidRPr="008B74DA">
          <w:rPr>
            <w:rFonts w:asciiTheme="majorBidi" w:hAnsiTheme="majorBidi" w:cstheme="majorBidi"/>
            <w:noProof/>
            <w:webHidden/>
          </w:rPr>
        </w:r>
        <w:r w:rsidR="008B74DA" w:rsidRPr="008B74DA">
          <w:rPr>
            <w:rFonts w:asciiTheme="majorBidi" w:hAnsiTheme="majorBidi" w:cstheme="majorBidi"/>
            <w:noProof/>
            <w:webHidden/>
          </w:rPr>
          <w:fldChar w:fldCharType="separate"/>
        </w:r>
        <w:r w:rsidR="00156FC8">
          <w:rPr>
            <w:rFonts w:asciiTheme="majorBidi" w:hAnsiTheme="majorBidi" w:cstheme="majorBidi"/>
            <w:noProof/>
            <w:webHidden/>
          </w:rPr>
          <w:t>45</w:t>
        </w:r>
        <w:r w:rsidR="008B74DA"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4" w:history="1">
        <w:r w:rsidRPr="008B74DA">
          <w:rPr>
            <w:rStyle w:val="Lienhypertexte"/>
            <w:rFonts w:asciiTheme="majorBidi" w:hAnsiTheme="majorBidi" w:cstheme="majorBidi"/>
            <w:noProof/>
          </w:rPr>
          <w:t xml:space="preserve">Tableau A 2 : </w:t>
        </w:r>
        <w:r w:rsidRPr="008B74DA">
          <w:rPr>
            <w:rStyle w:val="Lienhypertexte"/>
            <w:rFonts w:asciiTheme="majorBidi" w:eastAsia="Times New Roman" w:hAnsiTheme="majorBidi" w:cstheme="majorBidi"/>
            <w:noProof/>
            <w:lang w:eastAsia="fr-FR"/>
          </w:rPr>
          <w:t>IPC de la ville de Kénitra par division et par mois - Année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_Toc515274114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50</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5" w:history="1">
        <w:r w:rsidRPr="008B74DA">
          <w:rPr>
            <w:rStyle w:val="Lienhypertexte"/>
            <w:rFonts w:asciiTheme="majorBidi" w:hAnsiTheme="majorBidi" w:cstheme="majorBidi"/>
            <w:noProof/>
          </w:rPr>
          <w:t xml:space="preserve">Tableau A 3 : </w:t>
        </w:r>
        <w:r w:rsidRPr="008B74DA">
          <w:rPr>
            <w:rStyle w:val="Lienhypertexte"/>
            <w:rFonts w:asciiTheme="majorBidi" w:eastAsia="Times New Roman" w:hAnsiTheme="majorBidi" w:cstheme="majorBidi"/>
            <w:noProof/>
            <w:lang w:eastAsia="fr-FR"/>
          </w:rPr>
          <w:t>IPC de la ville de Kénitra par division et par mois - Année 2016-</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_Toc515274115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51</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6" w:history="1">
        <w:r w:rsidRPr="008B74DA">
          <w:rPr>
            <w:rStyle w:val="Lienhypertexte"/>
            <w:rFonts w:asciiTheme="majorBidi" w:hAnsiTheme="majorBidi" w:cstheme="majorBidi"/>
            <w:noProof/>
          </w:rPr>
          <w:t xml:space="preserve">Tableau A 4 : </w:t>
        </w:r>
        <w:r w:rsidRPr="008B74DA">
          <w:rPr>
            <w:rStyle w:val="Lienhypertexte"/>
            <w:rFonts w:asciiTheme="majorBidi" w:eastAsia="Times New Roman" w:hAnsiTheme="majorBidi" w:cstheme="majorBidi"/>
            <w:noProof/>
            <w:lang w:eastAsia="fr-FR"/>
          </w:rPr>
          <w:t>IPC de la ville de Kénitra par division et par mois - Année 2015-</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_Toc515274116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52</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7" w:history="1">
        <w:r w:rsidRPr="008B74DA">
          <w:rPr>
            <w:rStyle w:val="Lienhypertexte"/>
            <w:rFonts w:asciiTheme="majorBidi" w:hAnsiTheme="majorBidi" w:cstheme="majorBidi"/>
            <w:noProof/>
          </w:rPr>
          <w:t xml:space="preserve">Tableau A 5 : </w:t>
        </w:r>
        <w:r w:rsidRPr="008B74DA">
          <w:rPr>
            <w:rStyle w:val="Lienhypertexte"/>
            <w:rFonts w:asciiTheme="majorBidi" w:eastAsia="Times New Roman" w:hAnsiTheme="majorBidi" w:cstheme="majorBidi"/>
            <w:noProof/>
            <w:lang w:eastAsia="fr-FR"/>
          </w:rPr>
          <w:t>IPC de la ville de Kénitra par division et par mois - Année 2014 -</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_Toc515274117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53</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8" w:history="1">
        <w:r w:rsidRPr="008B74DA">
          <w:rPr>
            <w:rStyle w:val="Lienhypertexte"/>
            <w:rFonts w:asciiTheme="majorBidi" w:hAnsiTheme="majorBidi" w:cstheme="majorBidi"/>
            <w:noProof/>
          </w:rPr>
          <w:t xml:space="preserve">Tableau A 6 : </w:t>
        </w:r>
        <w:r w:rsidRPr="008B74DA">
          <w:rPr>
            <w:rStyle w:val="Lienhypertexte"/>
            <w:rFonts w:asciiTheme="majorBidi" w:eastAsia="Times New Roman" w:hAnsiTheme="majorBidi" w:cstheme="majorBidi"/>
            <w:noProof/>
            <w:lang w:eastAsia="fr-FR"/>
          </w:rPr>
          <w:t>IPC de la ville de Kénitra par division et par mois - Année 2013-</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_Toc515274118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54</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9" w:history="1">
        <w:r w:rsidRPr="008B74DA">
          <w:rPr>
            <w:rStyle w:val="Lienhypertexte"/>
            <w:rFonts w:asciiTheme="majorBidi" w:hAnsiTheme="majorBidi" w:cstheme="majorBidi"/>
            <w:noProof/>
          </w:rPr>
          <w:t xml:space="preserve">Tableau A 7 : </w:t>
        </w:r>
        <w:r w:rsidRPr="008B74DA">
          <w:rPr>
            <w:rStyle w:val="Lienhypertexte"/>
            <w:rFonts w:asciiTheme="majorBidi" w:eastAsia="Times New Roman" w:hAnsiTheme="majorBidi" w:cstheme="majorBidi"/>
            <w:noProof/>
            <w:lang w:eastAsia="fr-FR"/>
          </w:rPr>
          <w:t>IPC de la ville de Kénitra par division et par mois - Année 2012-</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_Toc515274119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55</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0" w:history="1">
        <w:r w:rsidRPr="008B74DA">
          <w:rPr>
            <w:rStyle w:val="Lienhypertexte"/>
            <w:rFonts w:asciiTheme="majorBidi" w:hAnsiTheme="majorBidi" w:cstheme="majorBidi"/>
            <w:noProof/>
          </w:rPr>
          <w:t xml:space="preserve">Tableau A 8 : </w:t>
        </w:r>
        <w:r w:rsidRPr="008B74DA">
          <w:rPr>
            <w:rStyle w:val="Lienhypertexte"/>
            <w:rFonts w:asciiTheme="majorBidi" w:eastAsia="Times New Roman" w:hAnsiTheme="majorBidi" w:cstheme="majorBidi"/>
            <w:noProof/>
            <w:lang w:eastAsia="fr-FR"/>
          </w:rPr>
          <w:t>IPC de la ville de Kénitra par division et par mois - Année 2011-</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_Toc515274120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56</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1" w:history="1">
        <w:r w:rsidRPr="008B74DA">
          <w:rPr>
            <w:rStyle w:val="Lienhypertexte"/>
            <w:rFonts w:asciiTheme="majorBidi" w:hAnsiTheme="majorBidi" w:cstheme="majorBidi"/>
            <w:noProof/>
          </w:rPr>
          <w:t xml:space="preserve">Tableau A 9 : </w:t>
        </w:r>
        <w:r w:rsidRPr="008B74DA">
          <w:rPr>
            <w:rStyle w:val="Lienhypertexte"/>
            <w:rFonts w:asciiTheme="majorBidi" w:eastAsia="Times New Roman" w:hAnsiTheme="majorBidi" w:cstheme="majorBidi"/>
            <w:noProof/>
            <w:lang w:eastAsia="fr-FR"/>
          </w:rPr>
          <w:t>IPC de la ville de Kénitra par division et par mois - Année 2010 -</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_Toc515274121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57</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2" w:history="1">
        <w:r w:rsidRPr="008B74DA">
          <w:rPr>
            <w:rStyle w:val="Lienhypertexte"/>
            <w:rFonts w:asciiTheme="majorBidi" w:hAnsiTheme="majorBidi" w:cstheme="majorBidi"/>
            <w:noProof/>
          </w:rPr>
          <w:t xml:space="preserve">Tableau A 10 : </w:t>
        </w:r>
        <w:r w:rsidRPr="008B74DA">
          <w:rPr>
            <w:rStyle w:val="Lienhypertexte"/>
            <w:rFonts w:asciiTheme="majorBidi" w:eastAsia="Times New Roman" w:hAnsiTheme="majorBidi" w:cstheme="majorBidi"/>
            <w:noProof/>
            <w:lang w:eastAsia="fr-FR"/>
          </w:rPr>
          <w:t>IPC de la ville de Kénitra par division et par mois - Année 2009 -</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_Toc515274122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58</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3" w:history="1">
        <w:r w:rsidRPr="008B74DA">
          <w:rPr>
            <w:rStyle w:val="Lienhypertexte"/>
            <w:rFonts w:asciiTheme="majorBidi" w:hAnsiTheme="majorBidi" w:cstheme="majorBidi"/>
            <w:noProof/>
          </w:rPr>
          <w:t xml:space="preserve">Tableau A 11 : </w:t>
        </w:r>
        <w:r w:rsidRPr="008B74DA">
          <w:rPr>
            <w:rStyle w:val="Lienhypertexte"/>
            <w:rFonts w:asciiTheme="majorBidi" w:eastAsia="Times New Roman" w:hAnsiTheme="majorBidi" w:cstheme="majorBidi"/>
            <w:noProof/>
            <w:lang w:eastAsia="fr-FR"/>
          </w:rPr>
          <w:t>IPC de la ville de Kénitra par division et par mois - Année 2008 -</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_Toc515274123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59</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4" w:history="1">
        <w:r w:rsidRPr="008B74DA">
          <w:rPr>
            <w:rStyle w:val="Lienhypertexte"/>
            <w:rFonts w:asciiTheme="majorBidi" w:hAnsiTheme="majorBidi" w:cstheme="majorBidi"/>
            <w:noProof/>
          </w:rPr>
          <w:t xml:space="preserve">Tableau A 12 : </w:t>
        </w:r>
        <w:r w:rsidRPr="008B74DA">
          <w:rPr>
            <w:rStyle w:val="Lienhypertexte"/>
            <w:rFonts w:asciiTheme="majorBidi" w:eastAsia="Times New Roman" w:hAnsiTheme="majorBidi" w:cstheme="majorBidi"/>
            <w:noProof/>
            <w:lang w:eastAsia="fr-FR"/>
          </w:rPr>
          <w:t>IPC de la ville de Kénitra par division et par mois - Année 2007-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_Toc515274124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60</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5" w:history="1">
        <w:r w:rsidRPr="008B74DA">
          <w:rPr>
            <w:rStyle w:val="Lienhypertexte"/>
            <w:rFonts w:asciiTheme="majorBidi" w:hAnsiTheme="majorBidi" w:cstheme="majorBidi"/>
            <w:noProof/>
          </w:rPr>
          <w:t>Tableau A 13 : Evolution de l'IPC  général de la ville de  kénitra et du Maroc entre 2007 et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_Toc515274125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61</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6" w:history="1">
        <w:r w:rsidRPr="008B74DA">
          <w:rPr>
            <w:rStyle w:val="Lienhypertexte"/>
            <w:rFonts w:asciiTheme="majorBidi" w:hAnsiTheme="majorBidi" w:cstheme="majorBidi"/>
            <w:noProof/>
          </w:rPr>
          <w:t>Tableau A 14 : Evolution de l'IPC de la ville de kénitra entre 2007 et 2017 par grande division</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_Toc515274126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61</w:t>
        </w:r>
        <w:r w:rsidRPr="008B74DA">
          <w:rPr>
            <w:rFonts w:asciiTheme="majorBidi" w:hAnsiTheme="majorBidi" w:cstheme="majorBidi"/>
            <w:noProof/>
            <w:webHidden/>
          </w:rPr>
          <w:fldChar w:fldCharType="end"/>
        </w:r>
      </w:hyperlink>
    </w:p>
    <w:p w:rsidR="008B74DA" w:rsidRPr="008B74DA" w:rsidRDefault="008B74DA"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7" w:history="1">
        <w:r w:rsidRPr="008B74DA">
          <w:rPr>
            <w:rStyle w:val="Lienhypertexte"/>
            <w:rFonts w:asciiTheme="majorBidi" w:hAnsiTheme="majorBidi" w:cstheme="majorBidi"/>
            <w:noProof/>
          </w:rPr>
          <w:t>Tableau A 15 : Evolution de l'inflation générale entre 2007 et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_Toc515274127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61</w:t>
        </w:r>
        <w:r w:rsidRPr="008B74DA">
          <w:rPr>
            <w:rFonts w:asciiTheme="majorBidi" w:hAnsiTheme="majorBidi" w:cstheme="majorBidi"/>
            <w:noProof/>
            <w:webHidden/>
          </w:rPr>
          <w:fldChar w:fldCharType="end"/>
        </w:r>
      </w:hyperlink>
    </w:p>
    <w:p w:rsidR="008B74DA" w:rsidRDefault="008B74DA" w:rsidP="008B74DA">
      <w:pPr>
        <w:pStyle w:val="Tabledesillustrations"/>
        <w:tabs>
          <w:tab w:val="right" w:leader="dot" w:pos="9204"/>
        </w:tabs>
        <w:spacing w:before="120"/>
        <w:rPr>
          <w:rFonts w:eastAsiaTheme="minorEastAsia"/>
          <w:noProof/>
          <w:lang w:eastAsia="fr-FR"/>
        </w:rPr>
      </w:pPr>
      <w:hyperlink w:anchor="_Toc515274128" w:history="1">
        <w:r w:rsidRPr="008B74DA">
          <w:rPr>
            <w:rStyle w:val="Lienhypertexte"/>
            <w:rFonts w:asciiTheme="majorBidi" w:hAnsiTheme="majorBidi" w:cstheme="majorBidi"/>
            <w:noProof/>
          </w:rPr>
          <w:t xml:space="preserve">Tableau A 16 : </w:t>
        </w:r>
        <w:r w:rsidRPr="008B74DA">
          <w:rPr>
            <w:rStyle w:val="Lienhypertexte"/>
            <w:rFonts w:asciiTheme="majorBidi" w:eastAsia="Times New Roman" w:hAnsiTheme="majorBidi" w:cstheme="majorBidi"/>
            <w:noProof/>
            <w:lang w:eastAsia="fr-FR"/>
          </w:rPr>
          <w:t>IPC général par mois et par ville -Année 2017-</w:t>
        </w:r>
        <w:r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Pr="008B74DA">
          <w:rPr>
            <w:rFonts w:asciiTheme="majorBidi" w:hAnsiTheme="majorBidi" w:cstheme="majorBidi"/>
            <w:noProof/>
            <w:webHidden/>
          </w:rPr>
          <w:instrText xml:space="preserve"> PAGEREF _Toc515274128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156FC8">
          <w:rPr>
            <w:rFonts w:asciiTheme="majorBidi" w:hAnsiTheme="majorBidi" w:cstheme="majorBidi"/>
            <w:noProof/>
            <w:webHidden/>
          </w:rPr>
          <w:t>61</w:t>
        </w:r>
        <w:r w:rsidRPr="008B74DA">
          <w:rPr>
            <w:rFonts w:asciiTheme="majorBidi" w:hAnsiTheme="majorBidi" w:cstheme="majorBidi"/>
            <w:noProof/>
            <w:webHidden/>
          </w:rPr>
          <w:fldChar w:fldCharType="end"/>
        </w:r>
      </w:hyperlink>
    </w:p>
    <w:p w:rsidR="00BC2DF5" w:rsidRDefault="001022E9" w:rsidP="006A40CB">
      <w:pPr>
        <w:pStyle w:val="Titre1"/>
        <w:rPr>
          <w:rFonts w:asciiTheme="majorBidi" w:hAnsiTheme="majorBidi"/>
          <w:b w:val="0"/>
          <w:bCs w:val="0"/>
          <w:color w:val="0070C0"/>
        </w:rPr>
      </w:pPr>
      <w:r>
        <w:rPr>
          <w:rFonts w:asciiTheme="majorBidi" w:hAnsiTheme="majorBidi"/>
          <w:b w:val="0"/>
          <w:bCs w:val="0"/>
          <w:color w:val="0070C0"/>
        </w:rPr>
        <w:fldChar w:fldCharType="end"/>
      </w:r>
    </w:p>
    <w:p w:rsidR="006A40CB" w:rsidRDefault="006A40CB" w:rsidP="006A40CB"/>
    <w:p w:rsidR="006A40CB" w:rsidRDefault="006A40CB" w:rsidP="006A40CB"/>
    <w:p w:rsidR="006A40CB" w:rsidRPr="006A40CB" w:rsidRDefault="006A40CB" w:rsidP="006A40CB"/>
    <w:p w:rsidR="006A40CB" w:rsidRDefault="006A40CB" w:rsidP="005B5C23">
      <w:pPr>
        <w:pStyle w:val="Titre1"/>
        <w:rPr>
          <w:rFonts w:asciiTheme="majorBidi" w:hAnsiTheme="majorBidi"/>
          <w:color w:val="0070C0"/>
        </w:rPr>
      </w:pPr>
    </w:p>
    <w:p w:rsidR="007B49E0" w:rsidRDefault="007B49E0" w:rsidP="005B5C23">
      <w:pPr>
        <w:pStyle w:val="Titre1"/>
        <w:rPr>
          <w:rFonts w:asciiTheme="majorBidi" w:hAnsiTheme="majorBidi"/>
          <w:color w:val="0070C0"/>
        </w:rPr>
      </w:pPr>
    </w:p>
    <w:p w:rsidR="007B49E0" w:rsidRDefault="007B49E0" w:rsidP="005B5C23">
      <w:pPr>
        <w:pStyle w:val="Titre1"/>
        <w:rPr>
          <w:rFonts w:asciiTheme="majorBidi" w:hAnsiTheme="majorBidi"/>
          <w:color w:val="0070C0"/>
        </w:rPr>
      </w:pPr>
    </w:p>
    <w:p w:rsidR="007B49E0" w:rsidRDefault="007B49E0" w:rsidP="005B5C23">
      <w:pPr>
        <w:pStyle w:val="Titre1"/>
        <w:rPr>
          <w:rFonts w:asciiTheme="majorBidi" w:hAnsiTheme="majorBidi"/>
          <w:color w:val="0070C0"/>
        </w:rPr>
      </w:pPr>
    </w:p>
    <w:p w:rsidR="007B49E0" w:rsidRDefault="007B49E0" w:rsidP="007B49E0"/>
    <w:p w:rsidR="00A905C6" w:rsidRDefault="00A905C6" w:rsidP="007C0158">
      <w:pPr>
        <w:pStyle w:val="Titre1"/>
        <w:rPr>
          <w:rFonts w:asciiTheme="majorBidi" w:hAnsiTheme="majorBidi"/>
          <w:color w:val="0070C0"/>
        </w:rPr>
      </w:pPr>
    </w:p>
    <w:p w:rsidR="008B74DA" w:rsidRDefault="008B74DA" w:rsidP="008B74DA">
      <w:pPr>
        <w:rPr>
          <w:rFonts w:asciiTheme="majorBidi" w:hAnsiTheme="majorBidi"/>
          <w:color w:val="0070C0"/>
        </w:rPr>
      </w:pPr>
      <w:r>
        <w:rPr>
          <w:rFonts w:asciiTheme="majorBidi" w:hAnsiTheme="majorBidi"/>
          <w:color w:val="0070C0"/>
        </w:rPr>
        <w:br w:type="page"/>
      </w:r>
    </w:p>
    <w:p w:rsidR="008B74DA" w:rsidRDefault="008B74DA" w:rsidP="008B74DA">
      <w:pPr>
        <w:rPr>
          <w:rFonts w:asciiTheme="majorBidi" w:hAnsiTheme="majorBidi"/>
          <w:color w:val="0070C0"/>
        </w:rPr>
      </w:pPr>
    </w:p>
    <w:p w:rsidR="00156FC8" w:rsidRDefault="00156FC8" w:rsidP="008B74DA">
      <w:pPr>
        <w:rPr>
          <w:rFonts w:asciiTheme="majorBidi" w:hAnsiTheme="majorBidi"/>
          <w:color w:val="0070C0"/>
        </w:rPr>
      </w:pPr>
    </w:p>
    <w:p w:rsidR="00156FC8" w:rsidRDefault="00156FC8"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Pr="001022E9" w:rsidRDefault="00A905C6" w:rsidP="008B74DA">
      <w:pPr>
        <w:rPr>
          <w:rFonts w:asciiTheme="majorBidi" w:hAnsiTheme="majorBidi"/>
          <w:color w:val="0070C0"/>
        </w:rPr>
      </w:pPr>
      <w:r w:rsidRPr="001022E9">
        <w:rPr>
          <w:rFonts w:asciiTheme="majorBidi" w:hAnsiTheme="majorBidi"/>
          <w:color w:val="0070C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0" type="#_x0000_t136" style="width:362.25pt;height:79.5pt" fillcolor="#4f81bd [3204]" strokecolor="#4f81bd [3204]">
            <v:fill r:id="rId9" o:title="Papier Kraft" type="tile"/>
            <v:shadow on="t" type="perspective" color="#c7dfd3" opacity="52429f" origin="-.5,-.5" offset="-26pt,-36pt" matrix="1.25,,,1.25"/>
            <v:textpath style="font-family:&quot;Times New Roman&quot;;font-size:28pt;font-weight:bold;v-text-kern:t" trim="t" fitpath="t" string="INTRODUCTION"/>
          </v:shape>
        </w:pict>
      </w:r>
    </w:p>
    <w:p w:rsidR="007B49E0" w:rsidRDefault="007B49E0" w:rsidP="008B74DA"/>
    <w:p w:rsidR="007B49E0" w:rsidRDefault="007B49E0">
      <w:r>
        <w:br w:type="page"/>
      </w:r>
      <w:r>
        <w:lastRenderedPageBreak/>
        <w:br w:type="page"/>
      </w:r>
    </w:p>
    <w:p w:rsidR="007B49E0" w:rsidRPr="00A15D45" w:rsidRDefault="007B49E0" w:rsidP="00A15D45">
      <w:pPr>
        <w:pStyle w:val="Titre1"/>
        <w:rPr>
          <w:rFonts w:asciiTheme="majorBidi" w:hAnsiTheme="majorBidi"/>
        </w:rPr>
      </w:pPr>
      <w:bookmarkStart w:id="3" w:name="_Toc515273994"/>
      <w:r w:rsidRPr="00A15D45">
        <w:rPr>
          <w:rFonts w:asciiTheme="majorBidi" w:hAnsiTheme="majorBidi"/>
        </w:rPr>
        <w:lastRenderedPageBreak/>
        <w:t>I</w:t>
      </w:r>
      <w:r w:rsidR="00A15D45" w:rsidRPr="00A15D45">
        <w:rPr>
          <w:rFonts w:asciiTheme="majorBidi" w:hAnsiTheme="majorBidi"/>
        </w:rPr>
        <w:t>ntroduction</w:t>
      </w:r>
      <w:bookmarkEnd w:id="3"/>
    </w:p>
    <w:p w:rsidR="0002091A" w:rsidRPr="00612B9A" w:rsidRDefault="0002091A" w:rsidP="002517EE">
      <w:p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Définie comme étant une hausse généralisée et durable du niveau des prix, l’inflation est, généralement, mesurée par le biais d’un indice des prix à la consommation (IPC) qui synthétise l’évolution des prix des différents biens et services, à qualité constante, consommés par les ménages entre deux périodes données.</w:t>
      </w:r>
      <w:r w:rsidR="002517EE">
        <w:rPr>
          <w:rFonts w:asciiTheme="majorBidi" w:hAnsiTheme="majorBidi" w:cstheme="majorBidi"/>
          <w:sz w:val="24"/>
          <w:szCs w:val="24"/>
        </w:rPr>
        <w:t xml:space="preserve"> C</w:t>
      </w:r>
      <w:r w:rsidRPr="00612B9A">
        <w:rPr>
          <w:rFonts w:asciiTheme="majorBidi" w:hAnsiTheme="majorBidi" w:cstheme="majorBidi"/>
          <w:sz w:val="24"/>
          <w:szCs w:val="24"/>
        </w:rPr>
        <w:t>et indice revêt un caractère officiel institué par un décret fixant les éléments entrant dans sa composition</w:t>
      </w:r>
      <w:r w:rsidR="0056229E">
        <w:rPr>
          <w:rFonts w:asciiTheme="majorBidi" w:hAnsiTheme="majorBidi" w:cstheme="majorBidi"/>
          <w:sz w:val="24"/>
          <w:szCs w:val="24"/>
        </w:rPr>
        <w:t xml:space="preserve"> (décret n°2-09-529 du 5 hija 1430 (23 novembre 2009), publié dans le BO n°5792)</w:t>
      </w:r>
      <w:r w:rsidRPr="00612B9A">
        <w:rPr>
          <w:rFonts w:asciiTheme="majorBidi" w:hAnsiTheme="majorBidi" w:cstheme="majorBidi"/>
          <w:sz w:val="24"/>
          <w:szCs w:val="24"/>
        </w:rPr>
        <w:t>.</w:t>
      </w:r>
    </w:p>
    <w:p w:rsidR="0002091A" w:rsidRPr="00612B9A" w:rsidRDefault="0002091A" w:rsidP="00725E87">
      <w:p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L’IPC joue un triple rôle :</w:t>
      </w:r>
    </w:p>
    <w:p w:rsidR="0002091A" w:rsidRPr="00612B9A" w:rsidRDefault="0002091A" w:rsidP="00725E87">
      <w:pPr>
        <w:pStyle w:val="Paragraphedeliste"/>
        <w:numPr>
          <w:ilvl w:val="0"/>
          <w:numId w:val="28"/>
        </w:num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Economique : il permet de suivre, mois par mois, l’inflation et est également utilisé comme déflateur de nombreux agrégats</w:t>
      </w:r>
      <w:r w:rsidR="001241B7" w:rsidRPr="00612B9A">
        <w:rPr>
          <w:rFonts w:asciiTheme="majorBidi" w:hAnsiTheme="majorBidi" w:cstheme="majorBidi"/>
          <w:sz w:val="24"/>
          <w:szCs w:val="24"/>
        </w:rPr>
        <w:t xml:space="preserve"> </w:t>
      </w:r>
      <w:r w:rsidR="00302B06">
        <w:rPr>
          <w:rFonts w:asciiTheme="majorBidi" w:hAnsiTheme="majorBidi" w:cstheme="majorBidi"/>
          <w:sz w:val="24"/>
          <w:szCs w:val="24"/>
        </w:rPr>
        <w:t>macro</w:t>
      </w:r>
      <w:r w:rsidR="001241B7" w:rsidRPr="00612B9A">
        <w:rPr>
          <w:rFonts w:asciiTheme="majorBidi" w:hAnsiTheme="majorBidi" w:cstheme="majorBidi"/>
          <w:sz w:val="24"/>
          <w:szCs w:val="24"/>
        </w:rPr>
        <w:t>économiques (PIB, Consommation,…) pour calculer des évolutio</w:t>
      </w:r>
      <w:r w:rsidR="00302B06">
        <w:rPr>
          <w:rFonts w:asciiTheme="majorBidi" w:hAnsiTheme="majorBidi" w:cstheme="majorBidi"/>
          <w:sz w:val="24"/>
          <w:szCs w:val="24"/>
        </w:rPr>
        <w:t>ns en volume ou en termes réels ;</w:t>
      </w:r>
    </w:p>
    <w:p w:rsidR="001241B7" w:rsidRPr="00612B9A" w:rsidRDefault="001241B7" w:rsidP="00725E87">
      <w:pPr>
        <w:pStyle w:val="Paragraphedeliste"/>
        <w:numPr>
          <w:ilvl w:val="0"/>
          <w:numId w:val="28"/>
        </w:num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Socio-économique : l’IPC sert à indexer de nombreux contrats entre les différents partenaires. Il sert, également, d’instrument</w:t>
      </w:r>
      <w:r w:rsidR="00302B06">
        <w:rPr>
          <w:rFonts w:asciiTheme="majorBidi" w:hAnsiTheme="majorBidi" w:cstheme="majorBidi"/>
          <w:sz w:val="24"/>
          <w:szCs w:val="24"/>
        </w:rPr>
        <w:t xml:space="preserve"> de travail pour les chercheurs ;</w:t>
      </w:r>
    </w:p>
    <w:p w:rsidR="00E25D71" w:rsidRDefault="001241B7" w:rsidP="00725E87">
      <w:pPr>
        <w:pStyle w:val="Paragraphedeliste"/>
        <w:numPr>
          <w:ilvl w:val="0"/>
          <w:numId w:val="28"/>
        </w:numPr>
        <w:spacing w:before="240" w:after="240" w:line="240" w:lineRule="auto"/>
        <w:jc w:val="both"/>
        <w:rPr>
          <w:rFonts w:asciiTheme="majorBidi" w:hAnsiTheme="majorBidi" w:cstheme="majorBidi"/>
          <w:sz w:val="24"/>
          <w:szCs w:val="24"/>
        </w:rPr>
      </w:pPr>
      <w:r w:rsidRPr="00E25D71">
        <w:rPr>
          <w:rFonts w:asciiTheme="majorBidi" w:hAnsiTheme="majorBidi" w:cstheme="majorBidi"/>
          <w:sz w:val="24"/>
          <w:szCs w:val="24"/>
        </w:rPr>
        <w:t xml:space="preserve">Monétaire et financier : il est utilisé dans l’élaboration de la politique monétaire à des fins </w:t>
      </w:r>
      <w:r w:rsidR="002F1959" w:rsidRPr="00E25D71">
        <w:rPr>
          <w:rFonts w:asciiTheme="majorBidi" w:hAnsiTheme="majorBidi" w:cstheme="majorBidi"/>
          <w:sz w:val="24"/>
          <w:szCs w:val="24"/>
        </w:rPr>
        <w:t>de comparaison internationale. C’est dans ce sens que les indices des prix ont fait l’objet d’un travail d’harmonisation entre les services statistiques nationaux</w:t>
      </w:r>
      <w:r w:rsidR="00E25D71" w:rsidRPr="00E25D71">
        <w:rPr>
          <w:rFonts w:asciiTheme="majorBidi" w:hAnsiTheme="majorBidi" w:cstheme="majorBidi"/>
          <w:sz w:val="24"/>
          <w:szCs w:val="24"/>
        </w:rPr>
        <w:t>.</w:t>
      </w:r>
      <w:r w:rsidR="002F1959" w:rsidRPr="00E25D71">
        <w:rPr>
          <w:rFonts w:asciiTheme="majorBidi" w:hAnsiTheme="majorBidi" w:cstheme="majorBidi"/>
          <w:sz w:val="24"/>
          <w:szCs w:val="24"/>
        </w:rPr>
        <w:t xml:space="preserve"> </w:t>
      </w:r>
    </w:p>
    <w:p w:rsidR="002F1959" w:rsidRPr="00E25D71" w:rsidRDefault="002F1959" w:rsidP="00E25D71">
      <w:pPr>
        <w:spacing w:before="240" w:after="240" w:line="240" w:lineRule="auto"/>
        <w:jc w:val="both"/>
        <w:rPr>
          <w:rFonts w:asciiTheme="majorBidi" w:hAnsiTheme="majorBidi" w:cstheme="majorBidi"/>
          <w:sz w:val="24"/>
          <w:szCs w:val="24"/>
        </w:rPr>
      </w:pPr>
      <w:r w:rsidRPr="00E25D71">
        <w:rPr>
          <w:rFonts w:asciiTheme="majorBidi" w:hAnsiTheme="majorBidi" w:cstheme="majorBidi"/>
          <w:sz w:val="24"/>
          <w:szCs w:val="24"/>
        </w:rPr>
        <w:t>L’IPC est l’un des principaux indices calculés par le Haut Commissariat au Plan. Pour cela, une enquête permanente sur les prix de détail est réalisée afin de servir de base de données pour le calcul mensuel de l’IPC.</w:t>
      </w:r>
    </w:p>
    <w:p w:rsidR="00612B9A" w:rsidRPr="00612B9A" w:rsidRDefault="00FC4512" w:rsidP="00302B0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première partie du présent rapport</w:t>
      </w:r>
      <w:r w:rsidR="001F1549">
        <w:rPr>
          <w:rFonts w:asciiTheme="majorBidi" w:hAnsiTheme="majorBidi" w:cstheme="majorBidi"/>
          <w:sz w:val="24"/>
          <w:szCs w:val="24"/>
        </w:rPr>
        <w:t xml:space="preserve"> </w:t>
      </w:r>
      <w:r w:rsidR="00105F6E" w:rsidRPr="00612B9A">
        <w:rPr>
          <w:rFonts w:asciiTheme="majorBidi" w:hAnsiTheme="majorBidi" w:cstheme="majorBidi"/>
          <w:sz w:val="24"/>
          <w:szCs w:val="24"/>
        </w:rPr>
        <w:t>mettr</w:t>
      </w:r>
      <w:r>
        <w:rPr>
          <w:rFonts w:asciiTheme="majorBidi" w:hAnsiTheme="majorBidi" w:cstheme="majorBidi"/>
          <w:sz w:val="24"/>
          <w:szCs w:val="24"/>
        </w:rPr>
        <w:t>a</w:t>
      </w:r>
      <w:r w:rsidR="00105F6E" w:rsidRPr="00612B9A">
        <w:rPr>
          <w:rFonts w:asciiTheme="majorBidi" w:hAnsiTheme="majorBidi" w:cstheme="majorBidi"/>
          <w:sz w:val="24"/>
          <w:szCs w:val="24"/>
        </w:rPr>
        <w:t xml:space="preserve"> la lumière sur l’historique </w:t>
      </w:r>
      <w:r w:rsidR="005266EA">
        <w:rPr>
          <w:rFonts w:asciiTheme="majorBidi" w:hAnsiTheme="majorBidi" w:cstheme="majorBidi"/>
          <w:sz w:val="24"/>
          <w:szCs w:val="24"/>
        </w:rPr>
        <w:t>d</w:t>
      </w:r>
      <w:r w:rsidR="00105F6E" w:rsidRPr="00612B9A">
        <w:rPr>
          <w:rFonts w:asciiTheme="majorBidi" w:hAnsiTheme="majorBidi" w:cstheme="majorBidi"/>
          <w:sz w:val="24"/>
          <w:szCs w:val="24"/>
        </w:rPr>
        <w:t xml:space="preserve">u système de suivi des prix de détail au Maroc. Ensuite, </w:t>
      </w:r>
      <w:r w:rsidR="00905C64">
        <w:rPr>
          <w:rFonts w:asciiTheme="majorBidi" w:hAnsiTheme="majorBidi" w:cstheme="majorBidi"/>
          <w:sz w:val="24"/>
          <w:szCs w:val="24"/>
        </w:rPr>
        <w:t>le deuxième chapitre</w:t>
      </w:r>
      <w:r w:rsidR="00612B9A" w:rsidRPr="00612B9A">
        <w:rPr>
          <w:rFonts w:asciiTheme="majorBidi" w:hAnsiTheme="majorBidi" w:cstheme="majorBidi"/>
          <w:sz w:val="24"/>
          <w:szCs w:val="24"/>
        </w:rPr>
        <w:t xml:space="preserve"> </w:t>
      </w:r>
      <w:r w:rsidR="004766B3">
        <w:rPr>
          <w:rFonts w:asciiTheme="majorBidi" w:hAnsiTheme="majorBidi" w:cstheme="majorBidi"/>
          <w:sz w:val="24"/>
          <w:szCs w:val="24"/>
        </w:rPr>
        <w:t xml:space="preserve">donnera un aperçu sur </w:t>
      </w:r>
      <w:r w:rsidR="004766B3" w:rsidRPr="00612B9A">
        <w:rPr>
          <w:rFonts w:asciiTheme="majorBidi" w:hAnsiTheme="majorBidi" w:cstheme="majorBidi"/>
          <w:sz w:val="24"/>
          <w:szCs w:val="24"/>
        </w:rPr>
        <w:t>l’aspect méthodologique de l’IPC</w:t>
      </w:r>
      <w:r w:rsidR="004766B3">
        <w:rPr>
          <w:rFonts w:asciiTheme="majorBidi" w:hAnsiTheme="majorBidi" w:cstheme="majorBidi"/>
          <w:sz w:val="24"/>
          <w:szCs w:val="24"/>
        </w:rPr>
        <w:t xml:space="preserve"> où </w:t>
      </w:r>
      <w:r>
        <w:rPr>
          <w:rFonts w:asciiTheme="majorBidi" w:hAnsiTheme="majorBidi" w:cstheme="majorBidi"/>
          <w:sz w:val="24"/>
          <w:szCs w:val="24"/>
        </w:rPr>
        <w:t>on</w:t>
      </w:r>
      <w:r w:rsidR="004766B3">
        <w:rPr>
          <w:rFonts w:asciiTheme="majorBidi" w:hAnsiTheme="majorBidi" w:cstheme="majorBidi"/>
          <w:sz w:val="24"/>
          <w:szCs w:val="24"/>
        </w:rPr>
        <w:t xml:space="preserve"> présenter</w:t>
      </w:r>
      <w:r>
        <w:rPr>
          <w:rFonts w:asciiTheme="majorBidi" w:hAnsiTheme="majorBidi" w:cstheme="majorBidi"/>
          <w:sz w:val="24"/>
          <w:szCs w:val="24"/>
        </w:rPr>
        <w:t>a</w:t>
      </w:r>
      <w:r w:rsidR="004766B3" w:rsidRPr="00612B9A">
        <w:rPr>
          <w:rFonts w:asciiTheme="majorBidi" w:hAnsiTheme="majorBidi" w:cstheme="majorBidi"/>
          <w:sz w:val="24"/>
          <w:szCs w:val="24"/>
        </w:rPr>
        <w:t>, en plus de l’aspect théorique, des éclaircissements sur les démarches suivies pour la réalisation de l’enquête sur les prix à la consommation.</w:t>
      </w:r>
      <w:r w:rsidR="004766B3">
        <w:rPr>
          <w:rFonts w:asciiTheme="majorBidi" w:hAnsiTheme="majorBidi" w:cstheme="majorBidi"/>
          <w:sz w:val="24"/>
          <w:szCs w:val="24"/>
        </w:rPr>
        <w:t xml:space="preserve"> Enfin, le dernier chapitre </w:t>
      </w:r>
      <w:r w:rsidR="00612B9A" w:rsidRPr="00612B9A">
        <w:rPr>
          <w:rFonts w:asciiTheme="majorBidi" w:hAnsiTheme="majorBidi" w:cstheme="majorBidi"/>
          <w:sz w:val="24"/>
          <w:szCs w:val="24"/>
        </w:rPr>
        <w:t xml:space="preserve">sera consacré à l’analyse des </w:t>
      </w:r>
      <w:r w:rsidR="00905C64">
        <w:rPr>
          <w:rFonts w:asciiTheme="majorBidi" w:hAnsiTheme="majorBidi" w:cstheme="majorBidi"/>
          <w:sz w:val="24"/>
          <w:szCs w:val="24"/>
        </w:rPr>
        <w:t xml:space="preserve">principaux </w:t>
      </w:r>
      <w:r w:rsidR="00612B9A" w:rsidRPr="00612B9A">
        <w:rPr>
          <w:rFonts w:asciiTheme="majorBidi" w:hAnsiTheme="majorBidi" w:cstheme="majorBidi"/>
          <w:sz w:val="24"/>
          <w:szCs w:val="24"/>
        </w:rPr>
        <w:t xml:space="preserve">résultats de l’indice des prix à la consommation au niveau de la ville de </w:t>
      </w:r>
      <w:r w:rsidR="00B12946" w:rsidRPr="00612B9A">
        <w:rPr>
          <w:rFonts w:asciiTheme="majorBidi" w:hAnsiTheme="majorBidi" w:cstheme="majorBidi"/>
          <w:sz w:val="24"/>
          <w:szCs w:val="24"/>
        </w:rPr>
        <w:t>Kenitra</w:t>
      </w:r>
      <w:r w:rsidR="00612B9A" w:rsidRPr="00612B9A">
        <w:rPr>
          <w:rFonts w:asciiTheme="majorBidi" w:hAnsiTheme="majorBidi" w:cstheme="majorBidi"/>
          <w:sz w:val="24"/>
          <w:szCs w:val="24"/>
        </w:rPr>
        <w:t xml:space="preserve"> </w:t>
      </w:r>
      <w:r w:rsidR="00302B06">
        <w:rPr>
          <w:rFonts w:asciiTheme="majorBidi" w:hAnsiTheme="majorBidi" w:cstheme="majorBidi"/>
          <w:sz w:val="24"/>
          <w:szCs w:val="24"/>
        </w:rPr>
        <w:t xml:space="preserve">accompagnée d’une </w:t>
      </w:r>
      <w:r w:rsidR="00612B9A" w:rsidRPr="00612B9A">
        <w:rPr>
          <w:rFonts w:asciiTheme="majorBidi" w:hAnsiTheme="majorBidi" w:cstheme="majorBidi"/>
          <w:sz w:val="24"/>
          <w:szCs w:val="24"/>
        </w:rPr>
        <w:t>comparaison avec l’IPC national</w:t>
      </w:r>
      <w:r>
        <w:rPr>
          <w:rFonts w:asciiTheme="majorBidi" w:hAnsiTheme="majorBidi" w:cstheme="majorBidi"/>
          <w:sz w:val="24"/>
          <w:szCs w:val="24"/>
        </w:rPr>
        <w:t xml:space="preserve"> et ce pour la période allant de 2007 à 2017.</w:t>
      </w:r>
      <w:r w:rsidR="00612B9A" w:rsidRPr="00612B9A">
        <w:rPr>
          <w:rFonts w:asciiTheme="majorBidi" w:hAnsiTheme="majorBidi" w:cstheme="majorBidi"/>
          <w:sz w:val="24"/>
          <w:szCs w:val="24"/>
        </w:rPr>
        <w:t xml:space="preserve"> </w:t>
      </w:r>
    </w:p>
    <w:p w:rsidR="006B1064" w:rsidRPr="00612B9A" w:rsidRDefault="006B1064" w:rsidP="00725E87">
      <w:pPr>
        <w:spacing w:before="240" w:after="240" w:line="240" w:lineRule="auto"/>
        <w:jc w:val="both"/>
        <w:rPr>
          <w:rFonts w:asciiTheme="majorBidi" w:hAnsiTheme="majorBidi" w:cstheme="majorBidi"/>
          <w:sz w:val="24"/>
          <w:szCs w:val="24"/>
        </w:rPr>
      </w:pPr>
    </w:p>
    <w:p w:rsidR="006B1064" w:rsidRPr="00612B9A" w:rsidRDefault="006B1064" w:rsidP="00725E87">
      <w:pPr>
        <w:spacing w:before="240" w:after="240" w:line="240" w:lineRule="auto"/>
        <w:jc w:val="both"/>
        <w:rPr>
          <w:rFonts w:asciiTheme="majorBidi" w:hAnsiTheme="majorBidi" w:cstheme="majorBidi"/>
          <w:sz w:val="24"/>
          <w:szCs w:val="24"/>
        </w:rPr>
      </w:pPr>
    </w:p>
    <w:p w:rsidR="00DF65E2" w:rsidRDefault="00DF65E2" w:rsidP="00586B08">
      <w:pPr>
        <w:pStyle w:val="Titre1"/>
        <w:rPr>
          <w:rFonts w:asciiTheme="majorBidi" w:hAnsiTheme="majorBidi"/>
          <w:color w:val="0070C0"/>
        </w:rPr>
      </w:pPr>
    </w:p>
    <w:p w:rsidR="00DF65E2" w:rsidRDefault="00DF65E2" w:rsidP="00DF65E2"/>
    <w:p w:rsidR="00DF65E2" w:rsidRDefault="00DF65E2" w:rsidP="00DF65E2"/>
    <w:p w:rsidR="00A15D45" w:rsidRDefault="00A15D45" w:rsidP="00DF65E2"/>
    <w:p w:rsidR="00170E99" w:rsidRDefault="00170E99">
      <w:r>
        <w:br w:type="page"/>
      </w:r>
    </w:p>
    <w:p w:rsidR="00170E99" w:rsidRDefault="00170E99">
      <w:r>
        <w:lastRenderedPageBreak/>
        <w:br w:type="page"/>
      </w:r>
    </w:p>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E2154A" w:rsidRDefault="00A905C6" w:rsidP="00170E99">
      <w:pPr>
        <w:rPr>
          <w:rFonts w:asciiTheme="majorBidi" w:hAnsiTheme="majorBidi"/>
          <w:color w:val="0070C0"/>
          <w:sz w:val="32"/>
          <w:szCs w:val="32"/>
        </w:rPr>
      </w:pPr>
      <w:r w:rsidRPr="001022E9">
        <w:rPr>
          <w:rFonts w:asciiTheme="majorBidi" w:hAnsiTheme="majorBidi"/>
          <w:color w:val="0070C0"/>
          <w:sz w:val="32"/>
          <w:szCs w:val="32"/>
        </w:rPr>
        <w:pict>
          <v:shape id="_x0000_i1025" type="#_x0000_t136" style="width:379.5pt;height:201.75pt" fillcolor="#4f81bd [3204]" strokecolor="#4f81bd [3204]" strokeweight="1pt">
            <v:fill r:id="rId9" o:title="Papier Kraft" opacity="62259f" type="tile"/>
            <v:shadow on="t" type="perspective" color="#c7dfd3" opacity="52429f" origin="-.5,-.5" offset="-26pt,-36pt" matrix="1.25,,,1.25"/>
            <v:textpath style="font-family:&quot;Times New Roman&quot;;font-size:20pt;font-weight:bold;v-text-kern:t" trim="t" fitpath="t" string="Chapitre I&#10;Historique du système de suivi &#10;des prix de détail"/>
          </v:shape>
        </w:pict>
      </w:r>
    </w:p>
    <w:p w:rsidR="00E2154A" w:rsidRDefault="00E2154A">
      <w:pPr>
        <w:rPr>
          <w:rFonts w:asciiTheme="majorBidi" w:hAnsiTheme="majorBidi"/>
          <w:color w:val="0070C0"/>
          <w:sz w:val="32"/>
          <w:szCs w:val="32"/>
        </w:rPr>
      </w:pPr>
      <w:r>
        <w:rPr>
          <w:rFonts w:asciiTheme="majorBidi" w:hAnsiTheme="majorBidi"/>
          <w:color w:val="0070C0"/>
          <w:sz w:val="32"/>
          <w:szCs w:val="32"/>
        </w:rPr>
        <w:br w:type="page"/>
      </w:r>
    </w:p>
    <w:p w:rsidR="006B1064" w:rsidRPr="00170E99" w:rsidRDefault="00170E99" w:rsidP="00170E99">
      <w:pPr>
        <w:rPr>
          <w:rFonts w:asciiTheme="majorBidi" w:hAnsiTheme="majorBidi"/>
          <w:b/>
          <w:bCs/>
          <w:color w:val="0070C0"/>
          <w:sz w:val="28"/>
          <w:szCs w:val="28"/>
        </w:rPr>
      </w:pPr>
      <w:r>
        <w:lastRenderedPageBreak/>
        <w:br w:type="page"/>
      </w:r>
      <w:r w:rsidRPr="00170E99">
        <w:rPr>
          <w:b/>
          <w:bCs/>
          <w:sz w:val="28"/>
          <w:szCs w:val="28"/>
        </w:rPr>
        <w:lastRenderedPageBreak/>
        <w:t xml:space="preserve"> </w:t>
      </w:r>
      <w:r w:rsidR="00725E87" w:rsidRPr="00170E99">
        <w:rPr>
          <w:rFonts w:asciiTheme="majorBidi" w:hAnsiTheme="majorBidi"/>
          <w:b/>
          <w:bCs/>
          <w:color w:val="0070C0"/>
          <w:sz w:val="28"/>
          <w:szCs w:val="28"/>
        </w:rPr>
        <w:t xml:space="preserve">I- </w:t>
      </w:r>
      <w:r w:rsidR="00612B9A" w:rsidRPr="00170E99">
        <w:rPr>
          <w:rFonts w:asciiTheme="majorBidi" w:hAnsiTheme="majorBidi"/>
          <w:b/>
          <w:bCs/>
          <w:color w:val="0070C0"/>
          <w:sz w:val="28"/>
          <w:szCs w:val="28"/>
        </w:rPr>
        <w:t>Historique du système de suivi des prix de détail</w:t>
      </w:r>
    </w:p>
    <w:p w:rsidR="00612B9A" w:rsidRDefault="00612B9A"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L’histoire des indices des prix de détail remonte aux années trente</w:t>
      </w:r>
      <w:r w:rsidR="00302B06">
        <w:rPr>
          <w:rFonts w:asciiTheme="majorBidi" w:hAnsiTheme="majorBidi" w:cstheme="majorBidi"/>
          <w:sz w:val="24"/>
          <w:szCs w:val="24"/>
        </w:rPr>
        <w:t>,</w:t>
      </w:r>
      <w:r>
        <w:rPr>
          <w:rFonts w:asciiTheme="majorBidi" w:hAnsiTheme="majorBidi" w:cstheme="majorBidi"/>
          <w:sz w:val="24"/>
          <w:szCs w:val="24"/>
        </w:rPr>
        <w:t xml:space="preserve"> avec le calcul d’un indice au niveau de Casablanca sur la base de 42 articles pour les marocains et 38 pour les européens. Une telle distinction s’imposait vu</w:t>
      </w:r>
      <w:r w:rsidR="00905C64">
        <w:rPr>
          <w:rFonts w:asciiTheme="majorBidi" w:hAnsiTheme="majorBidi" w:cstheme="majorBidi"/>
          <w:sz w:val="24"/>
          <w:szCs w:val="24"/>
        </w:rPr>
        <w:t>es</w:t>
      </w:r>
      <w:r>
        <w:rPr>
          <w:rFonts w:asciiTheme="majorBidi" w:hAnsiTheme="majorBidi" w:cstheme="majorBidi"/>
          <w:sz w:val="24"/>
          <w:szCs w:val="24"/>
        </w:rPr>
        <w:t xml:space="preserve"> les divergences dans les habitudes de consommation entre les deux communautés.</w:t>
      </w:r>
    </w:p>
    <w:p w:rsidR="00612B9A" w:rsidRDefault="00612B9A"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Après l’indépendance, un nouvel indice a vu le jour et a remplacé l’ancien indice</w:t>
      </w:r>
      <w:r w:rsidR="008B1B4C">
        <w:rPr>
          <w:rFonts w:asciiTheme="majorBidi" w:hAnsiTheme="majorBidi" w:cstheme="majorBidi"/>
          <w:sz w:val="24"/>
          <w:szCs w:val="24"/>
        </w:rPr>
        <w:t xml:space="preserve"> qui distinguait entre </w:t>
      </w:r>
      <w:r>
        <w:rPr>
          <w:rFonts w:asciiTheme="majorBidi" w:hAnsiTheme="majorBidi" w:cstheme="majorBidi"/>
          <w:sz w:val="24"/>
          <w:szCs w:val="24"/>
        </w:rPr>
        <w:t xml:space="preserve"> </w:t>
      </w:r>
      <w:r w:rsidR="008B1B4C">
        <w:rPr>
          <w:rFonts w:asciiTheme="majorBidi" w:hAnsiTheme="majorBidi" w:cstheme="majorBidi"/>
          <w:sz w:val="24"/>
          <w:szCs w:val="24"/>
        </w:rPr>
        <w:t>la population autochtone et celle étrangère. Celui-ci a été élargi à 111 articles relatifs à un budget modeste des salariés casablancais.</w:t>
      </w:r>
    </w:p>
    <w:p w:rsidR="008B1B4C" w:rsidRDefault="008B1B4C"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1972, l’indice (base 100 : mai72-avril73)  a été mis en place comme substitut de l’ancien indice (base 100 : oct58-sep59), avec, cette fois-ci, un panier de 210 articles et un champ géographique beaucoup plus étendu</w:t>
      </w:r>
      <w:r w:rsidR="00302B06">
        <w:rPr>
          <w:rFonts w:asciiTheme="majorBidi" w:hAnsiTheme="majorBidi" w:cstheme="majorBidi"/>
          <w:sz w:val="24"/>
          <w:szCs w:val="24"/>
        </w:rPr>
        <w:t>,</w:t>
      </w:r>
      <w:r>
        <w:rPr>
          <w:rFonts w:asciiTheme="majorBidi" w:hAnsiTheme="majorBidi" w:cstheme="majorBidi"/>
          <w:sz w:val="24"/>
          <w:szCs w:val="24"/>
        </w:rPr>
        <w:t xml:space="preserve"> couvrant huit villes à savoir : Agadir, Casablanca, Fès, Kenitra, Marrakech, Oujda, Rabat et Tétouan. La population de référence a, elle aussi, été élargie pour englober toute la classe moyenne </w:t>
      </w:r>
      <w:r w:rsidR="00CC4351">
        <w:rPr>
          <w:rFonts w:asciiTheme="majorBidi" w:hAnsiTheme="majorBidi" w:cstheme="majorBidi"/>
          <w:sz w:val="24"/>
          <w:szCs w:val="24"/>
        </w:rPr>
        <w:t>(cadres</w:t>
      </w:r>
      <w:r>
        <w:rPr>
          <w:rFonts w:asciiTheme="majorBidi" w:hAnsiTheme="majorBidi" w:cstheme="majorBidi"/>
          <w:sz w:val="24"/>
          <w:szCs w:val="24"/>
        </w:rPr>
        <w:t xml:space="preserve"> moyens, </w:t>
      </w:r>
      <w:r w:rsidR="00CC4351">
        <w:rPr>
          <w:rFonts w:asciiTheme="majorBidi" w:hAnsiTheme="majorBidi" w:cstheme="majorBidi"/>
          <w:sz w:val="24"/>
          <w:szCs w:val="24"/>
        </w:rPr>
        <w:t>commerçants,</w:t>
      </w:r>
      <w:r>
        <w:rPr>
          <w:rFonts w:asciiTheme="majorBidi" w:hAnsiTheme="majorBidi" w:cstheme="majorBidi"/>
          <w:sz w:val="24"/>
          <w:szCs w:val="24"/>
        </w:rPr>
        <w:t xml:space="preserve"> indépendants non agricoles, employés dans les bureaux et les services et ouvriers non agricoles)</w:t>
      </w:r>
      <w:r w:rsidR="00CC4351">
        <w:rPr>
          <w:rFonts w:asciiTheme="majorBidi" w:hAnsiTheme="majorBidi" w:cstheme="majorBidi"/>
          <w:sz w:val="24"/>
          <w:szCs w:val="24"/>
        </w:rPr>
        <w:t>.</w:t>
      </w:r>
    </w:p>
    <w:p w:rsidR="00CC4351" w:rsidRDefault="00CC4351"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De même , cet indice a été réformé et remplacé par l’indice du coût de la vie (base 100 : 1989) qui avait le même objectif, à savoir la mesure de la variation des prix, entre deux dates données, des biens et services consommés, toujours par la population dite modeste vivant dans le milieu urbain. Le nombre d’articles composant le panier de cet indice a atteint 385  avec une couverture géographique de onze villes (trois villes de plus par rapport à l’ICV de 1972 et qui sont Meknès, Tanger et L</w:t>
      </w:r>
      <w:r w:rsidR="003C05C9">
        <w:rPr>
          <w:rFonts w:asciiTheme="majorBidi" w:hAnsiTheme="majorBidi" w:cstheme="majorBidi"/>
          <w:sz w:val="24"/>
          <w:szCs w:val="24"/>
        </w:rPr>
        <w:t>â</w:t>
      </w:r>
      <w:r>
        <w:rPr>
          <w:rFonts w:asciiTheme="majorBidi" w:hAnsiTheme="majorBidi" w:cstheme="majorBidi"/>
          <w:sz w:val="24"/>
          <w:szCs w:val="24"/>
        </w:rPr>
        <w:t>ayoune).</w:t>
      </w:r>
    </w:p>
    <w:p w:rsidR="00CC4351" w:rsidRDefault="00CC4351"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Avec l’avènement de l’enquête nationale sur la consommation et les dépenses des ménages de 2001 et du Recensement Général de la Population et de l’Habitat de 2004, un besoin fort a été ressenti pour la réforme de l’ICV (base 100 :1989).</w:t>
      </w:r>
      <w:r w:rsidR="00754997">
        <w:rPr>
          <w:rFonts w:asciiTheme="majorBidi" w:hAnsiTheme="majorBidi" w:cstheme="majorBidi"/>
          <w:sz w:val="24"/>
          <w:szCs w:val="24"/>
        </w:rPr>
        <w:t xml:space="preserve"> D’autant plus, les articles constituant le panier de cet indice sont devenus obsolescents, vu qu’ils sont basés sur l’enquête</w:t>
      </w:r>
      <w:r>
        <w:rPr>
          <w:rFonts w:asciiTheme="majorBidi" w:hAnsiTheme="majorBidi" w:cstheme="majorBidi"/>
          <w:sz w:val="24"/>
          <w:szCs w:val="24"/>
        </w:rPr>
        <w:t xml:space="preserve"> </w:t>
      </w:r>
      <w:r w:rsidR="00754997">
        <w:rPr>
          <w:rFonts w:asciiTheme="majorBidi" w:hAnsiTheme="majorBidi" w:cstheme="majorBidi"/>
          <w:sz w:val="24"/>
          <w:szCs w:val="24"/>
        </w:rPr>
        <w:t>nationale sur la consommation et les dépenses des ménages de 1985 et ne représentent plus les nouvelles  habitudes de consommation des marocains.</w:t>
      </w:r>
    </w:p>
    <w:p w:rsidR="00754997" w:rsidRDefault="00754997" w:rsidP="000937F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C’est ainsi qu’à partir de 2005, le Haut Commissariat au Plan a procédé à une révision profonde de l’indice du coût de la vie pour donner lieu à un nouvel indice des prix à la co</w:t>
      </w:r>
      <w:r w:rsidR="000937FE">
        <w:rPr>
          <w:rFonts w:asciiTheme="majorBidi" w:hAnsiTheme="majorBidi" w:cstheme="majorBidi"/>
          <w:sz w:val="24"/>
          <w:szCs w:val="24"/>
        </w:rPr>
        <w:t>nsommation appelé IPC (base 100</w:t>
      </w:r>
      <w:r>
        <w:rPr>
          <w:rFonts w:asciiTheme="majorBidi" w:hAnsiTheme="majorBidi" w:cstheme="majorBidi"/>
          <w:sz w:val="24"/>
          <w:szCs w:val="24"/>
        </w:rPr>
        <w:t xml:space="preserve">:2006) qui </w:t>
      </w:r>
      <w:r w:rsidR="000937FE">
        <w:rPr>
          <w:rFonts w:asciiTheme="majorBidi" w:hAnsiTheme="majorBidi" w:cstheme="majorBidi"/>
          <w:sz w:val="24"/>
          <w:szCs w:val="24"/>
        </w:rPr>
        <w:t>allait</w:t>
      </w:r>
      <w:r>
        <w:rPr>
          <w:rFonts w:asciiTheme="majorBidi" w:hAnsiTheme="majorBidi" w:cstheme="majorBidi"/>
          <w:sz w:val="24"/>
          <w:szCs w:val="24"/>
        </w:rPr>
        <w:t xml:space="preserve"> toucher l’ensemble des régions du Royaume, représentées par dix-sept villes (avec six nouvelles villes : El Houceima, Settat, Beni Mellal, Safi, Guelmim et Dakhla) et élargir la population de référence qui couvrira</w:t>
      </w:r>
      <w:r w:rsidR="000937FE">
        <w:rPr>
          <w:rFonts w:asciiTheme="majorBidi" w:hAnsiTheme="majorBidi" w:cstheme="majorBidi"/>
          <w:sz w:val="24"/>
          <w:szCs w:val="24"/>
        </w:rPr>
        <w:t>it</w:t>
      </w:r>
      <w:r>
        <w:rPr>
          <w:rFonts w:asciiTheme="majorBidi" w:hAnsiTheme="majorBidi" w:cstheme="majorBidi"/>
          <w:sz w:val="24"/>
          <w:szCs w:val="24"/>
        </w:rPr>
        <w:t xml:space="preserve">, désormais, l’ensemble de la population urbaine. </w:t>
      </w:r>
    </w:p>
    <w:p w:rsidR="00F7495D" w:rsidRDefault="00F7495D" w:rsidP="00F7495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 partir de 2017,  le HCP a entamé la réforme de l’IPC (base100 : 2006) pour les raisons suivantes :</w:t>
      </w:r>
    </w:p>
    <w:p w:rsidR="00F7495D" w:rsidRPr="00F7495D" w:rsidRDefault="00F7495D" w:rsidP="00C76BFB">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Mise en place d’un nouveau découpage régional</w:t>
      </w:r>
      <w:r w:rsidR="00C76BFB">
        <w:rPr>
          <w:rFonts w:asciiTheme="majorBidi" w:hAnsiTheme="majorBidi" w:cstheme="majorBidi"/>
          <w:sz w:val="24"/>
          <w:szCs w:val="24"/>
        </w:rPr>
        <w:t xml:space="preserve"> et par conséquent, l’institution de nouvelles régions économiques (insertion de la ville d’Errachidia dans le champ géographique du nouvel indice (base100 :2017)).</w:t>
      </w:r>
    </w:p>
    <w:p w:rsidR="00F7495D" w:rsidRDefault="00F93525" w:rsidP="00767BA0">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Réalisation </w:t>
      </w:r>
      <w:r w:rsidR="00F7495D">
        <w:rPr>
          <w:rFonts w:asciiTheme="majorBidi" w:hAnsiTheme="majorBidi" w:cstheme="majorBidi"/>
          <w:sz w:val="24"/>
          <w:szCs w:val="24"/>
        </w:rPr>
        <w:t>du RGPH 2014</w:t>
      </w:r>
      <w:r w:rsidR="00F7495D" w:rsidRPr="00F7495D">
        <w:rPr>
          <w:rFonts w:asciiTheme="majorBidi" w:hAnsiTheme="majorBidi" w:cstheme="majorBidi"/>
          <w:sz w:val="24"/>
          <w:szCs w:val="24"/>
        </w:rPr>
        <w:t xml:space="preserve"> </w:t>
      </w:r>
      <w:r w:rsidR="00767BA0">
        <w:rPr>
          <w:rFonts w:asciiTheme="majorBidi" w:hAnsiTheme="majorBidi" w:cstheme="majorBidi"/>
          <w:sz w:val="24"/>
          <w:szCs w:val="24"/>
        </w:rPr>
        <w:t xml:space="preserve">qui offre de </w:t>
      </w:r>
      <w:r w:rsidR="00C76BFB">
        <w:rPr>
          <w:rFonts w:asciiTheme="majorBidi" w:hAnsiTheme="majorBidi" w:cstheme="majorBidi"/>
          <w:sz w:val="24"/>
          <w:szCs w:val="24"/>
        </w:rPr>
        <w:t>nouvelles</w:t>
      </w:r>
      <w:r w:rsidR="00F7495D">
        <w:rPr>
          <w:rFonts w:asciiTheme="majorBidi" w:hAnsiTheme="majorBidi" w:cstheme="majorBidi"/>
          <w:sz w:val="24"/>
          <w:szCs w:val="24"/>
        </w:rPr>
        <w:t xml:space="preserve"> pondérations de la population urbaine</w:t>
      </w:r>
      <w:r w:rsidR="00C76BFB">
        <w:rPr>
          <w:rFonts w:asciiTheme="majorBidi" w:hAnsiTheme="majorBidi" w:cstheme="majorBidi"/>
          <w:sz w:val="24"/>
          <w:szCs w:val="24"/>
        </w:rPr>
        <w:t>.</w:t>
      </w:r>
    </w:p>
    <w:p w:rsidR="00C76BFB" w:rsidRPr="00F7495D" w:rsidRDefault="00E30AD8" w:rsidP="00E30AD8">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Disponibilité des données </w:t>
      </w:r>
      <w:r w:rsidR="00C76BFB">
        <w:rPr>
          <w:rFonts w:asciiTheme="majorBidi" w:hAnsiTheme="majorBidi" w:cstheme="majorBidi"/>
          <w:sz w:val="24"/>
          <w:szCs w:val="24"/>
        </w:rPr>
        <w:t xml:space="preserve">de l’Enquête Nationale sur la consommation et les dépenses des ménages </w:t>
      </w:r>
      <w:r>
        <w:rPr>
          <w:rFonts w:asciiTheme="majorBidi" w:hAnsiTheme="majorBidi" w:cstheme="majorBidi"/>
          <w:sz w:val="24"/>
          <w:szCs w:val="24"/>
        </w:rPr>
        <w:t>de</w:t>
      </w:r>
      <w:r w:rsidR="00C76BFB">
        <w:rPr>
          <w:rFonts w:asciiTheme="majorBidi" w:hAnsiTheme="majorBidi" w:cstheme="majorBidi"/>
          <w:sz w:val="24"/>
          <w:szCs w:val="24"/>
        </w:rPr>
        <w:t xml:space="preserve"> 2014 </w:t>
      </w:r>
      <w:r>
        <w:rPr>
          <w:rFonts w:asciiTheme="majorBidi" w:hAnsiTheme="majorBidi" w:cstheme="majorBidi"/>
          <w:sz w:val="24"/>
          <w:szCs w:val="24"/>
        </w:rPr>
        <w:t>qui met à jour le</w:t>
      </w:r>
      <w:r w:rsidR="00C76BFB">
        <w:rPr>
          <w:rFonts w:asciiTheme="majorBidi" w:hAnsiTheme="majorBidi" w:cstheme="majorBidi"/>
          <w:sz w:val="24"/>
          <w:szCs w:val="24"/>
        </w:rPr>
        <w:t xml:space="preserve"> panier de biens et services</w:t>
      </w:r>
      <w:r w:rsidR="00F93525">
        <w:rPr>
          <w:rFonts w:asciiTheme="majorBidi" w:hAnsiTheme="majorBidi" w:cstheme="majorBidi"/>
          <w:sz w:val="24"/>
          <w:szCs w:val="24"/>
        </w:rPr>
        <w:t xml:space="preserve"> consommés par la </w:t>
      </w:r>
      <w:r w:rsidR="00F93525">
        <w:rPr>
          <w:rFonts w:asciiTheme="majorBidi" w:hAnsiTheme="majorBidi" w:cstheme="majorBidi"/>
          <w:sz w:val="24"/>
          <w:szCs w:val="24"/>
        </w:rPr>
        <w:lastRenderedPageBreak/>
        <w:t>population marocaine</w:t>
      </w:r>
      <w:r w:rsidR="00C76BFB">
        <w:rPr>
          <w:rFonts w:asciiTheme="majorBidi" w:hAnsiTheme="majorBidi" w:cstheme="majorBidi"/>
          <w:sz w:val="24"/>
          <w:szCs w:val="24"/>
        </w:rPr>
        <w:t xml:space="preserve">. Ce dernier fait </w:t>
      </w:r>
      <w:r w:rsidR="00F93525">
        <w:rPr>
          <w:rFonts w:asciiTheme="majorBidi" w:hAnsiTheme="majorBidi" w:cstheme="majorBidi"/>
          <w:sz w:val="24"/>
          <w:szCs w:val="24"/>
        </w:rPr>
        <w:t xml:space="preserve">ressortir </w:t>
      </w:r>
      <w:r w:rsidR="00C76BFB">
        <w:rPr>
          <w:rFonts w:asciiTheme="majorBidi" w:hAnsiTheme="majorBidi" w:cstheme="majorBidi"/>
          <w:sz w:val="24"/>
          <w:szCs w:val="24"/>
        </w:rPr>
        <w:t>de nouvelles pondérations des produits</w:t>
      </w:r>
      <w:r w:rsidR="00F93525">
        <w:rPr>
          <w:rFonts w:asciiTheme="majorBidi" w:hAnsiTheme="majorBidi" w:cstheme="majorBidi"/>
          <w:sz w:val="24"/>
          <w:szCs w:val="24"/>
        </w:rPr>
        <w:t>, auxquelles il faut tenir compte dans la réforme en cours.</w:t>
      </w:r>
    </w:p>
    <w:p w:rsidR="006B1064" w:rsidRDefault="006B1064" w:rsidP="00725E87">
      <w:pPr>
        <w:spacing w:before="240" w:after="240" w:line="240" w:lineRule="auto"/>
        <w:jc w:val="both"/>
        <w:rPr>
          <w:rFonts w:asciiTheme="majorBidi" w:hAnsiTheme="majorBidi" w:cstheme="majorBidi"/>
        </w:rPr>
      </w:pP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A905C6" w:rsidRDefault="00A905C6" w:rsidP="00A905C6"/>
    <w:p w:rsidR="00A905C6" w:rsidRDefault="00A905C6" w:rsidP="00A905C6"/>
    <w:p w:rsidR="008B74DA" w:rsidRDefault="008B74DA" w:rsidP="00A905C6"/>
    <w:p w:rsidR="008B74DA" w:rsidRPr="00A905C6" w:rsidRDefault="008B74DA" w:rsidP="00A905C6"/>
    <w:p w:rsidR="008B74DA" w:rsidRPr="001022E9" w:rsidRDefault="00A905C6" w:rsidP="00586B08">
      <w:pPr>
        <w:pStyle w:val="Titre1"/>
        <w:rPr>
          <w:rFonts w:asciiTheme="majorBidi" w:hAnsiTheme="majorBidi"/>
          <w:color w:val="0070C0"/>
          <w:sz w:val="44"/>
          <w:szCs w:val="44"/>
        </w:rPr>
      </w:pPr>
      <w:r w:rsidRPr="001022E9">
        <w:rPr>
          <w:rFonts w:asciiTheme="majorBidi" w:hAnsiTheme="majorBidi"/>
          <w:color w:val="0070C0"/>
          <w:sz w:val="44"/>
          <w:szCs w:val="44"/>
        </w:rPr>
        <w:pict>
          <v:shape id="_x0000_i1026" type="#_x0000_t136" style="width:402.75pt;height:207pt" fillcolor="#4f81bd [3204]" strokecolor="#4f81bd [3204]">
            <v:fill r:id="rId9" o:title="Papier Kraft" type="tile"/>
            <v:shadow on="t" type="perspective" color="#c7dfd3" opacity="52429f" origin="-.5,-.5" offset="-26pt,-36pt" matrix="1.25,,,1.25"/>
            <v:textpath style="font-family:&quot;Times New Roman&quot;;font-size:20pt;font-weight:bold;v-text-kern:t" trim="t" fitpath="t" string="Chapitre II&#10;Méthodologie de l’Indice &#10;des Prix à la Consommation (Base 100:2006) &#10;"/>
            <o:lock v:ext="edit" aspectratio="t"/>
          </v:shape>
        </w:pict>
      </w:r>
    </w:p>
    <w:p w:rsidR="008B74DA" w:rsidRPr="001022E9" w:rsidRDefault="008B74DA" w:rsidP="008B74DA"/>
    <w:p w:rsidR="00A905C6" w:rsidRPr="001022E9" w:rsidRDefault="00A905C6" w:rsidP="008B74DA"/>
    <w:p w:rsidR="00DF65E2" w:rsidRDefault="00DF65E2" w:rsidP="00A905C6"/>
    <w:p w:rsidR="00A905C6" w:rsidRDefault="00A905C6" w:rsidP="00A905C6"/>
    <w:p w:rsidR="00DF65E2" w:rsidRDefault="00DF65E2"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6A40CB" w:rsidRDefault="006A40CB" w:rsidP="00586B08">
      <w:pPr>
        <w:pStyle w:val="Titre1"/>
        <w:rPr>
          <w:rFonts w:asciiTheme="majorBidi" w:hAnsiTheme="majorBidi"/>
          <w:color w:val="0070C0"/>
        </w:rPr>
      </w:pPr>
    </w:p>
    <w:p w:rsidR="006A40CB" w:rsidRDefault="006A40CB" w:rsidP="00586B08">
      <w:pPr>
        <w:pStyle w:val="Titre1"/>
        <w:rPr>
          <w:rFonts w:asciiTheme="majorBidi" w:hAnsiTheme="majorBidi"/>
          <w:color w:val="0070C0"/>
        </w:rPr>
      </w:pPr>
    </w:p>
    <w:p w:rsidR="006A40CB" w:rsidRDefault="006A40CB"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88739E" w:rsidRPr="00FC4512" w:rsidRDefault="0088739E" w:rsidP="00586B08">
      <w:pPr>
        <w:pStyle w:val="Titre1"/>
        <w:rPr>
          <w:rFonts w:asciiTheme="majorBidi" w:hAnsiTheme="majorBidi"/>
          <w:color w:val="0070C0"/>
        </w:rPr>
      </w:pPr>
      <w:bookmarkStart w:id="4" w:name="_Toc515273995"/>
      <w:r w:rsidRPr="00FC4512">
        <w:rPr>
          <w:rFonts w:asciiTheme="majorBidi" w:hAnsiTheme="majorBidi"/>
          <w:color w:val="0070C0"/>
        </w:rPr>
        <w:lastRenderedPageBreak/>
        <w:t xml:space="preserve">II- Méthodologie de l’Indice des Prix à la Consommation </w:t>
      </w:r>
      <w:r w:rsidR="000937FE" w:rsidRPr="00FC4512">
        <w:rPr>
          <w:rFonts w:asciiTheme="majorBidi" w:hAnsiTheme="majorBidi"/>
          <w:color w:val="0070C0"/>
        </w:rPr>
        <w:t>(Base 100:2006)</w:t>
      </w:r>
      <w:bookmarkEnd w:id="4"/>
    </w:p>
    <w:p w:rsidR="0088739E" w:rsidRPr="00FC4512" w:rsidRDefault="0088739E" w:rsidP="00586B08">
      <w:pPr>
        <w:pStyle w:val="Titre2"/>
        <w:rPr>
          <w:rFonts w:asciiTheme="majorBidi" w:hAnsiTheme="majorBidi"/>
          <w:color w:val="0070C0"/>
          <w:sz w:val="28"/>
          <w:szCs w:val="28"/>
        </w:rPr>
      </w:pPr>
      <w:bookmarkStart w:id="5" w:name="_Toc515273996"/>
      <w:r w:rsidRPr="00FC4512">
        <w:rPr>
          <w:rFonts w:asciiTheme="majorBidi" w:hAnsiTheme="majorBidi"/>
          <w:color w:val="0070C0"/>
        </w:rPr>
        <w:t>II-1 Définition et objectifs</w:t>
      </w:r>
      <w:bookmarkEnd w:id="5"/>
    </w:p>
    <w:p w:rsidR="0088739E" w:rsidRPr="00FC4512" w:rsidRDefault="0088739E" w:rsidP="00586B08">
      <w:pPr>
        <w:pStyle w:val="Titre3"/>
        <w:rPr>
          <w:rFonts w:asciiTheme="majorBidi" w:hAnsiTheme="majorBidi"/>
          <w:color w:val="0070C0"/>
          <w:sz w:val="24"/>
          <w:szCs w:val="24"/>
        </w:rPr>
      </w:pPr>
      <w:r w:rsidRPr="00725E87">
        <w:rPr>
          <w:rFonts w:asciiTheme="majorBidi" w:hAnsiTheme="majorBidi"/>
          <w:b w:val="0"/>
          <w:bCs w:val="0"/>
          <w:color w:val="0070C0"/>
          <w:sz w:val="24"/>
          <w:szCs w:val="24"/>
        </w:rPr>
        <w:tab/>
      </w:r>
      <w:r w:rsidRPr="00725E87">
        <w:rPr>
          <w:rFonts w:asciiTheme="majorBidi" w:hAnsiTheme="majorBidi"/>
          <w:b w:val="0"/>
          <w:bCs w:val="0"/>
          <w:color w:val="0070C0"/>
          <w:sz w:val="24"/>
          <w:szCs w:val="24"/>
        </w:rPr>
        <w:tab/>
      </w:r>
      <w:bookmarkStart w:id="6" w:name="_Toc515273997"/>
      <w:r w:rsidRPr="00FC4512">
        <w:rPr>
          <w:rFonts w:asciiTheme="majorBidi" w:hAnsiTheme="majorBidi"/>
          <w:color w:val="0070C0"/>
          <w:sz w:val="24"/>
          <w:szCs w:val="24"/>
        </w:rPr>
        <w:t>II-1-1 Définition</w:t>
      </w:r>
      <w:bookmarkEnd w:id="6"/>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L’indice des prix à la consommation mesure la variation des prix d’un panier de biens et </w:t>
      </w:r>
      <w:r w:rsidR="00302B06">
        <w:rPr>
          <w:rFonts w:asciiTheme="majorBidi" w:hAnsiTheme="majorBidi" w:cstheme="majorBidi"/>
          <w:sz w:val="24"/>
          <w:szCs w:val="24"/>
        </w:rPr>
        <w:t xml:space="preserve">de </w:t>
      </w:r>
      <w:r>
        <w:rPr>
          <w:rFonts w:asciiTheme="majorBidi" w:hAnsiTheme="majorBidi" w:cstheme="majorBidi"/>
          <w:sz w:val="24"/>
          <w:szCs w:val="24"/>
        </w:rPr>
        <w:t>services représentatifs de la consommation des ménages, à l’année de référence.</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Cet indice revêt un caractère officiel institué par un décret fixant les éléments entrant dans sa composition (décret n°2-09-529 du 5 hija 1430 (23 novembre 2009), publié dans le BO n°5792). Il est élaboré conformément aux recommandations du Bureau International du Travail (BIT) et aux pratiques de la Norme Spéciale de Diffusion des Données (NSDD) et le Fond Monétaire International (FMI).</w:t>
      </w:r>
    </w:p>
    <w:p w:rsidR="0088739E" w:rsidRDefault="0088739E" w:rsidP="00302B0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Même s’il ne tient pas compte de tous les produits (biens immobiliers,</w:t>
      </w:r>
      <w:r w:rsidR="00302B06">
        <w:rPr>
          <w:rFonts w:asciiTheme="majorBidi" w:hAnsiTheme="majorBidi" w:cstheme="majorBidi"/>
          <w:sz w:val="24"/>
          <w:szCs w:val="24"/>
        </w:rPr>
        <w:t xml:space="preserve"> biens d’équipement,..), il est, </w:t>
      </w:r>
      <w:r>
        <w:rPr>
          <w:rFonts w:asciiTheme="majorBidi" w:hAnsiTheme="majorBidi" w:cstheme="majorBidi"/>
          <w:sz w:val="24"/>
          <w:szCs w:val="24"/>
        </w:rPr>
        <w:t>quand même</w:t>
      </w:r>
      <w:r w:rsidR="00302B06">
        <w:rPr>
          <w:rFonts w:asciiTheme="majorBidi" w:hAnsiTheme="majorBidi" w:cstheme="majorBidi"/>
          <w:sz w:val="24"/>
          <w:szCs w:val="24"/>
        </w:rPr>
        <w:t>,</w:t>
      </w:r>
      <w:r>
        <w:rPr>
          <w:rFonts w:asciiTheme="majorBidi" w:hAnsiTheme="majorBidi" w:cstheme="majorBidi"/>
          <w:sz w:val="24"/>
          <w:szCs w:val="24"/>
        </w:rPr>
        <w:t xml:space="preserve"> utilisé comme indicateur de l’inflation générale par beaucoup de pays</w:t>
      </w:r>
      <w:r w:rsidR="00302B06">
        <w:rPr>
          <w:rFonts w:asciiTheme="majorBidi" w:hAnsiTheme="majorBidi" w:cstheme="majorBidi"/>
          <w:sz w:val="24"/>
          <w:szCs w:val="24"/>
        </w:rPr>
        <w:t xml:space="preserve">, </w:t>
      </w:r>
      <w:r>
        <w:rPr>
          <w:rFonts w:asciiTheme="majorBidi" w:hAnsiTheme="majorBidi" w:cstheme="majorBidi"/>
          <w:sz w:val="24"/>
          <w:szCs w:val="24"/>
        </w:rPr>
        <w:t>notamment le Maroc.</w:t>
      </w:r>
    </w:p>
    <w:p w:rsidR="0088739E" w:rsidRPr="00FC4512" w:rsidRDefault="0088739E" w:rsidP="00586B08">
      <w:pPr>
        <w:pStyle w:val="Titre3"/>
        <w:rPr>
          <w:rFonts w:asciiTheme="majorBidi" w:hAnsiTheme="majorBidi"/>
          <w:color w:val="0070C0"/>
          <w:sz w:val="24"/>
          <w:szCs w:val="24"/>
        </w:rPr>
      </w:pPr>
      <w:r w:rsidRPr="00725E87">
        <w:rPr>
          <w:rFonts w:asciiTheme="majorBidi" w:hAnsiTheme="majorBidi"/>
          <w:color w:val="0070C0"/>
          <w:sz w:val="24"/>
          <w:szCs w:val="24"/>
        </w:rPr>
        <w:tab/>
      </w:r>
      <w:r w:rsidRPr="00725E87">
        <w:rPr>
          <w:rFonts w:asciiTheme="majorBidi" w:hAnsiTheme="majorBidi"/>
          <w:color w:val="0070C0"/>
          <w:sz w:val="24"/>
          <w:szCs w:val="24"/>
        </w:rPr>
        <w:tab/>
      </w:r>
      <w:bookmarkStart w:id="7" w:name="_Toc515273998"/>
      <w:r w:rsidRPr="00FC4512">
        <w:rPr>
          <w:rFonts w:asciiTheme="majorBidi" w:hAnsiTheme="majorBidi"/>
          <w:color w:val="0070C0"/>
          <w:sz w:val="24"/>
          <w:szCs w:val="24"/>
        </w:rPr>
        <w:t>II-1-2 Objectifs</w:t>
      </w:r>
      <w:bookmarkEnd w:id="7"/>
    </w:p>
    <w:p w:rsidR="0088739E" w:rsidRPr="00C84D24" w:rsidRDefault="0088739E" w:rsidP="0088739E">
      <w:p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Outre son utilisation comme indicateur de l’inflation générale, l’IPC sert comme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Instrument d’analyse de la conjoncture économique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Donnée de base pour l’élaboration de la politique monétaire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Outil d’indexation des contrats entre les différents partenaires socio-économiques ;</w:t>
      </w:r>
    </w:p>
    <w:p w:rsidR="0088739E"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Déflateur des agrégats de la comptabilité nationale.</w:t>
      </w:r>
    </w:p>
    <w:p w:rsidR="0088739E" w:rsidRPr="00FC4512" w:rsidRDefault="0088739E" w:rsidP="00586B08">
      <w:pPr>
        <w:pStyle w:val="Titre2"/>
        <w:rPr>
          <w:rFonts w:asciiTheme="majorBidi" w:hAnsiTheme="majorBidi"/>
          <w:color w:val="0070C0"/>
          <w:sz w:val="24"/>
          <w:szCs w:val="24"/>
        </w:rPr>
      </w:pPr>
      <w:bookmarkStart w:id="8" w:name="_Toc515273999"/>
      <w:r w:rsidRPr="00FC4512">
        <w:rPr>
          <w:rFonts w:asciiTheme="majorBidi" w:hAnsiTheme="majorBidi"/>
          <w:color w:val="0070C0"/>
        </w:rPr>
        <w:t>II-2 Couverture de l’IPC</w:t>
      </w:r>
      <w:bookmarkEnd w:id="8"/>
    </w:p>
    <w:p w:rsidR="00F7495D" w:rsidRDefault="0088739E" w:rsidP="00A37B8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w:t>
      </w:r>
      <w:r w:rsidRPr="00C84D24">
        <w:rPr>
          <w:rFonts w:asciiTheme="majorBidi" w:hAnsiTheme="majorBidi" w:cstheme="majorBidi"/>
          <w:sz w:val="24"/>
          <w:szCs w:val="24"/>
        </w:rPr>
        <w:t>’indice des prix à la consommation</w:t>
      </w:r>
      <w:r w:rsidR="00E30AD8">
        <w:rPr>
          <w:rFonts w:asciiTheme="majorBidi" w:hAnsiTheme="majorBidi" w:cstheme="majorBidi"/>
          <w:sz w:val="24"/>
          <w:szCs w:val="24"/>
        </w:rPr>
        <w:t xml:space="preserve"> (Base 100 : 2006) </w:t>
      </w:r>
      <w:r>
        <w:rPr>
          <w:rFonts w:asciiTheme="majorBidi" w:hAnsiTheme="majorBidi" w:cstheme="majorBidi"/>
          <w:sz w:val="24"/>
          <w:szCs w:val="24"/>
        </w:rPr>
        <w:t>couvre l’ensemble de la population urbaine des dix-sept villes </w:t>
      </w:r>
      <w:r w:rsidR="00F7495D">
        <w:rPr>
          <w:rFonts w:asciiTheme="majorBidi" w:hAnsiTheme="majorBidi" w:cstheme="majorBidi"/>
          <w:sz w:val="24"/>
          <w:szCs w:val="24"/>
        </w:rPr>
        <w:t>représentant les anciennes 16 régions économiques, il s’agit de</w:t>
      </w:r>
      <w:r>
        <w:rPr>
          <w:rFonts w:asciiTheme="majorBidi" w:hAnsiTheme="majorBidi" w:cstheme="majorBidi"/>
          <w:sz w:val="24"/>
          <w:szCs w:val="24"/>
        </w:rPr>
        <w:t>:</w:t>
      </w:r>
      <w:r w:rsidRPr="002519A6">
        <w:rPr>
          <w:rFonts w:asciiTheme="majorBidi" w:hAnsiTheme="majorBidi" w:cstheme="majorBidi"/>
          <w:sz w:val="24"/>
          <w:szCs w:val="24"/>
        </w:rPr>
        <w:t xml:space="preserve"> </w:t>
      </w:r>
      <w:r>
        <w:rPr>
          <w:rFonts w:asciiTheme="majorBidi" w:hAnsiTheme="majorBidi" w:cstheme="majorBidi"/>
          <w:sz w:val="24"/>
          <w:szCs w:val="24"/>
        </w:rPr>
        <w:t>Agadir, Casablanca, Fès, Kenitra, Marrakech, Oujda, Rabat, Tétouan, Meknès</w:t>
      </w:r>
      <w:r w:rsidR="00302B06">
        <w:rPr>
          <w:rFonts w:asciiTheme="majorBidi" w:hAnsiTheme="majorBidi" w:cstheme="majorBidi"/>
          <w:sz w:val="24"/>
          <w:szCs w:val="24"/>
        </w:rPr>
        <w:t>,</w:t>
      </w:r>
      <w:r>
        <w:rPr>
          <w:rFonts w:asciiTheme="majorBidi" w:hAnsiTheme="majorBidi" w:cstheme="majorBidi"/>
          <w:sz w:val="24"/>
          <w:szCs w:val="24"/>
        </w:rPr>
        <w:t xml:space="preserve"> Laâyoune, El Houceima, Settat, Beni Mellal, Safi, Guelmim et Dakhla.</w:t>
      </w:r>
      <w:r w:rsidR="00F7495D" w:rsidRPr="00F7495D">
        <w:rPr>
          <w:rFonts w:asciiTheme="majorBidi" w:hAnsiTheme="majorBidi" w:cstheme="majorBidi"/>
          <w:sz w:val="24"/>
          <w:szCs w:val="24"/>
        </w:rPr>
        <w:t xml:space="preserve"> </w:t>
      </w:r>
      <w:r w:rsidR="00F7495D">
        <w:rPr>
          <w:rFonts w:asciiTheme="majorBidi" w:hAnsiTheme="majorBidi" w:cstheme="majorBidi"/>
          <w:sz w:val="24"/>
          <w:szCs w:val="24"/>
        </w:rPr>
        <w:t>Le choix de ces villes s’est fait selon l’importance de la population de référence, l’importance du commerce de détail et la situation géographique, et ce pour garantir une meilleure représentativité de l’indice en milieu urbain.</w:t>
      </w:r>
      <w:r w:rsidR="00E30AD8">
        <w:rPr>
          <w:rFonts w:asciiTheme="majorBidi" w:hAnsiTheme="majorBidi" w:cstheme="majorBidi"/>
          <w:sz w:val="24"/>
          <w:szCs w:val="24"/>
        </w:rPr>
        <w:t xml:space="preserve"> A noter que </w:t>
      </w:r>
      <w:r w:rsidR="00A37B89">
        <w:rPr>
          <w:rFonts w:asciiTheme="majorBidi" w:hAnsiTheme="majorBidi" w:cstheme="majorBidi"/>
          <w:sz w:val="24"/>
          <w:szCs w:val="24"/>
        </w:rPr>
        <w:t xml:space="preserve">lors de </w:t>
      </w:r>
      <w:r w:rsidR="00E30AD8">
        <w:rPr>
          <w:rFonts w:asciiTheme="majorBidi" w:hAnsiTheme="majorBidi" w:cstheme="majorBidi"/>
          <w:sz w:val="24"/>
          <w:szCs w:val="24"/>
        </w:rPr>
        <w:t>la réforme actuelle, la ville d’Errachidia</w:t>
      </w:r>
      <w:r w:rsidR="00A37B89">
        <w:rPr>
          <w:rFonts w:asciiTheme="majorBidi" w:hAnsiTheme="majorBidi" w:cstheme="majorBidi"/>
          <w:sz w:val="24"/>
          <w:szCs w:val="24"/>
        </w:rPr>
        <w:t xml:space="preserve"> a été ajoutée</w:t>
      </w:r>
      <w:r w:rsidR="00E30AD8">
        <w:rPr>
          <w:rFonts w:asciiTheme="majorBidi" w:hAnsiTheme="majorBidi" w:cstheme="majorBidi"/>
          <w:sz w:val="24"/>
          <w:szCs w:val="24"/>
        </w:rPr>
        <w:t xml:space="preserve"> au champ géographique afin de tenir compte du nouveau découpage régional.</w:t>
      </w:r>
    </w:p>
    <w:p w:rsidR="0088739E" w:rsidRPr="00FC4512" w:rsidRDefault="0088739E" w:rsidP="00586B08">
      <w:pPr>
        <w:pStyle w:val="Titre2"/>
        <w:rPr>
          <w:rFonts w:asciiTheme="majorBidi" w:hAnsiTheme="majorBidi"/>
          <w:color w:val="0070C0"/>
        </w:rPr>
      </w:pPr>
      <w:bookmarkStart w:id="9" w:name="_Toc515274000"/>
      <w:r w:rsidRPr="00FC4512">
        <w:rPr>
          <w:rFonts w:asciiTheme="majorBidi" w:hAnsiTheme="majorBidi"/>
          <w:color w:val="0070C0"/>
        </w:rPr>
        <w:t>II-3 Panier de l’indice</w:t>
      </w:r>
      <w:bookmarkEnd w:id="9"/>
    </w:p>
    <w:p w:rsidR="0088739E" w:rsidRDefault="0088739E" w:rsidP="007B7828">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choix des produits retenus dans le panier de l’IPC (base 100:2006) se fait selon leur importance dans la dépense totale des ménages. Cette information est obtenue à partir de l’enquête sur la consommation et les dépenses des ménages de 2001 (</w:t>
      </w:r>
      <w:r w:rsidR="00510322">
        <w:rPr>
          <w:rFonts w:asciiTheme="majorBidi" w:hAnsiTheme="majorBidi" w:cstheme="majorBidi"/>
          <w:sz w:val="24"/>
          <w:szCs w:val="24"/>
        </w:rPr>
        <w:t>contre</w:t>
      </w:r>
      <w:r>
        <w:rPr>
          <w:rFonts w:asciiTheme="majorBidi" w:hAnsiTheme="majorBidi" w:cstheme="majorBidi"/>
          <w:sz w:val="24"/>
          <w:szCs w:val="24"/>
        </w:rPr>
        <w:t xml:space="preserve"> celle de </w:t>
      </w:r>
      <w:r w:rsidR="00F93525">
        <w:rPr>
          <w:rFonts w:asciiTheme="majorBidi" w:hAnsiTheme="majorBidi" w:cstheme="majorBidi"/>
          <w:sz w:val="24"/>
          <w:szCs w:val="24"/>
        </w:rPr>
        <w:t>2014</w:t>
      </w:r>
      <w:r>
        <w:rPr>
          <w:rFonts w:asciiTheme="majorBidi" w:hAnsiTheme="majorBidi" w:cstheme="majorBidi"/>
          <w:sz w:val="24"/>
          <w:szCs w:val="24"/>
        </w:rPr>
        <w:t xml:space="preserve"> pour l’I</w:t>
      </w:r>
      <w:r w:rsidR="00F93525">
        <w:rPr>
          <w:rFonts w:asciiTheme="majorBidi" w:hAnsiTheme="majorBidi" w:cstheme="majorBidi"/>
          <w:sz w:val="24"/>
          <w:szCs w:val="24"/>
        </w:rPr>
        <w:t>PC 2017, objet de la réforme actuelle</w:t>
      </w:r>
      <w:r>
        <w:rPr>
          <w:rFonts w:asciiTheme="majorBidi" w:hAnsiTheme="majorBidi" w:cstheme="majorBidi"/>
          <w:sz w:val="24"/>
          <w:szCs w:val="24"/>
        </w:rPr>
        <w:t>).</w:t>
      </w:r>
    </w:p>
    <w:p w:rsidR="004B1065" w:rsidRDefault="004B1065" w:rsidP="0088739E">
      <w:pPr>
        <w:spacing w:before="240" w:after="240" w:line="240" w:lineRule="auto"/>
        <w:jc w:val="both"/>
        <w:rPr>
          <w:rFonts w:asciiTheme="majorBidi" w:hAnsiTheme="majorBidi" w:cstheme="majorBidi"/>
          <w:sz w:val="24"/>
          <w:szCs w:val="24"/>
        </w:rPr>
      </w:pPr>
    </w:p>
    <w:p w:rsidR="004B1065" w:rsidRDefault="004B1065" w:rsidP="0088739E">
      <w:pPr>
        <w:spacing w:before="240" w:after="240" w:line="240" w:lineRule="auto"/>
        <w:jc w:val="both"/>
        <w:rPr>
          <w:rFonts w:asciiTheme="majorBidi" w:hAnsiTheme="majorBidi" w:cstheme="majorBidi"/>
          <w:sz w:val="24"/>
          <w:szCs w:val="24"/>
        </w:rPr>
      </w:pP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Ainsi, le choix du panier de l’indice passe par trois étapes majeures :</w:t>
      </w:r>
    </w:p>
    <w:p w:rsidR="00E30AD8" w:rsidRPr="005677DF" w:rsidRDefault="0088739E" w:rsidP="005677DF">
      <w:pPr>
        <w:pStyle w:val="Paragraphedeliste"/>
        <w:numPr>
          <w:ilvl w:val="0"/>
          <w:numId w:val="31"/>
        </w:numPr>
        <w:spacing w:before="240" w:after="240" w:line="240" w:lineRule="auto"/>
        <w:jc w:val="both"/>
        <w:rPr>
          <w:rFonts w:asciiTheme="majorBidi" w:hAnsiTheme="majorBidi" w:cstheme="majorBidi"/>
          <w:sz w:val="24"/>
          <w:szCs w:val="24"/>
        </w:rPr>
      </w:pPr>
      <w:r w:rsidRPr="005677DF">
        <w:rPr>
          <w:rFonts w:asciiTheme="majorBidi" w:hAnsiTheme="majorBidi" w:cstheme="majorBidi"/>
          <w:b/>
          <w:bCs/>
          <w:i/>
          <w:iCs/>
          <w:color w:val="0070C0"/>
          <w:sz w:val="24"/>
          <w:szCs w:val="24"/>
        </w:rPr>
        <w:t>Classification des produits</w:t>
      </w:r>
      <w:r w:rsidRPr="005677DF">
        <w:rPr>
          <w:rFonts w:asciiTheme="majorBidi" w:hAnsiTheme="majorBidi" w:cstheme="majorBidi"/>
          <w:b/>
          <w:bCs/>
          <w:i/>
          <w:iCs/>
          <w:sz w:val="24"/>
          <w:szCs w:val="24"/>
        </w:rPr>
        <w:t> :</w:t>
      </w:r>
      <w:r w:rsidRPr="005677DF">
        <w:rPr>
          <w:rFonts w:asciiTheme="majorBidi" w:hAnsiTheme="majorBidi" w:cstheme="majorBidi"/>
          <w:sz w:val="24"/>
          <w:szCs w:val="24"/>
        </w:rPr>
        <w:t xml:space="preserve"> la constitution du panier consiste à établir la liste de tous les biens et services consommés par la population. Ces produits sont décomposés en des postes</w:t>
      </w:r>
      <w:r w:rsidR="00A37B89">
        <w:rPr>
          <w:rFonts w:asciiTheme="majorBidi" w:hAnsiTheme="majorBidi" w:cstheme="majorBidi"/>
          <w:sz w:val="24"/>
          <w:szCs w:val="24"/>
        </w:rPr>
        <w:t>,</w:t>
      </w:r>
      <w:r w:rsidRPr="005677DF">
        <w:rPr>
          <w:rFonts w:asciiTheme="majorBidi" w:hAnsiTheme="majorBidi" w:cstheme="majorBidi"/>
          <w:sz w:val="24"/>
          <w:szCs w:val="24"/>
        </w:rPr>
        <w:t xml:space="preserve"> les plus fins possibles</w:t>
      </w:r>
      <w:r w:rsidR="00A37B89">
        <w:rPr>
          <w:rFonts w:asciiTheme="majorBidi" w:hAnsiTheme="majorBidi" w:cstheme="majorBidi"/>
          <w:sz w:val="24"/>
          <w:szCs w:val="24"/>
        </w:rPr>
        <w:t>,</w:t>
      </w:r>
      <w:r w:rsidRPr="005677DF">
        <w:rPr>
          <w:rFonts w:asciiTheme="majorBidi" w:hAnsiTheme="majorBidi" w:cstheme="majorBidi"/>
          <w:sz w:val="24"/>
          <w:szCs w:val="24"/>
        </w:rPr>
        <w:t xml:space="preserve"> et organisés hiérarchiquement suivant une nomenclature obéissant aux normes internationales</w:t>
      </w:r>
      <w:r w:rsidR="00E30AD8" w:rsidRPr="005677DF">
        <w:rPr>
          <w:rFonts w:asciiTheme="majorBidi" w:hAnsiTheme="majorBidi" w:cstheme="majorBidi"/>
          <w:sz w:val="24"/>
          <w:szCs w:val="24"/>
        </w:rPr>
        <w:t xml:space="preserve"> appelée COICOP (Classification Of Individual Consumption by Purpose). Celle-ci est structurée en 12 divisions, 41 groupes, 88 classes et 112 sections. </w:t>
      </w:r>
    </w:p>
    <w:p w:rsidR="0088739E" w:rsidRDefault="0088739E" w:rsidP="005677DF">
      <w:pPr>
        <w:pStyle w:val="Paragraphedeliste"/>
        <w:spacing w:before="240" w:after="240" w:line="240" w:lineRule="auto"/>
        <w:ind w:left="1068"/>
        <w:jc w:val="both"/>
        <w:rPr>
          <w:rFonts w:asciiTheme="majorBidi" w:hAnsiTheme="majorBidi" w:cstheme="majorBidi"/>
          <w:sz w:val="24"/>
          <w:szCs w:val="24"/>
        </w:rPr>
      </w:pPr>
    </w:p>
    <w:p w:rsidR="0088739E" w:rsidRDefault="0088739E" w:rsidP="00767BA0">
      <w:pPr>
        <w:pStyle w:val="Paragraphedeliste"/>
        <w:numPr>
          <w:ilvl w:val="0"/>
          <w:numId w:val="31"/>
        </w:numPr>
        <w:spacing w:before="240" w:after="240" w:line="240" w:lineRule="auto"/>
        <w:jc w:val="both"/>
        <w:rPr>
          <w:rFonts w:asciiTheme="majorBidi" w:hAnsiTheme="majorBidi" w:cstheme="majorBidi"/>
          <w:sz w:val="24"/>
          <w:szCs w:val="24"/>
        </w:rPr>
      </w:pPr>
      <w:r w:rsidRPr="00725E87">
        <w:rPr>
          <w:rFonts w:asciiTheme="majorBidi" w:hAnsiTheme="majorBidi" w:cstheme="majorBidi"/>
          <w:b/>
          <w:bCs/>
          <w:i/>
          <w:iCs/>
          <w:color w:val="0070C0"/>
          <w:sz w:val="24"/>
          <w:szCs w:val="24"/>
        </w:rPr>
        <w:t>Choix des produits</w:t>
      </w:r>
      <w:r>
        <w:rPr>
          <w:rFonts w:asciiTheme="majorBidi" w:hAnsiTheme="majorBidi" w:cstheme="majorBidi"/>
          <w:b/>
          <w:bCs/>
          <w:i/>
          <w:iCs/>
          <w:sz w:val="24"/>
          <w:szCs w:val="24"/>
        </w:rPr>
        <w:t> :</w:t>
      </w:r>
      <w:r>
        <w:rPr>
          <w:rFonts w:asciiTheme="majorBidi" w:hAnsiTheme="majorBidi" w:cstheme="majorBidi"/>
          <w:sz w:val="24"/>
          <w:szCs w:val="24"/>
        </w:rPr>
        <w:t xml:space="preserve"> étant donné la liste exhaustive des produits, le choix s’arrête sur un échantillon représentatif de produits témoins dont la taille s’élève à 478 (contre </w:t>
      </w:r>
      <w:r w:rsidR="00767BA0">
        <w:rPr>
          <w:rFonts w:asciiTheme="majorBidi" w:hAnsiTheme="majorBidi" w:cstheme="majorBidi"/>
          <w:sz w:val="24"/>
          <w:szCs w:val="24"/>
        </w:rPr>
        <w:t>plus de 500</w:t>
      </w:r>
      <w:r>
        <w:rPr>
          <w:rFonts w:asciiTheme="majorBidi" w:hAnsiTheme="majorBidi" w:cstheme="majorBidi"/>
          <w:sz w:val="24"/>
          <w:szCs w:val="24"/>
        </w:rPr>
        <w:t xml:space="preserve"> pour l’I</w:t>
      </w:r>
      <w:r w:rsidR="00767BA0">
        <w:rPr>
          <w:rFonts w:asciiTheme="majorBidi" w:hAnsiTheme="majorBidi" w:cstheme="majorBidi"/>
          <w:sz w:val="24"/>
          <w:szCs w:val="24"/>
        </w:rPr>
        <w:t>PC 2017</w:t>
      </w:r>
      <w:r>
        <w:rPr>
          <w:rFonts w:asciiTheme="majorBidi" w:hAnsiTheme="majorBidi" w:cstheme="majorBidi"/>
          <w:sz w:val="24"/>
          <w:szCs w:val="24"/>
        </w:rPr>
        <w:t>). Ce choix tient compte de l’importance du produit dans la consommation des ménages.</w:t>
      </w:r>
    </w:p>
    <w:p w:rsidR="0088739E" w:rsidRDefault="0088739E" w:rsidP="0088739E">
      <w:pPr>
        <w:pStyle w:val="Paragraphedeliste"/>
        <w:numPr>
          <w:ilvl w:val="0"/>
          <w:numId w:val="31"/>
        </w:numPr>
        <w:spacing w:before="240" w:after="240" w:line="240" w:lineRule="auto"/>
        <w:jc w:val="both"/>
        <w:rPr>
          <w:rFonts w:asciiTheme="majorBidi" w:hAnsiTheme="majorBidi" w:cstheme="majorBidi"/>
          <w:sz w:val="24"/>
          <w:szCs w:val="24"/>
        </w:rPr>
      </w:pPr>
      <w:r w:rsidRPr="00725E87">
        <w:rPr>
          <w:rFonts w:asciiTheme="majorBidi" w:hAnsiTheme="majorBidi" w:cstheme="majorBidi"/>
          <w:b/>
          <w:bCs/>
          <w:i/>
          <w:iCs/>
          <w:color w:val="0070C0"/>
          <w:sz w:val="24"/>
          <w:szCs w:val="24"/>
        </w:rPr>
        <w:t>Choix et description des variétés</w:t>
      </w:r>
      <w:r>
        <w:rPr>
          <w:rFonts w:asciiTheme="majorBidi" w:hAnsiTheme="majorBidi" w:cstheme="majorBidi"/>
          <w:b/>
          <w:bCs/>
          <w:i/>
          <w:iCs/>
          <w:sz w:val="24"/>
          <w:szCs w:val="24"/>
        </w:rPr>
        <w:t> :</w:t>
      </w:r>
      <w:r>
        <w:rPr>
          <w:rFonts w:asciiTheme="majorBidi" w:hAnsiTheme="majorBidi" w:cstheme="majorBidi"/>
          <w:sz w:val="24"/>
          <w:szCs w:val="24"/>
        </w:rPr>
        <w:t xml:space="preserve"> étant donné un produit du panier de l’indice, des variétés sont choisies pour mieux renseigner sur la variation globale des différents prix du produit. La description exacte de ces variétés est primordiale pour mener à bien le relevé des prix auprès des détaillants, notamment pour les produits hétérogènes tels que les articles d’habillement et de l’ameublement. Dans ce cadre, 1067 variétés (y compris les variétés relatives au loyer et aux médicaments) sont sélectionnées pour une meilleure représentativité régionale et saisonnière.</w:t>
      </w:r>
    </w:p>
    <w:p w:rsidR="0088739E" w:rsidRPr="00FC4512" w:rsidRDefault="0088739E" w:rsidP="00586B08">
      <w:pPr>
        <w:pStyle w:val="Titre2"/>
        <w:rPr>
          <w:rFonts w:asciiTheme="majorBidi" w:hAnsiTheme="majorBidi"/>
          <w:color w:val="0070C0"/>
          <w:lang w:val="en-US"/>
        </w:rPr>
      </w:pPr>
      <w:bookmarkStart w:id="10" w:name="_Toc515274001"/>
      <w:r w:rsidRPr="00FC4512">
        <w:rPr>
          <w:rFonts w:asciiTheme="majorBidi" w:hAnsiTheme="majorBidi"/>
          <w:color w:val="0070C0"/>
          <w:lang w:val="en-US"/>
        </w:rPr>
        <w:t>II-</w:t>
      </w:r>
      <w:r w:rsidR="005677DF" w:rsidRPr="00FC4512">
        <w:rPr>
          <w:rFonts w:asciiTheme="majorBidi" w:hAnsiTheme="majorBidi"/>
          <w:color w:val="0070C0"/>
          <w:lang w:val="en-US"/>
        </w:rPr>
        <w:t>4</w:t>
      </w:r>
      <w:r w:rsidRPr="00FC4512">
        <w:rPr>
          <w:rFonts w:asciiTheme="majorBidi" w:hAnsiTheme="majorBidi"/>
          <w:color w:val="0070C0"/>
          <w:lang w:val="en-US"/>
        </w:rPr>
        <w:t xml:space="preserve"> </w:t>
      </w:r>
      <w:r w:rsidRPr="00FC4512">
        <w:rPr>
          <w:rFonts w:asciiTheme="majorBidi" w:hAnsiTheme="majorBidi"/>
          <w:color w:val="0070C0"/>
        </w:rPr>
        <w:t>Pondérations</w:t>
      </w:r>
      <w:bookmarkEnd w:id="10"/>
      <w:r w:rsidRPr="00FC4512">
        <w:rPr>
          <w:rFonts w:asciiTheme="majorBidi" w:hAnsiTheme="majorBidi"/>
          <w:color w:val="0070C0"/>
          <w:lang w:val="en-US"/>
        </w:rPr>
        <w:t xml:space="preserve"> </w:t>
      </w:r>
    </w:p>
    <w:p w:rsidR="0088739E" w:rsidRDefault="0088739E" w:rsidP="00C2411B">
      <w:pPr>
        <w:spacing w:before="240" w:after="240" w:line="240" w:lineRule="auto"/>
        <w:jc w:val="both"/>
        <w:rPr>
          <w:rFonts w:asciiTheme="majorBidi" w:hAnsiTheme="majorBidi" w:cstheme="majorBidi"/>
          <w:sz w:val="24"/>
          <w:szCs w:val="24"/>
          <w:lang w:val="fr-MA"/>
        </w:rPr>
      </w:pPr>
      <w:r w:rsidRPr="00FE3C0E">
        <w:rPr>
          <w:rFonts w:asciiTheme="majorBidi" w:hAnsiTheme="majorBidi" w:cstheme="majorBidi"/>
          <w:sz w:val="24"/>
          <w:szCs w:val="24"/>
          <w:lang w:val="fr-MA"/>
        </w:rPr>
        <w:t xml:space="preserve">Les coefficients de </w:t>
      </w:r>
      <w:r w:rsidRPr="00BC220A">
        <w:rPr>
          <w:rFonts w:asciiTheme="majorBidi" w:hAnsiTheme="majorBidi" w:cstheme="majorBidi"/>
          <w:sz w:val="24"/>
          <w:szCs w:val="24"/>
        </w:rPr>
        <w:t>pondération</w:t>
      </w:r>
      <w:r w:rsidRPr="00FE3C0E">
        <w:rPr>
          <w:rFonts w:asciiTheme="majorBidi" w:hAnsiTheme="majorBidi" w:cstheme="majorBidi"/>
          <w:sz w:val="24"/>
          <w:szCs w:val="24"/>
          <w:lang w:val="fr-MA"/>
        </w:rPr>
        <w:t xml:space="preserve"> des </w:t>
      </w:r>
      <w:r w:rsidRPr="00007386">
        <w:rPr>
          <w:rFonts w:asciiTheme="majorBidi" w:hAnsiTheme="majorBidi" w:cstheme="majorBidi"/>
          <w:sz w:val="24"/>
          <w:szCs w:val="24"/>
        </w:rPr>
        <w:t>produits</w:t>
      </w:r>
      <w:r w:rsidRPr="00FE3C0E">
        <w:rPr>
          <w:rFonts w:asciiTheme="majorBidi" w:hAnsiTheme="majorBidi" w:cstheme="majorBidi"/>
          <w:sz w:val="24"/>
          <w:szCs w:val="24"/>
          <w:lang w:val="fr-MA"/>
        </w:rPr>
        <w:t xml:space="preserve"> du</w:t>
      </w:r>
      <w:r w:rsidRPr="006C41F1">
        <w:rPr>
          <w:rFonts w:asciiTheme="majorBidi" w:hAnsiTheme="majorBidi" w:cstheme="majorBidi"/>
          <w:sz w:val="24"/>
          <w:szCs w:val="24"/>
          <w:lang w:val="fr-MA"/>
        </w:rPr>
        <w:t xml:space="preserve"> panier</w:t>
      </w:r>
      <w:r w:rsidRPr="00FE3C0E">
        <w:rPr>
          <w:rFonts w:asciiTheme="majorBidi" w:hAnsiTheme="majorBidi" w:cstheme="majorBidi"/>
          <w:sz w:val="24"/>
          <w:szCs w:val="24"/>
          <w:lang w:val="fr-MA"/>
        </w:rPr>
        <w:t xml:space="preserve"> de</w:t>
      </w:r>
      <w:r w:rsidRPr="006C41F1">
        <w:rPr>
          <w:rFonts w:asciiTheme="majorBidi" w:hAnsiTheme="majorBidi" w:cstheme="majorBidi"/>
          <w:sz w:val="24"/>
          <w:szCs w:val="24"/>
          <w:lang w:val="fr-MA"/>
        </w:rPr>
        <w:t xml:space="preserve"> l’IPC</w:t>
      </w:r>
      <w:r w:rsidRPr="00FE3C0E">
        <w:rPr>
          <w:rFonts w:asciiTheme="majorBidi" w:hAnsiTheme="majorBidi" w:cstheme="majorBidi"/>
          <w:sz w:val="24"/>
          <w:szCs w:val="24"/>
          <w:lang w:val="fr-MA"/>
        </w:rPr>
        <w:t xml:space="preserve"> reflètent la structure des</w:t>
      </w:r>
      <w:r w:rsidRPr="00B12946">
        <w:rPr>
          <w:rFonts w:asciiTheme="majorBidi" w:hAnsiTheme="majorBidi" w:cstheme="majorBidi"/>
          <w:sz w:val="24"/>
          <w:szCs w:val="24"/>
          <w:lang w:val="fr-MA"/>
        </w:rPr>
        <w:t xml:space="preserve"> dépenses</w:t>
      </w:r>
      <w:r w:rsidRPr="00FE3C0E">
        <w:rPr>
          <w:rFonts w:asciiTheme="majorBidi" w:hAnsiTheme="majorBidi" w:cstheme="majorBidi"/>
          <w:sz w:val="24"/>
          <w:szCs w:val="24"/>
          <w:lang w:val="fr-MA"/>
        </w:rPr>
        <w:t xml:space="preserve"> de</w:t>
      </w:r>
      <w:r w:rsidRPr="00B12946">
        <w:rPr>
          <w:rFonts w:asciiTheme="majorBidi" w:hAnsiTheme="majorBidi" w:cstheme="majorBidi"/>
          <w:sz w:val="24"/>
          <w:szCs w:val="24"/>
        </w:rPr>
        <w:t xml:space="preserve"> consommation</w:t>
      </w:r>
      <w:r w:rsidRPr="00FE3C0E">
        <w:rPr>
          <w:rFonts w:asciiTheme="majorBidi" w:hAnsiTheme="majorBidi" w:cstheme="majorBidi"/>
          <w:sz w:val="24"/>
          <w:szCs w:val="24"/>
          <w:lang w:val="fr-MA"/>
        </w:rPr>
        <w:t xml:space="preserve"> des ménages urbains.</w:t>
      </w:r>
      <w:r w:rsidRPr="00FE3C0E">
        <w:rPr>
          <w:rFonts w:asciiTheme="majorBidi" w:hAnsiTheme="majorBidi" w:cstheme="majorBidi"/>
          <w:sz w:val="24"/>
          <w:szCs w:val="24"/>
        </w:rPr>
        <w:t xml:space="preserve"> Ils</w:t>
      </w:r>
      <w:r>
        <w:rPr>
          <w:rFonts w:asciiTheme="majorBidi" w:hAnsiTheme="majorBidi" w:cstheme="majorBidi"/>
          <w:sz w:val="24"/>
          <w:szCs w:val="24"/>
          <w:lang w:val="en-US"/>
        </w:rPr>
        <w:t xml:space="preserve"> </w:t>
      </w:r>
      <w:r w:rsidRPr="00FE3C0E">
        <w:rPr>
          <w:rFonts w:asciiTheme="majorBidi" w:hAnsiTheme="majorBidi" w:cstheme="majorBidi"/>
          <w:sz w:val="24"/>
          <w:szCs w:val="24"/>
        </w:rPr>
        <w:t>sont calculés</w:t>
      </w:r>
      <w:r>
        <w:rPr>
          <w:rFonts w:asciiTheme="majorBidi" w:hAnsiTheme="majorBidi" w:cstheme="majorBidi"/>
          <w:sz w:val="24"/>
          <w:szCs w:val="24"/>
          <w:lang w:val="en-US"/>
        </w:rPr>
        <w:t xml:space="preserve"> sur la base de l’enquête sur la consommation et les dépenses des ménages de 2001 et de l’enquête sur les revenus et le niveau de vie des ménages de 2007</w:t>
      </w:r>
      <w:r w:rsidR="0086253C">
        <w:rPr>
          <w:rFonts w:asciiTheme="majorBidi" w:hAnsiTheme="majorBidi" w:cstheme="majorBidi"/>
          <w:sz w:val="24"/>
          <w:szCs w:val="24"/>
          <w:lang w:val="en-US"/>
        </w:rPr>
        <w:t xml:space="preserve"> pour l’IPC 2006, et sur la base de l’enquête de cons</w:t>
      </w:r>
      <w:r w:rsidR="0085673B">
        <w:rPr>
          <w:rFonts w:asciiTheme="majorBidi" w:hAnsiTheme="majorBidi" w:cstheme="majorBidi"/>
          <w:sz w:val="24"/>
          <w:szCs w:val="24"/>
          <w:lang w:val="en-US"/>
        </w:rPr>
        <w:t>o</w:t>
      </w:r>
      <w:r w:rsidR="0086253C">
        <w:rPr>
          <w:rFonts w:asciiTheme="majorBidi" w:hAnsiTheme="majorBidi" w:cstheme="majorBidi"/>
          <w:sz w:val="24"/>
          <w:szCs w:val="24"/>
          <w:lang w:val="en-US"/>
        </w:rPr>
        <w:t>mmation de 2014 pour l’IPC 2017, objet de la réforme</w:t>
      </w:r>
      <w:r w:rsidR="0060561D">
        <w:rPr>
          <w:rFonts w:asciiTheme="majorBidi" w:hAnsiTheme="majorBidi" w:cstheme="majorBidi"/>
          <w:sz w:val="24"/>
          <w:szCs w:val="24"/>
          <w:lang w:val="en-US"/>
        </w:rPr>
        <w:t xml:space="preserve"> actuelle</w:t>
      </w:r>
      <w:r>
        <w:rPr>
          <w:rFonts w:asciiTheme="majorBidi" w:hAnsiTheme="majorBidi" w:cstheme="majorBidi"/>
          <w:sz w:val="24"/>
          <w:szCs w:val="24"/>
          <w:lang w:val="en-US"/>
        </w:rPr>
        <w:t xml:space="preserve">. Selon cette dernière enquête, les coefficients de pondération des produits alimentaires et boissons ont atteint </w:t>
      </w:r>
      <w:r w:rsidR="0085673B">
        <w:rPr>
          <w:rFonts w:asciiTheme="majorBidi" w:hAnsiTheme="majorBidi" w:cstheme="majorBidi"/>
          <w:sz w:val="24"/>
          <w:szCs w:val="24"/>
          <w:lang w:val="en-US"/>
        </w:rPr>
        <w:t>38,8</w:t>
      </w:r>
      <w:r>
        <w:rPr>
          <w:rFonts w:asciiTheme="majorBidi" w:hAnsiTheme="majorBidi" w:cstheme="majorBidi"/>
          <w:sz w:val="24"/>
          <w:szCs w:val="24"/>
          <w:lang w:val="en-US"/>
        </w:rPr>
        <w:t xml:space="preserve">% enregistrant ainsi une baisse de </w:t>
      </w:r>
      <w:r w:rsidR="0085673B">
        <w:rPr>
          <w:rFonts w:asciiTheme="majorBidi" w:hAnsiTheme="majorBidi" w:cstheme="majorBidi"/>
          <w:sz w:val="24"/>
          <w:szCs w:val="24"/>
          <w:lang w:val="en-US"/>
        </w:rPr>
        <w:t>6,5%</w:t>
      </w:r>
      <w:r>
        <w:rPr>
          <w:rFonts w:asciiTheme="majorBidi" w:hAnsiTheme="majorBidi" w:cstheme="majorBidi"/>
          <w:sz w:val="24"/>
          <w:szCs w:val="24"/>
          <w:lang w:val="en-US"/>
        </w:rPr>
        <w:t xml:space="preserve"> par rapport à </w:t>
      </w:r>
      <w:r w:rsidR="0085673B">
        <w:rPr>
          <w:rFonts w:asciiTheme="majorBidi" w:hAnsiTheme="majorBidi" w:cstheme="majorBidi"/>
          <w:sz w:val="24"/>
          <w:szCs w:val="24"/>
          <w:lang w:val="en-US"/>
        </w:rPr>
        <w:t>2007</w:t>
      </w:r>
      <w:r>
        <w:rPr>
          <w:rFonts w:asciiTheme="majorBidi" w:hAnsiTheme="majorBidi" w:cstheme="majorBidi"/>
          <w:sz w:val="24"/>
          <w:szCs w:val="24"/>
          <w:lang w:val="en-US"/>
        </w:rPr>
        <w:t xml:space="preserve">. </w:t>
      </w:r>
      <w:r w:rsidR="00AB553C">
        <w:rPr>
          <w:rFonts w:asciiTheme="majorBidi" w:hAnsiTheme="majorBidi" w:cstheme="majorBidi"/>
          <w:sz w:val="24"/>
          <w:szCs w:val="24"/>
          <w:lang w:val="fr-MA"/>
        </w:rPr>
        <w:t xml:space="preserve">Cette diminution a profité à certains postes de dépenses, notamment : l’Enseignement dont le coefficient budgétaire a augmenté de 60,3%, la Santé de près de 40%, et les Loisirs de 23,6%. </w:t>
      </w:r>
    </w:p>
    <w:p w:rsidR="0088739E" w:rsidRPr="00007386" w:rsidRDefault="0088739E" w:rsidP="001848E9">
      <w:pPr>
        <w:spacing w:before="240" w:after="240" w:line="240" w:lineRule="auto"/>
        <w:ind w:right="142"/>
        <w:jc w:val="both"/>
        <w:rPr>
          <w:rFonts w:asciiTheme="majorBidi" w:hAnsiTheme="majorBidi" w:cstheme="majorBidi"/>
          <w:lang w:val="en-US"/>
        </w:rPr>
      </w:pPr>
      <w:r>
        <w:rPr>
          <w:rFonts w:asciiTheme="majorBidi" w:hAnsiTheme="majorBidi" w:cstheme="majorBidi"/>
          <w:sz w:val="24"/>
          <w:szCs w:val="24"/>
          <w:lang w:val="fr-MA"/>
        </w:rPr>
        <w:t xml:space="preserve">La structure des coefficients budgétaires de l’ensemble des biens et services du panier de l’indice, </w:t>
      </w:r>
      <w:r w:rsidR="00C2411B">
        <w:rPr>
          <w:rFonts w:asciiTheme="majorBidi" w:hAnsiTheme="majorBidi" w:cstheme="majorBidi"/>
          <w:sz w:val="24"/>
          <w:szCs w:val="24"/>
          <w:lang w:val="fr-MA"/>
        </w:rPr>
        <w:t xml:space="preserve">selon les deux enquêtes, </w:t>
      </w:r>
      <w:r>
        <w:rPr>
          <w:rFonts w:asciiTheme="majorBidi" w:hAnsiTheme="majorBidi" w:cstheme="majorBidi"/>
          <w:sz w:val="24"/>
          <w:szCs w:val="24"/>
          <w:lang w:val="fr-MA"/>
        </w:rPr>
        <w:t>est présentée dans le tableau, ci-dessous :</w:t>
      </w:r>
    </w:p>
    <w:p w:rsidR="004B1065" w:rsidRDefault="004B1065">
      <w:pPr>
        <w:rPr>
          <w:rFonts w:asciiTheme="majorBidi" w:hAnsiTheme="majorBidi" w:cstheme="majorBidi"/>
          <w:b/>
          <w:bCs/>
          <w:color w:val="4F81BD" w:themeColor="accent1"/>
        </w:rPr>
      </w:pPr>
      <w:bookmarkStart w:id="11" w:name="_Toc510776092"/>
      <w:r>
        <w:rPr>
          <w:rFonts w:asciiTheme="majorBidi" w:hAnsiTheme="majorBidi" w:cstheme="majorBidi"/>
        </w:rPr>
        <w:br w:type="page"/>
      </w:r>
    </w:p>
    <w:p w:rsidR="00832702" w:rsidRPr="006A40CB" w:rsidRDefault="00486BC8" w:rsidP="006A40CB">
      <w:pPr>
        <w:pStyle w:val="Lgende"/>
        <w:spacing w:after="0"/>
        <w:rPr>
          <w:rFonts w:asciiTheme="majorBidi" w:hAnsiTheme="majorBidi" w:cstheme="majorBidi"/>
          <w:sz w:val="22"/>
          <w:szCs w:val="22"/>
        </w:rPr>
      </w:pPr>
      <w:bookmarkStart w:id="12" w:name="_Toc515274021"/>
      <w:r w:rsidRPr="006A40CB">
        <w:rPr>
          <w:rFonts w:asciiTheme="majorBidi" w:hAnsiTheme="majorBidi" w:cstheme="majorBidi"/>
          <w:sz w:val="22"/>
          <w:szCs w:val="22"/>
        </w:rPr>
        <w:lastRenderedPageBreak/>
        <w:t xml:space="preserve">Tableau </w:t>
      </w:r>
      <w:r w:rsidR="001022E9" w:rsidRPr="006A40CB">
        <w:rPr>
          <w:rFonts w:asciiTheme="majorBidi" w:hAnsiTheme="majorBidi" w:cstheme="majorBidi"/>
          <w:sz w:val="22"/>
          <w:szCs w:val="22"/>
        </w:rPr>
        <w:fldChar w:fldCharType="begin"/>
      </w:r>
      <w:r w:rsidR="00756AA5" w:rsidRPr="006A40CB">
        <w:rPr>
          <w:rFonts w:asciiTheme="majorBidi" w:hAnsiTheme="majorBidi" w:cstheme="majorBidi"/>
          <w:sz w:val="22"/>
          <w:szCs w:val="22"/>
        </w:rPr>
        <w:instrText xml:space="preserve"> SEQ Tableau \* ARABIC </w:instrText>
      </w:r>
      <w:r w:rsidR="001022E9" w:rsidRPr="006A40CB">
        <w:rPr>
          <w:rFonts w:asciiTheme="majorBidi" w:hAnsiTheme="majorBidi" w:cstheme="majorBidi"/>
          <w:sz w:val="22"/>
          <w:szCs w:val="22"/>
        </w:rPr>
        <w:fldChar w:fldCharType="separate"/>
      </w:r>
      <w:r w:rsidR="00156FC8">
        <w:rPr>
          <w:rFonts w:asciiTheme="majorBidi" w:hAnsiTheme="majorBidi" w:cstheme="majorBidi"/>
          <w:noProof/>
          <w:sz w:val="22"/>
          <w:szCs w:val="22"/>
        </w:rPr>
        <w:t>1</w:t>
      </w:r>
      <w:r w:rsidR="001022E9" w:rsidRPr="006A40CB">
        <w:rPr>
          <w:rFonts w:asciiTheme="majorBidi" w:hAnsiTheme="majorBidi" w:cstheme="majorBidi"/>
          <w:sz w:val="22"/>
          <w:szCs w:val="22"/>
        </w:rPr>
        <w:fldChar w:fldCharType="end"/>
      </w:r>
      <w:r w:rsidRPr="006A40CB">
        <w:rPr>
          <w:rFonts w:asciiTheme="majorBidi" w:hAnsiTheme="majorBidi" w:cstheme="majorBidi"/>
          <w:sz w:val="22"/>
          <w:szCs w:val="22"/>
        </w:rPr>
        <w:t xml:space="preserve"> : </w:t>
      </w:r>
      <w:r w:rsidR="00832702" w:rsidRPr="006A40CB">
        <w:rPr>
          <w:rFonts w:asciiTheme="majorBidi" w:hAnsiTheme="majorBidi" w:cstheme="majorBidi"/>
          <w:color w:val="0070C0"/>
          <w:sz w:val="22"/>
          <w:szCs w:val="22"/>
        </w:rPr>
        <w:t>Coefficients de pondération des grands groupes de produits en 2007 et 2014</w:t>
      </w:r>
      <w:bookmarkEnd w:id="11"/>
      <w:bookmarkEnd w:id="12"/>
    </w:p>
    <w:tbl>
      <w:tblPr>
        <w:tblW w:w="5000" w:type="pct"/>
        <w:tblCellMar>
          <w:left w:w="70" w:type="dxa"/>
          <w:right w:w="70" w:type="dxa"/>
        </w:tblCellMar>
        <w:tblLook w:val="04A0"/>
      </w:tblPr>
      <w:tblGrid>
        <w:gridCol w:w="7314"/>
        <w:gridCol w:w="1020"/>
        <w:gridCol w:w="1020"/>
      </w:tblGrid>
      <w:tr w:rsidR="00FE3C0E" w:rsidRPr="00FE3C0E" w:rsidTr="004B1065">
        <w:trPr>
          <w:trHeight w:val="442"/>
        </w:trPr>
        <w:tc>
          <w:tcPr>
            <w:tcW w:w="3910" w:type="pct"/>
            <w:tcBorders>
              <w:top w:val="single" w:sz="8" w:space="0" w:color="auto"/>
              <w:left w:val="nil"/>
              <w:bottom w:val="single" w:sz="8" w:space="0" w:color="auto"/>
              <w:right w:val="nil"/>
            </w:tcBorders>
            <w:shd w:val="clear" w:color="000000" w:fill="A5A5A5"/>
            <w:noWrap/>
            <w:vAlign w:val="center"/>
            <w:hideMark/>
          </w:tcPr>
          <w:p w:rsidR="00FE3C0E" w:rsidRPr="00FE3C0E" w:rsidRDefault="00FE3C0E" w:rsidP="004B1065">
            <w:pPr>
              <w:spacing w:after="0" w:line="240" w:lineRule="auto"/>
              <w:rPr>
                <w:rFonts w:ascii="Times New Roman" w:eastAsia="Times New Roman" w:hAnsi="Times New Roman" w:cs="Times New Roman"/>
                <w:b/>
                <w:bCs/>
                <w:color w:val="800000"/>
                <w:sz w:val="24"/>
                <w:szCs w:val="24"/>
                <w:lang w:eastAsia="fr-FR"/>
              </w:rPr>
            </w:pPr>
            <w:r w:rsidRPr="00FE3C0E">
              <w:rPr>
                <w:rFonts w:ascii="Times New Roman" w:eastAsia="Times New Roman" w:hAnsi="Times New Roman" w:cs="Times New Roman"/>
                <w:b/>
                <w:bCs/>
                <w:color w:val="800000"/>
                <w:sz w:val="24"/>
                <w:szCs w:val="24"/>
                <w:lang w:eastAsia="fr-FR"/>
              </w:rPr>
              <w:t>DIVISIONS</w:t>
            </w:r>
          </w:p>
        </w:tc>
        <w:tc>
          <w:tcPr>
            <w:tcW w:w="545" w:type="pct"/>
            <w:tcBorders>
              <w:top w:val="single" w:sz="8" w:space="0" w:color="auto"/>
              <w:left w:val="nil"/>
              <w:bottom w:val="single" w:sz="8" w:space="0" w:color="auto"/>
              <w:right w:val="nil"/>
            </w:tcBorders>
            <w:shd w:val="clear" w:color="000000" w:fill="A5A5A5"/>
            <w:noWrap/>
            <w:vAlign w:val="center"/>
            <w:hideMark/>
          </w:tcPr>
          <w:p w:rsidR="00FE3C0E" w:rsidRPr="00FE3C0E" w:rsidRDefault="00FE3C0E" w:rsidP="004B1065">
            <w:pPr>
              <w:spacing w:after="0" w:line="240" w:lineRule="auto"/>
              <w:jc w:val="right"/>
              <w:rPr>
                <w:rFonts w:ascii="Times New Roman" w:eastAsia="Times New Roman" w:hAnsi="Times New Roman" w:cs="Times New Roman"/>
                <w:b/>
                <w:bCs/>
                <w:color w:val="000000"/>
                <w:sz w:val="24"/>
                <w:szCs w:val="24"/>
                <w:lang w:eastAsia="fr-FR"/>
              </w:rPr>
            </w:pPr>
            <w:r w:rsidRPr="00FE3C0E">
              <w:rPr>
                <w:rFonts w:ascii="Times New Roman" w:eastAsia="Times New Roman" w:hAnsi="Times New Roman" w:cs="Times New Roman"/>
                <w:b/>
                <w:bCs/>
                <w:color w:val="000000"/>
                <w:sz w:val="24"/>
                <w:szCs w:val="24"/>
                <w:lang w:eastAsia="fr-FR"/>
              </w:rPr>
              <w:t>2007</w:t>
            </w:r>
            <w:r w:rsidR="00C2411B">
              <w:rPr>
                <w:rFonts w:ascii="Times New Roman" w:eastAsia="Times New Roman" w:hAnsi="Times New Roman" w:cs="Times New Roman"/>
                <w:b/>
                <w:bCs/>
                <w:color w:val="000000"/>
                <w:sz w:val="24"/>
                <w:szCs w:val="24"/>
                <w:lang w:eastAsia="fr-FR"/>
              </w:rPr>
              <w:t>(%)</w:t>
            </w:r>
          </w:p>
        </w:tc>
        <w:tc>
          <w:tcPr>
            <w:tcW w:w="545" w:type="pct"/>
            <w:tcBorders>
              <w:top w:val="single" w:sz="8" w:space="0" w:color="auto"/>
              <w:left w:val="nil"/>
              <w:bottom w:val="single" w:sz="8" w:space="0" w:color="auto"/>
              <w:right w:val="nil"/>
            </w:tcBorders>
            <w:shd w:val="clear" w:color="000000" w:fill="A5A5A5"/>
            <w:noWrap/>
            <w:vAlign w:val="center"/>
            <w:hideMark/>
          </w:tcPr>
          <w:p w:rsidR="00FE3C0E" w:rsidRPr="00FE3C0E" w:rsidRDefault="00FE3C0E" w:rsidP="004B1065">
            <w:pPr>
              <w:spacing w:after="0" w:line="240" w:lineRule="auto"/>
              <w:jc w:val="right"/>
              <w:rPr>
                <w:rFonts w:ascii="Times New Roman" w:eastAsia="Times New Roman" w:hAnsi="Times New Roman" w:cs="Times New Roman"/>
                <w:b/>
                <w:bCs/>
                <w:color w:val="000000"/>
                <w:sz w:val="24"/>
                <w:szCs w:val="24"/>
                <w:lang w:eastAsia="fr-FR"/>
              </w:rPr>
            </w:pPr>
            <w:r w:rsidRPr="00FE3C0E">
              <w:rPr>
                <w:rFonts w:ascii="Times New Roman" w:eastAsia="Times New Roman" w:hAnsi="Times New Roman" w:cs="Times New Roman"/>
                <w:b/>
                <w:bCs/>
                <w:color w:val="000000"/>
                <w:sz w:val="24"/>
                <w:szCs w:val="24"/>
                <w:lang w:eastAsia="fr-FR"/>
              </w:rPr>
              <w:t>2014</w:t>
            </w:r>
            <w:r w:rsidR="00C2411B">
              <w:rPr>
                <w:rFonts w:ascii="Times New Roman" w:eastAsia="Times New Roman" w:hAnsi="Times New Roman" w:cs="Times New Roman"/>
                <w:b/>
                <w:bCs/>
                <w:color w:val="000000"/>
                <w:sz w:val="24"/>
                <w:szCs w:val="24"/>
                <w:lang w:eastAsia="fr-FR"/>
              </w:rPr>
              <w:t>(%)</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Produits Alimentaires </w:t>
            </w:r>
            <w:r w:rsidR="00FC5811" w:rsidRPr="004B1065">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Boissons Non Alcoolisées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39,3</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37,3</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Boissons Alcoolisées, Tabac </w:t>
            </w:r>
            <w:r w:rsidR="00FC5811" w:rsidRPr="004B1065">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Stupéfiants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2,2</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1,5</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Articles D'habillement </w:t>
            </w:r>
            <w:r w:rsidR="00FC5811" w:rsidRPr="004B1065">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Chaussures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3,9</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4,3</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Logement, Eau, Gaz, </w:t>
            </w:r>
            <w:r w:rsidR="00A37B89" w:rsidRPr="004B1065">
              <w:rPr>
                <w:rFonts w:ascii="Times New Roman" w:eastAsia="Times New Roman" w:hAnsi="Times New Roman" w:cs="Times New Roman"/>
                <w:lang w:eastAsia="fr-FR"/>
              </w:rPr>
              <w:t>Electricité</w:t>
            </w:r>
            <w:r w:rsidRPr="004B1065">
              <w:rPr>
                <w:rFonts w:ascii="Times New Roman" w:eastAsia="Times New Roman" w:hAnsi="Times New Roman" w:cs="Times New Roman"/>
                <w:lang w:eastAsia="fr-FR"/>
              </w:rPr>
              <w:t xml:space="preserve"> </w:t>
            </w:r>
            <w:r w:rsidR="00FC5811" w:rsidRPr="004B1065">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Autres Combustibles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14,8</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14,5</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Meubles, Articles De </w:t>
            </w:r>
            <w:r w:rsidR="00A37B89" w:rsidRPr="004B1065">
              <w:rPr>
                <w:rFonts w:ascii="Times New Roman" w:eastAsia="Times New Roman" w:hAnsi="Times New Roman" w:cs="Times New Roman"/>
                <w:lang w:eastAsia="fr-FR"/>
              </w:rPr>
              <w:t>Ménage</w:t>
            </w:r>
            <w:r w:rsidRPr="004B1065">
              <w:rPr>
                <w:rFonts w:ascii="Times New Roman" w:eastAsia="Times New Roman" w:hAnsi="Times New Roman" w:cs="Times New Roman"/>
                <w:lang w:eastAsia="fr-FR"/>
              </w:rPr>
              <w:t xml:space="preserve"> </w:t>
            </w:r>
            <w:r w:rsidR="00FC5811" w:rsidRPr="004B1065">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Entretien Courant Du Foyer</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4,9</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4,4</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Santé</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5,5</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7,7</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Transports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11,4</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10,0</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Communications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3,5</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2,9</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Loisirs Et Culture</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2,2</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2,7</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Enseignement</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3,9</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6,3</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Restaurants Et Hôtels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2,9</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1,3</w:t>
            </w:r>
          </w:p>
        </w:tc>
      </w:tr>
      <w:tr w:rsidR="00FE3C0E" w:rsidRPr="00FE3C0E" w:rsidTr="00832702">
        <w:trPr>
          <w:trHeight w:val="330"/>
        </w:trPr>
        <w:tc>
          <w:tcPr>
            <w:tcW w:w="3910" w:type="pct"/>
            <w:tcBorders>
              <w:top w:val="nil"/>
              <w:left w:val="nil"/>
              <w:bottom w:val="single" w:sz="8" w:space="0" w:color="auto"/>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Biens Et Services Divers</w:t>
            </w:r>
          </w:p>
        </w:tc>
        <w:tc>
          <w:tcPr>
            <w:tcW w:w="545" w:type="pct"/>
            <w:tcBorders>
              <w:top w:val="nil"/>
              <w:left w:val="nil"/>
              <w:bottom w:val="single" w:sz="8" w:space="0" w:color="auto"/>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5,5</w:t>
            </w:r>
          </w:p>
        </w:tc>
        <w:tc>
          <w:tcPr>
            <w:tcW w:w="545" w:type="pct"/>
            <w:tcBorders>
              <w:top w:val="nil"/>
              <w:left w:val="nil"/>
              <w:bottom w:val="single" w:sz="8" w:space="0" w:color="auto"/>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7,1</w:t>
            </w:r>
          </w:p>
        </w:tc>
      </w:tr>
    </w:tbl>
    <w:p w:rsidR="00C2411B" w:rsidRDefault="00C2411B" w:rsidP="00AF6D2F">
      <w:pPr>
        <w:spacing w:before="240" w:after="240" w:line="240" w:lineRule="auto"/>
        <w:jc w:val="both"/>
        <w:rPr>
          <w:rFonts w:asciiTheme="majorBidi" w:hAnsiTheme="majorBidi" w:cstheme="majorBidi"/>
          <w:sz w:val="24"/>
          <w:szCs w:val="24"/>
          <w:lang w:val="fr-MA"/>
        </w:rPr>
      </w:pPr>
      <w:r>
        <w:rPr>
          <w:rFonts w:asciiTheme="majorBidi" w:hAnsiTheme="majorBidi" w:cstheme="majorBidi"/>
          <w:sz w:val="24"/>
          <w:szCs w:val="24"/>
          <w:lang w:val="fr-MA"/>
        </w:rPr>
        <w:t>Ce changement dans la structure des dépenses des ménages montre qu’il y a eu une vraie mutation dans les habitudes de consommation de la population marocaine et par conséquent, une amélioration dans la qualité de vie des marocains</w:t>
      </w:r>
      <w:r w:rsidR="00AF6D2F">
        <w:rPr>
          <w:rFonts w:asciiTheme="majorBidi" w:hAnsiTheme="majorBidi" w:cstheme="majorBidi"/>
          <w:sz w:val="24"/>
          <w:szCs w:val="24"/>
          <w:lang w:val="fr-MA"/>
        </w:rPr>
        <w:t xml:space="preserve"> a été ressentie</w:t>
      </w:r>
      <w:r>
        <w:rPr>
          <w:rFonts w:asciiTheme="majorBidi" w:hAnsiTheme="majorBidi" w:cstheme="majorBidi"/>
          <w:sz w:val="24"/>
          <w:szCs w:val="24"/>
          <w:lang w:val="fr-MA"/>
        </w:rPr>
        <w:t>.</w:t>
      </w:r>
    </w:p>
    <w:p w:rsidR="0088739E" w:rsidRPr="00FC4512" w:rsidRDefault="0088739E" w:rsidP="00586B08">
      <w:pPr>
        <w:pStyle w:val="Titre2"/>
        <w:rPr>
          <w:rFonts w:asciiTheme="majorBidi" w:hAnsiTheme="majorBidi"/>
          <w:color w:val="0070C0"/>
        </w:rPr>
      </w:pPr>
      <w:bookmarkStart w:id="13" w:name="_Toc515274002"/>
      <w:r w:rsidRPr="00FC4512">
        <w:rPr>
          <w:rFonts w:asciiTheme="majorBidi" w:hAnsiTheme="majorBidi"/>
          <w:color w:val="0070C0"/>
        </w:rPr>
        <w:t>II-</w:t>
      </w:r>
      <w:r w:rsidR="005677DF" w:rsidRPr="00FC4512">
        <w:rPr>
          <w:rFonts w:asciiTheme="majorBidi" w:hAnsiTheme="majorBidi"/>
          <w:color w:val="0070C0"/>
        </w:rPr>
        <w:t>5</w:t>
      </w:r>
      <w:r w:rsidRPr="00FC4512">
        <w:rPr>
          <w:rFonts w:asciiTheme="majorBidi" w:hAnsiTheme="majorBidi"/>
          <w:color w:val="0070C0"/>
        </w:rPr>
        <w:t xml:space="preserve"> Collecte des prix</w:t>
      </w:r>
      <w:bookmarkEnd w:id="13"/>
      <w:r w:rsidRPr="00FC4512">
        <w:rPr>
          <w:rFonts w:asciiTheme="majorBidi" w:hAnsiTheme="majorBidi"/>
          <w:color w:val="0070C0"/>
        </w:rPr>
        <w:t xml:space="preserve"> </w:t>
      </w:r>
    </w:p>
    <w:p w:rsidR="0088739E" w:rsidRPr="00C372E4" w:rsidRDefault="0088739E" w:rsidP="0088739E">
      <w:pPr>
        <w:spacing w:before="240" w:after="240" w:line="240" w:lineRule="auto"/>
        <w:jc w:val="both"/>
        <w:rPr>
          <w:rFonts w:asciiTheme="majorBidi" w:hAnsiTheme="majorBidi" w:cstheme="majorBidi"/>
          <w:sz w:val="24"/>
          <w:szCs w:val="24"/>
        </w:rPr>
      </w:pPr>
      <w:r w:rsidRPr="00C372E4">
        <w:rPr>
          <w:rFonts w:asciiTheme="majorBidi" w:hAnsiTheme="majorBidi" w:cstheme="majorBidi"/>
          <w:sz w:val="24"/>
          <w:szCs w:val="24"/>
        </w:rPr>
        <w:t>L’indice doit ret</w:t>
      </w:r>
      <w:r>
        <w:rPr>
          <w:rFonts w:asciiTheme="majorBidi" w:hAnsiTheme="majorBidi" w:cstheme="majorBidi"/>
          <w:sz w:val="24"/>
          <w:szCs w:val="24"/>
        </w:rPr>
        <w:t xml:space="preserve">racer l’évolution pure des prix. Celle-ci, </w:t>
      </w:r>
      <w:r w:rsidRPr="00C372E4">
        <w:rPr>
          <w:rFonts w:asciiTheme="majorBidi" w:hAnsiTheme="majorBidi" w:cstheme="majorBidi"/>
          <w:sz w:val="24"/>
          <w:szCs w:val="24"/>
        </w:rPr>
        <w:t>doit être soumise uniquement aux règles du marché et non aux changements qui affectent la qualité des produits, les points de vente, l’horaire de relevé ou autres facteurs. Les conditions de collecte ne doivent, en aucun cas, influencer le niveau des prix des variétés.</w:t>
      </w:r>
    </w:p>
    <w:p w:rsidR="006A40CB" w:rsidRDefault="0088739E" w:rsidP="006A40CB">
      <w:pPr>
        <w:spacing w:before="240" w:after="240" w:line="240" w:lineRule="auto"/>
        <w:jc w:val="both"/>
        <w:rPr>
          <w:rFonts w:asciiTheme="majorBidi" w:hAnsiTheme="majorBidi" w:cstheme="majorBidi"/>
          <w:sz w:val="24"/>
          <w:szCs w:val="24"/>
        </w:rPr>
      </w:pPr>
      <w:r w:rsidRPr="00C372E4">
        <w:rPr>
          <w:rFonts w:asciiTheme="majorBidi" w:hAnsiTheme="majorBidi" w:cstheme="majorBidi"/>
          <w:sz w:val="24"/>
          <w:szCs w:val="24"/>
        </w:rPr>
        <w:t>Le prix se définit comme la valeur unitaire (TTC) du produit qui est effectivement payé par les ménages. Cependant, pour des raisons pratiques, les prix des 478 articles sont relevés à l’aide d’une enquête permanente auprès d’un échantillon fixe de points de vente par entretien direct avec le vendeur</w:t>
      </w:r>
      <w:r w:rsidR="00AF6D2F">
        <w:rPr>
          <w:rFonts w:asciiTheme="majorBidi" w:hAnsiTheme="majorBidi" w:cstheme="majorBidi"/>
          <w:sz w:val="24"/>
          <w:szCs w:val="24"/>
        </w:rPr>
        <w:t>,</w:t>
      </w:r>
      <w:r w:rsidRPr="00C372E4">
        <w:rPr>
          <w:rFonts w:asciiTheme="majorBidi" w:hAnsiTheme="majorBidi" w:cstheme="majorBidi"/>
          <w:sz w:val="24"/>
          <w:szCs w:val="24"/>
        </w:rPr>
        <w:t xml:space="preserve"> tout en respectant la périodicité de chaque variété observée.</w:t>
      </w:r>
    </w:p>
    <w:p w:rsidR="0088739E" w:rsidRPr="006A40CB" w:rsidRDefault="0088739E" w:rsidP="006A40CB">
      <w:pPr>
        <w:spacing w:before="240" w:after="240" w:line="240" w:lineRule="auto"/>
        <w:jc w:val="both"/>
        <w:rPr>
          <w:rFonts w:asciiTheme="majorBidi" w:hAnsiTheme="majorBidi" w:cstheme="majorBidi"/>
          <w:b/>
          <w:bCs/>
          <w:sz w:val="24"/>
          <w:szCs w:val="24"/>
        </w:rPr>
      </w:pPr>
      <w:r w:rsidRPr="00C372E4">
        <w:rPr>
          <w:rFonts w:asciiTheme="majorBidi" w:hAnsiTheme="majorBidi"/>
          <w:color w:val="0070C0"/>
        </w:rPr>
        <w:tab/>
      </w:r>
      <w:r w:rsidRPr="006A40CB">
        <w:rPr>
          <w:rFonts w:asciiTheme="majorBidi" w:hAnsiTheme="majorBidi"/>
          <w:b/>
          <w:bCs/>
          <w:color w:val="0070C0"/>
          <w:sz w:val="24"/>
          <w:szCs w:val="24"/>
        </w:rPr>
        <w:t>II-</w:t>
      </w:r>
      <w:r w:rsidR="005677DF" w:rsidRPr="006A40CB">
        <w:rPr>
          <w:rFonts w:asciiTheme="majorBidi" w:hAnsiTheme="majorBidi"/>
          <w:b/>
          <w:bCs/>
          <w:color w:val="0070C0"/>
          <w:sz w:val="24"/>
          <w:szCs w:val="24"/>
        </w:rPr>
        <w:t>5</w:t>
      </w:r>
      <w:r w:rsidRPr="006A40CB">
        <w:rPr>
          <w:rFonts w:asciiTheme="majorBidi" w:hAnsiTheme="majorBidi"/>
          <w:b/>
          <w:bCs/>
          <w:color w:val="0070C0"/>
          <w:sz w:val="24"/>
          <w:szCs w:val="24"/>
        </w:rPr>
        <w:t>-</w:t>
      </w:r>
      <w:r w:rsidR="00C4189C" w:rsidRPr="006A40CB">
        <w:rPr>
          <w:rFonts w:asciiTheme="majorBidi" w:hAnsiTheme="majorBidi"/>
          <w:b/>
          <w:bCs/>
          <w:color w:val="0070C0"/>
          <w:sz w:val="24"/>
          <w:szCs w:val="24"/>
        </w:rPr>
        <w:t>1</w:t>
      </w:r>
      <w:r w:rsidRPr="006A40CB">
        <w:rPr>
          <w:rFonts w:asciiTheme="majorBidi" w:hAnsiTheme="majorBidi"/>
          <w:b/>
          <w:bCs/>
          <w:color w:val="0070C0"/>
          <w:sz w:val="24"/>
          <w:szCs w:val="24"/>
        </w:rPr>
        <w:t xml:space="preserve"> Zones d’enquête </w:t>
      </w:r>
    </w:p>
    <w:p w:rsidR="0088739E" w:rsidRDefault="0088739E" w:rsidP="00FC4512">
      <w:pPr>
        <w:spacing w:before="240" w:after="240" w:line="240" w:lineRule="auto"/>
        <w:jc w:val="both"/>
        <w:rPr>
          <w:rFonts w:asciiTheme="majorBidi" w:hAnsiTheme="majorBidi" w:cstheme="majorBidi"/>
          <w:sz w:val="24"/>
          <w:szCs w:val="24"/>
        </w:rPr>
      </w:pPr>
      <w:r w:rsidRPr="005E2393">
        <w:rPr>
          <w:rFonts w:asciiTheme="majorBidi" w:hAnsiTheme="majorBidi" w:cstheme="majorBidi"/>
          <w:sz w:val="24"/>
          <w:szCs w:val="24"/>
        </w:rPr>
        <w:t>Le découpage de la ville en zones d’enquête</w:t>
      </w:r>
      <w:r>
        <w:rPr>
          <w:rFonts w:asciiTheme="majorBidi" w:hAnsiTheme="majorBidi" w:cstheme="majorBidi"/>
          <w:sz w:val="24"/>
          <w:szCs w:val="24"/>
        </w:rPr>
        <w:t>, permet</w:t>
      </w:r>
      <w:r w:rsidRPr="005E2393">
        <w:rPr>
          <w:rFonts w:asciiTheme="majorBidi" w:hAnsiTheme="majorBidi" w:cstheme="majorBidi"/>
          <w:sz w:val="24"/>
          <w:szCs w:val="24"/>
        </w:rPr>
        <w:t xml:space="preserve"> notamment d</w:t>
      </w:r>
      <w:r w:rsidR="00FC4512">
        <w:rPr>
          <w:rFonts w:asciiTheme="majorBidi" w:hAnsiTheme="majorBidi" w:cstheme="majorBidi"/>
          <w:sz w:val="24"/>
          <w:szCs w:val="24"/>
        </w:rPr>
        <w:t>’</w:t>
      </w:r>
      <w:r w:rsidRPr="005E2393">
        <w:rPr>
          <w:rFonts w:asciiTheme="majorBidi" w:hAnsiTheme="majorBidi" w:cstheme="majorBidi"/>
          <w:sz w:val="24"/>
          <w:szCs w:val="24"/>
        </w:rPr>
        <w:t>:</w:t>
      </w:r>
    </w:p>
    <w:p w:rsidR="0088739E" w:rsidRDefault="0088739E" w:rsidP="00FC4512">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Assurer le principe de représentativité spatiale au niveau de la ville en terme de relevé des prix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Opérer un choix représentatif des points de vente pour l’ensemble des biens et services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Organiser l’enquête dans le temps et dans l’espace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Etablir un planning de relevé des prix en adoptant une périodicité adéquate selon les types de produits.</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critères de formation des zones sont comme suit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dispersion des prix au sein de la même zone doit être non significative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Une zone doit contenir au moins une ou plusieurs concentrations;</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Une zone doit être une aire continue, c'est-à-dire un ensemble contigu de concentrations;</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zone doit contenir une activité commerciale variée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L’accès à la zone doit être facile.</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niveau de la ville de Kenitra, les cinq zones constituées, sont présentées par quartier dans le tableau suivant :</w:t>
      </w:r>
    </w:p>
    <w:p w:rsidR="0088739E" w:rsidRPr="006A40CB" w:rsidRDefault="0036690E" w:rsidP="006A40CB">
      <w:pPr>
        <w:pStyle w:val="Lgende"/>
        <w:spacing w:after="0"/>
        <w:rPr>
          <w:rFonts w:asciiTheme="majorBidi" w:hAnsiTheme="majorBidi" w:cstheme="majorBidi"/>
          <w:sz w:val="22"/>
          <w:szCs w:val="22"/>
        </w:rPr>
      </w:pPr>
      <w:bookmarkStart w:id="14" w:name="_Toc515274022"/>
      <w:r w:rsidRPr="006A40CB">
        <w:rPr>
          <w:rFonts w:asciiTheme="majorBidi" w:hAnsiTheme="majorBidi" w:cstheme="majorBidi"/>
          <w:sz w:val="22"/>
          <w:szCs w:val="22"/>
        </w:rPr>
        <w:t xml:space="preserve">Tableau </w:t>
      </w:r>
      <w:r w:rsidR="001022E9" w:rsidRPr="006A40CB">
        <w:rPr>
          <w:rFonts w:asciiTheme="majorBidi" w:hAnsiTheme="majorBidi" w:cstheme="majorBidi"/>
          <w:sz w:val="22"/>
          <w:szCs w:val="22"/>
        </w:rPr>
        <w:fldChar w:fldCharType="begin"/>
      </w:r>
      <w:r w:rsidR="00756AA5" w:rsidRPr="006A40CB">
        <w:rPr>
          <w:rFonts w:asciiTheme="majorBidi" w:hAnsiTheme="majorBidi" w:cstheme="majorBidi"/>
          <w:sz w:val="22"/>
          <w:szCs w:val="22"/>
        </w:rPr>
        <w:instrText xml:space="preserve"> SEQ Tableau \* ARABIC </w:instrText>
      </w:r>
      <w:r w:rsidR="001022E9" w:rsidRPr="006A40CB">
        <w:rPr>
          <w:rFonts w:asciiTheme="majorBidi" w:hAnsiTheme="majorBidi" w:cstheme="majorBidi"/>
          <w:sz w:val="22"/>
          <w:szCs w:val="22"/>
        </w:rPr>
        <w:fldChar w:fldCharType="separate"/>
      </w:r>
      <w:r w:rsidR="00156FC8">
        <w:rPr>
          <w:rFonts w:asciiTheme="majorBidi" w:hAnsiTheme="majorBidi" w:cstheme="majorBidi"/>
          <w:noProof/>
          <w:sz w:val="22"/>
          <w:szCs w:val="22"/>
        </w:rPr>
        <w:t>2</w:t>
      </w:r>
      <w:r w:rsidR="001022E9" w:rsidRPr="006A40CB">
        <w:rPr>
          <w:rFonts w:asciiTheme="majorBidi" w:hAnsiTheme="majorBidi" w:cstheme="majorBidi"/>
          <w:sz w:val="22"/>
          <w:szCs w:val="22"/>
        </w:rPr>
        <w:fldChar w:fldCharType="end"/>
      </w:r>
      <w:r w:rsidRPr="006A40CB">
        <w:rPr>
          <w:rFonts w:asciiTheme="majorBidi" w:hAnsiTheme="majorBidi" w:cstheme="majorBidi"/>
          <w:sz w:val="22"/>
          <w:szCs w:val="22"/>
        </w:rPr>
        <w:t xml:space="preserve"> : </w:t>
      </w:r>
      <w:r w:rsidR="0088739E" w:rsidRPr="006A40CB">
        <w:rPr>
          <w:rFonts w:asciiTheme="majorBidi" w:hAnsiTheme="majorBidi" w:cstheme="majorBidi"/>
          <w:sz w:val="22"/>
          <w:szCs w:val="22"/>
        </w:rPr>
        <w:t>Liste des zones d’enquêtes par quartier de concentrations</w:t>
      </w:r>
      <w:bookmarkEnd w:id="14"/>
      <w:r w:rsidR="0088739E" w:rsidRPr="006A40CB">
        <w:rPr>
          <w:rFonts w:asciiTheme="majorBidi" w:hAnsiTheme="majorBidi" w:cstheme="majorBidi"/>
          <w:sz w:val="22"/>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28"/>
      </w:tblGrid>
      <w:tr w:rsidR="0088739E" w:rsidRPr="00BF575C" w:rsidTr="00F93525">
        <w:trPr>
          <w:trHeight w:val="475"/>
        </w:trPr>
        <w:tc>
          <w:tcPr>
            <w:tcW w:w="1384" w:type="dxa"/>
            <w:tcBorders>
              <w:top w:val="single" w:sz="12" w:space="0" w:color="auto"/>
              <w:bottom w:val="single" w:sz="12" w:space="0" w:color="auto"/>
            </w:tcBorders>
            <w:shd w:val="clear" w:color="auto" w:fill="BFBFBF" w:themeFill="background1" w:themeFillShade="BF"/>
            <w:vAlign w:val="center"/>
          </w:tcPr>
          <w:p w:rsidR="0088739E" w:rsidRPr="004B1065" w:rsidRDefault="0088739E" w:rsidP="00F93525">
            <w:pPr>
              <w:jc w:val="center"/>
              <w:rPr>
                <w:rFonts w:asciiTheme="majorBidi" w:hAnsiTheme="majorBidi" w:cstheme="majorBidi"/>
                <w:b/>
                <w:bCs/>
              </w:rPr>
            </w:pPr>
            <w:r w:rsidRPr="004B1065">
              <w:rPr>
                <w:rFonts w:asciiTheme="majorBidi" w:hAnsiTheme="majorBidi" w:cstheme="majorBidi"/>
                <w:b/>
                <w:bCs/>
              </w:rPr>
              <w:t>Zones</w:t>
            </w:r>
          </w:p>
        </w:tc>
        <w:tc>
          <w:tcPr>
            <w:tcW w:w="7828" w:type="dxa"/>
            <w:tcBorders>
              <w:top w:val="single" w:sz="12" w:space="0" w:color="auto"/>
              <w:bottom w:val="single" w:sz="12" w:space="0" w:color="auto"/>
            </w:tcBorders>
            <w:shd w:val="clear" w:color="auto" w:fill="BFBFBF" w:themeFill="background1" w:themeFillShade="BF"/>
            <w:vAlign w:val="center"/>
          </w:tcPr>
          <w:p w:rsidR="0088739E" w:rsidRPr="004B1065" w:rsidRDefault="0088739E" w:rsidP="00F93525">
            <w:pPr>
              <w:jc w:val="center"/>
              <w:rPr>
                <w:rFonts w:asciiTheme="majorBidi" w:hAnsiTheme="majorBidi" w:cstheme="majorBidi"/>
                <w:b/>
                <w:bCs/>
              </w:rPr>
            </w:pPr>
            <w:r w:rsidRPr="004B1065">
              <w:rPr>
                <w:rFonts w:asciiTheme="majorBidi" w:hAnsiTheme="majorBidi" w:cstheme="majorBidi"/>
                <w:b/>
                <w:bCs/>
              </w:rPr>
              <w:t>Quartiers des concentrations</w:t>
            </w:r>
          </w:p>
        </w:tc>
      </w:tr>
      <w:tr w:rsidR="0088739E" w:rsidTr="00F93525">
        <w:trPr>
          <w:trHeight w:val="284"/>
        </w:trPr>
        <w:tc>
          <w:tcPr>
            <w:tcW w:w="1384" w:type="dxa"/>
            <w:tcBorders>
              <w:top w:val="single" w:sz="12" w:space="0" w:color="auto"/>
            </w:tcBorders>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1</w:t>
            </w:r>
          </w:p>
        </w:tc>
        <w:tc>
          <w:tcPr>
            <w:tcW w:w="7828" w:type="dxa"/>
            <w:tcBorders>
              <w:top w:val="single" w:sz="12" w:space="0" w:color="auto"/>
            </w:tcBorders>
            <w:vAlign w:val="center"/>
          </w:tcPr>
          <w:p w:rsidR="0088739E" w:rsidRPr="004B1065" w:rsidRDefault="0088739E" w:rsidP="00F93525">
            <w:pPr>
              <w:rPr>
                <w:rFonts w:asciiTheme="majorBidi" w:hAnsiTheme="majorBidi" w:cstheme="majorBidi"/>
              </w:rPr>
            </w:pPr>
            <w:r w:rsidRPr="004B1065">
              <w:rPr>
                <w:rFonts w:asciiTheme="majorBidi" w:hAnsiTheme="majorBidi" w:cstheme="majorBidi"/>
              </w:rPr>
              <w:t xml:space="preserve">Ouled Oujih –  La ville haute –  Marché central –  Kissariat nafora –  Avenue Med V – </w:t>
            </w:r>
          </w:p>
          <w:p w:rsidR="0088739E" w:rsidRPr="004B1065" w:rsidRDefault="0088739E" w:rsidP="00F93525">
            <w:pPr>
              <w:rPr>
                <w:rFonts w:asciiTheme="majorBidi" w:hAnsiTheme="majorBidi" w:cstheme="majorBidi"/>
              </w:rPr>
            </w:pPr>
            <w:r w:rsidRPr="004B1065">
              <w:rPr>
                <w:rFonts w:asciiTheme="majorBidi" w:hAnsiTheme="majorBidi" w:cstheme="majorBidi"/>
              </w:rPr>
              <w:t xml:space="preserve">Place de la municipalité </w:t>
            </w:r>
          </w:p>
        </w:tc>
      </w:tr>
      <w:tr w:rsidR="0088739E" w:rsidTr="00F93525">
        <w:trPr>
          <w:trHeight w:val="502"/>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2</w:t>
            </w:r>
          </w:p>
        </w:tc>
        <w:tc>
          <w:tcPr>
            <w:tcW w:w="7828" w:type="dxa"/>
            <w:vAlign w:val="center"/>
          </w:tcPr>
          <w:p w:rsidR="0088739E" w:rsidRPr="004B1065" w:rsidRDefault="0088739E" w:rsidP="00F93525">
            <w:pPr>
              <w:rPr>
                <w:rFonts w:asciiTheme="majorBidi" w:hAnsiTheme="majorBidi" w:cstheme="majorBidi"/>
              </w:rPr>
            </w:pPr>
            <w:r w:rsidRPr="004B1065">
              <w:rPr>
                <w:rFonts w:asciiTheme="majorBidi" w:hAnsiTheme="majorBidi" w:cstheme="majorBidi"/>
              </w:rPr>
              <w:t>Errahba –  Centre commercial Maamora –  El Mellah –  Bab Fès –  Avenue Med V</w:t>
            </w:r>
          </w:p>
        </w:tc>
      </w:tr>
      <w:tr w:rsidR="0088739E" w:rsidTr="00F93525">
        <w:trPr>
          <w:trHeight w:val="284"/>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3</w:t>
            </w:r>
          </w:p>
        </w:tc>
        <w:tc>
          <w:tcPr>
            <w:tcW w:w="7828" w:type="dxa"/>
            <w:vAlign w:val="center"/>
          </w:tcPr>
          <w:p w:rsidR="0088739E" w:rsidRPr="004B1065" w:rsidRDefault="0088739E" w:rsidP="00F93525">
            <w:pPr>
              <w:rPr>
                <w:rFonts w:asciiTheme="majorBidi" w:hAnsiTheme="majorBidi" w:cstheme="majorBidi"/>
              </w:rPr>
            </w:pPr>
            <w:r w:rsidRPr="004B1065">
              <w:rPr>
                <w:rFonts w:asciiTheme="majorBidi" w:hAnsiTheme="majorBidi" w:cstheme="majorBidi"/>
              </w:rPr>
              <w:t xml:space="preserve">Khabbazate – Diour Seniak – Bir Anzarane – Rue 36 – Marché Hourriya – Bidansi – </w:t>
            </w:r>
          </w:p>
          <w:p w:rsidR="0088739E" w:rsidRPr="004B1065" w:rsidRDefault="0088739E" w:rsidP="00F93525">
            <w:pPr>
              <w:rPr>
                <w:rFonts w:asciiTheme="majorBidi" w:hAnsiTheme="majorBidi" w:cstheme="majorBidi"/>
              </w:rPr>
            </w:pPr>
            <w:r w:rsidRPr="004B1065">
              <w:rPr>
                <w:rFonts w:asciiTheme="majorBidi" w:hAnsiTheme="majorBidi" w:cstheme="majorBidi"/>
              </w:rPr>
              <w:t>Avenue Med V</w:t>
            </w:r>
          </w:p>
        </w:tc>
      </w:tr>
      <w:tr w:rsidR="0088739E" w:rsidTr="00F93525">
        <w:trPr>
          <w:trHeight w:val="501"/>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4</w:t>
            </w:r>
          </w:p>
        </w:tc>
        <w:tc>
          <w:tcPr>
            <w:tcW w:w="7828" w:type="dxa"/>
            <w:vAlign w:val="center"/>
          </w:tcPr>
          <w:p w:rsidR="0088739E" w:rsidRPr="004B1065" w:rsidRDefault="0088739E" w:rsidP="00F93525">
            <w:pPr>
              <w:rPr>
                <w:rFonts w:asciiTheme="majorBidi" w:hAnsiTheme="majorBidi" w:cstheme="majorBidi"/>
              </w:rPr>
            </w:pPr>
            <w:r w:rsidRPr="004B1065">
              <w:rPr>
                <w:rFonts w:asciiTheme="majorBidi" w:hAnsiTheme="majorBidi" w:cstheme="majorBidi"/>
              </w:rPr>
              <w:t>Kissariat Oued Eddahab -  Marché Massira –  Marché l’habitat –  El Aalama –  Diour Achralaf</w:t>
            </w:r>
          </w:p>
        </w:tc>
      </w:tr>
      <w:tr w:rsidR="0088739E" w:rsidTr="00F93525">
        <w:trPr>
          <w:trHeight w:val="436"/>
        </w:trPr>
        <w:tc>
          <w:tcPr>
            <w:tcW w:w="1384" w:type="dxa"/>
            <w:tcBorders>
              <w:bottom w:val="single" w:sz="12" w:space="0" w:color="auto"/>
            </w:tcBorders>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5</w:t>
            </w:r>
          </w:p>
        </w:tc>
        <w:tc>
          <w:tcPr>
            <w:tcW w:w="7828" w:type="dxa"/>
            <w:tcBorders>
              <w:bottom w:val="single" w:sz="12" w:space="0" w:color="auto"/>
            </w:tcBorders>
            <w:vAlign w:val="center"/>
          </w:tcPr>
          <w:p w:rsidR="0088739E" w:rsidRPr="004B1065" w:rsidRDefault="0088739E" w:rsidP="00F93525">
            <w:pPr>
              <w:rPr>
                <w:rFonts w:asciiTheme="majorBidi" w:hAnsiTheme="majorBidi" w:cstheme="majorBidi"/>
              </w:rPr>
            </w:pPr>
            <w:r w:rsidRPr="004B1065">
              <w:rPr>
                <w:rFonts w:asciiTheme="majorBidi" w:hAnsiTheme="majorBidi" w:cstheme="majorBidi"/>
              </w:rPr>
              <w:t>Bir Rami (ASWAK ASSALAM)</w:t>
            </w:r>
          </w:p>
        </w:tc>
      </w:tr>
    </w:tbl>
    <w:p w:rsidR="0088739E" w:rsidRPr="004B1065" w:rsidRDefault="0088739E" w:rsidP="004B1065">
      <w:pPr>
        <w:spacing w:before="240" w:after="240" w:line="240" w:lineRule="auto"/>
        <w:jc w:val="both"/>
        <w:rPr>
          <w:rFonts w:asciiTheme="majorBidi" w:hAnsiTheme="majorBidi"/>
          <w:b/>
          <w:bCs/>
          <w:color w:val="0070C0"/>
          <w:sz w:val="24"/>
          <w:szCs w:val="24"/>
        </w:rPr>
      </w:pPr>
      <w:r w:rsidRPr="00C372E4">
        <w:rPr>
          <w:rFonts w:asciiTheme="majorBidi" w:hAnsiTheme="majorBidi" w:cstheme="majorBidi"/>
          <w:color w:val="0070C0"/>
        </w:rPr>
        <w:tab/>
      </w:r>
      <w:r w:rsidRPr="004B1065">
        <w:rPr>
          <w:rFonts w:asciiTheme="majorBidi" w:hAnsiTheme="majorBidi"/>
          <w:b/>
          <w:bCs/>
          <w:color w:val="0070C0"/>
          <w:sz w:val="24"/>
          <w:szCs w:val="24"/>
        </w:rPr>
        <w:t>II-</w:t>
      </w:r>
      <w:r w:rsidR="005677DF" w:rsidRPr="004B1065">
        <w:rPr>
          <w:rFonts w:asciiTheme="majorBidi" w:hAnsiTheme="majorBidi"/>
          <w:b/>
          <w:bCs/>
          <w:color w:val="0070C0"/>
          <w:sz w:val="24"/>
          <w:szCs w:val="24"/>
        </w:rPr>
        <w:t>5</w:t>
      </w:r>
      <w:r w:rsidRPr="004B1065">
        <w:rPr>
          <w:rFonts w:asciiTheme="majorBidi" w:hAnsiTheme="majorBidi"/>
          <w:b/>
          <w:bCs/>
          <w:color w:val="0070C0"/>
          <w:sz w:val="24"/>
          <w:szCs w:val="24"/>
        </w:rPr>
        <w:t>-</w:t>
      </w:r>
      <w:r w:rsidR="00C4189C" w:rsidRPr="004B1065">
        <w:rPr>
          <w:rFonts w:asciiTheme="majorBidi" w:hAnsiTheme="majorBidi"/>
          <w:b/>
          <w:bCs/>
          <w:color w:val="0070C0"/>
          <w:sz w:val="24"/>
          <w:szCs w:val="24"/>
        </w:rPr>
        <w:t>2</w:t>
      </w:r>
      <w:r w:rsidRPr="004B1065">
        <w:rPr>
          <w:rFonts w:asciiTheme="majorBidi" w:hAnsiTheme="majorBidi"/>
          <w:b/>
          <w:bCs/>
          <w:color w:val="0070C0"/>
          <w:sz w:val="24"/>
          <w:szCs w:val="24"/>
        </w:rPr>
        <w:t xml:space="preserve"> Points d’observation</w:t>
      </w:r>
    </w:p>
    <w:p w:rsidR="0088739E" w:rsidRDefault="0088739E" w:rsidP="0088739E">
      <w:pPr>
        <w:spacing w:before="240" w:after="240" w:line="240" w:lineRule="auto"/>
        <w:jc w:val="both"/>
        <w:rPr>
          <w:rFonts w:asciiTheme="majorBidi" w:hAnsiTheme="majorBidi" w:cstheme="majorBidi"/>
          <w:sz w:val="24"/>
          <w:szCs w:val="24"/>
        </w:rPr>
      </w:pPr>
      <w:r w:rsidRPr="00F85862">
        <w:rPr>
          <w:rFonts w:asciiTheme="majorBidi" w:hAnsiTheme="majorBidi" w:cstheme="majorBidi"/>
          <w:sz w:val="24"/>
          <w:szCs w:val="24"/>
        </w:rPr>
        <w:t>Le point d’observation</w:t>
      </w:r>
      <w:r>
        <w:rPr>
          <w:rFonts w:asciiTheme="majorBidi" w:hAnsiTheme="majorBidi" w:cstheme="majorBidi"/>
          <w:sz w:val="24"/>
          <w:szCs w:val="24"/>
        </w:rPr>
        <w:t>, ou point de vente, peut être un magasin proche, une entreprise de service, un commerçant, une boutique spécialisée, un étal fixe d’un marché ou autres lieux.</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point d’observation doit avoir certaines caractéristiques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Une activité intense dans la concentration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continuité de l’activité dans le temps est nécessaire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vendeur doit être coopérant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prix déclarés par le vendeur doivent être fiables.</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Ainsi, au niveau de la ville de Kenitra, plus de 340 points de vente ont été choisis pour y relever les prix des variétés.</w:t>
      </w:r>
      <w:r w:rsidR="00FC4512">
        <w:rPr>
          <w:rFonts w:asciiTheme="majorBidi" w:hAnsiTheme="majorBidi" w:cstheme="majorBidi"/>
          <w:sz w:val="24"/>
          <w:szCs w:val="24"/>
        </w:rPr>
        <w:t xml:space="preserve"> Ce chiffre est appelé à la hausse dans la réforme actuelle.</w:t>
      </w:r>
    </w:p>
    <w:p w:rsidR="0088739E" w:rsidRPr="00FC4512" w:rsidRDefault="0088739E" w:rsidP="006A40CB">
      <w:pPr>
        <w:pStyle w:val="Titre3"/>
        <w:ind w:firstLine="708"/>
        <w:rPr>
          <w:rFonts w:asciiTheme="majorBidi" w:hAnsiTheme="majorBidi"/>
          <w:color w:val="0070C0"/>
          <w:sz w:val="24"/>
          <w:szCs w:val="24"/>
        </w:rPr>
      </w:pPr>
      <w:bookmarkStart w:id="15" w:name="_Toc515274003"/>
      <w:r w:rsidRPr="00FC4512">
        <w:rPr>
          <w:rFonts w:asciiTheme="majorBidi" w:hAnsiTheme="majorBidi"/>
          <w:color w:val="0070C0"/>
          <w:sz w:val="24"/>
          <w:szCs w:val="24"/>
        </w:rPr>
        <w:t>II-</w:t>
      </w:r>
      <w:r w:rsidR="005677DF" w:rsidRPr="00FC4512">
        <w:rPr>
          <w:rFonts w:asciiTheme="majorBidi" w:hAnsiTheme="majorBidi"/>
          <w:color w:val="0070C0"/>
          <w:sz w:val="24"/>
          <w:szCs w:val="24"/>
        </w:rPr>
        <w:t>5</w:t>
      </w:r>
      <w:r w:rsidRPr="00FC4512">
        <w:rPr>
          <w:rFonts w:asciiTheme="majorBidi" w:hAnsiTheme="majorBidi"/>
          <w:color w:val="0070C0"/>
          <w:sz w:val="24"/>
          <w:szCs w:val="24"/>
        </w:rPr>
        <w:t>-</w:t>
      </w:r>
      <w:r w:rsidR="00C4189C" w:rsidRPr="00FC4512">
        <w:rPr>
          <w:rFonts w:asciiTheme="majorBidi" w:hAnsiTheme="majorBidi"/>
          <w:color w:val="0070C0"/>
          <w:sz w:val="24"/>
          <w:szCs w:val="24"/>
        </w:rPr>
        <w:t>3</w:t>
      </w:r>
      <w:r w:rsidRPr="00FC4512">
        <w:rPr>
          <w:rFonts w:asciiTheme="majorBidi" w:hAnsiTheme="majorBidi"/>
          <w:color w:val="0070C0"/>
          <w:sz w:val="24"/>
          <w:szCs w:val="24"/>
        </w:rPr>
        <w:t xml:space="preserve"> Périodicité de l’enquête</w:t>
      </w:r>
      <w:bookmarkEnd w:id="15"/>
    </w:p>
    <w:p w:rsidR="0088739E" w:rsidRDefault="0088739E" w:rsidP="0088739E">
      <w:pPr>
        <w:spacing w:before="240" w:after="240" w:line="240" w:lineRule="auto"/>
        <w:jc w:val="both"/>
        <w:rPr>
          <w:rFonts w:asciiTheme="majorBidi" w:hAnsiTheme="majorBidi" w:cstheme="majorBidi"/>
          <w:sz w:val="24"/>
          <w:szCs w:val="24"/>
        </w:rPr>
      </w:pPr>
      <w:r w:rsidRPr="00D97E85">
        <w:rPr>
          <w:rFonts w:asciiTheme="majorBidi" w:hAnsiTheme="majorBidi" w:cstheme="majorBidi"/>
          <w:sz w:val="24"/>
          <w:szCs w:val="24"/>
        </w:rPr>
        <w:t>Chaque produit</w:t>
      </w:r>
      <w:r>
        <w:rPr>
          <w:rFonts w:asciiTheme="majorBidi" w:hAnsiTheme="majorBidi" w:cstheme="majorBidi"/>
          <w:sz w:val="24"/>
          <w:szCs w:val="24"/>
        </w:rPr>
        <w:t xml:space="preserve"> est observé selon son importance dans les habitudes de consommation de la population concernée. Ainsi, on distingue trois types d’observation :</w:t>
      </w:r>
    </w:p>
    <w:p w:rsidR="0088739E" w:rsidRPr="00D97E85"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hebdomadaires</w:t>
      </w:r>
    </w:p>
    <w:p w:rsidR="0088739E" w:rsidRPr="00D97E85"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mensuelles</w:t>
      </w:r>
    </w:p>
    <w:p w:rsidR="0088739E"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relatives au loyer</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 à part les produits frais qui sont observés quatre fois par mois, et les produits de l’épicerie ainsi que le loyer une fois par mois, tous les autres produits (de la 2</w:t>
      </w:r>
      <w:r w:rsidRPr="007577EB">
        <w:rPr>
          <w:rFonts w:asciiTheme="majorBidi" w:hAnsiTheme="majorBidi" w:cstheme="majorBidi"/>
          <w:sz w:val="24"/>
          <w:szCs w:val="24"/>
          <w:vertAlign w:val="superscript"/>
        </w:rPr>
        <w:t>ème</w:t>
      </w:r>
      <w:r>
        <w:rPr>
          <w:rFonts w:asciiTheme="majorBidi" w:hAnsiTheme="majorBidi" w:cstheme="majorBidi"/>
          <w:sz w:val="24"/>
          <w:szCs w:val="24"/>
        </w:rPr>
        <w:t xml:space="preserve"> à la 12</w:t>
      </w:r>
      <w:r w:rsidRPr="007577EB">
        <w:rPr>
          <w:rFonts w:asciiTheme="majorBidi" w:hAnsiTheme="majorBidi" w:cstheme="majorBidi"/>
          <w:sz w:val="24"/>
          <w:szCs w:val="24"/>
          <w:vertAlign w:val="superscript"/>
        </w:rPr>
        <w:t>ème</w:t>
      </w:r>
      <w:r>
        <w:rPr>
          <w:rFonts w:asciiTheme="majorBidi" w:hAnsiTheme="majorBidi" w:cstheme="majorBidi"/>
          <w:sz w:val="24"/>
          <w:szCs w:val="24"/>
        </w:rPr>
        <w:t xml:space="preserve"> division) sont observés une fois par deux mois. Pour le mois où le prix n’est pas relevé, on procède au report des données du mois précédent.</w:t>
      </w:r>
    </w:p>
    <w:p w:rsidR="0088739E" w:rsidRPr="00FC4512" w:rsidRDefault="006A40CB" w:rsidP="00586B08">
      <w:pPr>
        <w:pStyle w:val="Titre3"/>
        <w:rPr>
          <w:rFonts w:asciiTheme="majorBidi" w:hAnsiTheme="majorBidi"/>
          <w:color w:val="0070C0"/>
          <w:sz w:val="24"/>
          <w:szCs w:val="24"/>
        </w:rPr>
      </w:pPr>
      <w:r>
        <w:rPr>
          <w:rFonts w:asciiTheme="majorBidi" w:hAnsiTheme="majorBidi"/>
          <w:color w:val="0070C0"/>
          <w:sz w:val="24"/>
          <w:szCs w:val="24"/>
        </w:rPr>
        <w:lastRenderedPageBreak/>
        <w:tab/>
      </w:r>
      <w:bookmarkStart w:id="16" w:name="_Toc515274004"/>
      <w:r w:rsidR="0088739E" w:rsidRPr="00FC4512">
        <w:rPr>
          <w:rFonts w:asciiTheme="majorBidi" w:hAnsiTheme="majorBidi"/>
          <w:color w:val="0070C0"/>
          <w:sz w:val="24"/>
          <w:szCs w:val="24"/>
        </w:rPr>
        <w:t>II-</w:t>
      </w:r>
      <w:r w:rsidR="005677DF" w:rsidRPr="00FC4512">
        <w:rPr>
          <w:rFonts w:asciiTheme="majorBidi" w:hAnsiTheme="majorBidi"/>
          <w:color w:val="0070C0"/>
          <w:sz w:val="24"/>
          <w:szCs w:val="24"/>
        </w:rPr>
        <w:t>5</w:t>
      </w:r>
      <w:r w:rsidR="0088739E" w:rsidRPr="00FC4512">
        <w:rPr>
          <w:rFonts w:asciiTheme="majorBidi" w:hAnsiTheme="majorBidi"/>
          <w:color w:val="0070C0"/>
          <w:sz w:val="24"/>
          <w:szCs w:val="24"/>
        </w:rPr>
        <w:t>-</w:t>
      </w:r>
      <w:r w:rsidR="00586B08" w:rsidRPr="00FC4512">
        <w:rPr>
          <w:rFonts w:asciiTheme="majorBidi" w:hAnsiTheme="majorBidi"/>
          <w:color w:val="0070C0"/>
          <w:sz w:val="24"/>
          <w:szCs w:val="24"/>
        </w:rPr>
        <w:t>4</w:t>
      </w:r>
      <w:r w:rsidR="0088739E" w:rsidRPr="00FC4512">
        <w:rPr>
          <w:rFonts w:asciiTheme="majorBidi" w:hAnsiTheme="majorBidi"/>
          <w:color w:val="0070C0"/>
          <w:sz w:val="24"/>
          <w:szCs w:val="24"/>
        </w:rPr>
        <w:t xml:space="preserve"> Questionnaires de l’enquête</w:t>
      </w:r>
      <w:bookmarkEnd w:id="16"/>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relevé des prix s’effectue selon trois types de questionnaires :</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les produits hebdomadaires ;</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les produits mensuels;</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 loyer.</w:t>
      </w:r>
    </w:p>
    <w:p w:rsidR="0088739E" w:rsidRPr="000665DB" w:rsidRDefault="0088739E" w:rsidP="00586B08">
      <w:pPr>
        <w:pStyle w:val="Titre3"/>
        <w:rPr>
          <w:rFonts w:asciiTheme="majorBidi" w:hAnsiTheme="majorBidi"/>
          <w:color w:val="0070C0"/>
          <w:sz w:val="24"/>
          <w:szCs w:val="24"/>
        </w:rPr>
      </w:pPr>
      <w:r w:rsidRPr="00000178">
        <w:rPr>
          <w:rFonts w:asciiTheme="majorBidi" w:hAnsiTheme="majorBidi"/>
          <w:b w:val="0"/>
          <w:bCs w:val="0"/>
          <w:color w:val="0070C0"/>
          <w:sz w:val="24"/>
          <w:szCs w:val="24"/>
        </w:rPr>
        <w:tab/>
      </w:r>
      <w:bookmarkStart w:id="17" w:name="_Toc515274005"/>
      <w:r w:rsidRPr="000665DB">
        <w:rPr>
          <w:rFonts w:asciiTheme="majorBidi" w:hAnsiTheme="majorBidi"/>
          <w:color w:val="0070C0"/>
          <w:sz w:val="24"/>
          <w:szCs w:val="24"/>
        </w:rPr>
        <w:t>II-</w:t>
      </w:r>
      <w:r w:rsidR="005677DF" w:rsidRPr="000665DB">
        <w:rPr>
          <w:rFonts w:asciiTheme="majorBidi" w:hAnsiTheme="majorBidi"/>
          <w:color w:val="0070C0"/>
          <w:sz w:val="24"/>
          <w:szCs w:val="24"/>
        </w:rPr>
        <w:t>5</w:t>
      </w:r>
      <w:r w:rsidRPr="000665DB">
        <w:rPr>
          <w:rFonts w:asciiTheme="majorBidi" w:hAnsiTheme="majorBidi"/>
          <w:color w:val="0070C0"/>
          <w:sz w:val="24"/>
          <w:szCs w:val="24"/>
        </w:rPr>
        <w:t>-</w:t>
      </w:r>
      <w:r w:rsidR="00586B08" w:rsidRPr="000665DB">
        <w:rPr>
          <w:rFonts w:asciiTheme="majorBidi" w:hAnsiTheme="majorBidi"/>
          <w:color w:val="0070C0"/>
          <w:sz w:val="24"/>
          <w:szCs w:val="24"/>
        </w:rPr>
        <w:t>5</w:t>
      </w:r>
      <w:r w:rsidR="00C4189C" w:rsidRPr="000665DB">
        <w:rPr>
          <w:rFonts w:asciiTheme="majorBidi" w:hAnsiTheme="majorBidi"/>
          <w:color w:val="0070C0"/>
          <w:sz w:val="24"/>
          <w:szCs w:val="24"/>
        </w:rPr>
        <w:t xml:space="preserve"> </w:t>
      </w:r>
      <w:r w:rsidRPr="000665DB">
        <w:rPr>
          <w:rFonts w:asciiTheme="majorBidi" w:hAnsiTheme="majorBidi"/>
          <w:color w:val="0070C0"/>
          <w:sz w:val="24"/>
          <w:szCs w:val="24"/>
        </w:rPr>
        <w:t>Problèmes et difficultés d’observation des prix</w:t>
      </w:r>
      <w:bookmarkEnd w:id="17"/>
    </w:p>
    <w:p w:rsidR="0088739E" w:rsidRPr="009B04CF"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collecte des prix de détail est souvent exposée à un certain nombre de contraintes liées à la nature de l’enquête. On cite notamment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Réticence des points de vente à cause du caractère permanent de l’enquête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Difficultés de suivi de certains produits du fait du caractère évolutif des descriptions (exemple des produits électroniques qui évoluent rapidement avec le progrès technologique);</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Problèmes liés au changement de la qualité, tel le cas des produits frais: Fruits, légumes frais et poissons;</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Apparition de nouveaux produits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Changement des points de  vente;</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Discussion ou négociation des prix;</w:t>
      </w:r>
    </w:p>
    <w:p w:rsidR="00974B0E" w:rsidRPr="004B1065" w:rsidRDefault="0088739E" w:rsidP="00586B08">
      <w:pPr>
        <w:numPr>
          <w:ilvl w:val="0"/>
          <w:numId w:val="26"/>
        </w:numPr>
        <w:spacing w:before="240" w:after="240" w:line="240" w:lineRule="auto"/>
        <w:jc w:val="both"/>
        <w:rPr>
          <w:rFonts w:asciiTheme="majorBidi" w:hAnsiTheme="majorBidi"/>
          <w:color w:val="0070C0"/>
          <w:sz w:val="24"/>
          <w:szCs w:val="24"/>
        </w:rPr>
      </w:pPr>
      <w:r w:rsidRPr="004B1065">
        <w:rPr>
          <w:rFonts w:asciiTheme="majorBidi" w:hAnsiTheme="majorBidi" w:cstheme="majorBidi"/>
          <w:sz w:val="24"/>
          <w:szCs w:val="24"/>
        </w:rPr>
        <w:t>Caducité ou obsolescence des produits</w:t>
      </w:r>
      <w:r w:rsidR="006A40CB" w:rsidRPr="004B1065">
        <w:rPr>
          <w:rFonts w:asciiTheme="majorBidi" w:hAnsiTheme="majorBidi" w:cstheme="majorBidi"/>
          <w:sz w:val="24"/>
          <w:szCs w:val="24"/>
        </w:rPr>
        <w:t>.</w:t>
      </w:r>
    </w:p>
    <w:p w:rsidR="000665DB" w:rsidRDefault="000665DB" w:rsidP="000665DB"/>
    <w:p w:rsidR="000665DB" w:rsidRDefault="000665DB" w:rsidP="000665DB"/>
    <w:p w:rsidR="000665DB" w:rsidRDefault="000665DB" w:rsidP="000665DB"/>
    <w:p w:rsidR="000665DB" w:rsidRDefault="000665DB" w:rsidP="000665DB"/>
    <w:p w:rsidR="006A40CB" w:rsidRDefault="006A40CB" w:rsidP="000665DB"/>
    <w:p w:rsidR="006A40CB" w:rsidRDefault="006A40CB" w:rsidP="000665DB"/>
    <w:p w:rsidR="006A40CB" w:rsidRDefault="006A40CB" w:rsidP="000665DB"/>
    <w:p w:rsidR="006A40CB" w:rsidRDefault="006A40CB" w:rsidP="000665DB"/>
    <w:p w:rsidR="006A40CB" w:rsidRDefault="006A40CB" w:rsidP="000665DB"/>
    <w:p w:rsidR="000665DB" w:rsidRDefault="000665DB" w:rsidP="000665DB"/>
    <w:p w:rsidR="004B1065" w:rsidRDefault="004B1065">
      <w:r>
        <w:br w:type="page"/>
      </w:r>
      <w:r>
        <w:lastRenderedPageBreak/>
        <w:br w:type="page"/>
      </w: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156FC8" w:rsidRDefault="00156FC8" w:rsidP="00156FC8"/>
    <w:p w:rsidR="00156FC8" w:rsidRPr="00156FC8" w:rsidRDefault="00156FC8" w:rsidP="00156FC8"/>
    <w:p w:rsidR="00156FC8" w:rsidRPr="001022E9" w:rsidRDefault="00A905C6" w:rsidP="006A40CB">
      <w:pPr>
        <w:pStyle w:val="Titre1"/>
        <w:spacing w:before="0"/>
        <w:rPr>
          <w:rFonts w:asciiTheme="majorBidi" w:hAnsiTheme="majorBidi"/>
          <w:color w:val="4F81BD" w:themeColor="accent1"/>
        </w:rPr>
      </w:pPr>
      <w:r w:rsidRPr="001022E9">
        <w:rPr>
          <w:rFonts w:asciiTheme="majorBidi" w:hAnsiTheme="majorBidi"/>
          <w:color w:val="4F81BD" w:themeColor="accent1"/>
        </w:rPr>
        <w:pict>
          <v:shape id="_x0000_i1027" type="#_x0000_t136" style="width:363pt;height:3in" fillcolor="#4f81bd [3204]" strokecolor="#4f81bd [3204]">
            <v:fill r:id="rId9" o:title="Papier Kraft" type="tile"/>
            <v:shadow on="t" type="perspective" color="#c7dfd3" opacity="52429f" origin="-.5,-.5" offset="-26pt,-36pt" matrix="1.25,,,1.25"/>
            <v:textpath style="font-family:&quot;Times New Roman&quot;;font-size:20pt;font-weight:bold;v-text-kern:t" trim="t" fitpath="t" string="Chapitre III&#10;IPC (Base100 :2006) de la ville de Kénitra&#10;Evolution entre 2007 et 2017 &#10;"/>
          </v:shape>
        </w:pict>
      </w:r>
    </w:p>
    <w:p w:rsidR="004B1065" w:rsidRDefault="004B1065" w:rsidP="00156FC8"/>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br w:type="page"/>
      </w:r>
    </w:p>
    <w:p w:rsidR="00E4492A" w:rsidRPr="00864A16" w:rsidRDefault="006F61F8" w:rsidP="006A40CB">
      <w:pPr>
        <w:pStyle w:val="Titre1"/>
        <w:spacing w:before="0"/>
        <w:rPr>
          <w:rFonts w:asciiTheme="majorBidi" w:hAnsiTheme="majorBidi"/>
          <w:color w:val="4F81BD" w:themeColor="accent1"/>
        </w:rPr>
      </w:pPr>
      <w:bookmarkStart w:id="18" w:name="_Toc515274006"/>
      <w:r w:rsidRPr="00864A16">
        <w:rPr>
          <w:rFonts w:asciiTheme="majorBidi" w:hAnsiTheme="majorBidi"/>
          <w:color w:val="4F81BD" w:themeColor="accent1"/>
        </w:rPr>
        <w:lastRenderedPageBreak/>
        <w:t>II</w:t>
      </w:r>
      <w:r w:rsidR="002519A6" w:rsidRPr="00864A16">
        <w:rPr>
          <w:rFonts w:asciiTheme="majorBidi" w:hAnsiTheme="majorBidi"/>
          <w:color w:val="4F81BD" w:themeColor="accent1"/>
        </w:rPr>
        <w:t>I</w:t>
      </w:r>
      <w:r w:rsidRPr="00864A16">
        <w:rPr>
          <w:rFonts w:asciiTheme="majorBidi" w:hAnsiTheme="majorBidi"/>
          <w:color w:val="4F81BD" w:themeColor="accent1"/>
        </w:rPr>
        <w:t>- IPC</w:t>
      </w:r>
      <w:r w:rsidR="001D68BF" w:rsidRPr="00864A16">
        <w:rPr>
          <w:rFonts w:asciiTheme="majorBidi" w:hAnsiTheme="majorBidi"/>
          <w:color w:val="4F81BD" w:themeColor="accent1"/>
        </w:rPr>
        <w:t xml:space="preserve"> (Base100 :2006) </w:t>
      </w:r>
      <w:r w:rsidRPr="00864A16">
        <w:rPr>
          <w:rFonts w:asciiTheme="majorBidi" w:hAnsiTheme="majorBidi"/>
          <w:color w:val="4F81BD" w:themeColor="accent1"/>
        </w:rPr>
        <w:t xml:space="preserve"> de la ville de Kenitra : </w:t>
      </w:r>
      <w:r w:rsidR="00777D90" w:rsidRPr="00864A16">
        <w:rPr>
          <w:rFonts w:asciiTheme="majorBidi" w:hAnsiTheme="majorBidi"/>
          <w:color w:val="4F81BD" w:themeColor="accent1"/>
        </w:rPr>
        <w:t>évolution entre 2007 et 201</w:t>
      </w:r>
      <w:r w:rsidR="007E3684" w:rsidRPr="00864A16">
        <w:rPr>
          <w:rFonts w:asciiTheme="majorBidi" w:hAnsiTheme="majorBidi"/>
          <w:color w:val="4F81BD" w:themeColor="accent1"/>
        </w:rPr>
        <w:t>7</w:t>
      </w:r>
      <w:bookmarkEnd w:id="18"/>
    </w:p>
    <w:p w:rsidR="00777D90" w:rsidRPr="00864A16" w:rsidRDefault="006536C2" w:rsidP="00586B08">
      <w:pPr>
        <w:pStyle w:val="Titre2"/>
        <w:rPr>
          <w:rFonts w:asciiTheme="majorBidi" w:hAnsiTheme="majorBidi"/>
        </w:rPr>
      </w:pPr>
      <w:bookmarkStart w:id="19" w:name="_Toc515274007"/>
      <w:r w:rsidRPr="00864A16">
        <w:rPr>
          <w:rFonts w:asciiTheme="majorBidi" w:hAnsiTheme="majorBidi"/>
        </w:rPr>
        <w:t>II</w:t>
      </w:r>
      <w:r w:rsidR="00586B08" w:rsidRPr="00864A16">
        <w:rPr>
          <w:rFonts w:asciiTheme="majorBidi" w:hAnsiTheme="majorBidi"/>
        </w:rPr>
        <w:t>I</w:t>
      </w:r>
      <w:r w:rsidR="00777D90" w:rsidRPr="00864A16">
        <w:rPr>
          <w:rFonts w:asciiTheme="majorBidi" w:hAnsiTheme="majorBidi"/>
        </w:rPr>
        <w:t>-1 IPC général par ville en 201</w:t>
      </w:r>
      <w:r w:rsidR="007E3684" w:rsidRPr="00864A16">
        <w:rPr>
          <w:rFonts w:asciiTheme="majorBidi" w:hAnsiTheme="majorBidi"/>
        </w:rPr>
        <w:t>7</w:t>
      </w:r>
      <w:bookmarkEnd w:id="19"/>
    </w:p>
    <w:p w:rsidR="00777D90" w:rsidRDefault="00777D90" w:rsidP="001D68B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201</w:t>
      </w:r>
      <w:r w:rsidR="007E3684">
        <w:rPr>
          <w:rFonts w:asciiTheme="majorBidi" w:hAnsiTheme="majorBidi" w:cstheme="majorBidi"/>
          <w:sz w:val="24"/>
          <w:szCs w:val="24"/>
        </w:rPr>
        <w:t>7</w:t>
      </w:r>
      <w:r>
        <w:rPr>
          <w:rFonts w:asciiTheme="majorBidi" w:hAnsiTheme="majorBidi" w:cstheme="majorBidi"/>
          <w:sz w:val="24"/>
          <w:szCs w:val="24"/>
        </w:rPr>
        <w:t xml:space="preserve">, la comparaison de l’IPC général par ville montre que le </w:t>
      </w:r>
      <w:r w:rsidR="00363237">
        <w:rPr>
          <w:rFonts w:asciiTheme="majorBidi" w:hAnsiTheme="majorBidi" w:cstheme="majorBidi"/>
          <w:sz w:val="24"/>
          <w:szCs w:val="24"/>
        </w:rPr>
        <w:t xml:space="preserve">coût </w:t>
      </w:r>
      <w:r>
        <w:rPr>
          <w:rFonts w:asciiTheme="majorBidi" w:hAnsiTheme="majorBidi" w:cstheme="majorBidi"/>
          <w:sz w:val="24"/>
          <w:szCs w:val="24"/>
        </w:rPr>
        <w:t>de</w:t>
      </w:r>
      <w:r w:rsidR="00363237">
        <w:rPr>
          <w:rFonts w:asciiTheme="majorBidi" w:hAnsiTheme="majorBidi" w:cstheme="majorBidi"/>
          <w:sz w:val="24"/>
          <w:szCs w:val="24"/>
        </w:rPr>
        <w:t xml:space="preserve"> la</w:t>
      </w:r>
      <w:r>
        <w:rPr>
          <w:rFonts w:asciiTheme="majorBidi" w:hAnsiTheme="majorBidi" w:cstheme="majorBidi"/>
          <w:sz w:val="24"/>
          <w:szCs w:val="24"/>
        </w:rPr>
        <w:t xml:space="preserve"> vie à Kenitra se situe en dessous de la moyenne nationale et est moins cher par rapport à </w:t>
      </w:r>
      <w:r w:rsidR="001D68BF">
        <w:rPr>
          <w:rFonts w:asciiTheme="majorBidi" w:hAnsiTheme="majorBidi" w:cstheme="majorBidi"/>
          <w:sz w:val="24"/>
          <w:szCs w:val="24"/>
        </w:rPr>
        <w:t>dou</w:t>
      </w:r>
      <w:r>
        <w:rPr>
          <w:rFonts w:asciiTheme="majorBidi" w:hAnsiTheme="majorBidi" w:cstheme="majorBidi"/>
          <w:sz w:val="24"/>
          <w:szCs w:val="24"/>
        </w:rPr>
        <w:t>ze villes notamment Casablanca</w:t>
      </w:r>
      <w:r w:rsidR="001D68BF">
        <w:rPr>
          <w:rFonts w:asciiTheme="majorBidi" w:hAnsiTheme="majorBidi" w:cstheme="majorBidi"/>
          <w:sz w:val="24"/>
          <w:szCs w:val="24"/>
        </w:rPr>
        <w:t>,</w:t>
      </w:r>
      <w:r w:rsidR="001D68BF" w:rsidRPr="001D68BF">
        <w:rPr>
          <w:rFonts w:asciiTheme="majorBidi" w:hAnsiTheme="majorBidi" w:cstheme="majorBidi"/>
          <w:sz w:val="24"/>
          <w:szCs w:val="24"/>
        </w:rPr>
        <w:t xml:space="preserve"> </w:t>
      </w:r>
      <w:r w:rsidR="001D68BF">
        <w:rPr>
          <w:rFonts w:asciiTheme="majorBidi" w:hAnsiTheme="majorBidi" w:cstheme="majorBidi"/>
          <w:sz w:val="24"/>
          <w:szCs w:val="24"/>
        </w:rPr>
        <w:t xml:space="preserve">Tanger </w:t>
      </w:r>
      <w:r>
        <w:rPr>
          <w:rFonts w:asciiTheme="majorBidi" w:hAnsiTheme="majorBidi" w:cstheme="majorBidi"/>
          <w:sz w:val="24"/>
          <w:szCs w:val="24"/>
        </w:rPr>
        <w:t xml:space="preserve"> et Meknès, tandis qu’il est plus cher en comparaison avec </w:t>
      </w:r>
      <w:r w:rsidR="001D68BF">
        <w:rPr>
          <w:rFonts w:asciiTheme="majorBidi" w:hAnsiTheme="majorBidi" w:cstheme="majorBidi"/>
          <w:sz w:val="24"/>
          <w:szCs w:val="24"/>
        </w:rPr>
        <w:t>Oujda</w:t>
      </w:r>
      <w:r>
        <w:rPr>
          <w:rFonts w:asciiTheme="majorBidi" w:hAnsiTheme="majorBidi" w:cstheme="majorBidi"/>
          <w:sz w:val="24"/>
          <w:szCs w:val="24"/>
        </w:rPr>
        <w:t>, Agadir, Rabat et Safi.</w:t>
      </w:r>
    </w:p>
    <w:p w:rsidR="00777D90" w:rsidRPr="00864A16" w:rsidRDefault="00DF65E2" w:rsidP="00DF65E2">
      <w:pPr>
        <w:pStyle w:val="Lgende"/>
        <w:rPr>
          <w:rFonts w:asciiTheme="majorBidi" w:hAnsiTheme="majorBidi" w:cstheme="majorBidi"/>
          <w:sz w:val="22"/>
          <w:szCs w:val="22"/>
        </w:rPr>
      </w:pPr>
      <w:bookmarkStart w:id="20" w:name="_Toc515274023"/>
      <w:r w:rsidRPr="00864A16">
        <w:rPr>
          <w:rFonts w:asciiTheme="majorBidi" w:hAnsiTheme="majorBidi" w:cstheme="majorBidi"/>
          <w:sz w:val="22"/>
          <w:szCs w:val="22"/>
        </w:rPr>
        <w:t xml:space="preserve">Tableau </w:t>
      </w:r>
      <w:r w:rsidR="001022E9" w:rsidRPr="00864A16">
        <w:rPr>
          <w:rFonts w:asciiTheme="majorBidi" w:hAnsiTheme="majorBidi" w:cstheme="majorBidi"/>
          <w:sz w:val="22"/>
          <w:szCs w:val="22"/>
        </w:rPr>
        <w:fldChar w:fldCharType="begin"/>
      </w:r>
      <w:r w:rsidRPr="00864A16">
        <w:rPr>
          <w:rFonts w:asciiTheme="majorBidi" w:hAnsiTheme="majorBidi" w:cstheme="majorBidi"/>
          <w:sz w:val="22"/>
          <w:szCs w:val="22"/>
        </w:rPr>
        <w:instrText xml:space="preserve"> SEQ Tableau \* ARABIC </w:instrText>
      </w:r>
      <w:r w:rsidR="001022E9" w:rsidRPr="00864A16">
        <w:rPr>
          <w:rFonts w:asciiTheme="majorBidi" w:hAnsiTheme="majorBidi" w:cstheme="majorBidi"/>
          <w:sz w:val="22"/>
          <w:szCs w:val="22"/>
        </w:rPr>
        <w:fldChar w:fldCharType="separate"/>
      </w:r>
      <w:r w:rsidR="00156FC8">
        <w:rPr>
          <w:rFonts w:asciiTheme="majorBidi" w:hAnsiTheme="majorBidi" w:cstheme="majorBidi"/>
          <w:noProof/>
          <w:sz w:val="22"/>
          <w:szCs w:val="22"/>
        </w:rPr>
        <w:t>3</w:t>
      </w:r>
      <w:r w:rsidR="001022E9" w:rsidRPr="00864A16">
        <w:rPr>
          <w:rFonts w:asciiTheme="majorBidi" w:hAnsiTheme="majorBidi" w:cstheme="majorBidi"/>
          <w:sz w:val="22"/>
          <w:szCs w:val="22"/>
        </w:rPr>
        <w:fldChar w:fldCharType="end"/>
      </w:r>
      <w:r w:rsidRPr="00864A16">
        <w:rPr>
          <w:rFonts w:asciiTheme="majorBidi" w:hAnsiTheme="majorBidi" w:cstheme="majorBidi"/>
          <w:sz w:val="22"/>
          <w:szCs w:val="22"/>
        </w:rPr>
        <w:t xml:space="preserve"> : </w:t>
      </w:r>
      <w:r w:rsidR="00777D90" w:rsidRPr="00864A16">
        <w:rPr>
          <w:rFonts w:asciiTheme="majorBidi" w:hAnsiTheme="majorBidi" w:cstheme="majorBidi"/>
          <w:sz w:val="22"/>
          <w:szCs w:val="22"/>
        </w:rPr>
        <w:t>IPC</w:t>
      </w:r>
      <w:r w:rsidR="007156BC"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 xml:space="preserve">général </w:t>
      </w:r>
      <w:r w:rsidR="007156BC" w:rsidRPr="00864A16">
        <w:rPr>
          <w:rFonts w:asciiTheme="majorBidi" w:hAnsiTheme="majorBidi" w:cstheme="majorBidi"/>
          <w:sz w:val="22"/>
          <w:szCs w:val="22"/>
        </w:rPr>
        <w:t xml:space="preserve">(Base 100 :2006) </w:t>
      </w:r>
      <w:r w:rsidR="00777D90" w:rsidRPr="00864A16">
        <w:rPr>
          <w:rFonts w:asciiTheme="majorBidi" w:hAnsiTheme="majorBidi" w:cstheme="majorBidi"/>
          <w:sz w:val="22"/>
          <w:szCs w:val="22"/>
        </w:rPr>
        <w:t>par ville en 201</w:t>
      </w:r>
      <w:r w:rsidR="00D562EA" w:rsidRPr="00864A16">
        <w:rPr>
          <w:rFonts w:asciiTheme="majorBidi" w:hAnsiTheme="majorBidi" w:cstheme="majorBidi"/>
          <w:sz w:val="22"/>
          <w:szCs w:val="22"/>
        </w:rPr>
        <w:t xml:space="preserve">6 </w:t>
      </w:r>
      <w:r w:rsidR="00777D90" w:rsidRPr="00864A16">
        <w:rPr>
          <w:rFonts w:asciiTheme="majorBidi" w:hAnsiTheme="majorBidi" w:cstheme="majorBidi"/>
          <w:sz w:val="22"/>
          <w:szCs w:val="22"/>
        </w:rPr>
        <w:t>et 201</w:t>
      </w:r>
      <w:r w:rsidR="00D562EA" w:rsidRPr="00864A16">
        <w:rPr>
          <w:rFonts w:asciiTheme="majorBidi" w:hAnsiTheme="majorBidi" w:cstheme="majorBidi"/>
          <w:sz w:val="22"/>
          <w:szCs w:val="22"/>
        </w:rPr>
        <w:t>7</w:t>
      </w:r>
      <w:bookmarkEnd w:id="20"/>
    </w:p>
    <w:tbl>
      <w:tblPr>
        <w:tblW w:w="5000" w:type="pct"/>
        <w:tblCellMar>
          <w:left w:w="70" w:type="dxa"/>
          <w:right w:w="70" w:type="dxa"/>
        </w:tblCellMar>
        <w:tblLook w:val="04A0"/>
      </w:tblPr>
      <w:tblGrid>
        <w:gridCol w:w="6367"/>
        <w:gridCol w:w="750"/>
        <w:gridCol w:w="750"/>
        <w:gridCol w:w="1487"/>
      </w:tblGrid>
      <w:tr w:rsidR="00D562EA" w:rsidRPr="009E2412" w:rsidTr="000665DB">
        <w:trPr>
          <w:trHeight w:val="397"/>
        </w:trPr>
        <w:tc>
          <w:tcPr>
            <w:tcW w:w="3403" w:type="pct"/>
            <w:tcBorders>
              <w:top w:val="single" w:sz="12" w:space="0" w:color="auto"/>
              <w:left w:val="nil"/>
              <w:bottom w:val="single" w:sz="12" w:space="0" w:color="auto"/>
              <w:right w:val="nil"/>
            </w:tcBorders>
            <w:shd w:val="clear" w:color="000000" w:fill="C0C0C0"/>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NOM VILLE</w:t>
            </w:r>
          </w:p>
        </w:tc>
        <w:tc>
          <w:tcPr>
            <w:tcW w:w="401" w:type="pct"/>
            <w:tcBorders>
              <w:top w:val="single" w:sz="12" w:space="0" w:color="auto"/>
              <w:left w:val="nil"/>
              <w:bottom w:val="single" w:sz="12" w:space="0" w:color="auto"/>
              <w:right w:val="nil"/>
            </w:tcBorders>
            <w:shd w:val="clear" w:color="000000" w:fill="C0C0C0"/>
            <w:noWrap/>
            <w:vAlign w:val="bottom"/>
            <w:hideMark/>
          </w:tcPr>
          <w:p w:rsidR="00D562EA" w:rsidRPr="00D562EA" w:rsidRDefault="00D562EA">
            <w:pPr>
              <w:jc w:val="right"/>
              <w:rPr>
                <w:rFonts w:asciiTheme="majorBidi" w:hAnsiTheme="majorBidi" w:cstheme="majorBidi"/>
                <w:b/>
                <w:bCs/>
              </w:rPr>
            </w:pPr>
            <w:r w:rsidRPr="00D562EA">
              <w:rPr>
                <w:rFonts w:asciiTheme="majorBidi" w:hAnsiTheme="majorBidi" w:cstheme="majorBidi"/>
                <w:b/>
                <w:bCs/>
              </w:rPr>
              <w:t>2016</w:t>
            </w:r>
          </w:p>
        </w:tc>
        <w:tc>
          <w:tcPr>
            <w:tcW w:w="401" w:type="pct"/>
            <w:tcBorders>
              <w:top w:val="single" w:sz="12" w:space="0" w:color="auto"/>
              <w:left w:val="nil"/>
              <w:bottom w:val="single" w:sz="12" w:space="0" w:color="auto"/>
              <w:right w:val="nil"/>
            </w:tcBorders>
            <w:shd w:val="clear" w:color="000000" w:fill="C0C0C0"/>
            <w:noWrap/>
            <w:vAlign w:val="bottom"/>
            <w:hideMark/>
          </w:tcPr>
          <w:p w:rsidR="00D562EA" w:rsidRPr="00D562EA" w:rsidRDefault="00D562EA">
            <w:pPr>
              <w:jc w:val="right"/>
              <w:rPr>
                <w:rFonts w:asciiTheme="majorBidi" w:hAnsiTheme="majorBidi" w:cstheme="majorBidi"/>
                <w:b/>
                <w:bCs/>
              </w:rPr>
            </w:pPr>
            <w:r w:rsidRPr="00D562EA">
              <w:rPr>
                <w:rFonts w:asciiTheme="majorBidi" w:hAnsiTheme="majorBidi" w:cstheme="majorBidi"/>
                <w:b/>
                <w:bCs/>
              </w:rPr>
              <w:t>2017</w:t>
            </w:r>
          </w:p>
        </w:tc>
        <w:tc>
          <w:tcPr>
            <w:tcW w:w="795" w:type="pct"/>
            <w:tcBorders>
              <w:top w:val="single" w:sz="12" w:space="0" w:color="auto"/>
              <w:left w:val="nil"/>
              <w:bottom w:val="single" w:sz="12" w:space="0" w:color="auto"/>
              <w:right w:val="nil"/>
            </w:tcBorders>
            <w:shd w:val="clear" w:color="000000" w:fill="C0C0C0"/>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Variation (%)</w:t>
            </w:r>
          </w:p>
        </w:tc>
      </w:tr>
      <w:tr w:rsidR="00D562EA" w:rsidRPr="009E2412" w:rsidTr="000665DB">
        <w:trPr>
          <w:trHeight w:val="397"/>
        </w:trPr>
        <w:tc>
          <w:tcPr>
            <w:tcW w:w="3403" w:type="pct"/>
            <w:tcBorders>
              <w:top w:val="single" w:sz="12" w:space="0" w:color="auto"/>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Safi</w:t>
            </w:r>
          </w:p>
        </w:tc>
        <w:tc>
          <w:tcPr>
            <w:tcW w:w="401" w:type="pct"/>
            <w:tcBorders>
              <w:top w:val="single" w:sz="12" w:space="0" w:color="auto"/>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111,6</w:t>
            </w:r>
          </w:p>
        </w:tc>
        <w:tc>
          <w:tcPr>
            <w:tcW w:w="401" w:type="pct"/>
            <w:tcBorders>
              <w:top w:val="single" w:sz="12" w:space="0" w:color="auto"/>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112,8</w:t>
            </w:r>
          </w:p>
        </w:tc>
        <w:tc>
          <w:tcPr>
            <w:tcW w:w="795" w:type="pct"/>
            <w:tcBorders>
              <w:top w:val="single" w:sz="12" w:space="0" w:color="auto"/>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1,0</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Rabat</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115,1</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115,7</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0,5</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Agadir</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115,4</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115,8</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0,4</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Oujda</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115,3</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116,1</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0,7</w:t>
            </w:r>
          </w:p>
        </w:tc>
      </w:tr>
      <w:tr w:rsidR="00D562EA" w:rsidRPr="00D562EA"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color w:val="FF0000"/>
              </w:rPr>
            </w:pPr>
            <w:r w:rsidRPr="00D562EA">
              <w:rPr>
                <w:rFonts w:asciiTheme="majorBidi" w:hAnsiTheme="majorBidi" w:cstheme="majorBidi"/>
                <w:b/>
                <w:bCs/>
                <w:color w:val="FF0000"/>
              </w:rPr>
              <w:t>Kenitra</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b/>
                <w:bCs/>
                <w:color w:val="FF0000"/>
              </w:rPr>
            </w:pPr>
            <w:r w:rsidRPr="00D562EA">
              <w:rPr>
                <w:rFonts w:asciiTheme="majorBidi" w:hAnsiTheme="majorBidi" w:cstheme="majorBidi"/>
                <w:b/>
                <w:bCs/>
                <w:color w:val="FF0000"/>
              </w:rPr>
              <w:t>116,0</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b/>
                <w:bCs/>
                <w:color w:val="FF0000"/>
              </w:rPr>
            </w:pPr>
            <w:r w:rsidRPr="00D562EA">
              <w:rPr>
                <w:rFonts w:asciiTheme="majorBidi" w:hAnsiTheme="majorBidi" w:cstheme="majorBidi"/>
                <w:b/>
                <w:bCs/>
                <w:color w:val="FF0000"/>
              </w:rPr>
              <w:t>116,5</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b/>
                <w:bCs/>
                <w:color w:val="FF0000"/>
              </w:rPr>
            </w:pPr>
            <w:r w:rsidRPr="00D562EA">
              <w:rPr>
                <w:rFonts w:asciiTheme="majorBidi" w:hAnsiTheme="majorBidi" w:cstheme="majorBidi"/>
                <w:b/>
                <w:bCs/>
                <w:color w:val="FF0000"/>
              </w:rPr>
              <w:t>0,4</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Beni mellal</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115,6</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116,8</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1,0</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Guelmim</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116,0</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116,8</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0,7</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Settat</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116,1</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117,0</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0,8</w:t>
            </w:r>
          </w:p>
        </w:tc>
      </w:tr>
      <w:tr w:rsidR="00D562EA" w:rsidRPr="00D562EA"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color w:val="FF0000"/>
                <w:sz w:val="24"/>
                <w:szCs w:val="24"/>
              </w:rPr>
            </w:pPr>
            <w:r w:rsidRPr="00D562EA">
              <w:rPr>
                <w:rFonts w:asciiTheme="majorBidi" w:hAnsiTheme="majorBidi" w:cstheme="majorBidi"/>
                <w:b/>
                <w:bCs/>
                <w:color w:val="FF0000"/>
                <w:sz w:val="24"/>
                <w:szCs w:val="24"/>
              </w:rPr>
              <w:t>Ensemble</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b/>
                <w:bCs/>
                <w:color w:val="FF0000"/>
                <w:sz w:val="24"/>
                <w:szCs w:val="24"/>
              </w:rPr>
            </w:pPr>
            <w:r w:rsidRPr="00D562EA">
              <w:rPr>
                <w:rFonts w:asciiTheme="majorBidi" w:hAnsiTheme="majorBidi" w:cstheme="majorBidi"/>
                <w:b/>
                <w:bCs/>
                <w:color w:val="FF0000"/>
                <w:sz w:val="24"/>
                <w:szCs w:val="24"/>
              </w:rPr>
              <w:t>117,1</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b/>
                <w:bCs/>
                <w:color w:val="FF0000"/>
                <w:sz w:val="24"/>
                <w:szCs w:val="24"/>
              </w:rPr>
            </w:pPr>
            <w:r w:rsidRPr="00D562EA">
              <w:rPr>
                <w:rFonts w:asciiTheme="majorBidi" w:hAnsiTheme="majorBidi" w:cstheme="majorBidi"/>
                <w:b/>
                <w:bCs/>
                <w:color w:val="FF0000"/>
                <w:sz w:val="24"/>
                <w:szCs w:val="24"/>
              </w:rPr>
              <w:t>117,9</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b/>
                <w:bCs/>
                <w:color w:val="FF0000"/>
                <w:sz w:val="24"/>
                <w:szCs w:val="24"/>
              </w:rPr>
            </w:pPr>
            <w:r w:rsidRPr="00D562EA">
              <w:rPr>
                <w:rFonts w:asciiTheme="majorBidi" w:hAnsiTheme="majorBidi" w:cstheme="majorBidi"/>
                <w:b/>
                <w:bCs/>
                <w:color w:val="FF0000"/>
                <w:sz w:val="24"/>
                <w:szCs w:val="24"/>
              </w:rPr>
              <w:t>0,8</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Tétouan</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116,3</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117,9</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1,4</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Marrakech</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117,0</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118,3</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Fes</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117,1</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118,3</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1,0</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Dakhla</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117,4</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118,3</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0,8</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El houceima</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117,9</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118,4</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0,4</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Laayoune</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116,5</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118,9</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2,0</w:t>
            </w:r>
          </w:p>
        </w:tc>
      </w:tr>
      <w:tr w:rsidR="00D562EA" w:rsidRPr="009E2412" w:rsidTr="000665DB">
        <w:trPr>
          <w:trHeight w:val="397"/>
        </w:trPr>
        <w:tc>
          <w:tcPr>
            <w:tcW w:w="3403" w:type="pct"/>
            <w:tcBorders>
              <w:top w:val="nil"/>
              <w:left w:val="nil"/>
              <w:bottom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Meknes</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120,1</w:t>
            </w:r>
          </w:p>
        </w:tc>
        <w:tc>
          <w:tcPr>
            <w:tcW w:w="401"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120,0</w:t>
            </w:r>
          </w:p>
        </w:tc>
        <w:tc>
          <w:tcPr>
            <w:tcW w:w="795" w:type="pct"/>
            <w:tcBorders>
              <w:top w:val="nil"/>
              <w:left w:val="nil"/>
              <w:bottom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-0,1</w:t>
            </w:r>
          </w:p>
        </w:tc>
      </w:tr>
      <w:tr w:rsidR="00D562EA" w:rsidRPr="009E2412" w:rsidTr="000665DB">
        <w:trPr>
          <w:trHeight w:val="397"/>
        </w:trPr>
        <w:tc>
          <w:tcPr>
            <w:tcW w:w="3403" w:type="pct"/>
            <w:tcBorders>
              <w:top w:val="nil"/>
              <w:left w:val="nil"/>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Tanger</w:t>
            </w:r>
          </w:p>
        </w:tc>
        <w:tc>
          <w:tcPr>
            <w:tcW w:w="401" w:type="pct"/>
            <w:tcBorders>
              <w:top w:val="nil"/>
              <w:left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119,1</w:t>
            </w:r>
          </w:p>
        </w:tc>
        <w:tc>
          <w:tcPr>
            <w:tcW w:w="401" w:type="pct"/>
            <w:tcBorders>
              <w:top w:val="nil"/>
              <w:left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120,2</w:t>
            </w:r>
          </w:p>
        </w:tc>
        <w:tc>
          <w:tcPr>
            <w:tcW w:w="795" w:type="pct"/>
            <w:tcBorders>
              <w:top w:val="nil"/>
              <w:left w:val="nil"/>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0,9</w:t>
            </w:r>
          </w:p>
        </w:tc>
      </w:tr>
      <w:tr w:rsidR="00D562EA" w:rsidRPr="009E2412" w:rsidTr="000665DB">
        <w:trPr>
          <w:trHeight w:val="397"/>
        </w:trPr>
        <w:tc>
          <w:tcPr>
            <w:tcW w:w="3403" w:type="pct"/>
            <w:tcBorders>
              <w:top w:val="nil"/>
              <w:left w:val="nil"/>
              <w:bottom w:val="single" w:sz="12" w:space="0" w:color="auto"/>
              <w:right w:val="nil"/>
            </w:tcBorders>
            <w:shd w:val="clear" w:color="auto" w:fill="auto"/>
            <w:noWrap/>
            <w:vAlign w:val="bottom"/>
            <w:hideMark/>
          </w:tcPr>
          <w:p w:rsidR="00D562EA" w:rsidRPr="00D562EA" w:rsidRDefault="00D562EA">
            <w:pPr>
              <w:rPr>
                <w:rFonts w:asciiTheme="majorBidi" w:hAnsiTheme="majorBidi" w:cstheme="majorBidi"/>
                <w:b/>
                <w:bCs/>
              </w:rPr>
            </w:pPr>
            <w:r w:rsidRPr="00D562EA">
              <w:rPr>
                <w:rFonts w:asciiTheme="majorBidi" w:hAnsiTheme="majorBidi" w:cstheme="majorBidi"/>
                <w:b/>
                <w:bCs/>
              </w:rPr>
              <w:t>Casa</w:t>
            </w:r>
          </w:p>
        </w:tc>
        <w:tc>
          <w:tcPr>
            <w:tcW w:w="401" w:type="pct"/>
            <w:tcBorders>
              <w:top w:val="nil"/>
              <w:left w:val="nil"/>
              <w:bottom w:val="single" w:sz="12" w:space="0" w:color="auto"/>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119,5</w:t>
            </w:r>
          </w:p>
        </w:tc>
        <w:tc>
          <w:tcPr>
            <w:tcW w:w="401" w:type="pct"/>
            <w:tcBorders>
              <w:top w:val="nil"/>
              <w:left w:val="nil"/>
              <w:bottom w:val="single" w:sz="12" w:space="0" w:color="auto"/>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120,6</w:t>
            </w:r>
          </w:p>
        </w:tc>
        <w:tc>
          <w:tcPr>
            <w:tcW w:w="795" w:type="pct"/>
            <w:tcBorders>
              <w:top w:val="nil"/>
              <w:left w:val="nil"/>
              <w:bottom w:val="single" w:sz="12" w:space="0" w:color="auto"/>
              <w:right w:val="nil"/>
            </w:tcBorders>
            <w:shd w:val="clear" w:color="auto" w:fill="auto"/>
            <w:noWrap/>
            <w:vAlign w:val="bottom"/>
            <w:hideMark/>
          </w:tcPr>
          <w:p w:rsidR="00D562EA" w:rsidRPr="00D562EA" w:rsidRDefault="00D562EA">
            <w:pPr>
              <w:jc w:val="right"/>
              <w:rPr>
                <w:rFonts w:asciiTheme="majorBidi" w:hAnsiTheme="majorBidi" w:cstheme="majorBidi"/>
                <w:color w:val="000000"/>
              </w:rPr>
            </w:pPr>
            <w:r w:rsidRPr="00D562EA">
              <w:rPr>
                <w:rFonts w:asciiTheme="majorBidi" w:hAnsiTheme="majorBidi" w:cstheme="majorBidi"/>
                <w:color w:val="000000"/>
              </w:rPr>
              <w:t>0,9</w:t>
            </w:r>
          </w:p>
        </w:tc>
      </w:tr>
    </w:tbl>
    <w:p w:rsidR="000665DB" w:rsidRDefault="000665DB" w:rsidP="000665DB">
      <w:pPr>
        <w:pStyle w:val="Titre4"/>
        <w:rPr>
          <w:rFonts w:asciiTheme="majorBidi" w:hAnsiTheme="majorBidi"/>
        </w:rPr>
      </w:pPr>
    </w:p>
    <w:p w:rsidR="00864A16" w:rsidRDefault="00864A16" w:rsidP="0036690E">
      <w:pPr>
        <w:pStyle w:val="Lgende"/>
        <w:rPr>
          <w:rFonts w:asciiTheme="majorBidi" w:hAnsiTheme="majorBidi" w:cstheme="majorBidi"/>
          <w:sz w:val="22"/>
          <w:szCs w:val="22"/>
        </w:rPr>
      </w:pPr>
    </w:p>
    <w:p w:rsidR="000665DB" w:rsidRPr="00DF65E2" w:rsidRDefault="0036690E" w:rsidP="0036690E">
      <w:pPr>
        <w:pStyle w:val="Lgende"/>
        <w:rPr>
          <w:rFonts w:asciiTheme="majorBidi" w:hAnsiTheme="majorBidi" w:cstheme="majorBidi"/>
          <w:sz w:val="22"/>
          <w:szCs w:val="22"/>
        </w:rPr>
      </w:pPr>
      <w:bookmarkStart w:id="21" w:name="_Toc515274104"/>
      <w:r w:rsidRPr="00DF65E2">
        <w:rPr>
          <w:rFonts w:asciiTheme="majorBidi" w:hAnsiTheme="majorBidi" w:cstheme="majorBidi"/>
          <w:sz w:val="22"/>
          <w:szCs w:val="22"/>
        </w:rPr>
        <w:lastRenderedPageBreak/>
        <w:t xml:space="preserve">Graphique </w:t>
      </w:r>
      <w:r w:rsidR="001022E9" w:rsidRPr="00DF65E2">
        <w:rPr>
          <w:rFonts w:asciiTheme="majorBidi" w:hAnsiTheme="majorBidi" w:cstheme="majorBidi"/>
          <w:sz w:val="22"/>
          <w:szCs w:val="22"/>
        </w:rPr>
        <w:fldChar w:fldCharType="begin"/>
      </w:r>
      <w:r w:rsidR="00756AA5" w:rsidRPr="00DF65E2">
        <w:rPr>
          <w:rFonts w:asciiTheme="majorBidi" w:hAnsiTheme="majorBidi" w:cstheme="majorBidi"/>
          <w:sz w:val="22"/>
          <w:szCs w:val="22"/>
        </w:rPr>
        <w:instrText xml:space="preserve"> SEQ Graphique \* ARABIC </w:instrText>
      </w:r>
      <w:r w:rsidR="001022E9" w:rsidRPr="00DF65E2">
        <w:rPr>
          <w:rFonts w:asciiTheme="majorBidi" w:hAnsiTheme="majorBidi" w:cstheme="majorBidi"/>
          <w:sz w:val="22"/>
          <w:szCs w:val="22"/>
        </w:rPr>
        <w:fldChar w:fldCharType="separate"/>
      </w:r>
      <w:r w:rsidR="00156FC8">
        <w:rPr>
          <w:rFonts w:asciiTheme="majorBidi" w:hAnsiTheme="majorBidi" w:cstheme="majorBidi"/>
          <w:noProof/>
          <w:sz w:val="22"/>
          <w:szCs w:val="22"/>
        </w:rPr>
        <w:t>1</w:t>
      </w:r>
      <w:r w:rsidR="001022E9" w:rsidRPr="00DF65E2">
        <w:rPr>
          <w:rFonts w:asciiTheme="majorBidi" w:hAnsiTheme="majorBidi" w:cstheme="majorBidi"/>
          <w:sz w:val="22"/>
          <w:szCs w:val="22"/>
        </w:rPr>
        <w:fldChar w:fldCharType="end"/>
      </w:r>
      <w:r w:rsidRPr="00DF65E2">
        <w:rPr>
          <w:rFonts w:asciiTheme="majorBidi" w:hAnsiTheme="majorBidi" w:cstheme="majorBidi"/>
          <w:sz w:val="22"/>
          <w:szCs w:val="22"/>
        </w:rPr>
        <w:t xml:space="preserve"> : </w:t>
      </w:r>
      <w:r w:rsidR="000665DB" w:rsidRPr="00DF65E2">
        <w:rPr>
          <w:rFonts w:asciiTheme="majorBidi" w:hAnsiTheme="majorBidi" w:cstheme="majorBidi"/>
          <w:sz w:val="22"/>
          <w:szCs w:val="22"/>
        </w:rPr>
        <w:t>IPC général  par ville en 2016 et 2017</w:t>
      </w:r>
      <w:bookmarkEnd w:id="21"/>
    </w:p>
    <w:p w:rsidR="00363237" w:rsidRDefault="000665DB" w:rsidP="00777D90">
      <w:pPr>
        <w:spacing w:before="240" w:after="240" w:line="240" w:lineRule="auto"/>
        <w:jc w:val="both"/>
        <w:rPr>
          <w:rFonts w:asciiTheme="majorBidi" w:hAnsiTheme="majorBidi" w:cstheme="majorBidi"/>
          <w:sz w:val="24"/>
          <w:szCs w:val="24"/>
        </w:rPr>
      </w:pPr>
      <w:r w:rsidRPr="00455F18">
        <w:rPr>
          <w:rFonts w:asciiTheme="majorBidi" w:hAnsiTheme="majorBidi" w:cstheme="majorBidi"/>
          <w:noProof/>
          <w:lang w:eastAsia="fr-FR"/>
        </w:rPr>
        <w:drawing>
          <wp:inline distT="0" distB="0" distL="0" distR="0">
            <wp:extent cx="5724525" cy="2952750"/>
            <wp:effectExtent l="19050" t="0" r="9525"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B2FBA" w:rsidRDefault="006B2FBA" w:rsidP="00F52873">
      <w:pPr>
        <w:spacing w:before="240" w:after="240" w:line="240" w:lineRule="auto"/>
        <w:jc w:val="both"/>
        <w:rPr>
          <w:rFonts w:asciiTheme="majorBidi" w:hAnsiTheme="majorBidi" w:cstheme="majorBidi"/>
          <w:sz w:val="24"/>
          <w:szCs w:val="24"/>
        </w:rPr>
      </w:pPr>
      <w:r w:rsidRPr="009C15D0">
        <w:rPr>
          <w:rFonts w:asciiTheme="majorBidi" w:hAnsiTheme="majorBidi" w:cstheme="majorBidi"/>
          <w:sz w:val="24"/>
          <w:szCs w:val="24"/>
        </w:rPr>
        <w:t>En termes d’inflation générale, on note que</w:t>
      </w:r>
      <w:r w:rsidR="007156BC">
        <w:rPr>
          <w:rFonts w:asciiTheme="majorBidi" w:hAnsiTheme="majorBidi" w:cstheme="majorBidi"/>
          <w:sz w:val="24"/>
          <w:szCs w:val="24"/>
        </w:rPr>
        <w:t xml:space="preserve"> la ville de Laayoune a enregistré le taux d’inflation le plus élevé au Maroc avec 2%</w:t>
      </w:r>
      <w:r w:rsidR="00F52873">
        <w:rPr>
          <w:rFonts w:asciiTheme="majorBidi" w:hAnsiTheme="majorBidi" w:cstheme="majorBidi"/>
          <w:sz w:val="24"/>
          <w:szCs w:val="24"/>
        </w:rPr>
        <w:t xml:space="preserve"> entre</w:t>
      </w:r>
      <w:r w:rsidR="007156BC">
        <w:rPr>
          <w:rFonts w:asciiTheme="majorBidi" w:hAnsiTheme="majorBidi" w:cstheme="majorBidi"/>
          <w:sz w:val="24"/>
          <w:szCs w:val="24"/>
        </w:rPr>
        <w:t xml:space="preserve"> </w:t>
      </w:r>
      <w:r w:rsidR="00F52873">
        <w:rPr>
          <w:rFonts w:asciiTheme="majorBidi" w:hAnsiTheme="majorBidi" w:cstheme="majorBidi"/>
          <w:sz w:val="24"/>
          <w:szCs w:val="24"/>
        </w:rPr>
        <w:t xml:space="preserve">2016 et 2017. Cependant,  </w:t>
      </w:r>
      <w:r w:rsidRPr="009C15D0">
        <w:rPr>
          <w:rFonts w:asciiTheme="majorBidi" w:hAnsiTheme="majorBidi" w:cstheme="majorBidi"/>
          <w:sz w:val="24"/>
          <w:szCs w:val="24"/>
        </w:rPr>
        <w:t xml:space="preserve">Kenitra est </w:t>
      </w:r>
      <w:r w:rsidR="00F52873">
        <w:rPr>
          <w:rFonts w:asciiTheme="majorBidi" w:hAnsiTheme="majorBidi" w:cstheme="majorBidi"/>
          <w:sz w:val="24"/>
          <w:szCs w:val="24"/>
        </w:rPr>
        <w:t xml:space="preserve">classée </w:t>
      </w:r>
      <w:r w:rsidR="007156BC">
        <w:rPr>
          <w:rFonts w:asciiTheme="majorBidi" w:hAnsiTheme="majorBidi" w:cstheme="majorBidi"/>
          <w:sz w:val="24"/>
          <w:szCs w:val="24"/>
        </w:rPr>
        <w:t>parmi les villes qui ont</w:t>
      </w:r>
      <w:r>
        <w:rPr>
          <w:rFonts w:asciiTheme="majorBidi" w:hAnsiTheme="majorBidi" w:cstheme="majorBidi"/>
          <w:sz w:val="24"/>
          <w:szCs w:val="24"/>
        </w:rPr>
        <w:t xml:space="preserve"> </w:t>
      </w:r>
      <w:r w:rsidR="007156BC">
        <w:rPr>
          <w:rFonts w:asciiTheme="majorBidi" w:hAnsiTheme="majorBidi" w:cstheme="majorBidi"/>
          <w:sz w:val="24"/>
          <w:szCs w:val="24"/>
        </w:rPr>
        <w:t>connu une faible variation d</w:t>
      </w:r>
      <w:r w:rsidR="00F52873">
        <w:rPr>
          <w:rFonts w:asciiTheme="majorBidi" w:hAnsiTheme="majorBidi" w:cstheme="majorBidi"/>
          <w:sz w:val="24"/>
          <w:szCs w:val="24"/>
        </w:rPr>
        <w:t>e leur</w:t>
      </w:r>
      <w:r w:rsidR="007156BC">
        <w:rPr>
          <w:rFonts w:asciiTheme="majorBidi" w:hAnsiTheme="majorBidi" w:cstheme="majorBidi"/>
          <w:sz w:val="24"/>
          <w:szCs w:val="24"/>
        </w:rPr>
        <w:t xml:space="preserve"> niveau général des prix, soit 0,4% contre 0,8% </w:t>
      </w:r>
      <w:r>
        <w:rPr>
          <w:rFonts w:asciiTheme="majorBidi" w:hAnsiTheme="majorBidi" w:cstheme="majorBidi"/>
          <w:sz w:val="24"/>
          <w:szCs w:val="24"/>
        </w:rPr>
        <w:t>au niveau national.</w:t>
      </w:r>
    </w:p>
    <w:p w:rsidR="006B2FBA" w:rsidRDefault="006B2FBA" w:rsidP="00AF6D2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est à souligner que l’inflation </w:t>
      </w:r>
      <w:r w:rsidR="007156BC">
        <w:rPr>
          <w:rFonts w:asciiTheme="majorBidi" w:hAnsiTheme="majorBidi" w:cstheme="majorBidi"/>
          <w:sz w:val="24"/>
          <w:szCs w:val="24"/>
        </w:rPr>
        <w:t>dépasse</w:t>
      </w:r>
      <w:r>
        <w:rPr>
          <w:rFonts w:asciiTheme="majorBidi" w:hAnsiTheme="majorBidi" w:cstheme="majorBidi"/>
          <w:sz w:val="24"/>
          <w:szCs w:val="24"/>
        </w:rPr>
        <w:t xml:space="preserve"> la moyenne nationale dans </w:t>
      </w:r>
      <w:r w:rsidR="007156BC">
        <w:rPr>
          <w:rFonts w:asciiTheme="majorBidi" w:hAnsiTheme="majorBidi" w:cstheme="majorBidi"/>
          <w:sz w:val="24"/>
          <w:szCs w:val="24"/>
        </w:rPr>
        <w:t>hui</w:t>
      </w:r>
      <w:r>
        <w:rPr>
          <w:rFonts w:asciiTheme="majorBidi" w:hAnsiTheme="majorBidi" w:cstheme="majorBidi"/>
          <w:sz w:val="24"/>
          <w:szCs w:val="24"/>
        </w:rPr>
        <w:t>t villes tandis qu</w:t>
      </w:r>
      <w:r w:rsidR="00AF6D2F">
        <w:rPr>
          <w:rFonts w:asciiTheme="majorBidi" w:hAnsiTheme="majorBidi" w:cstheme="majorBidi"/>
          <w:sz w:val="24"/>
          <w:szCs w:val="24"/>
        </w:rPr>
        <w:t xml:space="preserve">’elle </w:t>
      </w:r>
      <w:r>
        <w:rPr>
          <w:rFonts w:asciiTheme="majorBidi" w:hAnsiTheme="majorBidi" w:cstheme="majorBidi"/>
          <w:sz w:val="24"/>
          <w:szCs w:val="24"/>
        </w:rPr>
        <w:t xml:space="preserve"> </w:t>
      </w:r>
      <w:r w:rsidR="007156BC">
        <w:rPr>
          <w:rFonts w:asciiTheme="majorBidi" w:hAnsiTheme="majorBidi" w:cstheme="majorBidi"/>
          <w:sz w:val="24"/>
          <w:szCs w:val="24"/>
        </w:rPr>
        <w:t>est</w:t>
      </w:r>
      <w:r>
        <w:rPr>
          <w:rFonts w:asciiTheme="majorBidi" w:hAnsiTheme="majorBidi" w:cstheme="majorBidi"/>
          <w:sz w:val="24"/>
          <w:szCs w:val="24"/>
        </w:rPr>
        <w:t xml:space="preserve"> comprise entre -0,</w:t>
      </w:r>
      <w:r w:rsidR="007156BC">
        <w:rPr>
          <w:rFonts w:asciiTheme="majorBidi" w:hAnsiTheme="majorBidi" w:cstheme="majorBidi"/>
          <w:sz w:val="24"/>
          <w:szCs w:val="24"/>
        </w:rPr>
        <w:t>1</w:t>
      </w:r>
      <w:r>
        <w:rPr>
          <w:rFonts w:asciiTheme="majorBidi" w:hAnsiTheme="majorBidi" w:cstheme="majorBidi"/>
          <w:sz w:val="24"/>
          <w:szCs w:val="24"/>
        </w:rPr>
        <w:t>% et 0,8%</w:t>
      </w:r>
      <w:r w:rsidR="00AF6D2F">
        <w:rPr>
          <w:rFonts w:asciiTheme="majorBidi" w:hAnsiTheme="majorBidi" w:cstheme="majorBidi"/>
          <w:sz w:val="24"/>
          <w:szCs w:val="24"/>
        </w:rPr>
        <w:t xml:space="preserve"> dans les autres villes</w:t>
      </w:r>
      <w:r>
        <w:rPr>
          <w:rFonts w:asciiTheme="majorBidi" w:hAnsiTheme="majorBidi" w:cstheme="majorBidi"/>
          <w:sz w:val="24"/>
          <w:szCs w:val="24"/>
        </w:rPr>
        <w:t>.</w:t>
      </w:r>
    </w:p>
    <w:p w:rsidR="00002361" w:rsidRDefault="00002361" w:rsidP="00002361">
      <w:pPr>
        <w:pStyle w:val="Lgende"/>
        <w:rPr>
          <w:rFonts w:ascii="Times New Roman" w:hAnsi="Times New Roman" w:cstheme="majorBidi"/>
          <w:bCs w:val="0"/>
          <w:color w:val="548DD4" w:themeColor="text2" w:themeTint="99"/>
          <w:sz w:val="22"/>
          <w:szCs w:val="24"/>
        </w:rPr>
      </w:pPr>
      <w:bookmarkStart w:id="22" w:name="_Toc515274105"/>
      <w:r>
        <w:t xml:space="preserve">Graphique </w:t>
      </w:r>
      <w:fldSimple w:instr=" SEQ Graphique \* ARABIC ">
        <w:r w:rsidR="00156FC8">
          <w:rPr>
            <w:noProof/>
          </w:rPr>
          <w:t>2</w:t>
        </w:r>
      </w:fldSimple>
      <w:r w:rsidRPr="00DF65E2">
        <w:rPr>
          <w:rFonts w:ascii="Times New Roman" w:hAnsi="Times New Roman"/>
          <w:sz w:val="22"/>
        </w:rPr>
        <w:t xml:space="preserve"> : </w:t>
      </w:r>
      <w:r w:rsidRPr="00DF65E2">
        <w:rPr>
          <w:rFonts w:ascii="Times New Roman" w:hAnsi="Times New Roman" w:cstheme="majorBidi"/>
          <w:bCs w:val="0"/>
          <w:color w:val="548DD4" w:themeColor="text2" w:themeTint="99"/>
          <w:sz w:val="22"/>
          <w:szCs w:val="24"/>
        </w:rPr>
        <w:t>Inflation générale par ville (en %) -Année 2017-</w:t>
      </w:r>
      <w:bookmarkEnd w:id="22"/>
    </w:p>
    <w:p w:rsidR="00777D90" w:rsidRDefault="005F4D1E" w:rsidP="00002361">
      <w:pPr>
        <w:pStyle w:val="Lgende"/>
        <w:rPr>
          <w:rFonts w:asciiTheme="majorBidi" w:hAnsiTheme="majorBidi" w:cstheme="majorBidi"/>
        </w:rPr>
      </w:pPr>
      <w:r w:rsidRPr="005F4D1E">
        <w:rPr>
          <w:rFonts w:asciiTheme="majorBidi" w:hAnsiTheme="majorBidi" w:cstheme="majorBidi"/>
          <w:noProof/>
          <w:lang w:eastAsia="fr-FR"/>
        </w:rPr>
        <w:drawing>
          <wp:inline distT="0" distB="0" distL="0" distR="0">
            <wp:extent cx="5724525" cy="3152775"/>
            <wp:effectExtent l="19050" t="0" r="9525"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54C35" w:rsidRPr="000665DB" w:rsidRDefault="00754C35" w:rsidP="00586B08">
      <w:pPr>
        <w:pStyle w:val="Titre2"/>
        <w:rPr>
          <w:rFonts w:asciiTheme="majorBidi" w:hAnsiTheme="majorBidi"/>
          <w:color w:val="0070C0"/>
        </w:rPr>
      </w:pPr>
      <w:bookmarkStart w:id="23" w:name="_Toc515274008"/>
      <w:r w:rsidRPr="000665DB">
        <w:rPr>
          <w:rFonts w:asciiTheme="majorBidi" w:hAnsiTheme="majorBidi"/>
          <w:color w:val="0070C0"/>
        </w:rPr>
        <w:lastRenderedPageBreak/>
        <w:t>II</w:t>
      </w:r>
      <w:r w:rsidR="00586B08" w:rsidRPr="000665DB">
        <w:rPr>
          <w:rFonts w:asciiTheme="majorBidi" w:hAnsiTheme="majorBidi"/>
          <w:color w:val="0070C0"/>
        </w:rPr>
        <w:t>I</w:t>
      </w:r>
      <w:r w:rsidRPr="000665DB">
        <w:rPr>
          <w:rFonts w:asciiTheme="majorBidi" w:hAnsiTheme="majorBidi"/>
          <w:color w:val="0070C0"/>
        </w:rPr>
        <w:t>-2 Evolution mensuelle de l’IPC (base100 :2006) en 201</w:t>
      </w:r>
      <w:r w:rsidR="00F91653" w:rsidRPr="000665DB">
        <w:rPr>
          <w:rFonts w:asciiTheme="majorBidi" w:hAnsiTheme="majorBidi"/>
          <w:color w:val="0070C0"/>
        </w:rPr>
        <w:t>7</w:t>
      </w:r>
      <w:bookmarkEnd w:id="23"/>
    </w:p>
    <w:p w:rsidR="00754C35" w:rsidRPr="000665DB" w:rsidRDefault="00754C35" w:rsidP="00586B08">
      <w:pPr>
        <w:pStyle w:val="Titre3"/>
        <w:rPr>
          <w:rFonts w:asciiTheme="majorBidi" w:hAnsiTheme="majorBidi"/>
          <w:color w:val="0070C0"/>
          <w:sz w:val="24"/>
          <w:szCs w:val="24"/>
        </w:rPr>
      </w:pPr>
      <w:bookmarkStart w:id="24" w:name="_Toc515274009"/>
      <w:r w:rsidRPr="000665DB">
        <w:rPr>
          <w:rFonts w:asciiTheme="majorBidi" w:hAnsiTheme="majorBidi"/>
          <w:color w:val="0070C0"/>
          <w:sz w:val="24"/>
          <w:szCs w:val="24"/>
        </w:rPr>
        <w:t>II</w:t>
      </w:r>
      <w:r w:rsidR="00586B08" w:rsidRPr="000665DB">
        <w:rPr>
          <w:rFonts w:asciiTheme="majorBidi" w:hAnsiTheme="majorBidi"/>
          <w:color w:val="0070C0"/>
          <w:sz w:val="24"/>
          <w:szCs w:val="24"/>
        </w:rPr>
        <w:t>I</w:t>
      </w:r>
      <w:r w:rsidRPr="000665DB">
        <w:rPr>
          <w:rFonts w:asciiTheme="majorBidi" w:hAnsiTheme="majorBidi"/>
          <w:color w:val="0070C0"/>
          <w:sz w:val="24"/>
          <w:szCs w:val="24"/>
        </w:rPr>
        <w:t>-2-</w:t>
      </w:r>
      <w:r w:rsidR="006536C2" w:rsidRPr="000665DB">
        <w:rPr>
          <w:rFonts w:asciiTheme="majorBidi" w:hAnsiTheme="majorBidi"/>
          <w:color w:val="0070C0"/>
          <w:sz w:val="24"/>
          <w:szCs w:val="24"/>
        </w:rPr>
        <w:t>1</w:t>
      </w:r>
      <w:r w:rsidRPr="000665DB">
        <w:rPr>
          <w:rFonts w:asciiTheme="majorBidi" w:hAnsiTheme="majorBidi"/>
          <w:color w:val="0070C0"/>
          <w:sz w:val="24"/>
          <w:szCs w:val="24"/>
        </w:rPr>
        <w:t xml:space="preserve"> Comparaison entre l’IPC général de Kenitra et celui du Maroc en 201</w:t>
      </w:r>
      <w:r w:rsidR="00F91653" w:rsidRPr="000665DB">
        <w:rPr>
          <w:rFonts w:asciiTheme="majorBidi" w:hAnsiTheme="majorBidi"/>
          <w:color w:val="0070C0"/>
          <w:sz w:val="24"/>
          <w:szCs w:val="24"/>
        </w:rPr>
        <w:t>7</w:t>
      </w:r>
      <w:bookmarkEnd w:id="24"/>
    </w:p>
    <w:p w:rsidR="00754C35" w:rsidRDefault="00754C35" w:rsidP="00A574D2">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cours de l’année 201</w:t>
      </w:r>
      <w:r w:rsidR="00F52873">
        <w:rPr>
          <w:rFonts w:asciiTheme="majorBidi" w:hAnsiTheme="majorBidi" w:cstheme="majorBidi"/>
          <w:sz w:val="24"/>
          <w:szCs w:val="24"/>
        </w:rPr>
        <w:t>7</w:t>
      </w:r>
      <w:r>
        <w:rPr>
          <w:rFonts w:asciiTheme="majorBidi" w:hAnsiTheme="majorBidi" w:cstheme="majorBidi"/>
          <w:sz w:val="24"/>
          <w:szCs w:val="24"/>
        </w:rPr>
        <w:t>, l’IPC général du Maroc a atteint des niveaux supérieurs à ceux enregistrés par la ville de Kenitra avec des écarts absolus allant de 0,</w:t>
      </w:r>
      <w:r w:rsidR="00A574D2">
        <w:rPr>
          <w:rFonts w:asciiTheme="majorBidi" w:hAnsiTheme="majorBidi" w:cstheme="majorBidi"/>
          <w:sz w:val="24"/>
          <w:szCs w:val="24"/>
        </w:rPr>
        <w:t>9</w:t>
      </w:r>
      <w:r>
        <w:rPr>
          <w:rFonts w:asciiTheme="majorBidi" w:hAnsiTheme="majorBidi" w:cstheme="majorBidi"/>
          <w:sz w:val="24"/>
          <w:szCs w:val="24"/>
        </w:rPr>
        <w:t xml:space="preserve"> point en </w:t>
      </w:r>
      <w:r w:rsidR="00A574D2">
        <w:rPr>
          <w:rFonts w:asciiTheme="majorBidi" w:hAnsiTheme="majorBidi" w:cstheme="majorBidi"/>
          <w:sz w:val="24"/>
          <w:szCs w:val="24"/>
        </w:rPr>
        <w:t>Mars</w:t>
      </w:r>
      <w:r>
        <w:rPr>
          <w:rFonts w:asciiTheme="majorBidi" w:hAnsiTheme="majorBidi" w:cstheme="majorBidi"/>
          <w:sz w:val="24"/>
          <w:szCs w:val="24"/>
        </w:rPr>
        <w:t xml:space="preserve"> à </w:t>
      </w:r>
      <w:r w:rsidR="00A574D2">
        <w:rPr>
          <w:rFonts w:asciiTheme="majorBidi" w:hAnsiTheme="majorBidi" w:cstheme="majorBidi"/>
          <w:sz w:val="24"/>
          <w:szCs w:val="24"/>
        </w:rPr>
        <w:t>1</w:t>
      </w:r>
      <w:r>
        <w:rPr>
          <w:rFonts w:asciiTheme="majorBidi" w:hAnsiTheme="majorBidi" w:cstheme="majorBidi"/>
          <w:sz w:val="24"/>
          <w:szCs w:val="24"/>
        </w:rPr>
        <w:t xml:space="preserve">,9 point en </w:t>
      </w:r>
      <w:r w:rsidR="00A574D2">
        <w:rPr>
          <w:rFonts w:asciiTheme="majorBidi" w:hAnsiTheme="majorBidi" w:cstheme="majorBidi"/>
          <w:sz w:val="24"/>
          <w:szCs w:val="24"/>
        </w:rPr>
        <w:t>Août</w:t>
      </w:r>
      <w:r>
        <w:rPr>
          <w:rFonts w:asciiTheme="majorBidi" w:hAnsiTheme="majorBidi" w:cstheme="majorBidi"/>
          <w:sz w:val="24"/>
          <w:szCs w:val="24"/>
        </w:rPr>
        <w:t>.</w:t>
      </w:r>
    </w:p>
    <w:p w:rsidR="00754C35" w:rsidRPr="004F7C81" w:rsidRDefault="00754C35" w:rsidP="004F7C81">
      <w:pPr>
        <w:spacing w:before="240" w:after="240" w:line="240" w:lineRule="auto"/>
        <w:jc w:val="both"/>
        <w:rPr>
          <w:rFonts w:asciiTheme="majorBidi" w:hAnsiTheme="majorBidi" w:cstheme="majorBidi"/>
          <w:color w:val="000000" w:themeColor="text1"/>
          <w:sz w:val="24"/>
          <w:szCs w:val="24"/>
        </w:rPr>
      </w:pPr>
      <w:r w:rsidRPr="004F7C81">
        <w:rPr>
          <w:rFonts w:asciiTheme="majorBidi" w:hAnsiTheme="majorBidi" w:cstheme="majorBidi"/>
          <w:color w:val="000000" w:themeColor="text1"/>
          <w:sz w:val="24"/>
          <w:szCs w:val="24"/>
        </w:rPr>
        <w:t>Il y a lieu de signaler que ces écarts entre les niveaux des indices au Maroc et à Kenitra sont caractérisés par une évolution cyclique</w:t>
      </w:r>
      <w:r w:rsidR="00D55F5A" w:rsidRPr="004F7C81">
        <w:rPr>
          <w:rFonts w:asciiTheme="majorBidi" w:hAnsiTheme="majorBidi" w:cstheme="majorBidi"/>
          <w:color w:val="000000" w:themeColor="text1"/>
          <w:sz w:val="24"/>
          <w:szCs w:val="24"/>
        </w:rPr>
        <w:t xml:space="preserve"> irrégulière au cours</w:t>
      </w:r>
      <w:r w:rsidRPr="004F7C81">
        <w:rPr>
          <w:rFonts w:asciiTheme="majorBidi" w:hAnsiTheme="majorBidi" w:cstheme="majorBidi"/>
          <w:color w:val="000000" w:themeColor="text1"/>
          <w:sz w:val="24"/>
          <w:szCs w:val="24"/>
        </w:rPr>
        <w:t xml:space="preserve"> de l’année 201</w:t>
      </w:r>
      <w:r w:rsidR="00F52873" w:rsidRPr="004F7C81">
        <w:rPr>
          <w:rFonts w:asciiTheme="majorBidi" w:hAnsiTheme="majorBidi" w:cstheme="majorBidi"/>
          <w:color w:val="000000" w:themeColor="text1"/>
          <w:sz w:val="24"/>
          <w:szCs w:val="24"/>
        </w:rPr>
        <w:t>7</w:t>
      </w:r>
      <w:r w:rsidRPr="004F7C81">
        <w:rPr>
          <w:rFonts w:asciiTheme="majorBidi" w:hAnsiTheme="majorBidi" w:cstheme="majorBidi"/>
          <w:color w:val="000000" w:themeColor="text1"/>
          <w:sz w:val="24"/>
          <w:szCs w:val="24"/>
        </w:rPr>
        <w:t xml:space="preserve">. </w:t>
      </w:r>
      <w:r w:rsidR="00D55F5A" w:rsidRPr="004F7C81">
        <w:rPr>
          <w:rFonts w:asciiTheme="majorBidi" w:hAnsiTheme="majorBidi" w:cstheme="majorBidi"/>
          <w:color w:val="000000" w:themeColor="text1"/>
          <w:sz w:val="24"/>
          <w:szCs w:val="24"/>
        </w:rPr>
        <w:t>En effet, u</w:t>
      </w:r>
      <w:r w:rsidRPr="004F7C81">
        <w:rPr>
          <w:rFonts w:asciiTheme="majorBidi" w:hAnsiTheme="majorBidi" w:cstheme="majorBidi"/>
          <w:color w:val="000000" w:themeColor="text1"/>
          <w:sz w:val="24"/>
          <w:szCs w:val="24"/>
        </w:rPr>
        <w:t xml:space="preserve">ne tendance à la baisse </w:t>
      </w:r>
      <w:r w:rsidR="006536C2" w:rsidRPr="004F7C81">
        <w:rPr>
          <w:rFonts w:asciiTheme="majorBidi" w:hAnsiTheme="majorBidi" w:cstheme="majorBidi"/>
          <w:color w:val="000000" w:themeColor="text1"/>
          <w:sz w:val="24"/>
          <w:szCs w:val="24"/>
        </w:rPr>
        <w:t xml:space="preserve">de ces écarts, </w:t>
      </w:r>
      <w:r w:rsidRPr="004F7C81">
        <w:rPr>
          <w:rFonts w:asciiTheme="majorBidi" w:hAnsiTheme="majorBidi" w:cstheme="majorBidi"/>
          <w:color w:val="000000" w:themeColor="text1"/>
          <w:sz w:val="24"/>
          <w:szCs w:val="24"/>
        </w:rPr>
        <w:t xml:space="preserve">a été enregistrée </w:t>
      </w:r>
      <w:r w:rsidR="00D55F5A" w:rsidRPr="004F7C81">
        <w:rPr>
          <w:rFonts w:asciiTheme="majorBidi" w:hAnsiTheme="majorBidi" w:cstheme="majorBidi"/>
          <w:color w:val="000000" w:themeColor="text1"/>
          <w:sz w:val="24"/>
          <w:szCs w:val="24"/>
        </w:rPr>
        <w:t>durant le premier trimestre</w:t>
      </w:r>
      <w:r w:rsidRPr="004F7C81">
        <w:rPr>
          <w:rFonts w:asciiTheme="majorBidi" w:hAnsiTheme="majorBidi" w:cstheme="majorBidi"/>
          <w:color w:val="000000" w:themeColor="text1"/>
          <w:sz w:val="24"/>
          <w:szCs w:val="24"/>
        </w:rPr>
        <w:t xml:space="preserve"> et qui va de </w:t>
      </w:r>
      <w:r w:rsidR="00D55F5A" w:rsidRPr="004F7C81">
        <w:rPr>
          <w:rFonts w:asciiTheme="majorBidi" w:hAnsiTheme="majorBidi" w:cstheme="majorBidi"/>
          <w:color w:val="000000" w:themeColor="text1"/>
          <w:sz w:val="24"/>
          <w:szCs w:val="24"/>
        </w:rPr>
        <w:t>1</w:t>
      </w:r>
      <w:r w:rsidRPr="004F7C81">
        <w:rPr>
          <w:rFonts w:asciiTheme="majorBidi" w:hAnsiTheme="majorBidi" w:cstheme="majorBidi"/>
          <w:color w:val="000000" w:themeColor="text1"/>
          <w:sz w:val="24"/>
          <w:szCs w:val="24"/>
        </w:rPr>
        <w:t>,</w:t>
      </w:r>
      <w:r w:rsidR="00D55F5A" w:rsidRPr="004F7C81">
        <w:rPr>
          <w:rFonts w:asciiTheme="majorBidi" w:hAnsiTheme="majorBidi" w:cstheme="majorBidi"/>
          <w:color w:val="000000" w:themeColor="text1"/>
          <w:sz w:val="24"/>
          <w:szCs w:val="24"/>
        </w:rPr>
        <w:t>3</w:t>
      </w:r>
      <w:r w:rsidRPr="004F7C81">
        <w:rPr>
          <w:rFonts w:asciiTheme="majorBidi" w:hAnsiTheme="majorBidi" w:cstheme="majorBidi"/>
          <w:color w:val="000000" w:themeColor="text1"/>
          <w:sz w:val="24"/>
          <w:szCs w:val="24"/>
        </w:rPr>
        <w:t xml:space="preserve"> à </w:t>
      </w:r>
      <w:r w:rsidR="00D55F5A" w:rsidRPr="004F7C81">
        <w:rPr>
          <w:rFonts w:asciiTheme="majorBidi" w:hAnsiTheme="majorBidi" w:cstheme="majorBidi"/>
          <w:color w:val="000000" w:themeColor="text1"/>
          <w:sz w:val="24"/>
          <w:szCs w:val="24"/>
        </w:rPr>
        <w:t>0</w:t>
      </w:r>
      <w:r w:rsidRPr="004F7C81">
        <w:rPr>
          <w:rFonts w:asciiTheme="majorBidi" w:hAnsiTheme="majorBidi" w:cstheme="majorBidi"/>
          <w:color w:val="000000" w:themeColor="text1"/>
          <w:sz w:val="24"/>
          <w:szCs w:val="24"/>
        </w:rPr>
        <w:t>,</w:t>
      </w:r>
      <w:r w:rsidR="00D55F5A" w:rsidRPr="004F7C81">
        <w:rPr>
          <w:rFonts w:asciiTheme="majorBidi" w:hAnsiTheme="majorBidi" w:cstheme="majorBidi"/>
          <w:color w:val="000000" w:themeColor="text1"/>
          <w:sz w:val="24"/>
          <w:szCs w:val="24"/>
        </w:rPr>
        <w:t>9 points. A partir du mois d’Avril,</w:t>
      </w:r>
      <w:r w:rsidRPr="004F7C81">
        <w:rPr>
          <w:rFonts w:asciiTheme="majorBidi" w:hAnsiTheme="majorBidi" w:cstheme="majorBidi"/>
          <w:color w:val="000000" w:themeColor="text1"/>
          <w:sz w:val="24"/>
          <w:szCs w:val="24"/>
        </w:rPr>
        <w:t xml:space="preserve"> l’écart absolu a repris son ascension jusqu’</w:t>
      </w:r>
      <w:r w:rsidR="00D55F5A" w:rsidRPr="004F7C81">
        <w:rPr>
          <w:rFonts w:asciiTheme="majorBidi" w:hAnsiTheme="majorBidi" w:cstheme="majorBidi"/>
          <w:color w:val="000000" w:themeColor="text1"/>
          <w:sz w:val="24"/>
          <w:szCs w:val="24"/>
        </w:rPr>
        <w:t>au mois d’Août</w:t>
      </w:r>
      <w:r w:rsidRPr="004F7C81">
        <w:rPr>
          <w:rFonts w:asciiTheme="majorBidi" w:hAnsiTheme="majorBidi" w:cstheme="majorBidi"/>
          <w:color w:val="000000" w:themeColor="text1"/>
          <w:sz w:val="24"/>
          <w:szCs w:val="24"/>
        </w:rPr>
        <w:t xml:space="preserve"> </w:t>
      </w:r>
      <w:r w:rsidR="00D55F5A" w:rsidRPr="004F7C81">
        <w:rPr>
          <w:rFonts w:asciiTheme="majorBidi" w:hAnsiTheme="majorBidi" w:cstheme="majorBidi"/>
          <w:color w:val="000000" w:themeColor="text1"/>
          <w:sz w:val="24"/>
          <w:szCs w:val="24"/>
        </w:rPr>
        <w:t>où i</w:t>
      </w:r>
      <w:r w:rsidR="00210E4B">
        <w:rPr>
          <w:rFonts w:asciiTheme="majorBidi" w:hAnsiTheme="majorBidi" w:cstheme="majorBidi"/>
          <w:color w:val="000000" w:themeColor="text1"/>
          <w:sz w:val="24"/>
          <w:szCs w:val="24"/>
        </w:rPr>
        <w:t>l</w:t>
      </w:r>
      <w:r w:rsidR="00D55F5A" w:rsidRPr="004F7C81">
        <w:rPr>
          <w:rFonts w:asciiTheme="majorBidi" w:hAnsiTheme="majorBidi" w:cstheme="majorBidi"/>
          <w:color w:val="000000" w:themeColor="text1"/>
          <w:sz w:val="24"/>
          <w:szCs w:val="24"/>
        </w:rPr>
        <w:t xml:space="preserve"> a </w:t>
      </w:r>
      <w:r w:rsidRPr="004F7C81">
        <w:rPr>
          <w:rFonts w:asciiTheme="majorBidi" w:hAnsiTheme="majorBidi" w:cstheme="majorBidi"/>
          <w:color w:val="000000" w:themeColor="text1"/>
          <w:sz w:val="24"/>
          <w:szCs w:val="24"/>
        </w:rPr>
        <w:t>attein</w:t>
      </w:r>
      <w:r w:rsidR="00D55F5A" w:rsidRPr="004F7C81">
        <w:rPr>
          <w:rFonts w:asciiTheme="majorBidi" w:hAnsiTheme="majorBidi" w:cstheme="majorBidi"/>
          <w:color w:val="000000" w:themeColor="text1"/>
          <w:sz w:val="24"/>
          <w:szCs w:val="24"/>
        </w:rPr>
        <w:t>t</w:t>
      </w:r>
      <w:r w:rsidRPr="004F7C81">
        <w:rPr>
          <w:rFonts w:asciiTheme="majorBidi" w:hAnsiTheme="majorBidi" w:cstheme="majorBidi"/>
          <w:color w:val="000000" w:themeColor="text1"/>
          <w:sz w:val="24"/>
          <w:szCs w:val="24"/>
        </w:rPr>
        <w:t xml:space="preserve"> son </w:t>
      </w:r>
      <w:r w:rsidR="00D55F5A" w:rsidRPr="004F7C81">
        <w:rPr>
          <w:rFonts w:asciiTheme="majorBidi" w:hAnsiTheme="majorBidi" w:cstheme="majorBidi"/>
          <w:color w:val="000000" w:themeColor="text1"/>
          <w:sz w:val="24"/>
          <w:szCs w:val="24"/>
        </w:rPr>
        <w:t>maximum, soit 1,9 points</w:t>
      </w:r>
      <w:r w:rsidRPr="004F7C81">
        <w:rPr>
          <w:rFonts w:asciiTheme="majorBidi" w:hAnsiTheme="majorBidi" w:cstheme="majorBidi"/>
          <w:color w:val="000000" w:themeColor="text1"/>
          <w:sz w:val="24"/>
          <w:szCs w:val="24"/>
        </w:rPr>
        <w:t>.</w:t>
      </w:r>
      <w:r w:rsidR="00D55F5A" w:rsidRPr="004F7C81">
        <w:rPr>
          <w:rFonts w:asciiTheme="majorBidi" w:hAnsiTheme="majorBidi" w:cstheme="majorBidi"/>
          <w:color w:val="000000" w:themeColor="text1"/>
          <w:sz w:val="24"/>
          <w:szCs w:val="24"/>
        </w:rPr>
        <w:t xml:space="preserve"> A partir de Septembre</w:t>
      </w:r>
      <w:r w:rsidRPr="004F7C81">
        <w:rPr>
          <w:rFonts w:asciiTheme="majorBidi" w:hAnsiTheme="majorBidi" w:cstheme="majorBidi"/>
          <w:color w:val="000000" w:themeColor="text1"/>
          <w:sz w:val="24"/>
          <w:szCs w:val="24"/>
        </w:rPr>
        <w:t xml:space="preserve">, </w:t>
      </w:r>
      <w:r w:rsidR="004F7C81" w:rsidRPr="004F7C81">
        <w:rPr>
          <w:rFonts w:asciiTheme="majorBidi" w:hAnsiTheme="majorBidi" w:cstheme="majorBidi"/>
          <w:color w:val="000000" w:themeColor="text1"/>
          <w:sz w:val="24"/>
          <w:szCs w:val="24"/>
        </w:rPr>
        <w:t xml:space="preserve">l’écart absolu entre </w:t>
      </w:r>
      <w:r w:rsidRPr="004F7C81">
        <w:rPr>
          <w:rFonts w:asciiTheme="majorBidi" w:hAnsiTheme="majorBidi" w:cstheme="majorBidi"/>
          <w:color w:val="000000" w:themeColor="text1"/>
          <w:sz w:val="24"/>
          <w:szCs w:val="24"/>
        </w:rPr>
        <w:t>l’IPC du Maroc et celui de la ville de Kenitra</w:t>
      </w:r>
      <w:r w:rsidR="004F7C81" w:rsidRPr="004F7C81">
        <w:rPr>
          <w:rFonts w:asciiTheme="majorBidi" w:hAnsiTheme="majorBidi" w:cstheme="majorBidi"/>
          <w:color w:val="000000" w:themeColor="text1"/>
          <w:sz w:val="24"/>
          <w:szCs w:val="24"/>
        </w:rPr>
        <w:t xml:space="preserve"> est marqué par une alternance entre la hausse et la baisse (1,4 points en Septembre, 1,7 en Octobre, 1,5 en Novembre et 1,6 en Décembre)</w:t>
      </w:r>
      <w:r w:rsidRPr="004F7C81">
        <w:rPr>
          <w:rFonts w:asciiTheme="majorBidi" w:hAnsiTheme="majorBidi" w:cstheme="majorBidi"/>
          <w:color w:val="000000" w:themeColor="text1"/>
          <w:sz w:val="24"/>
          <w:szCs w:val="24"/>
        </w:rPr>
        <w:t>.</w:t>
      </w:r>
    </w:p>
    <w:p w:rsidR="00754C35" w:rsidRDefault="00754C35" w:rsidP="00754C3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w:t>
      </w:r>
      <w:r w:rsidR="005B044B">
        <w:rPr>
          <w:rFonts w:asciiTheme="majorBidi" w:hAnsiTheme="majorBidi" w:cstheme="majorBidi"/>
          <w:sz w:val="24"/>
          <w:szCs w:val="24"/>
        </w:rPr>
        <w:t>e</w:t>
      </w:r>
      <w:r>
        <w:rPr>
          <w:rFonts w:asciiTheme="majorBidi" w:hAnsiTheme="majorBidi" w:cstheme="majorBidi"/>
          <w:sz w:val="24"/>
          <w:szCs w:val="24"/>
        </w:rPr>
        <w:t xml:space="preserve"> à part cette fluctuation des écarts entre les deux indices, on constate que leurs niveaux généraux affichent la même tendance au cours de l’année. </w:t>
      </w:r>
    </w:p>
    <w:p w:rsidR="00DF65E2" w:rsidRPr="00DF65E2" w:rsidRDefault="00DF65E2" w:rsidP="00DF65E2">
      <w:pPr>
        <w:pStyle w:val="Lgende"/>
        <w:rPr>
          <w:rFonts w:asciiTheme="majorBidi" w:hAnsiTheme="majorBidi" w:cstheme="majorBidi"/>
          <w:sz w:val="22"/>
          <w:szCs w:val="22"/>
        </w:rPr>
      </w:pPr>
      <w:bookmarkStart w:id="25" w:name="_Toc515274024"/>
      <w:r w:rsidRPr="00DF65E2">
        <w:rPr>
          <w:rFonts w:asciiTheme="majorBidi" w:hAnsiTheme="majorBidi" w:cstheme="majorBidi"/>
          <w:sz w:val="22"/>
          <w:szCs w:val="22"/>
        </w:rPr>
        <w:t xml:space="preserve">Tableau </w:t>
      </w:r>
      <w:r w:rsidR="001022E9" w:rsidRPr="00DF65E2">
        <w:rPr>
          <w:rFonts w:asciiTheme="majorBidi" w:hAnsiTheme="majorBidi" w:cstheme="majorBidi"/>
          <w:sz w:val="22"/>
          <w:szCs w:val="22"/>
        </w:rPr>
        <w:fldChar w:fldCharType="begin"/>
      </w:r>
      <w:r w:rsidRPr="00DF65E2">
        <w:rPr>
          <w:rFonts w:asciiTheme="majorBidi" w:hAnsiTheme="majorBidi" w:cstheme="majorBidi"/>
          <w:sz w:val="22"/>
          <w:szCs w:val="22"/>
        </w:rPr>
        <w:instrText xml:space="preserve"> SEQ Tableau \* ARABIC </w:instrText>
      </w:r>
      <w:r w:rsidR="001022E9" w:rsidRPr="00DF65E2">
        <w:rPr>
          <w:rFonts w:asciiTheme="majorBidi" w:hAnsiTheme="majorBidi" w:cstheme="majorBidi"/>
          <w:sz w:val="22"/>
          <w:szCs w:val="22"/>
        </w:rPr>
        <w:fldChar w:fldCharType="separate"/>
      </w:r>
      <w:r w:rsidR="00156FC8">
        <w:rPr>
          <w:rFonts w:asciiTheme="majorBidi" w:hAnsiTheme="majorBidi" w:cstheme="majorBidi"/>
          <w:noProof/>
          <w:sz w:val="22"/>
          <w:szCs w:val="22"/>
        </w:rPr>
        <w:t>4</w:t>
      </w:r>
      <w:r w:rsidR="001022E9" w:rsidRPr="00DF65E2">
        <w:rPr>
          <w:rFonts w:asciiTheme="majorBidi" w:hAnsiTheme="majorBidi" w:cstheme="majorBidi"/>
          <w:sz w:val="22"/>
          <w:szCs w:val="22"/>
        </w:rPr>
        <w:fldChar w:fldCharType="end"/>
      </w:r>
      <w:r w:rsidRPr="00DF65E2">
        <w:rPr>
          <w:rFonts w:asciiTheme="majorBidi" w:hAnsiTheme="majorBidi" w:cstheme="majorBidi"/>
          <w:sz w:val="22"/>
          <w:szCs w:val="22"/>
        </w:rPr>
        <w:t xml:space="preserve"> : IPC général par mois </w:t>
      </w:r>
      <w:r>
        <w:rPr>
          <w:rFonts w:asciiTheme="majorBidi" w:hAnsiTheme="majorBidi" w:cstheme="majorBidi"/>
          <w:sz w:val="22"/>
          <w:szCs w:val="22"/>
        </w:rPr>
        <w:t>-</w:t>
      </w:r>
      <w:r w:rsidRPr="00DF65E2">
        <w:rPr>
          <w:rFonts w:asciiTheme="majorBidi" w:hAnsiTheme="majorBidi" w:cstheme="majorBidi"/>
          <w:sz w:val="22"/>
          <w:szCs w:val="22"/>
        </w:rPr>
        <w:t xml:space="preserve"> Année 2017-</w:t>
      </w:r>
      <w:bookmarkEnd w:id="25"/>
    </w:p>
    <w:tbl>
      <w:tblPr>
        <w:tblW w:w="4963" w:type="pct"/>
        <w:tblLayout w:type="fixed"/>
        <w:tblCellMar>
          <w:left w:w="70" w:type="dxa"/>
          <w:right w:w="70" w:type="dxa"/>
        </w:tblCellMar>
        <w:tblLook w:val="04A0"/>
      </w:tblPr>
      <w:tblGrid>
        <w:gridCol w:w="1074"/>
        <w:gridCol w:w="787"/>
        <w:gridCol w:w="585"/>
        <w:gridCol w:w="592"/>
        <w:gridCol w:w="587"/>
        <w:gridCol w:w="587"/>
        <w:gridCol w:w="587"/>
        <w:gridCol w:w="587"/>
        <w:gridCol w:w="587"/>
        <w:gridCol w:w="587"/>
        <w:gridCol w:w="587"/>
        <w:gridCol w:w="587"/>
        <w:gridCol w:w="587"/>
        <w:gridCol w:w="964"/>
      </w:tblGrid>
      <w:tr w:rsidR="005117CA" w:rsidRPr="00761596" w:rsidTr="00DF65E2">
        <w:trPr>
          <w:trHeight w:val="525"/>
        </w:trPr>
        <w:tc>
          <w:tcPr>
            <w:tcW w:w="578" w:type="pct"/>
            <w:tcBorders>
              <w:left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 </w:t>
            </w:r>
          </w:p>
        </w:tc>
        <w:tc>
          <w:tcPr>
            <w:tcW w:w="424"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Jan</w:t>
            </w:r>
          </w:p>
        </w:tc>
        <w:tc>
          <w:tcPr>
            <w:tcW w:w="315"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Fev</w:t>
            </w:r>
          </w:p>
        </w:tc>
        <w:tc>
          <w:tcPr>
            <w:tcW w:w="319"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Mars</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Avr</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Mai</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Juin</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Jul</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Août</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Sep</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Oct</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Nov</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761596">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Dec</w:t>
            </w:r>
          </w:p>
        </w:tc>
        <w:tc>
          <w:tcPr>
            <w:tcW w:w="519" w:type="pct"/>
            <w:tcBorders>
              <w:top w:val="single" w:sz="12" w:space="0" w:color="000000" w:themeColor="text1"/>
              <w:bottom w:val="single" w:sz="12" w:space="0" w:color="000000" w:themeColor="text1"/>
            </w:tcBorders>
            <w:shd w:val="clear" w:color="000000" w:fill="C0C0C0"/>
            <w:noWrap/>
            <w:vAlign w:val="center"/>
            <w:hideMark/>
          </w:tcPr>
          <w:p w:rsidR="00761596" w:rsidRPr="00761596" w:rsidRDefault="00761596" w:rsidP="005117CA">
            <w:pPr>
              <w:spacing w:after="0" w:line="240" w:lineRule="auto"/>
              <w:jc w:val="center"/>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Moy</w:t>
            </w:r>
          </w:p>
        </w:tc>
      </w:tr>
      <w:tr w:rsidR="005117CA" w:rsidRPr="00761596" w:rsidTr="00DF65E2">
        <w:trPr>
          <w:trHeight w:val="630"/>
        </w:trPr>
        <w:tc>
          <w:tcPr>
            <w:tcW w:w="578" w:type="pct"/>
            <w:tcBorders>
              <w:top w:val="single" w:sz="12" w:space="0" w:color="000000" w:themeColor="text1"/>
            </w:tcBorders>
            <w:shd w:val="clear" w:color="auto" w:fill="auto"/>
            <w:noWrap/>
            <w:vAlign w:val="center"/>
            <w:hideMark/>
          </w:tcPr>
          <w:p w:rsidR="00761596" w:rsidRPr="00761596" w:rsidRDefault="00761596" w:rsidP="005117CA">
            <w:pPr>
              <w:spacing w:after="0" w:line="240" w:lineRule="auto"/>
              <w:rPr>
                <w:rFonts w:ascii="Times New Roman" w:eastAsia="Times New Roman" w:hAnsi="Times New Roman" w:cs="Times New Roman"/>
                <w:b/>
                <w:bCs/>
                <w:sz w:val="20"/>
                <w:szCs w:val="20"/>
                <w:lang w:eastAsia="fr-FR"/>
              </w:rPr>
            </w:pPr>
            <w:r w:rsidRPr="00761596">
              <w:rPr>
                <w:rFonts w:ascii="Times New Roman" w:eastAsia="Times New Roman" w:hAnsi="Times New Roman" w:cs="Times New Roman"/>
                <w:b/>
                <w:bCs/>
                <w:sz w:val="20"/>
                <w:szCs w:val="20"/>
                <w:lang w:eastAsia="fr-FR"/>
              </w:rPr>
              <w:t>K</w:t>
            </w:r>
            <w:r w:rsidR="005117CA" w:rsidRPr="005117CA">
              <w:rPr>
                <w:rFonts w:ascii="Times New Roman" w:eastAsia="Times New Roman" w:hAnsi="Times New Roman" w:cs="Times New Roman"/>
                <w:b/>
                <w:bCs/>
                <w:sz w:val="20"/>
                <w:szCs w:val="20"/>
                <w:lang w:eastAsia="fr-FR"/>
              </w:rPr>
              <w:t>énitra</w:t>
            </w:r>
          </w:p>
        </w:tc>
        <w:tc>
          <w:tcPr>
            <w:tcW w:w="424"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116,4</w:t>
            </w:r>
          </w:p>
        </w:tc>
        <w:tc>
          <w:tcPr>
            <w:tcW w:w="315"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116,1</w:t>
            </w:r>
          </w:p>
        </w:tc>
        <w:tc>
          <w:tcPr>
            <w:tcW w:w="319"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115,8</w:t>
            </w:r>
          </w:p>
        </w:tc>
        <w:tc>
          <w:tcPr>
            <w:tcW w:w="316"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115,7</w:t>
            </w:r>
          </w:p>
        </w:tc>
        <w:tc>
          <w:tcPr>
            <w:tcW w:w="316"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116,1</w:t>
            </w:r>
          </w:p>
        </w:tc>
        <w:tc>
          <w:tcPr>
            <w:tcW w:w="316"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116,3</w:t>
            </w:r>
          </w:p>
        </w:tc>
        <w:tc>
          <w:tcPr>
            <w:tcW w:w="316"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115,7</w:t>
            </w:r>
          </w:p>
        </w:tc>
        <w:tc>
          <w:tcPr>
            <w:tcW w:w="316"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115,8</w:t>
            </w:r>
          </w:p>
        </w:tc>
        <w:tc>
          <w:tcPr>
            <w:tcW w:w="316"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117,3</w:t>
            </w:r>
          </w:p>
        </w:tc>
        <w:tc>
          <w:tcPr>
            <w:tcW w:w="316"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116,9</w:t>
            </w:r>
          </w:p>
        </w:tc>
        <w:tc>
          <w:tcPr>
            <w:tcW w:w="316"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117,6</w:t>
            </w:r>
          </w:p>
        </w:tc>
        <w:tc>
          <w:tcPr>
            <w:tcW w:w="316"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118,1</w:t>
            </w:r>
          </w:p>
        </w:tc>
        <w:tc>
          <w:tcPr>
            <w:tcW w:w="519" w:type="pct"/>
            <w:tcBorders>
              <w:top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116,5</w:t>
            </w:r>
          </w:p>
        </w:tc>
      </w:tr>
      <w:tr w:rsidR="005117CA" w:rsidRPr="00761596" w:rsidTr="00DF65E2">
        <w:trPr>
          <w:trHeight w:val="405"/>
        </w:trPr>
        <w:tc>
          <w:tcPr>
            <w:tcW w:w="578" w:type="pct"/>
            <w:tcBorders>
              <w:top w:val="nil"/>
              <w:bottom w:val="single" w:sz="12" w:space="0" w:color="000000" w:themeColor="text1"/>
            </w:tcBorders>
            <w:shd w:val="clear" w:color="auto" w:fill="auto"/>
            <w:noWrap/>
            <w:vAlign w:val="center"/>
            <w:hideMark/>
          </w:tcPr>
          <w:p w:rsidR="00761596" w:rsidRPr="00761596" w:rsidRDefault="00761596" w:rsidP="005117CA">
            <w:pPr>
              <w:spacing w:after="0" w:line="240" w:lineRule="auto"/>
              <w:rPr>
                <w:rFonts w:ascii="Times New Roman" w:eastAsia="Times New Roman" w:hAnsi="Times New Roman" w:cs="Times New Roman"/>
                <w:b/>
                <w:bCs/>
                <w:sz w:val="20"/>
                <w:szCs w:val="20"/>
                <w:lang w:eastAsia="fr-FR"/>
              </w:rPr>
            </w:pPr>
            <w:r w:rsidRPr="00761596">
              <w:rPr>
                <w:rFonts w:ascii="Times New Roman" w:eastAsia="Times New Roman" w:hAnsi="Times New Roman" w:cs="Times New Roman"/>
                <w:b/>
                <w:bCs/>
                <w:sz w:val="20"/>
                <w:szCs w:val="20"/>
                <w:lang w:eastAsia="fr-FR"/>
              </w:rPr>
              <w:t>N</w:t>
            </w:r>
            <w:r w:rsidR="005117CA" w:rsidRPr="005117CA">
              <w:rPr>
                <w:rFonts w:ascii="Times New Roman" w:eastAsia="Times New Roman" w:hAnsi="Times New Roman" w:cs="Times New Roman"/>
                <w:b/>
                <w:bCs/>
                <w:sz w:val="20"/>
                <w:szCs w:val="20"/>
                <w:lang w:eastAsia="fr-FR"/>
              </w:rPr>
              <w:t>ational</w:t>
            </w:r>
          </w:p>
        </w:tc>
        <w:tc>
          <w:tcPr>
            <w:tcW w:w="424"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117,7</w:t>
            </w:r>
          </w:p>
        </w:tc>
        <w:tc>
          <w:tcPr>
            <w:tcW w:w="315"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117,4</w:t>
            </w:r>
          </w:p>
        </w:tc>
        <w:tc>
          <w:tcPr>
            <w:tcW w:w="319"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116,7</w:t>
            </w:r>
          </w:p>
        </w:tc>
        <w:tc>
          <w:tcPr>
            <w:tcW w:w="316"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116,9</w:t>
            </w:r>
          </w:p>
        </w:tc>
        <w:tc>
          <w:tcPr>
            <w:tcW w:w="316"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117,5</w:t>
            </w:r>
          </w:p>
        </w:tc>
        <w:tc>
          <w:tcPr>
            <w:tcW w:w="316"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117,9</w:t>
            </w:r>
          </w:p>
        </w:tc>
        <w:tc>
          <w:tcPr>
            <w:tcW w:w="316"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117,3</w:t>
            </w:r>
          </w:p>
        </w:tc>
        <w:tc>
          <w:tcPr>
            <w:tcW w:w="316"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117,7</w:t>
            </w:r>
          </w:p>
        </w:tc>
        <w:tc>
          <w:tcPr>
            <w:tcW w:w="316"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118,7</w:t>
            </w:r>
          </w:p>
        </w:tc>
        <w:tc>
          <w:tcPr>
            <w:tcW w:w="316"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118,6</w:t>
            </w:r>
          </w:p>
        </w:tc>
        <w:tc>
          <w:tcPr>
            <w:tcW w:w="316"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119,1</w:t>
            </w:r>
          </w:p>
        </w:tc>
        <w:tc>
          <w:tcPr>
            <w:tcW w:w="316"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119,7</w:t>
            </w:r>
          </w:p>
        </w:tc>
        <w:tc>
          <w:tcPr>
            <w:tcW w:w="519" w:type="pct"/>
            <w:tcBorders>
              <w:top w:val="nil"/>
              <w:bottom w:val="single" w:sz="12" w:space="0" w:color="000000" w:themeColor="text1"/>
            </w:tcBorders>
            <w:shd w:val="clear" w:color="auto" w:fill="auto"/>
            <w:noWrap/>
            <w:vAlign w:val="center"/>
            <w:hideMark/>
          </w:tcPr>
          <w:p w:rsidR="00761596" w:rsidRPr="00761596" w:rsidRDefault="00761596" w:rsidP="00761596">
            <w:pPr>
              <w:spacing w:after="0" w:line="240" w:lineRule="auto"/>
              <w:jc w:val="right"/>
              <w:rPr>
                <w:rFonts w:ascii="Times New Roman" w:eastAsia="Times New Roman" w:hAnsi="Times New Roman" w:cs="Times New Roman"/>
                <w:b/>
                <w:bCs/>
                <w:sz w:val="18"/>
                <w:szCs w:val="18"/>
                <w:lang w:eastAsia="fr-FR"/>
              </w:rPr>
            </w:pPr>
            <w:r w:rsidRPr="00761596">
              <w:rPr>
                <w:rFonts w:ascii="Times New Roman" w:eastAsia="Times New Roman" w:hAnsi="Times New Roman" w:cs="Times New Roman"/>
                <w:b/>
                <w:bCs/>
                <w:sz w:val="18"/>
                <w:szCs w:val="18"/>
                <w:lang w:eastAsia="fr-FR"/>
              </w:rPr>
              <w:t>117,9</w:t>
            </w:r>
          </w:p>
        </w:tc>
      </w:tr>
      <w:tr w:rsidR="005117CA" w:rsidRPr="00761596" w:rsidTr="00DF65E2">
        <w:trPr>
          <w:trHeight w:val="240"/>
        </w:trPr>
        <w:tc>
          <w:tcPr>
            <w:tcW w:w="578" w:type="pct"/>
            <w:tcBorders>
              <w:top w:val="single" w:sz="12" w:space="0" w:color="000000" w:themeColor="text1"/>
            </w:tcBorders>
            <w:shd w:val="clear" w:color="auto" w:fill="auto"/>
            <w:noWrap/>
            <w:vAlign w:val="center"/>
            <w:hideMark/>
          </w:tcPr>
          <w:p w:rsidR="005117CA" w:rsidRPr="00761596" w:rsidRDefault="005117CA" w:rsidP="005117CA">
            <w:pPr>
              <w:spacing w:after="0" w:line="240" w:lineRule="auto"/>
              <w:rPr>
                <w:rFonts w:ascii="Times New Roman" w:eastAsia="Times New Roman" w:hAnsi="Times New Roman" w:cs="Times New Roman"/>
                <w:b/>
                <w:bCs/>
                <w:sz w:val="20"/>
                <w:szCs w:val="20"/>
                <w:lang w:eastAsia="fr-FR"/>
              </w:rPr>
            </w:pPr>
          </w:p>
        </w:tc>
        <w:tc>
          <w:tcPr>
            <w:tcW w:w="424"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5"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9"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6"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6"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6"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6"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6"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6"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6"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6"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316"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c>
          <w:tcPr>
            <w:tcW w:w="519" w:type="pct"/>
            <w:tcBorders>
              <w:top w:val="single" w:sz="12" w:space="0" w:color="000000" w:themeColor="text1"/>
            </w:tcBorders>
            <w:shd w:val="clear" w:color="auto" w:fill="auto"/>
            <w:noWrap/>
            <w:vAlign w:val="center"/>
            <w:hideMark/>
          </w:tcPr>
          <w:p w:rsidR="005117CA" w:rsidRPr="00761596" w:rsidRDefault="005117CA" w:rsidP="00761596">
            <w:pPr>
              <w:spacing w:after="0" w:line="240" w:lineRule="auto"/>
              <w:jc w:val="right"/>
              <w:rPr>
                <w:rFonts w:ascii="Times New Roman" w:eastAsia="Times New Roman" w:hAnsi="Times New Roman" w:cs="Times New Roman"/>
                <w:b/>
                <w:bCs/>
                <w:sz w:val="18"/>
                <w:szCs w:val="18"/>
                <w:lang w:eastAsia="fr-FR"/>
              </w:rPr>
            </w:pPr>
          </w:p>
        </w:tc>
      </w:tr>
    </w:tbl>
    <w:p w:rsidR="00754C35" w:rsidRPr="00DF65E2" w:rsidRDefault="00DF65E2" w:rsidP="004B1065">
      <w:pPr>
        <w:pStyle w:val="Lgende"/>
        <w:rPr>
          <w:rFonts w:ascii="Times New Roman" w:hAnsi="Times New Roman" w:cstheme="majorBidi"/>
          <w:sz w:val="22"/>
          <w:szCs w:val="24"/>
        </w:rPr>
      </w:pPr>
      <w:r>
        <w:rPr>
          <w:rFonts w:ascii="Times New Roman" w:hAnsi="Times New Roman"/>
          <w:sz w:val="22"/>
        </w:rPr>
        <w:t xml:space="preserve"> </w:t>
      </w:r>
      <w:bookmarkStart w:id="26" w:name="_Toc515274106"/>
      <w:r w:rsidRPr="00DF65E2">
        <w:rPr>
          <w:rFonts w:ascii="Times New Roman" w:hAnsi="Times New Roman"/>
          <w:sz w:val="22"/>
        </w:rPr>
        <w:t xml:space="preserve">Graphique </w:t>
      </w:r>
      <w:r w:rsidR="001022E9" w:rsidRPr="00DF65E2">
        <w:rPr>
          <w:rFonts w:ascii="Times New Roman" w:hAnsi="Times New Roman"/>
          <w:sz w:val="22"/>
        </w:rPr>
        <w:fldChar w:fldCharType="begin"/>
      </w:r>
      <w:r w:rsidRPr="00DF65E2">
        <w:rPr>
          <w:rFonts w:ascii="Times New Roman" w:hAnsi="Times New Roman"/>
          <w:sz w:val="22"/>
        </w:rPr>
        <w:instrText xml:space="preserve"> SEQ Graphique \* ARABIC </w:instrText>
      </w:r>
      <w:r w:rsidR="001022E9" w:rsidRPr="00DF65E2">
        <w:rPr>
          <w:rFonts w:ascii="Times New Roman" w:hAnsi="Times New Roman"/>
          <w:sz w:val="22"/>
        </w:rPr>
        <w:fldChar w:fldCharType="separate"/>
      </w:r>
      <w:r w:rsidR="00156FC8">
        <w:rPr>
          <w:rFonts w:ascii="Times New Roman" w:hAnsi="Times New Roman"/>
          <w:noProof/>
          <w:sz w:val="22"/>
        </w:rPr>
        <w:t>3</w:t>
      </w:r>
      <w:r w:rsidR="001022E9" w:rsidRPr="00DF65E2">
        <w:rPr>
          <w:rFonts w:ascii="Times New Roman" w:hAnsi="Times New Roman"/>
          <w:sz w:val="22"/>
        </w:rPr>
        <w:fldChar w:fldCharType="end"/>
      </w:r>
      <w:r w:rsidRPr="00DF65E2">
        <w:rPr>
          <w:rFonts w:ascii="Times New Roman" w:hAnsi="Times New Roman"/>
          <w:sz w:val="22"/>
        </w:rPr>
        <w:t xml:space="preserve"> : </w:t>
      </w:r>
      <w:r w:rsidR="004F39E8" w:rsidRPr="00DF65E2">
        <w:rPr>
          <w:rFonts w:ascii="Times New Roman" w:hAnsi="Times New Roman" w:cstheme="majorBidi"/>
          <w:bCs w:val="0"/>
          <w:color w:val="548DD4" w:themeColor="text2" w:themeTint="99"/>
          <w:sz w:val="22"/>
          <w:szCs w:val="24"/>
        </w:rPr>
        <w:t xml:space="preserve">IPC général de la ville de </w:t>
      </w:r>
      <w:r w:rsidR="004B1065">
        <w:rPr>
          <w:rFonts w:ascii="Times New Roman" w:hAnsi="Times New Roman" w:cstheme="majorBidi"/>
          <w:bCs w:val="0"/>
          <w:color w:val="548DD4" w:themeColor="text2" w:themeTint="99"/>
          <w:sz w:val="22"/>
          <w:szCs w:val="24"/>
        </w:rPr>
        <w:t>K</w:t>
      </w:r>
      <w:r w:rsidR="004F39E8" w:rsidRPr="00DF65E2">
        <w:rPr>
          <w:rFonts w:ascii="Times New Roman" w:hAnsi="Times New Roman" w:cstheme="majorBidi"/>
          <w:bCs w:val="0"/>
          <w:color w:val="548DD4" w:themeColor="text2" w:themeTint="99"/>
          <w:sz w:val="22"/>
          <w:szCs w:val="24"/>
        </w:rPr>
        <w:t>énitra et du Maroc -Année 2017-</w:t>
      </w:r>
      <w:bookmarkEnd w:id="26"/>
      <w:r w:rsidR="004F39E8" w:rsidRPr="00DF65E2">
        <w:rPr>
          <w:rFonts w:ascii="Times New Roman" w:hAnsi="Times New Roman" w:cstheme="majorBidi"/>
          <w:bCs w:val="0"/>
          <w:color w:val="548DD4" w:themeColor="text2" w:themeTint="99"/>
          <w:sz w:val="22"/>
          <w:szCs w:val="24"/>
        </w:rPr>
        <w:t xml:space="preserve"> </w:t>
      </w:r>
    </w:p>
    <w:p w:rsidR="005117CA" w:rsidRDefault="004F39E8" w:rsidP="00754C35">
      <w:pPr>
        <w:spacing w:before="240" w:after="240" w:line="240" w:lineRule="auto"/>
        <w:jc w:val="both"/>
        <w:rPr>
          <w:rFonts w:asciiTheme="majorBidi" w:hAnsiTheme="majorBidi" w:cstheme="majorBidi"/>
          <w:sz w:val="24"/>
          <w:szCs w:val="24"/>
        </w:rPr>
      </w:pPr>
      <w:r w:rsidRPr="005117CA">
        <w:rPr>
          <w:rFonts w:asciiTheme="majorBidi" w:hAnsiTheme="majorBidi" w:cstheme="majorBidi"/>
          <w:noProof/>
          <w:sz w:val="24"/>
          <w:szCs w:val="24"/>
          <w:lang w:eastAsia="fr-FR"/>
        </w:rPr>
        <w:drawing>
          <wp:inline distT="0" distB="0" distL="0" distR="0">
            <wp:extent cx="5781675" cy="2543175"/>
            <wp:effectExtent l="19050" t="0" r="9525" b="0"/>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39E8" w:rsidRDefault="004F39E8" w:rsidP="00586B08">
      <w:pPr>
        <w:pStyle w:val="Titre3"/>
        <w:rPr>
          <w:rFonts w:asciiTheme="majorBidi" w:hAnsiTheme="majorBidi"/>
          <w:b w:val="0"/>
          <w:bCs w:val="0"/>
          <w:color w:val="0070C0"/>
          <w:sz w:val="24"/>
          <w:szCs w:val="24"/>
        </w:rPr>
      </w:pPr>
    </w:p>
    <w:p w:rsidR="006536C2" w:rsidRPr="004F39E8" w:rsidRDefault="006536C2" w:rsidP="004B1065">
      <w:pPr>
        <w:pStyle w:val="Titre3"/>
        <w:rPr>
          <w:rFonts w:asciiTheme="majorBidi" w:hAnsiTheme="majorBidi"/>
          <w:color w:val="0070C0"/>
          <w:sz w:val="24"/>
          <w:szCs w:val="24"/>
        </w:rPr>
      </w:pPr>
      <w:bookmarkStart w:id="27" w:name="_Toc515274010"/>
      <w:r w:rsidRPr="004F39E8">
        <w:rPr>
          <w:rFonts w:asciiTheme="majorBidi" w:hAnsiTheme="majorBidi"/>
          <w:color w:val="0070C0"/>
          <w:sz w:val="24"/>
          <w:szCs w:val="24"/>
        </w:rPr>
        <w:t>II</w:t>
      </w:r>
      <w:r w:rsidR="00586B08" w:rsidRPr="004F39E8">
        <w:rPr>
          <w:rFonts w:asciiTheme="majorBidi" w:hAnsiTheme="majorBidi"/>
          <w:color w:val="0070C0"/>
          <w:sz w:val="24"/>
          <w:szCs w:val="24"/>
        </w:rPr>
        <w:t>I</w:t>
      </w:r>
      <w:r w:rsidRPr="004F39E8">
        <w:rPr>
          <w:rFonts w:asciiTheme="majorBidi" w:hAnsiTheme="majorBidi"/>
          <w:color w:val="0070C0"/>
          <w:sz w:val="24"/>
          <w:szCs w:val="24"/>
        </w:rPr>
        <w:t>-2-2 Comparaison entre les indices</w:t>
      </w:r>
      <w:r w:rsidR="004B1065">
        <w:rPr>
          <w:rFonts w:asciiTheme="majorBidi" w:hAnsiTheme="majorBidi"/>
          <w:color w:val="0070C0"/>
          <w:sz w:val="24"/>
          <w:szCs w:val="24"/>
        </w:rPr>
        <w:t> :</w:t>
      </w:r>
      <w:r w:rsidRPr="004F39E8">
        <w:rPr>
          <w:rFonts w:asciiTheme="majorBidi" w:hAnsiTheme="majorBidi"/>
          <w:color w:val="0070C0"/>
          <w:sz w:val="24"/>
          <w:szCs w:val="24"/>
        </w:rPr>
        <w:t xml:space="preserve"> </w:t>
      </w:r>
      <w:r w:rsidR="004B1065">
        <w:rPr>
          <w:rFonts w:asciiTheme="majorBidi" w:hAnsiTheme="majorBidi"/>
          <w:color w:val="0070C0"/>
          <w:sz w:val="24"/>
          <w:szCs w:val="24"/>
        </w:rPr>
        <w:t>g</w:t>
      </w:r>
      <w:r w:rsidRPr="004F39E8">
        <w:rPr>
          <w:rFonts w:asciiTheme="majorBidi" w:hAnsiTheme="majorBidi"/>
          <w:color w:val="0070C0"/>
          <w:sz w:val="24"/>
          <w:szCs w:val="24"/>
        </w:rPr>
        <w:t xml:space="preserve">énéral, </w:t>
      </w:r>
      <w:r w:rsidR="004B1065">
        <w:rPr>
          <w:rFonts w:asciiTheme="majorBidi" w:hAnsiTheme="majorBidi"/>
          <w:color w:val="0070C0"/>
          <w:sz w:val="24"/>
          <w:szCs w:val="24"/>
        </w:rPr>
        <w:t>a</w:t>
      </w:r>
      <w:r w:rsidRPr="004F39E8">
        <w:rPr>
          <w:rFonts w:asciiTheme="majorBidi" w:hAnsiTheme="majorBidi"/>
          <w:color w:val="0070C0"/>
          <w:sz w:val="24"/>
          <w:szCs w:val="24"/>
        </w:rPr>
        <w:t xml:space="preserve">limentaire et </w:t>
      </w:r>
      <w:r w:rsidR="004B1065">
        <w:rPr>
          <w:rFonts w:asciiTheme="majorBidi" w:hAnsiTheme="majorBidi"/>
          <w:color w:val="0070C0"/>
          <w:sz w:val="24"/>
          <w:szCs w:val="24"/>
        </w:rPr>
        <w:t>n</w:t>
      </w:r>
      <w:r w:rsidRPr="004F39E8">
        <w:rPr>
          <w:rFonts w:asciiTheme="majorBidi" w:hAnsiTheme="majorBidi"/>
          <w:color w:val="0070C0"/>
          <w:sz w:val="24"/>
          <w:szCs w:val="24"/>
        </w:rPr>
        <w:t xml:space="preserve">on </w:t>
      </w:r>
      <w:r w:rsidR="004B1065">
        <w:rPr>
          <w:rFonts w:asciiTheme="majorBidi" w:hAnsiTheme="majorBidi"/>
          <w:color w:val="0070C0"/>
          <w:sz w:val="24"/>
          <w:szCs w:val="24"/>
        </w:rPr>
        <w:t>a</w:t>
      </w:r>
      <w:r w:rsidRPr="004F39E8">
        <w:rPr>
          <w:rFonts w:asciiTheme="majorBidi" w:hAnsiTheme="majorBidi"/>
          <w:color w:val="0070C0"/>
          <w:sz w:val="24"/>
          <w:szCs w:val="24"/>
        </w:rPr>
        <w:t>limentaire de la ville de K</w:t>
      </w:r>
      <w:r w:rsidR="00AF6D2F">
        <w:rPr>
          <w:rFonts w:asciiTheme="majorBidi" w:hAnsiTheme="majorBidi"/>
          <w:color w:val="0070C0"/>
          <w:sz w:val="24"/>
          <w:szCs w:val="24"/>
        </w:rPr>
        <w:t>é</w:t>
      </w:r>
      <w:r w:rsidRPr="004F39E8">
        <w:rPr>
          <w:rFonts w:asciiTheme="majorBidi" w:hAnsiTheme="majorBidi"/>
          <w:color w:val="0070C0"/>
          <w:sz w:val="24"/>
          <w:szCs w:val="24"/>
        </w:rPr>
        <w:t>nitra</w:t>
      </w:r>
      <w:r w:rsidR="005B044B" w:rsidRPr="004F39E8">
        <w:rPr>
          <w:rFonts w:asciiTheme="majorBidi" w:hAnsiTheme="majorBidi"/>
          <w:color w:val="0070C0"/>
          <w:sz w:val="24"/>
          <w:szCs w:val="24"/>
        </w:rPr>
        <w:t xml:space="preserve"> en 201</w:t>
      </w:r>
      <w:r w:rsidR="00662B97" w:rsidRPr="004F39E8">
        <w:rPr>
          <w:rFonts w:asciiTheme="majorBidi" w:hAnsiTheme="majorBidi"/>
          <w:color w:val="0070C0"/>
          <w:sz w:val="24"/>
          <w:szCs w:val="24"/>
        </w:rPr>
        <w:t>7</w:t>
      </w:r>
      <w:bookmarkEnd w:id="27"/>
    </w:p>
    <w:p w:rsidR="006536C2" w:rsidRDefault="006536C2" w:rsidP="00AF6D2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L’analyse de l’évolution de l’indice général de la ville de K</w:t>
      </w:r>
      <w:r w:rsidR="00AF6D2F">
        <w:rPr>
          <w:rFonts w:asciiTheme="majorBidi" w:hAnsiTheme="majorBidi" w:cstheme="majorBidi"/>
          <w:sz w:val="24"/>
          <w:szCs w:val="24"/>
        </w:rPr>
        <w:t>é</w:t>
      </w:r>
      <w:r>
        <w:rPr>
          <w:rFonts w:asciiTheme="majorBidi" w:hAnsiTheme="majorBidi" w:cstheme="majorBidi"/>
          <w:sz w:val="24"/>
          <w:szCs w:val="24"/>
        </w:rPr>
        <w:t>nitra révèle des fluctuations cycliques au cours de l’année 201</w:t>
      </w:r>
      <w:r w:rsidR="00B714E3">
        <w:rPr>
          <w:rFonts w:asciiTheme="majorBidi" w:hAnsiTheme="majorBidi" w:cstheme="majorBidi"/>
          <w:sz w:val="24"/>
          <w:szCs w:val="24"/>
        </w:rPr>
        <w:t>7</w:t>
      </w:r>
      <w:r>
        <w:rPr>
          <w:rFonts w:asciiTheme="majorBidi" w:hAnsiTheme="majorBidi" w:cstheme="majorBidi"/>
          <w:sz w:val="24"/>
          <w:szCs w:val="24"/>
        </w:rPr>
        <w:t xml:space="preserve"> avec une tendance haussière de l’indice </w:t>
      </w:r>
      <w:r w:rsidR="006E78B7">
        <w:rPr>
          <w:rFonts w:asciiTheme="majorBidi" w:hAnsiTheme="majorBidi" w:cstheme="majorBidi"/>
          <w:sz w:val="24"/>
          <w:szCs w:val="24"/>
        </w:rPr>
        <w:t xml:space="preserve">au cours du </w:t>
      </w:r>
      <w:r>
        <w:rPr>
          <w:rFonts w:asciiTheme="majorBidi" w:hAnsiTheme="majorBidi" w:cstheme="majorBidi"/>
          <w:sz w:val="24"/>
          <w:szCs w:val="24"/>
        </w:rPr>
        <w:t>4</w:t>
      </w:r>
      <w:r w:rsidRPr="007E04CF">
        <w:rPr>
          <w:rFonts w:asciiTheme="majorBidi" w:hAnsiTheme="majorBidi" w:cstheme="majorBidi"/>
          <w:sz w:val="24"/>
          <w:szCs w:val="24"/>
          <w:vertAlign w:val="superscript"/>
        </w:rPr>
        <w:t>ème</w:t>
      </w:r>
      <w:r>
        <w:rPr>
          <w:rFonts w:asciiTheme="majorBidi" w:hAnsiTheme="majorBidi" w:cstheme="majorBidi"/>
          <w:sz w:val="24"/>
          <w:szCs w:val="24"/>
        </w:rPr>
        <w:t xml:space="preserve"> trimestre.</w:t>
      </w:r>
    </w:p>
    <w:p w:rsidR="006536C2" w:rsidRDefault="006536C2" w:rsidP="006E78B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y a lieu de noter que l’indice général est très sensible à la variation de l’indice alimentaire. En effet, et comme l’indique le graphique, ci-dessous, </w:t>
      </w:r>
      <w:r w:rsidR="006E78B7">
        <w:rPr>
          <w:rFonts w:asciiTheme="majorBidi" w:hAnsiTheme="majorBidi" w:cstheme="majorBidi"/>
          <w:sz w:val="24"/>
          <w:szCs w:val="24"/>
        </w:rPr>
        <w:t>l’allure</w:t>
      </w:r>
      <w:r>
        <w:rPr>
          <w:rFonts w:asciiTheme="majorBidi" w:hAnsiTheme="majorBidi" w:cstheme="majorBidi"/>
          <w:sz w:val="24"/>
          <w:szCs w:val="24"/>
        </w:rPr>
        <w:t xml:space="preserve"> de la courbe de l’IPC général est similaire à celle de l’IPC alimentaire</w:t>
      </w:r>
      <w:r w:rsidR="00AF6D2F">
        <w:rPr>
          <w:rFonts w:asciiTheme="majorBidi" w:hAnsiTheme="majorBidi" w:cstheme="majorBidi"/>
          <w:sz w:val="24"/>
          <w:szCs w:val="24"/>
        </w:rPr>
        <w:t>,</w:t>
      </w:r>
      <w:r>
        <w:rPr>
          <w:rFonts w:asciiTheme="majorBidi" w:hAnsiTheme="majorBidi" w:cstheme="majorBidi"/>
          <w:sz w:val="24"/>
          <w:szCs w:val="24"/>
        </w:rPr>
        <w:t xml:space="preserve"> mais </w:t>
      </w:r>
      <w:r w:rsidR="006E78B7">
        <w:rPr>
          <w:rFonts w:asciiTheme="majorBidi" w:hAnsiTheme="majorBidi" w:cstheme="majorBidi"/>
          <w:sz w:val="24"/>
          <w:szCs w:val="24"/>
        </w:rPr>
        <w:t>les</w:t>
      </w:r>
      <w:r>
        <w:rPr>
          <w:rFonts w:asciiTheme="majorBidi" w:hAnsiTheme="majorBidi" w:cstheme="majorBidi"/>
          <w:sz w:val="24"/>
          <w:szCs w:val="24"/>
        </w:rPr>
        <w:t xml:space="preserve"> niveaux </w:t>
      </w:r>
      <w:r w:rsidR="006E78B7">
        <w:rPr>
          <w:rFonts w:asciiTheme="majorBidi" w:hAnsiTheme="majorBidi" w:cstheme="majorBidi"/>
          <w:sz w:val="24"/>
          <w:szCs w:val="24"/>
        </w:rPr>
        <w:t>enregistrés par le premier restent inférieurs vu l’effet de pondérations des produits non alimentaires</w:t>
      </w:r>
      <w:r>
        <w:rPr>
          <w:rFonts w:asciiTheme="majorBidi" w:hAnsiTheme="majorBidi" w:cstheme="majorBidi"/>
          <w:sz w:val="24"/>
          <w:szCs w:val="24"/>
        </w:rPr>
        <w:t xml:space="preserve"> </w:t>
      </w:r>
      <w:r w:rsidR="006E78B7">
        <w:rPr>
          <w:rFonts w:asciiTheme="majorBidi" w:hAnsiTheme="majorBidi" w:cstheme="majorBidi"/>
          <w:sz w:val="24"/>
          <w:szCs w:val="24"/>
        </w:rPr>
        <w:t xml:space="preserve">qui ont atteint </w:t>
      </w:r>
      <w:r>
        <w:rPr>
          <w:rFonts w:asciiTheme="majorBidi" w:hAnsiTheme="majorBidi" w:cstheme="majorBidi"/>
          <w:sz w:val="24"/>
          <w:szCs w:val="24"/>
        </w:rPr>
        <w:t>58,5% en 2007.</w:t>
      </w:r>
    </w:p>
    <w:p w:rsidR="006536C2" w:rsidRDefault="002E37CC" w:rsidP="00AF6D2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analysant les courbes </w:t>
      </w:r>
      <w:r w:rsidR="00AF6D2F">
        <w:rPr>
          <w:rFonts w:asciiTheme="majorBidi" w:hAnsiTheme="majorBidi" w:cstheme="majorBidi"/>
          <w:sz w:val="24"/>
          <w:szCs w:val="24"/>
        </w:rPr>
        <w:t>du</w:t>
      </w:r>
      <w:r>
        <w:rPr>
          <w:rFonts w:asciiTheme="majorBidi" w:hAnsiTheme="majorBidi" w:cstheme="majorBidi"/>
          <w:sz w:val="24"/>
          <w:szCs w:val="24"/>
        </w:rPr>
        <w:t xml:space="preserve"> graphique ci-dessous, on remarque l’existence de trois pics dans l’évolution </w:t>
      </w:r>
      <w:r w:rsidR="00F467F1">
        <w:rPr>
          <w:rFonts w:asciiTheme="majorBidi" w:hAnsiTheme="majorBidi" w:cstheme="majorBidi"/>
          <w:sz w:val="24"/>
          <w:szCs w:val="24"/>
        </w:rPr>
        <w:t xml:space="preserve">mensuelle </w:t>
      </w:r>
      <w:r>
        <w:rPr>
          <w:rFonts w:asciiTheme="majorBidi" w:hAnsiTheme="majorBidi" w:cstheme="majorBidi"/>
          <w:sz w:val="24"/>
          <w:szCs w:val="24"/>
        </w:rPr>
        <w:t>de l’indice général à savoir ceux de Juin,</w:t>
      </w:r>
      <w:r w:rsidR="00F467F1">
        <w:rPr>
          <w:rFonts w:asciiTheme="majorBidi" w:hAnsiTheme="majorBidi" w:cstheme="majorBidi"/>
          <w:sz w:val="24"/>
          <w:szCs w:val="24"/>
        </w:rPr>
        <w:t xml:space="preserve"> de</w:t>
      </w:r>
      <w:r>
        <w:rPr>
          <w:rFonts w:asciiTheme="majorBidi" w:hAnsiTheme="majorBidi" w:cstheme="majorBidi"/>
          <w:sz w:val="24"/>
          <w:szCs w:val="24"/>
        </w:rPr>
        <w:t xml:space="preserve"> Septembre et </w:t>
      </w:r>
      <w:r w:rsidR="001A6445">
        <w:rPr>
          <w:rFonts w:asciiTheme="majorBidi" w:hAnsiTheme="majorBidi" w:cstheme="majorBidi"/>
          <w:sz w:val="24"/>
          <w:szCs w:val="24"/>
        </w:rPr>
        <w:t xml:space="preserve">de </w:t>
      </w:r>
      <w:r>
        <w:rPr>
          <w:rFonts w:asciiTheme="majorBidi" w:hAnsiTheme="majorBidi" w:cstheme="majorBidi"/>
          <w:sz w:val="24"/>
          <w:szCs w:val="24"/>
        </w:rPr>
        <w:t>Décembre. Le premier coïncide</w:t>
      </w:r>
      <w:r w:rsidR="001A6445">
        <w:rPr>
          <w:rFonts w:asciiTheme="majorBidi" w:hAnsiTheme="majorBidi" w:cstheme="majorBidi"/>
          <w:sz w:val="24"/>
          <w:szCs w:val="24"/>
        </w:rPr>
        <w:t xml:space="preserve"> avec le</w:t>
      </w:r>
      <w:r>
        <w:rPr>
          <w:rFonts w:asciiTheme="majorBidi" w:hAnsiTheme="majorBidi" w:cstheme="majorBidi"/>
          <w:sz w:val="24"/>
          <w:szCs w:val="24"/>
        </w:rPr>
        <w:t xml:space="preserve"> mois de Ramadan et </w:t>
      </w:r>
      <w:r w:rsidR="00181E8D">
        <w:rPr>
          <w:rFonts w:asciiTheme="majorBidi" w:hAnsiTheme="majorBidi" w:cstheme="majorBidi"/>
          <w:sz w:val="24"/>
          <w:szCs w:val="24"/>
        </w:rPr>
        <w:t>d’Aid</w:t>
      </w:r>
      <w:r>
        <w:rPr>
          <w:rFonts w:asciiTheme="majorBidi" w:hAnsiTheme="majorBidi" w:cstheme="majorBidi"/>
          <w:sz w:val="24"/>
          <w:szCs w:val="24"/>
        </w:rPr>
        <w:t xml:space="preserve"> El Fitr. Le deuxième trouve son explication dans la période qui réunit les vacances de l’été, la fête du Sacrifice et la rentrée scolaire</w:t>
      </w:r>
      <w:r w:rsidR="00F468CD">
        <w:rPr>
          <w:rFonts w:asciiTheme="majorBidi" w:hAnsiTheme="majorBidi" w:cstheme="majorBidi"/>
          <w:sz w:val="24"/>
          <w:szCs w:val="24"/>
        </w:rPr>
        <w:t xml:space="preserve">, trois événements qui mettent les prix </w:t>
      </w:r>
      <w:r w:rsidR="001A6445">
        <w:rPr>
          <w:rFonts w:asciiTheme="majorBidi" w:hAnsiTheme="majorBidi" w:cstheme="majorBidi"/>
          <w:sz w:val="24"/>
          <w:szCs w:val="24"/>
        </w:rPr>
        <w:t>des biens et services</w:t>
      </w:r>
      <w:r w:rsidR="00F468CD">
        <w:rPr>
          <w:rFonts w:asciiTheme="majorBidi" w:hAnsiTheme="majorBidi" w:cstheme="majorBidi"/>
          <w:sz w:val="24"/>
          <w:szCs w:val="24"/>
        </w:rPr>
        <w:t xml:space="preserve"> à rude épreuve.</w:t>
      </w:r>
      <w:r w:rsidR="006536C2">
        <w:rPr>
          <w:rFonts w:asciiTheme="majorBidi" w:hAnsiTheme="majorBidi" w:cstheme="majorBidi"/>
          <w:sz w:val="24"/>
          <w:szCs w:val="24"/>
        </w:rPr>
        <w:t xml:space="preserve"> </w:t>
      </w:r>
      <w:r w:rsidR="00F468CD">
        <w:rPr>
          <w:rFonts w:asciiTheme="majorBidi" w:hAnsiTheme="majorBidi" w:cstheme="majorBidi"/>
          <w:sz w:val="24"/>
          <w:szCs w:val="24"/>
        </w:rPr>
        <w:t xml:space="preserve">Enfin, le dernier pic du niveau général des prix est lié aux </w:t>
      </w:r>
      <w:r w:rsidR="006536C2">
        <w:rPr>
          <w:rFonts w:asciiTheme="majorBidi" w:hAnsiTheme="majorBidi" w:cstheme="majorBidi"/>
          <w:sz w:val="24"/>
          <w:szCs w:val="24"/>
        </w:rPr>
        <w:t>conditions climatiques</w:t>
      </w:r>
      <w:r w:rsidR="00F468CD">
        <w:rPr>
          <w:rFonts w:asciiTheme="majorBidi" w:hAnsiTheme="majorBidi" w:cstheme="majorBidi"/>
          <w:sz w:val="24"/>
          <w:szCs w:val="24"/>
        </w:rPr>
        <w:t xml:space="preserve"> des saisons de l’automne et de l’hiver</w:t>
      </w:r>
      <w:r w:rsidR="006536C2">
        <w:rPr>
          <w:rFonts w:asciiTheme="majorBidi" w:hAnsiTheme="majorBidi" w:cstheme="majorBidi"/>
          <w:sz w:val="24"/>
          <w:szCs w:val="24"/>
        </w:rPr>
        <w:t>, qui rendent, généralement, chers les prix des produits alimentaires.</w:t>
      </w:r>
    </w:p>
    <w:p w:rsidR="006536C2" w:rsidRDefault="006536C2" w:rsidP="002F61D4">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ce qui concerne l’indice alimentaire, les fluctuations qu’il enregistre sont beaucoup plus importantes que celles de l’indice général. En effet, les niveaux les plus élevés qu’il a </w:t>
      </w:r>
      <w:r w:rsidR="005131BA">
        <w:rPr>
          <w:rFonts w:asciiTheme="majorBidi" w:hAnsiTheme="majorBidi" w:cstheme="majorBidi"/>
          <w:sz w:val="24"/>
          <w:szCs w:val="24"/>
        </w:rPr>
        <w:t>atteints</w:t>
      </w:r>
      <w:r>
        <w:rPr>
          <w:rFonts w:asciiTheme="majorBidi" w:hAnsiTheme="majorBidi" w:cstheme="majorBidi"/>
          <w:sz w:val="24"/>
          <w:szCs w:val="24"/>
        </w:rPr>
        <w:t xml:space="preserve"> au cours de ses périodes de hausse sont </w:t>
      </w:r>
      <w:r w:rsidR="007D4DCA">
        <w:rPr>
          <w:rFonts w:asciiTheme="majorBidi" w:hAnsiTheme="majorBidi" w:cstheme="majorBidi"/>
          <w:sz w:val="24"/>
          <w:szCs w:val="24"/>
        </w:rPr>
        <w:t xml:space="preserve">de </w:t>
      </w:r>
      <w:r w:rsidR="002F61D4">
        <w:rPr>
          <w:rFonts w:asciiTheme="majorBidi" w:hAnsiTheme="majorBidi" w:cstheme="majorBidi"/>
          <w:sz w:val="24"/>
          <w:szCs w:val="24"/>
        </w:rPr>
        <w:t>125</w:t>
      </w:r>
      <w:r>
        <w:rPr>
          <w:rFonts w:asciiTheme="majorBidi" w:hAnsiTheme="majorBidi" w:cstheme="majorBidi"/>
          <w:sz w:val="24"/>
          <w:szCs w:val="24"/>
        </w:rPr>
        <w:t>,</w:t>
      </w:r>
      <w:r w:rsidR="002F61D4">
        <w:rPr>
          <w:rFonts w:asciiTheme="majorBidi" w:hAnsiTheme="majorBidi" w:cstheme="majorBidi"/>
          <w:sz w:val="24"/>
          <w:szCs w:val="24"/>
        </w:rPr>
        <w:t>4</w:t>
      </w:r>
      <w:r>
        <w:rPr>
          <w:rFonts w:asciiTheme="majorBidi" w:hAnsiTheme="majorBidi" w:cstheme="majorBidi"/>
          <w:sz w:val="24"/>
          <w:szCs w:val="24"/>
        </w:rPr>
        <w:t xml:space="preserve"> en </w:t>
      </w:r>
      <w:r w:rsidR="002F61D4">
        <w:rPr>
          <w:rFonts w:asciiTheme="majorBidi" w:hAnsiTheme="majorBidi" w:cstheme="majorBidi"/>
          <w:sz w:val="24"/>
          <w:szCs w:val="24"/>
        </w:rPr>
        <w:t>Janvier,</w:t>
      </w:r>
      <w:r>
        <w:rPr>
          <w:rFonts w:asciiTheme="majorBidi" w:hAnsiTheme="majorBidi" w:cstheme="majorBidi"/>
          <w:sz w:val="24"/>
          <w:szCs w:val="24"/>
        </w:rPr>
        <w:t xml:space="preserve"> </w:t>
      </w:r>
      <w:r w:rsidR="007D4DCA">
        <w:rPr>
          <w:rFonts w:asciiTheme="majorBidi" w:hAnsiTheme="majorBidi" w:cstheme="majorBidi"/>
          <w:sz w:val="24"/>
          <w:szCs w:val="24"/>
        </w:rPr>
        <w:t xml:space="preserve">de </w:t>
      </w:r>
      <w:r w:rsidR="002F61D4">
        <w:rPr>
          <w:rFonts w:asciiTheme="majorBidi" w:hAnsiTheme="majorBidi" w:cstheme="majorBidi"/>
          <w:sz w:val="24"/>
          <w:szCs w:val="24"/>
        </w:rPr>
        <w:t xml:space="preserve">124,6 en Juin, </w:t>
      </w:r>
      <w:r w:rsidR="007D4DCA">
        <w:rPr>
          <w:rFonts w:asciiTheme="majorBidi" w:hAnsiTheme="majorBidi" w:cstheme="majorBidi"/>
          <w:sz w:val="24"/>
          <w:szCs w:val="24"/>
        </w:rPr>
        <w:t xml:space="preserve">de </w:t>
      </w:r>
      <w:r w:rsidR="002F61D4">
        <w:rPr>
          <w:rFonts w:asciiTheme="majorBidi" w:hAnsiTheme="majorBidi" w:cstheme="majorBidi"/>
          <w:sz w:val="24"/>
          <w:szCs w:val="24"/>
        </w:rPr>
        <w:t>126,7</w:t>
      </w:r>
      <w:r>
        <w:rPr>
          <w:rFonts w:asciiTheme="majorBidi" w:hAnsiTheme="majorBidi" w:cstheme="majorBidi"/>
          <w:sz w:val="24"/>
          <w:szCs w:val="24"/>
        </w:rPr>
        <w:t xml:space="preserve"> en septembre, et</w:t>
      </w:r>
      <w:r w:rsidR="007D4DCA">
        <w:rPr>
          <w:rFonts w:asciiTheme="majorBidi" w:hAnsiTheme="majorBidi" w:cstheme="majorBidi"/>
          <w:sz w:val="24"/>
          <w:szCs w:val="24"/>
        </w:rPr>
        <w:t xml:space="preserve"> de</w:t>
      </w:r>
      <w:r w:rsidR="002F61D4">
        <w:rPr>
          <w:rFonts w:asciiTheme="majorBidi" w:hAnsiTheme="majorBidi" w:cstheme="majorBidi"/>
          <w:sz w:val="24"/>
          <w:szCs w:val="24"/>
        </w:rPr>
        <w:t xml:space="preserve"> 128,1 en Décembre.</w:t>
      </w:r>
    </w:p>
    <w:p w:rsidR="006536C2" w:rsidRDefault="006536C2" w:rsidP="006536C2">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Il est à signaler que l’indice alimentaire est influencé par le phénomène de saisonnalité qui agit significativement sur les prix, surtout ceux des produits frais.</w:t>
      </w:r>
    </w:p>
    <w:p w:rsidR="006536C2" w:rsidRDefault="006536C2" w:rsidP="002F61D4">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Pour ce qui est de l’indice non alimentaire, il a affiché au cours de 201</w:t>
      </w:r>
      <w:r w:rsidR="002F61D4">
        <w:rPr>
          <w:rFonts w:asciiTheme="majorBidi" w:hAnsiTheme="majorBidi" w:cstheme="majorBidi"/>
          <w:sz w:val="24"/>
          <w:szCs w:val="24"/>
        </w:rPr>
        <w:t>7</w:t>
      </w:r>
      <w:r>
        <w:rPr>
          <w:rFonts w:asciiTheme="majorBidi" w:hAnsiTheme="majorBidi" w:cstheme="majorBidi"/>
          <w:sz w:val="24"/>
          <w:szCs w:val="24"/>
        </w:rPr>
        <w:t>, une tendance presque linéaire avec des niveaux très faibles par rapport à ceux de l’indice alimentaire.</w:t>
      </w:r>
    </w:p>
    <w:p w:rsidR="006536C2" w:rsidRDefault="006536C2" w:rsidP="00D02F5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termes de variation relative, l’</w:t>
      </w:r>
      <w:r w:rsidR="002F61D4">
        <w:rPr>
          <w:rFonts w:asciiTheme="majorBidi" w:hAnsiTheme="majorBidi" w:cstheme="majorBidi"/>
          <w:sz w:val="24"/>
          <w:szCs w:val="24"/>
        </w:rPr>
        <w:t>I</w:t>
      </w:r>
      <w:r>
        <w:rPr>
          <w:rFonts w:asciiTheme="majorBidi" w:hAnsiTheme="majorBidi" w:cstheme="majorBidi"/>
          <w:sz w:val="24"/>
          <w:szCs w:val="24"/>
        </w:rPr>
        <w:t xml:space="preserve">ndice </w:t>
      </w:r>
      <w:r w:rsidR="002F61D4">
        <w:rPr>
          <w:rFonts w:asciiTheme="majorBidi" w:hAnsiTheme="majorBidi" w:cstheme="majorBidi"/>
          <w:sz w:val="24"/>
          <w:szCs w:val="24"/>
        </w:rPr>
        <w:t>N</w:t>
      </w:r>
      <w:r>
        <w:rPr>
          <w:rFonts w:asciiTheme="majorBidi" w:hAnsiTheme="majorBidi" w:cstheme="majorBidi"/>
          <w:sz w:val="24"/>
          <w:szCs w:val="24"/>
        </w:rPr>
        <w:t xml:space="preserve">on </w:t>
      </w:r>
      <w:r w:rsidR="002F61D4">
        <w:rPr>
          <w:rFonts w:asciiTheme="majorBidi" w:hAnsiTheme="majorBidi" w:cstheme="majorBidi"/>
          <w:sz w:val="24"/>
          <w:szCs w:val="24"/>
        </w:rPr>
        <w:t>A</w:t>
      </w:r>
      <w:r>
        <w:rPr>
          <w:rFonts w:asciiTheme="majorBidi" w:hAnsiTheme="majorBidi" w:cstheme="majorBidi"/>
          <w:sz w:val="24"/>
          <w:szCs w:val="24"/>
        </w:rPr>
        <w:t>limentaire a crû</w:t>
      </w:r>
      <w:r w:rsidR="002F61D4">
        <w:rPr>
          <w:rFonts w:asciiTheme="majorBidi" w:hAnsiTheme="majorBidi" w:cstheme="majorBidi"/>
          <w:sz w:val="24"/>
          <w:szCs w:val="24"/>
        </w:rPr>
        <w:t>, seulement</w:t>
      </w:r>
      <w:r w:rsidR="00D02F59">
        <w:rPr>
          <w:rFonts w:asciiTheme="majorBidi" w:hAnsiTheme="majorBidi" w:cstheme="majorBidi"/>
          <w:sz w:val="24"/>
          <w:szCs w:val="24"/>
        </w:rPr>
        <w:t>,</w:t>
      </w:r>
      <w:r w:rsidR="002F61D4">
        <w:rPr>
          <w:rFonts w:asciiTheme="majorBidi" w:hAnsiTheme="majorBidi" w:cstheme="majorBidi"/>
          <w:sz w:val="24"/>
          <w:szCs w:val="24"/>
        </w:rPr>
        <w:t xml:space="preserve"> </w:t>
      </w:r>
      <w:r>
        <w:rPr>
          <w:rFonts w:asciiTheme="majorBidi" w:hAnsiTheme="majorBidi" w:cstheme="majorBidi"/>
          <w:sz w:val="24"/>
          <w:szCs w:val="24"/>
        </w:rPr>
        <w:t xml:space="preserve"> </w:t>
      </w:r>
      <w:r w:rsidR="00D02F59">
        <w:rPr>
          <w:rFonts w:asciiTheme="majorBidi" w:hAnsiTheme="majorBidi" w:cstheme="majorBidi"/>
          <w:sz w:val="24"/>
          <w:szCs w:val="24"/>
        </w:rPr>
        <w:t xml:space="preserve">de </w:t>
      </w:r>
      <w:r w:rsidR="002F61D4">
        <w:rPr>
          <w:rFonts w:asciiTheme="majorBidi" w:hAnsiTheme="majorBidi" w:cstheme="majorBidi"/>
          <w:sz w:val="24"/>
          <w:szCs w:val="24"/>
        </w:rPr>
        <w:t>0</w:t>
      </w:r>
      <w:r>
        <w:rPr>
          <w:rFonts w:asciiTheme="majorBidi" w:hAnsiTheme="majorBidi" w:cstheme="majorBidi"/>
          <w:sz w:val="24"/>
          <w:szCs w:val="24"/>
        </w:rPr>
        <w:t>,</w:t>
      </w:r>
      <w:r w:rsidR="002F61D4">
        <w:rPr>
          <w:rFonts w:asciiTheme="majorBidi" w:hAnsiTheme="majorBidi" w:cstheme="majorBidi"/>
          <w:sz w:val="24"/>
          <w:szCs w:val="24"/>
        </w:rPr>
        <w:t>9</w:t>
      </w:r>
      <w:r>
        <w:rPr>
          <w:rFonts w:asciiTheme="majorBidi" w:hAnsiTheme="majorBidi" w:cstheme="majorBidi"/>
          <w:sz w:val="24"/>
          <w:szCs w:val="24"/>
        </w:rPr>
        <w:t>%</w:t>
      </w:r>
      <w:r w:rsidR="002F61D4">
        <w:rPr>
          <w:rFonts w:asciiTheme="majorBidi" w:hAnsiTheme="majorBidi" w:cstheme="majorBidi"/>
          <w:sz w:val="24"/>
          <w:szCs w:val="24"/>
        </w:rPr>
        <w:t>, entre janvier et décembre contre 2,2% pour l’indice Alimentaire</w:t>
      </w:r>
    </w:p>
    <w:tbl>
      <w:tblPr>
        <w:tblW w:w="5000" w:type="pct"/>
        <w:tblCellMar>
          <w:left w:w="70" w:type="dxa"/>
          <w:right w:w="70" w:type="dxa"/>
        </w:tblCellMar>
        <w:tblLook w:val="04A0"/>
      </w:tblPr>
      <w:tblGrid>
        <w:gridCol w:w="2798"/>
        <w:gridCol w:w="545"/>
        <w:gridCol w:w="545"/>
        <w:gridCol w:w="550"/>
        <w:gridCol w:w="545"/>
        <w:gridCol w:w="545"/>
        <w:gridCol w:w="545"/>
        <w:gridCol w:w="545"/>
        <w:gridCol w:w="545"/>
        <w:gridCol w:w="545"/>
        <w:gridCol w:w="545"/>
        <w:gridCol w:w="545"/>
        <w:gridCol w:w="556"/>
      </w:tblGrid>
      <w:tr w:rsidR="00635FC5" w:rsidRPr="00635FC5" w:rsidTr="00635FC5">
        <w:trPr>
          <w:trHeight w:val="330"/>
        </w:trPr>
        <w:tc>
          <w:tcPr>
            <w:tcW w:w="5000" w:type="pct"/>
            <w:gridSpan w:val="13"/>
            <w:tcBorders>
              <w:top w:val="nil"/>
              <w:left w:val="nil"/>
              <w:bottom w:val="single" w:sz="12" w:space="0" w:color="000000" w:themeColor="text1"/>
              <w:right w:val="nil"/>
            </w:tcBorders>
            <w:shd w:val="clear" w:color="auto" w:fill="auto"/>
            <w:noWrap/>
            <w:vAlign w:val="center"/>
            <w:hideMark/>
          </w:tcPr>
          <w:p w:rsidR="00DF65E2" w:rsidRDefault="00DF65E2" w:rsidP="004B1065">
            <w:pPr>
              <w:spacing w:after="0" w:line="240" w:lineRule="auto"/>
              <w:rPr>
                <w:rFonts w:asciiTheme="majorBidi" w:eastAsia="Times New Roman" w:hAnsiTheme="majorBidi" w:cstheme="majorBidi"/>
                <w:b/>
                <w:bCs/>
                <w:color w:val="4F81BD" w:themeColor="accent1"/>
                <w:sz w:val="24"/>
                <w:szCs w:val="24"/>
                <w:lang w:eastAsia="fr-FR"/>
              </w:rPr>
            </w:pPr>
            <w:bookmarkStart w:id="28" w:name="_Toc515274025"/>
            <w:r w:rsidRPr="00DF65E2">
              <w:rPr>
                <w:rFonts w:asciiTheme="majorBidi" w:hAnsiTheme="majorBidi" w:cstheme="majorBidi"/>
                <w:b/>
                <w:bCs/>
                <w:color w:val="4F81BD" w:themeColor="accent1"/>
              </w:rPr>
              <w:t xml:space="preserve">Tableau </w:t>
            </w:r>
            <w:r w:rsidR="001022E9" w:rsidRPr="00DF65E2">
              <w:rPr>
                <w:rFonts w:asciiTheme="majorBidi" w:hAnsiTheme="majorBidi" w:cstheme="majorBidi"/>
                <w:b/>
                <w:bCs/>
                <w:color w:val="4F81BD" w:themeColor="accent1"/>
              </w:rPr>
              <w:fldChar w:fldCharType="begin"/>
            </w:r>
            <w:r w:rsidRPr="00DF65E2">
              <w:rPr>
                <w:rFonts w:asciiTheme="majorBidi" w:hAnsiTheme="majorBidi" w:cstheme="majorBidi"/>
                <w:b/>
                <w:bCs/>
                <w:color w:val="4F81BD" w:themeColor="accent1"/>
              </w:rPr>
              <w:instrText xml:space="preserve"> SEQ Tableau \* ARABIC </w:instrText>
            </w:r>
            <w:r w:rsidR="001022E9" w:rsidRPr="00DF65E2">
              <w:rPr>
                <w:rFonts w:asciiTheme="majorBidi" w:hAnsiTheme="majorBidi" w:cstheme="majorBidi"/>
                <w:b/>
                <w:bCs/>
                <w:color w:val="4F81BD" w:themeColor="accent1"/>
              </w:rPr>
              <w:fldChar w:fldCharType="separate"/>
            </w:r>
            <w:r w:rsidR="00156FC8">
              <w:rPr>
                <w:rFonts w:asciiTheme="majorBidi" w:hAnsiTheme="majorBidi" w:cstheme="majorBidi"/>
                <w:b/>
                <w:bCs/>
                <w:noProof/>
                <w:color w:val="4F81BD" w:themeColor="accent1"/>
              </w:rPr>
              <w:t>5</w:t>
            </w:r>
            <w:r w:rsidR="001022E9" w:rsidRPr="00DF65E2">
              <w:rPr>
                <w:rFonts w:asciiTheme="majorBidi" w:hAnsiTheme="majorBidi" w:cstheme="majorBidi"/>
                <w:b/>
                <w:bCs/>
                <w:color w:val="4F81BD" w:themeColor="accent1"/>
              </w:rPr>
              <w:fldChar w:fldCharType="end"/>
            </w:r>
            <w:r w:rsidRPr="00DF65E2">
              <w:rPr>
                <w:rFonts w:asciiTheme="majorBidi" w:hAnsiTheme="majorBidi" w:cstheme="majorBidi"/>
                <w:b/>
                <w:bCs/>
                <w:color w:val="4F81BD" w:themeColor="accent1"/>
              </w:rPr>
              <w:t xml:space="preserve"> : </w:t>
            </w:r>
            <w:r w:rsidR="00635FC5" w:rsidRPr="00DF65E2">
              <w:rPr>
                <w:rFonts w:asciiTheme="majorBidi" w:eastAsia="Times New Roman" w:hAnsiTheme="majorBidi" w:cstheme="majorBidi"/>
                <w:b/>
                <w:bCs/>
                <w:color w:val="4F81BD" w:themeColor="accent1"/>
                <w:sz w:val="24"/>
                <w:szCs w:val="24"/>
                <w:lang w:eastAsia="fr-FR"/>
              </w:rPr>
              <w:t>Indices</w:t>
            </w:r>
            <w:r w:rsidR="004B1065">
              <w:rPr>
                <w:rFonts w:asciiTheme="majorBidi" w:eastAsia="Times New Roman" w:hAnsiTheme="majorBidi" w:cstheme="majorBidi"/>
                <w:b/>
                <w:bCs/>
                <w:color w:val="4F81BD" w:themeColor="accent1"/>
                <w:sz w:val="24"/>
                <w:szCs w:val="24"/>
                <w:lang w:eastAsia="fr-FR"/>
              </w:rPr>
              <w:t> :</w:t>
            </w:r>
            <w:r w:rsidR="00635FC5" w:rsidRPr="00DF65E2">
              <w:rPr>
                <w:rFonts w:asciiTheme="majorBidi" w:eastAsia="Times New Roman" w:hAnsiTheme="majorBidi" w:cstheme="majorBidi"/>
                <w:b/>
                <w:bCs/>
                <w:color w:val="4F81BD" w:themeColor="accent1"/>
                <w:sz w:val="24"/>
                <w:szCs w:val="24"/>
                <w:lang w:eastAsia="fr-FR"/>
              </w:rPr>
              <w:t xml:space="preserve"> </w:t>
            </w:r>
            <w:r w:rsidR="004B1065">
              <w:rPr>
                <w:rFonts w:asciiTheme="majorBidi" w:eastAsia="Times New Roman" w:hAnsiTheme="majorBidi" w:cstheme="majorBidi"/>
                <w:b/>
                <w:bCs/>
                <w:color w:val="4F81BD" w:themeColor="accent1"/>
                <w:sz w:val="24"/>
                <w:szCs w:val="24"/>
                <w:lang w:eastAsia="fr-FR"/>
              </w:rPr>
              <w:t>g</w:t>
            </w:r>
            <w:r w:rsidR="00635FC5" w:rsidRPr="00DF65E2">
              <w:rPr>
                <w:rFonts w:asciiTheme="majorBidi" w:eastAsia="Times New Roman" w:hAnsiTheme="majorBidi" w:cstheme="majorBidi"/>
                <w:b/>
                <w:bCs/>
                <w:color w:val="4F81BD" w:themeColor="accent1"/>
                <w:sz w:val="24"/>
                <w:szCs w:val="24"/>
                <w:lang w:eastAsia="fr-FR"/>
              </w:rPr>
              <w:t>énéral, alimentaire et non alimentaire de la ville de Kénitra</w:t>
            </w:r>
            <w:bookmarkEnd w:id="28"/>
          </w:p>
          <w:p w:rsidR="00635FC5" w:rsidRPr="00DF65E2" w:rsidRDefault="00DF65E2" w:rsidP="004F39E8">
            <w:pPr>
              <w:spacing w:after="0" w:line="240" w:lineRule="auto"/>
              <w:rPr>
                <w:rFonts w:asciiTheme="majorBidi" w:eastAsia="Times New Roman" w:hAnsiTheme="majorBidi" w:cstheme="majorBidi"/>
                <w:b/>
                <w:bCs/>
                <w:color w:val="4F81BD" w:themeColor="accent1"/>
                <w:sz w:val="24"/>
                <w:szCs w:val="24"/>
                <w:lang w:eastAsia="fr-FR"/>
              </w:rPr>
            </w:pPr>
            <w:r>
              <w:rPr>
                <w:rFonts w:asciiTheme="majorBidi" w:eastAsia="Times New Roman" w:hAnsiTheme="majorBidi" w:cstheme="majorBidi"/>
                <w:b/>
                <w:bCs/>
                <w:color w:val="4F81BD" w:themeColor="accent1"/>
                <w:sz w:val="24"/>
                <w:szCs w:val="24"/>
                <w:lang w:eastAsia="fr-FR"/>
              </w:rPr>
              <w:t xml:space="preserve">                 </w:t>
            </w:r>
            <w:r w:rsidR="00635FC5" w:rsidRPr="00DF65E2">
              <w:rPr>
                <w:rFonts w:asciiTheme="majorBidi" w:eastAsia="Times New Roman" w:hAnsiTheme="majorBidi" w:cstheme="majorBidi"/>
                <w:b/>
                <w:bCs/>
                <w:color w:val="4F81BD" w:themeColor="accent1"/>
                <w:sz w:val="24"/>
                <w:szCs w:val="24"/>
                <w:lang w:eastAsia="fr-FR"/>
              </w:rPr>
              <w:t xml:space="preserve"> - Année 2017 -</w:t>
            </w:r>
          </w:p>
        </w:tc>
      </w:tr>
      <w:tr w:rsidR="00635FC5" w:rsidRPr="00635FC5" w:rsidTr="00DF65E2">
        <w:trPr>
          <w:trHeight w:val="463"/>
        </w:trPr>
        <w:tc>
          <w:tcPr>
            <w:tcW w:w="1497" w:type="pct"/>
            <w:tcBorders>
              <w:top w:val="single" w:sz="12" w:space="0" w:color="000000" w:themeColor="text1"/>
              <w:bottom w:val="single" w:sz="12" w:space="0" w:color="000000" w:themeColor="text1"/>
            </w:tcBorders>
            <w:shd w:val="clear" w:color="000000" w:fill="C0C0C0"/>
            <w:noWrap/>
            <w:vAlign w:val="center"/>
            <w:hideMark/>
          </w:tcPr>
          <w:p w:rsidR="00635FC5" w:rsidRPr="00635FC5" w:rsidRDefault="00635FC5" w:rsidP="00635FC5">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GRANDES DIVISIONS</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Jan</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Fev</w:t>
            </w:r>
          </w:p>
        </w:tc>
        <w:tc>
          <w:tcPr>
            <w:tcW w:w="294"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Mars</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Avr</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Mai</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Juin</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Jul</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Août</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Sep</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Oct</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Nov</w:t>
            </w:r>
          </w:p>
        </w:tc>
        <w:tc>
          <w:tcPr>
            <w:tcW w:w="296" w:type="pct"/>
            <w:tcBorders>
              <w:top w:val="single" w:sz="12" w:space="0" w:color="000000" w:themeColor="text1"/>
              <w:bottom w:val="single" w:sz="12" w:space="0" w:color="000000" w:themeColor="text1"/>
              <w:right w:val="nil"/>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Dec</w:t>
            </w:r>
          </w:p>
        </w:tc>
      </w:tr>
      <w:tr w:rsidR="00635FC5" w:rsidRPr="00635FC5" w:rsidTr="00DF65E2">
        <w:trPr>
          <w:trHeight w:val="465"/>
        </w:trPr>
        <w:tc>
          <w:tcPr>
            <w:tcW w:w="1497" w:type="pct"/>
            <w:tcBorders>
              <w:top w:val="single" w:sz="12" w:space="0" w:color="000000" w:themeColor="text1"/>
            </w:tcBorders>
            <w:shd w:val="clear" w:color="000000" w:fill="FFFFFF"/>
            <w:noWrap/>
            <w:vAlign w:val="center"/>
            <w:hideMark/>
          </w:tcPr>
          <w:p w:rsidR="00635FC5" w:rsidRPr="00635FC5" w:rsidRDefault="00635FC5" w:rsidP="00635FC5">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I. Produits alimentaires</w:t>
            </w:r>
          </w:p>
        </w:tc>
        <w:tc>
          <w:tcPr>
            <w:tcW w:w="291"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125,4</w:t>
            </w:r>
          </w:p>
        </w:tc>
        <w:tc>
          <w:tcPr>
            <w:tcW w:w="291"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124,5</w:t>
            </w:r>
          </w:p>
        </w:tc>
        <w:tc>
          <w:tcPr>
            <w:tcW w:w="294"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122,9</w:t>
            </w:r>
          </w:p>
        </w:tc>
        <w:tc>
          <w:tcPr>
            <w:tcW w:w="291"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122,7</w:t>
            </w:r>
          </w:p>
        </w:tc>
        <w:tc>
          <w:tcPr>
            <w:tcW w:w="291"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123,6</w:t>
            </w:r>
          </w:p>
        </w:tc>
        <w:tc>
          <w:tcPr>
            <w:tcW w:w="291"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124,6</w:t>
            </w:r>
          </w:p>
        </w:tc>
        <w:tc>
          <w:tcPr>
            <w:tcW w:w="291"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123,3</w:t>
            </w:r>
          </w:p>
        </w:tc>
        <w:tc>
          <w:tcPr>
            <w:tcW w:w="291"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123,3</w:t>
            </w:r>
          </w:p>
        </w:tc>
        <w:tc>
          <w:tcPr>
            <w:tcW w:w="291"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126,7</w:t>
            </w:r>
          </w:p>
        </w:tc>
        <w:tc>
          <w:tcPr>
            <w:tcW w:w="291"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125,5</w:t>
            </w:r>
          </w:p>
        </w:tc>
        <w:tc>
          <w:tcPr>
            <w:tcW w:w="291"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126,7</w:t>
            </w:r>
          </w:p>
        </w:tc>
        <w:tc>
          <w:tcPr>
            <w:tcW w:w="296" w:type="pct"/>
            <w:tcBorders>
              <w:top w:val="single" w:sz="12" w:space="0" w:color="000000" w:themeColor="text1"/>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128,1</w:t>
            </w:r>
          </w:p>
        </w:tc>
      </w:tr>
      <w:tr w:rsidR="00635FC5" w:rsidRPr="00635FC5" w:rsidTr="00DF65E2">
        <w:trPr>
          <w:trHeight w:val="600"/>
        </w:trPr>
        <w:tc>
          <w:tcPr>
            <w:tcW w:w="1497" w:type="pct"/>
            <w:tcBorders>
              <w:top w:val="nil"/>
              <w:bottom w:val="single" w:sz="12" w:space="0" w:color="auto"/>
            </w:tcBorders>
            <w:shd w:val="clear" w:color="000000" w:fill="FFFFFF"/>
            <w:noWrap/>
            <w:vAlign w:val="center"/>
            <w:hideMark/>
          </w:tcPr>
          <w:p w:rsidR="00635FC5" w:rsidRPr="00635FC5" w:rsidRDefault="00635FC5" w:rsidP="00635FC5">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I. Produits non alimentaires</w:t>
            </w:r>
          </w:p>
        </w:tc>
        <w:tc>
          <w:tcPr>
            <w:tcW w:w="291"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110,0</w:t>
            </w:r>
          </w:p>
        </w:tc>
        <w:tc>
          <w:tcPr>
            <w:tcW w:w="291"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110,2</w:t>
            </w:r>
          </w:p>
        </w:tc>
        <w:tc>
          <w:tcPr>
            <w:tcW w:w="294"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110,8</w:t>
            </w:r>
          </w:p>
        </w:tc>
        <w:tc>
          <w:tcPr>
            <w:tcW w:w="291"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110,7</w:t>
            </w:r>
          </w:p>
        </w:tc>
        <w:tc>
          <w:tcPr>
            <w:tcW w:w="291"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110,8</w:t>
            </w:r>
          </w:p>
        </w:tc>
        <w:tc>
          <w:tcPr>
            <w:tcW w:w="291"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110,4</w:t>
            </w:r>
          </w:p>
        </w:tc>
        <w:tc>
          <w:tcPr>
            <w:tcW w:w="291"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110,3</w:t>
            </w:r>
          </w:p>
        </w:tc>
        <w:tc>
          <w:tcPr>
            <w:tcW w:w="291"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110,5</w:t>
            </w:r>
          </w:p>
        </w:tc>
        <w:tc>
          <w:tcPr>
            <w:tcW w:w="291"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110,6</w:t>
            </w:r>
          </w:p>
        </w:tc>
        <w:tc>
          <w:tcPr>
            <w:tcW w:w="291"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110,8</w:t>
            </w:r>
          </w:p>
        </w:tc>
        <w:tc>
          <w:tcPr>
            <w:tcW w:w="291"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111,2</w:t>
            </w:r>
          </w:p>
        </w:tc>
        <w:tc>
          <w:tcPr>
            <w:tcW w:w="296" w:type="pct"/>
            <w:tcBorders>
              <w:top w:val="nil"/>
              <w:bottom w:val="single" w:sz="12" w:space="0" w:color="auto"/>
            </w:tcBorders>
            <w:shd w:val="clear" w:color="auto" w:fill="auto"/>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111,0</w:t>
            </w:r>
          </w:p>
        </w:tc>
      </w:tr>
      <w:tr w:rsidR="00635FC5" w:rsidRPr="00635FC5" w:rsidTr="00DF65E2">
        <w:trPr>
          <w:trHeight w:val="525"/>
        </w:trPr>
        <w:tc>
          <w:tcPr>
            <w:tcW w:w="1497" w:type="pct"/>
            <w:tcBorders>
              <w:top w:val="single" w:sz="12" w:space="0" w:color="auto"/>
              <w:bottom w:val="single" w:sz="12" w:space="0" w:color="000000" w:themeColor="text1"/>
            </w:tcBorders>
            <w:shd w:val="clear" w:color="000000" w:fill="C0C0C0"/>
            <w:noWrap/>
            <w:vAlign w:val="center"/>
            <w:hideMark/>
          </w:tcPr>
          <w:p w:rsidR="00635FC5" w:rsidRPr="00635FC5" w:rsidRDefault="00635FC5" w:rsidP="00635FC5">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INDICE  GENERAL</w:t>
            </w:r>
          </w:p>
        </w:tc>
        <w:tc>
          <w:tcPr>
            <w:tcW w:w="291"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116,4</w:t>
            </w:r>
          </w:p>
        </w:tc>
        <w:tc>
          <w:tcPr>
            <w:tcW w:w="291"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116,1</w:t>
            </w:r>
          </w:p>
        </w:tc>
        <w:tc>
          <w:tcPr>
            <w:tcW w:w="294"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115,8</w:t>
            </w:r>
          </w:p>
        </w:tc>
        <w:tc>
          <w:tcPr>
            <w:tcW w:w="291"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115,7</w:t>
            </w:r>
          </w:p>
        </w:tc>
        <w:tc>
          <w:tcPr>
            <w:tcW w:w="291"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116,1</w:t>
            </w:r>
          </w:p>
        </w:tc>
        <w:tc>
          <w:tcPr>
            <w:tcW w:w="291"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116,3</w:t>
            </w:r>
          </w:p>
        </w:tc>
        <w:tc>
          <w:tcPr>
            <w:tcW w:w="291"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115,7</w:t>
            </w:r>
          </w:p>
        </w:tc>
        <w:tc>
          <w:tcPr>
            <w:tcW w:w="291"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115,8</w:t>
            </w:r>
          </w:p>
        </w:tc>
        <w:tc>
          <w:tcPr>
            <w:tcW w:w="291"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117,3</w:t>
            </w:r>
          </w:p>
        </w:tc>
        <w:tc>
          <w:tcPr>
            <w:tcW w:w="291"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116,9</w:t>
            </w:r>
          </w:p>
        </w:tc>
        <w:tc>
          <w:tcPr>
            <w:tcW w:w="291"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117,6</w:t>
            </w:r>
          </w:p>
        </w:tc>
        <w:tc>
          <w:tcPr>
            <w:tcW w:w="296" w:type="pct"/>
            <w:tcBorders>
              <w:top w:val="single" w:sz="12" w:space="0" w:color="auto"/>
              <w:bottom w:val="single" w:sz="12" w:space="0" w:color="000000" w:themeColor="text1"/>
            </w:tcBorders>
            <w:shd w:val="clear" w:color="000000" w:fill="C0C0C0"/>
            <w:noWrap/>
            <w:vAlign w:val="center"/>
            <w:hideMark/>
          </w:tcPr>
          <w:p w:rsidR="00635FC5" w:rsidRPr="001763A7" w:rsidRDefault="00635FC5" w:rsidP="00635FC5">
            <w:pPr>
              <w:spacing w:after="0" w:line="240" w:lineRule="auto"/>
              <w:jc w:val="right"/>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118,1</w:t>
            </w:r>
          </w:p>
        </w:tc>
      </w:tr>
    </w:tbl>
    <w:p w:rsidR="00DF65E2" w:rsidRDefault="00DF65E2" w:rsidP="00DF65E2">
      <w:pPr>
        <w:pStyle w:val="Lgende"/>
      </w:pPr>
    </w:p>
    <w:p w:rsidR="008B74DA" w:rsidRDefault="008B74DA">
      <w:pPr>
        <w:rPr>
          <w:rFonts w:ascii="Times New Roman" w:hAnsi="Times New Roman"/>
          <w:b/>
          <w:bCs/>
          <w:color w:val="4F81BD" w:themeColor="accent1"/>
          <w:szCs w:val="18"/>
        </w:rPr>
      </w:pPr>
      <w:r>
        <w:rPr>
          <w:rFonts w:ascii="Times New Roman" w:hAnsi="Times New Roman"/>
        </w:rPr>
        <w:br w:type="page"/>
      </w:r>
    </w:p>
    <w:p w:rsidR="00635FC5" w:rsidRPr="00DF65E2" w:rsidRDefault="00DF65E2" w:rsidP="004B1065">
      <w:pPr>
        <w:pStyle w:val="Lgende"/>
        <w:rPr>
          <w:rFonts w:ascii="Times New Roman" w:hAnsi="Times New Roman" w:cstheme="majorBidi"/>
          <w:color w:val="548DD4" w:themeColor="text2" w:themeTint="99"/>
          <w:sz w:val="22"/>
          <w:szCs w:val="24"/>
        </w:rPr>
      </w:pPr>
      <w:bookmarkStart w:id="29" w:name="_Toc515274107"/>
      <w:r w:rsidRPr="00DF65E2">
        <w:rPr>
          <w:rFonts w:ascii="Times New Roman" w:hAnsi="Times New Roman"/>
          <w:sz w:val="22"/>
        </w:rPr>
        <w:lastRenderedPageBreak/>
        <w:t xml:space="preserve">Graphique </w:t>
      </w:r>
      <w:r w:rsidR="001022E9" w:rsidRPr="00DF65E2">
        <w:rPr>
          <w:rFonts w:ascii="Times New Roman" w:hAnsi="Times New Roman"/>
          <w:sz w:val="22"/>
        </w:rPr>
        <w:fldChar w:fldCharType="begin"/>
      </w:r>
      <w:r w:rsidRPr="00DF65E2">
        <w:rPr>
          <w:rFonts w:ascii="Times New Roman" w:hAnsi="Times New Roman"/>
          <w:sz w:val="22"/>
        </w:rPr>
        <w:instrText xml:space="preserve"> SEQ Graphique \* ARABIC </w:instrText>
      </w:r>
      <w:r w:rsidR="001022E9" w:rsidRPr="00DF65E2">
        <w:rPr>
          <w:rFonts w:ascii="Times New Roman" w:hAnsi="Times New Roman"/>
          <w:sz w:val="22"/>
        </w:rPr>
        <w:fldChar w:fldCharType="separate"/>
      </w:r>
      <w:r w:rsidR="00156FC8">
        <w:rPr>
          <w:rFonts w:ascii="Times New Roman" w:hAnsi="Times New Roman"/>
          <w:noProof/>
          <w:sz w:val="22"/>
        </w:rPr>
        <w:t>4</w:t>
      </w:r>
      <w:r w:rsidR="001022E9" w:rsidRPr="00DF65E2">
        <w:rPr>
          <w:rFonts w:ascii="Times New Roman" w:hAnsi="Times New Roman"/>
          <w:sz w:val="22"/>
        </w:rPr>
        <w:fldChar w:fldCharType="end"/>
      </w:r>
      <w:r>
        <w:rPr>
          <w:rFonts w:ascii="Times New Roman" w:hAnsi="Times New Roman"/>
          <w:sz w:val="22"/>
        </w:rPr>
        <w:t xml:space="preserve">: </w:t>
      </w:r>
      <w:r w:rsidR="004F39E8" w:rsidRPr="00DF65E2">
        <w:rPr>
          <w:rFonts w:ascii="Times New Roman" w:hAnsi="Times New Roman" w:cstheme="majorBidi"/>
          <w:bCs w:val="0"/>
          <w:color w:val="548DD4" w:themeColor="text2" w:themeTint="99"/>
          <w:sz w:val="22"/>
          <w:szCs w:val="24"/>
        </w:rPr>
        <w:t>Indices</w:t>
      </w:r>
      <w:r w:rsidR="004B1065">
        <w:rPr>
          <w:rFonts w:ascii="Times New Roman" w:hAnsi="Times New Roman" w:cstheme="majorBidi"/>
          <w:bCs w:val="0"/>
          <w:color w:val="548DD4" w:themeColor="text2" w:themeTint="99"/>
          <w:sz w:val="22"/>
          <w:szCs w:val="24"/>
        </w:rPr>
        <w:t> : g</w:t>
      </w:r>
      <w:r w:rsidR="004F39E8" w:rsidRPr="00DF65E2">
        <w:rPr>
          <w:rFonts w:ascii="Times New Roman" w:hAnsi="Times New Roman" w:cstheme="majorBidi"/>
          <w:bCs w:val="0"/>
          <w:color w:val="548DD4" w:themeColor="text2" w:themeTint="99"/>
          <w:sz w:val="22"/>
          <w:szCs w:val="24"/>
        </w:rPr>
        <w:t xml:space="preserve">énéral, </w:t>
      </w:r>
      <w:r w:rsidR="004B1065">
        <w:rPr>
          <w:rFonts w:ascii="Times New Roman" w:hAnsi="Times New Roman" w:cstheme="majorBidi"/>
          <w:bCs w:val="0"/>
          <w:color w:val="548DD4" w:themeColor="text2" w:themeTint="99"/>
          <w:sz w:val="22"/>
          <w:szCs w:val="24"/>
        </w:rPr>
        <w:t>a</w:t>
      </w:r>
      <w:r w:rsidR="004F39E8" w:rsidRPr="00DF65E2">
        <w:rPr>
          <w:rFonts w:ascii="Times New Roman" w:hAnsi="Times New Roman" w:cstheme="majorBidi"/>
          <w:bCs w:val="0"/>
          <w:color w:val="548DD4" w:themeColor="text2" w:themeTint="99"/>
          <w:sz w:val="22"/>
          <w:szCs w:val="24"/>
        </w:rPr>
        <w:t xml:space="preserve">limentaire et </w:t>
      </w:r>
      <w:r w:rsidR="004B1065">
        <w:rPr>
          <w:rFonts w:ascii="Times New Roman" w:hAnsi="Times New Roman" w:cstheme="majorBidi"/>
          <w:bCs w:val="0"/>
          <w:color w:val="548DD4" w:themeColor="text2" w:themeTint="99"/>
          <w:sz w:val="22"/>
          <w:szCs w:val="24"/>
        </w:rPr>
        <w:t>n</w:t>
      </w:r>
      <w:r w:rsidR="004F39E8" w:rsidRPr="00DF65E2">
        <w:rPr>
          <w:rFonts w:ascii="Times New Roman" w:hAnsi="Times New Roman" w:cstheme="majorBidi"/>
          <w:bCs w:val="0"/>
          <w:color w:val="548DD4" w:themeColor="text2" w:themeTint="99"/>
          <w:sz w:val="22"/>
          <w:szCs w:val="24"/>
        </w:rPr>
        <w:t xml:space="preserve">on alimentaire de la ville de </w:t>
      </w:r>
      <w:r w:rsidR="004B1065">
        <w:rPr>
          <w:rFonts w:ascii="Times New Roman" w:hAnsi="Times New Roman" w:cstheme="majorBidi"/>
          <w:bCs w:val="0"/>
          <w:color w:val="548DD4" w:themeColor="text2" w:themeTint="99"/>
          <w:sz w:val="22"/>
          <w:szCs w:val="24"/>
        </w:rPr>
        <w:t>K</w:t>
      </w:r>
      <w:r w:rsidR="004F39E8" w:rsidRPr="00DF65E2">
        <w:rPr>
          <w:rFonts w:ascii="Times New Roman" w:hAnsi="Times New Roman" w:cstheme="majorBidi"/>
          <w:bCs w:val="0"/>
          <w:color w:val="548DD4" w:themeColor="text2" w:themeTint="99"/>
          <w:sz w:val="22"/>
          <w:szCs w:val="24"/>
        </w:rPr>
        <w:t>énitra - Année 2017-</w:t>
      </w:r>
      <w:bookmarkEnd w:id="29"/>
    </w:p>
    <w:p w:rsidR="006536C2" w:rsidRPr="007E04CF" w:rsidRDefault="00635FC5" w:rsidP="006536C2">
      <w:pPr>
        <w:spacing w:before="240" w:after="240" w:line="240" w:lineRule="auto"/>
        <w:jc w:val="both"/>
        <w:rPr>
          <w:rFonts w:asciiTheme="majorBidi" w:hAnsiTheme="majorBidi" w:cstheme="majorBidi"/>
          <w:sz w:val="24"/>
          <w:szCs w:val="24"/>
        </w:rPr>
      </w:pPr>
      <w:r w:rsidRPr="00635FC5">
        <w:rPr>
          <w:rFonts w:asciiTheme="majorBidi" w:hAnsiTheme="majorBidi" w:cstheme="majorBidi"/>
          <w:noProof/>
          <w:sz w:val="24"/>
          <w:szCs w:val="24"/>
          <w:lang w:eastAsia="fr-FR"/>
        </w:rPr>
        <w:drawing>
          <wp:inline distT="0" distB="0" distL="0" distR="0">
            <wp:extent cx="5791200" cy="3590925"/>
            <wp:effectExtent l="19050" t="0" r="19050" b="0"/>
            <wp:docPr id="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1E8D" w:rsidRDefault="00181E8D" w:rsidP="00586B08">
      <w:pPr>
        <w:pStyle w:val="Titre2"/>
        <w:rPr>
          <w:rFonts w:asciiTheme="majorBidi" w:hAnsiTheme="majorBidi"/>
          <w:color w:val="0070C0"/>
        </w:rPr>
      </w:pPr>
    </w:p>
    <w:p w:rsidR="006F61F8" w:rsidRPr="004F39E8" w:rsidRDefault="006536C2" w:rsidP="00586B08">
      <w:pPr>
        <w:pStyle w:val="Titre2"/>
        <w:rPr>
          <w:rFonts w:asciiTheme="majorBidi" w:hAnsiTheme="majorBidi"/>
          <w:color w:val="0070C0"/>
          <w:sz w:val="24"/>
          <w:szCs w:val="24"/>
        </w:rPr>
      </w:pPr>
      <w:bookmarkStart w:id="30" w:name="_Toc515274011"/>
      <w:r w:rsidRPr="004F39E8">
        <w:rPr>
          <w:rFonts w:asciiTheme="majorBidi" w:hAnsiTheme="majorBidi"/>
          <w:color w:val="0070C0"/>
        </w:rPr>
        <w:t>II</w:t>
      </w:r>
      <w:r w:rsidR="00586B08" w:rsidRPr="004F39E8">
        <w:rPr>
          <w:rFonts w:asciiTheme="majorBidi" w:hAnsiTheme="majorBidi"/>
          <w:color w:val="0070C0"/>
        </w:rPr>
        <w:t>I</w:t>
      </w:r>
      <w:r w:rsidR="006F61F8" w:rsidRPr="004F39E8">
        <w:rPr>
          <w:rFonts w:asciiTheme="majorBidi" w:hAnsiTheme="majorBidi"/>
          <w:color w:val="0070C0"/>
        </w:rPr>
        <w:t>-</w:t>
      </w:r>
      <w:r w:rsidRPr="004F39E8">
        <w:rPr>
          <w:rFonts w:asciiTheme="majorBidi" w:hAnsiTheme="majorBidi"/>
          <w:color w:val="0070C0"/>
        </w:rPr>
        <w:t>3</w:t>
      </w:r>
      <w:r w:rsidR="006F61F8" w:rsidRPr="004F39E8">
        <w:rPr>
          <w:rFonts w:asciiTheme="majorBidi" w:hAnsiTheme="majorBidi"/>
          <w:color w:val="0070C0"/>
        </w:rPr>
        <w:t xml:space="preserve"> Evolution de l’IPC par division, groupe et classe entre 201</w:t>
      </w:r>
      <w:r w:rsidR="002D58AC" w:rsidRPr="004F39E8">
        <w:rPr>
          <w:rFonts w:asciiTheme="majorBidi" w:hAnsiTheme="majorBidi"/>
          <w:color w:val="0070C0"/>
        </w:rPr>
        <w:t>6</w:t>
      </w:r>
      <w:r w:rsidR="006F61F8" w:rsidRPr="004F39E8">
        <w:rPr>
          <w:rFonts w:asciiTheme="majorBidi" w:hAnsiTheme="majorBidi"/>
          <w:color w:val="0070C0"/>
        </w:rPr>
        <w:t xml:space="preserve"> et 201</w:t>
      </w:r>
      <w:r w:rsidR="002D58AC" w:rsidRPr="004F39E8">
        <w:rPr>
          <w:rFonts w:asciiTheme="majorBidi" w:hAnsiTheme="majorBidi"/>
          <w:color w:val="0070C0"/>
        </w:rPr>
        <w:t>7</w:t>
      </w:r>
      <w:bookmarkEnd w:id="30"/>
    </w:p>
    <w:p w:rsidR="00364F79" w:rsidRDefault="00793797" w:rsidP="00B77F31">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terme de l’année 201</w:t>
      </w:r>
      <w:r w:rsidR="005131BA">
        <w:rPr>
          <w:rFonts w:asciiTheme="majorBidi" w:hAnsiTheme="majorBidi" w:cstheme="majorBidi"/>
          <w:sz w:val="24"/>
          <w:szCs w:val="24"/>
        </w:rPr>
        <w:t>7</w:t>
      </w:r>
      <w:r>
        <w:rPr>
          <w:rFonts w:asciiTheme="majorBidi" w:hAnsiTheme="majorBidi" w:cstheme="majorBidi"/>
          <w:sz w:val="24"/>
          <w:szCs w:val="24"/>
        </w:rPr>
        <w:t>, l’IPC général de la ville de Kenitra a atteint le niveau 1</w:t>
      </w:r>
      <w:r w:rsidR="005131BA">
        <w:rPr>
          <w:rFonts w:asciiTheme="majorBidi" w:hAnsiTheme="majorBidi" w:cstheme="majorBidi"/>
          <w:sz w:val="24"/>
          <w:szCs w:val="24"/>
        </w:rPr>
        <w:t>16,5</w:t>
      </w:r>
      <w:r>
        <w:rPr>
          <w:rFonts w:asciiTheme="majorBidi" w:hAnsiTheme="majorBidi" w:cstheme="majorBidi"/>
          <w:sz w:val="24"/>
          <w:szCs w:val="24"/>
        </w:rPr>
        <w:t xml:space="preserve"> contre </w:t>
      </w:r>
      <w:r w:rsidR="005131BA">
        <w:rPr>
          <w:rFonts w:asciiTheme="majorBidi" w:hAnsiTheme="majorBidi" w:cstheme="majorBidi"/>
          <w:sz w:val="24"/>
          <w:szCs w:val="24"/>
        </w:rPr>
        <w:t>116</w:t>
      </w:r>
      <w:r w:rsidR="00D02F59">
        <w:rPr>
          <w:rFonts w:asciiTheme="majorBidi" w:hAnsiTheme="majorBidi" w:cstheme="majorBidi"/>
          <w:sz w:val="24"/>
          <w:szCs w:val="24"/>
        </w:rPr>
        <w:t>,0</w:t>
      </w:r>
      <w:r w:rsidR="005131BA">
        <w:rPr>
          <w:rFonts w:asciiTheme="majorBidi" w:hAnsiTheme="majorBidi" w:cstheme="majorBidi"/>
          <w:sz w:val="24"/>
          <w:szCs w:val="24"/>
        </w:rPr>
        <w:t xml:space="preserve"> </w:t>
      </w:r>
      <w:r>
        <w:rPr>
          <w:rFonts w:asciiTheme="majorBidi" w:hAnsiTheme="majorBidi" w:cstheme="majorBidi"/>
          <w:sz w:val="24"/>
          <w:szCs w:val="24"/>
        </w:rPr>
        <w:t xml:space="preserve"> en 201</w:t>
      </w:r>
      <w:r w:rsidR="005131BA">
        <w:rPr>
          <w:rFonts w:asciiTheme="majorBidi" w:hAnsiTheme="majorBidi" w:cstheme="majorBidi"/>
          <w:sz w:val="24"/>
          <w:szCs w:val="24"/>
        </w:rPr>
        <w:t>6</w:t>
      </w:r>
      <w:r>
        <w:rPr>
          <w:rFonts w:asciiTheme="majorBidi" w:hAnsiTheme="majorBidi" w:cstheme="majorBidi"/>
          <w:sz w:val="24"/>
          <w:szCs w:val="24"/>
        </w:rPr>
        <w:t xml:space="preserve">, soit une hausse de </w:t>
      </w:r>
      <w:r w:rsidR="005131BA">
        <w:rPr>
          <w:rFonts w:asciiTheme="majorBidi" w:hAnsiTheme="majorBidi" w:cstheme="majorBidi"/>
          <w:sz w:val="24"/>
          <w:szCs w:val="24"/>
        </w:rPr>
        <w:t>0</w:t>
      </w:r>
      <w:r>
        <w:rPr>
          <w:rFonts w:asciiTheme="majorBidi" w:hAnsiTheme="majorBidi" w:cstheme="majorBidi"/>
          <w:sz w:val="24"/>
          <w:szCs w:val="24"/>
        </w:rPr>
        <w:t>,</w:t>
      </w:r>
      <w:r w:rsidR="005131BA">
        <w:rPr>
          <w:rFonts w:asciiTheme="majorBidi" w:hAnsiTheme="majorBidi" w:cstheme="majorBidi"/>
          <w:sz w:val="24"/>
          <w:szCs w:val="24"/>
        </w:rPr>
        <w:t>4</w:t>
      </w:r>
      <w:r>
        <w:rPr>
          <w:rFonts w:asciiTheme="majorBidi" w:hAnsiTheme="majorBidi" w:cstheme="majorBidi"/>
          <w:sz w:val="24"/>
          <w:szCs w:val="24"/>
        </w:rPr>
        <w:t xml:space="preserve">% </w:t>
      </w:r>
      <w:r w:rsidR="00B77F31">
        <w:rPr>
          <w:rFonts w:asciiTheme="majorBidi" w:hAnsiTheme="majorBidi" w:cstheme="majorBidi"/>
          <w:sz w:val="24"/>
          <w:szCs w:val="24"/>
        </w:rPr>
        <w:t>contre</w:t>
      </w:r>
      <w:r w:rsidR="005131BA">
        <w:rPr>
          <w:rFonts w:asciiTheme="majorBidi" w:hAnsiTheme="majorBidi" w:cstheme="majorBidi"/>
          <w:sz w:val="24"/>
          <w:szCs w:val="24"/>
        </w:rPr>
        <w:t xml:space="preserve"> </w:t>
      </w:r>
      <w:r>
        <w:rPr>
          <w:rFonts w:asciiTheme="majorBidi" w:hAnsiTheme="majorBidi" w:cstheme="majorBidi"/>
          <w:sz w:val="24"/>
          <w:szCs w:val="24"/>
        </w:rPr>
        <w:t>0,</w:t>
      </w:r>
      <w:r w:rsidR="00B77F31">
        <w:rPr>
          <w:rFonts w:asciiTheme="majorBidi" w:hAnsiTheme="majorBidi" w:cstheme="majorBidi"/>
          <w:sz w:val="24"/>
          <w:szCs w:val="24"/>
        </w:rPr>
        <w:t>8% pour  l’indice  national</w:t>
      </w:r>
      <w:r>
        <w:rPr>
          <w:rFonts w:asciiTheme="majorBidi" w:hAnsiTheme="majorBidi" w:cstheme="majorBidi"/>
          <w:sz w:val="24"/>
          <w:szCs w:val="24"/>
        </w:rPr>
        <w:t xml:space="preserve"> entre ces deux dates.</w:t>
      </w:r>
    </w:p>
    <w:p w:rsidR="00731117" w:rsidRDefault="00731117" w:rsidP="005131B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Ce niveau d’inflation se traduit par la </w:t>
      </w:r>
      <w:r w:rsidR="005131BA">
        <w:rPr>
          <w:rFonts w:asciiTheme="majorBidi" w:hAnsiTheme="majorBidi" w:cstheme="majorBidi"/>
          <w:sz w:val="24"/>
          <w:szCs w:val="24"/>
        </w:rPr>
        <w:t>bai</w:t>
      </w:r>
      <w:r>
        <w:rPr>
          <w:rFonts w:asciiTheme="majorBidi" w:hAnsiTheme="majorBidi" w:cstheme="majorBidi"/>
          <w:sz w:val="24"/>
          <w:szCs w:val="24"/>
        </w:rPr>
        <w:t>sse de l’indice des produits alimentaire</w:t>
      </w:r>
      <w:r w:rsidR="00304496">
        <w:rPr>
          <w:rFonts w:asciiTheme="majorBidi" w:hAnsiTheme="majorBidi" w:cstheme="majorBidi"/>
          <w:sz w:val="24"/>
          <w:szCs w:val="24"/>
        </w:rPr>
        <w:t>s</w:t>
      </w:r>
      <w:r>
        <w:rPr>
          <w:rFonts w:asciiTheme="majorBidi" w:hAnsiTheme="majorBidi" w:cstheme="majorBidi"/>
          <w:sz w:val="24"/>
          <w:szCs w:val="24"/>
        </w:rPr>
        <w:t xml:space="preserve"> de </w:t>
      </w:r>
      <w:r w:rsidR="005131BA">
        <w:rPr>
          <w:rFonts w:asciiTheme="majorBidi" w:hAnsiTheme="majorBidi" w:cstheme="majorBidi"/>
          <w:sz w:val="24"/>
          <w:szCs w:val="24"/>
        </w:rPr>
        <w:t>0</w:t>
      </w:r>
      <w:r>
        <w:rPr>
          <w:rFonts w:asciiTheme="majorBidi" w:hAnsiTheme="majorBidi" w:cstheme="majorBidi"/>
          <w:sz w:val="24"/>
          <w:szCs w:val="24"/>
        </w:rPr>
        <w:t>,</w:t>
      </w:r>
      <w:r w:rsidR="005131BA">
        <w:rPr>
          <w:rFonts w:asciiTheme="majorBidi" w:hAnsiTheme="majorBidi" w:cstheme="majorBidi"/>
          <w:sz w:val="24"/>
          <w:szCs w:val="24"/>
        </w:rPr>
        <w:t>8</w:t>
      </w:r>
      <w:r>
        <w:rPr>
          <w:rFonts w:asciiTheme="majorBidi" w:hAnsiTheme="majorBidi" w:cstheme="majorBidi"/>
          <w:sz w:val="24"/>
          <w:szCs w:val="24"/>
        </w:rPr>
        <w:t xml:space="preserve">% et </w:t>
      </w:r>
      <w:r w:rsidR="005131BA">
        <w:rPr>
          <w:rFonts w:asciiTheme="majorBidi" w:hAnsiTheme="majorBidi" w:cstheme="majorBidi"/>
          <w:sz w:val="24"/>
          <w:szCs w:val="24"/>
        </w:rPr>
        <w:t xml:space="preserve">la hausse de </w:t>
      </w:r>
      <w:r>
        <w:rPr>
          <w:rFonts w:asciiTheme="majorBidi" w:hAnsiTheme="majorBidi" w:cstheme="majorBidi"/>
          <w:sz w:val="24"/>
          <w:szCs w:val="24"/>
        </w:rPr>
        <w:t>celui des produits non alimentaires de 1</w:t>
      </w:r>
      <w:r w:rsidR="005131BA">
        <w:rPr>
          <w:rFonts w:asciiTheme="majorBidi" w:hAnsiTheme="majorBidi" w:cstheme="majorBidi"/>
          <w:sz w:val="24"/>
          <w:szCs w:val="24"/>
        </w:rPr>
        <w:t>,4</w:t>
      </w:r>
      <w:r>
        <w:rPr>
          <w:rFonts w:asciiTheme="majorBidi" w:hAnsiTheme="majorBidi" w:cstheme="majorBidi"/>
          <w:sz w:val="24"/>
          <w:szCs w:val="24"/>
        </w:rPr>
        <w:t>%.</w:t>
      </w:r>
    </w:p>
    <w:p w:rsidR="008B74DA" w:rsidRDefault="008B74DA">
      <w:pPr>
        <w:rPr>
          <w:rFonts w:asciiTheme="majorBidi" w:hAnsiTheme="majorBidi" w:cstheme="majorBidi"/>
          <w:b/>
          <w:bCs/>
          <w:color w:val="4F81BD" w:themeColor="accent1"/>
        </w:rPr>
      </w:pPr>
      <w:r>
        <w:rPr>
          <w:rFonts w:asciiTheme="majorBidi" w:hAnsiTheme="majorBidi" w:cstheme="majorBidi"/>
        </w:rPr>
        <w:br w:type="page"/>
      </w:r>
    </w:p>
    <w:p w:rsidR="007E2973" w:rsidRPr="00181E8D" w:rsidRDefault="00DF65E2" w:rsidP="00DF65E2">
      <w:pPr>
        <w:pStyle w:val="Lgende"/>
        <w:rPr>
          <w:rFonts w:asciiTheme="majorBidi" w:eastAsia="Times New Roman" w:hAnsiTheme="majorBidi" w:cstheme="majorBidi"/>
          <w:sz w:val="22"/>
          <w:szCs w:val="22"/>
          <w:lang w:eastAsia="fr-FR"/>
        </w:rPr>
      </w:pPr>
      <w:bookmarkStart w:id="31" w:name="_Toc515274026"/>
      <w:r w:rsidRPr="00181E8D">
        <w:rPr>
          <w:rFonts w:asciiTheme="majorBidi" w:hAnsiTheme="majorBidi" w:cstheme="majorBidi"/>
          <w:sz w:val="22"/>
          <w:szCs w:val="22"/>
        </w:rPr>
        <w:lastRenderedPageBreak/>
        <w:t xml:space="preserve">Tableau </w:t>
      </w:r>
      <w:r w:rsidR="001022E9" w:rsidRPr="00181E8D">
        <w:rPr>
          <w:rFonts w:asciiTheme="majorBidi" w:hAnsiTheme="majorBidi" w:cstheme="majorBidi"/>
          <w:sz w:val="22"/>
          <w:szCs w:val="22"/>
        </w:rPr>
        <w:fldChar w:fldCharType="begin"/>
      </w:r>
      <w:r w:rsidRPr="00181E8D">
        <w:rPr>
          <w:rFonts w:asciiTheme="majorBidi" w:hAnsiTheme="majorBidi" w:cstheme="majorBidi"/>
          <w:sz w:val="22"/>
          <w:szCs w:val="22"/>
        </w:rPr>
        <w:instrText xml:space="preserve"> SEQ Tableau \* ARABIC </w:instrText>
      </w:r>
      <w:r w:rsidR="001022E9" w:rsidRPr="00181E8D">
        <w:rPr>
          <w:rFonts w:asciiTheme="majorBidi" w:hAnsiTheme="majorBidi" w:cstheme="majorBidi"/>
          <w:sz w:val="22"/>
          <w:szCs w:val="22"/>
        </w:rPr>
        <w:fldChar w:fldCharType="separate"/>
      </w:r>
      <w:r w:rsidR="00156FC8">
        <w:rPr>
          <w:rFonts w:asciiTheme="majorBidi" w:hAnsiTheme="majorBidi" w:cstheme="majorBidi"/>
          <w:noProof/>
          <w:sz w:val="22"/>
          <w:szCs w:val="22"/>
        </w:rPr>
        <w:t>6</w:t>
      </w:r>
      <w:r w:rsidR="001022E9" w:rsidRPr="00181E8D">
        <w:rPr>
          <w:rFonts w:asciiTheme="majorBidi" w:hAnsiTheme="majorBidi" w:cstheme="majorBidi"/>
          <w:sz w:val="22"/>
          <w:szCs w:val="22"/>
        </w:rPr>
        <w:fldChar w:fldCharType="end"/>
      </w:r>
      <w:r w:rsidRPr="00181E8D">
        <w:rPr>
          <w:rFonts w:asciiTheme="majorBidi" w:hAnsiTheme="majorBidi" w:cstheme="majorBidi"/>
          <w:sz w:val="22"/>
          <w:szCs w:val="22"/>
        </w:rPr>
        <w:t xml:space="preserve"> : </w:t>
      </w:r>
      <w:r w:rsidR="007E2973" w:rsidRPr="00181E8D">
        <w:rPr>
          <w:rFonts w:asciiTheme="majorBidi" w:eastAsia="Times New Roman" w:hAnsiTheme="majorBidi" w:cstheme="majorBidi"/>
          <w:sz w:val="22"/>
          <w:szCs w:val="22"/>
          <w:lang w:eastAsia="fr-FR"/>
        </w:rPr>
        <w:t>Evolution de l'IPC (Base 100: 2006) par division entre 201</w:t>
      </w:r>
      <w:r w:rsidR="002D58AC" w:rsidRPr="00181E8D">
        <w:rPr>
          <w:rFonts w:asciiTheme="majorBidi" w:eastAsia="Times New Roman" w:hAnsiTheme="majorBidi" w:cstheme="majorBidi"/>
          <w:sz w:val="22"/>
          <w:szCs w:val="22"/>
          <w:lang w:eastAsia="fr-FR"/>
        </w:rPr>
        <w:t>6</w:t>
      </w:r>
      <w:r w:rsidR="007E2973" w:rsidRPr="00181E8D">
        <w:rPr>
          <w:rFonts w:asciiTheme="majorBidi" w:eastAsia="Times New Roman" w:hAnsiTheme="majorBidi" w:cstheme="majorBidi"/>
          <w:sz w:val="22"/>
          <w:szCs w:val="22"/>
          <w:lang w:eastAsia="fr-FR"/>
        </w:rPr>
        <w:t xml:space="preserve"> et 201</w:t>
      </w:r>
      <w:r w:rsidR="002D58AC" w:rsidRPr="00181E8D">
        <w:rPr>
          <w:rFonts w:asciiTheme="majorBidi" w:eastAsia="Times New Roman" w:hAnsiTheme="majorBidi" w:cstheme="majorBidi"/>
          <w:sz w:val="22"/>
          <w:szCs w:val="22"/>
          <w:lang w:eastAsia="fr-FR"/>
        </w:rPr>
        <w:t>7</w:t>
      </w:r>
      <w:bookmarkEnd w:id="31"/>
    </w:p>
    <w:tbl>
      <w:tblPr>
        <w:tblW w:w="5000" w:type="pct"/>
        <w:tblCellMar>
          <w:left w:w="70" w:type="dxa"/>
          <w:right w:w="70" w:type="dxa"/>
        </w:tblCellMar>
        <w:tblLook w:val="04A0"/>
      </w:tblPr>
      <w:tblGrid>
        <w:gridCol w:w="4339"/>
        <w:gridCol w:w="850"/>
        <w:gridCol w:w="849"/>
        <w:gridCol w:w="954"/>
        <w:gridCol w:w="761"/>
        <w:gridCol w:w="761"/>
        <w:gridCol w:w="840"/>
      </w:tblGrid>
      <w:tr w:rsidR="00654B5D" w:rsidRPr="00654B5D" w:rsidTr="000E1F3F">
        <w:trPr>
          <w:trHeight w:val="375"/>
        </w:trPr>
        <w:tc>
          <w:tcPr>
            <w:tcW w:w="2319" w:type="pct"/>
            <w:vMerge w:val="restart"/>
            <w:tcBorders>
              <w:top w:val="single" w:sz="12" w:space="0" w:color="auto"/>
              <w:left w:val="nil"/>
              <w:bottom w:val="single" w:sz="8" w:space="0" w:color="000000"/>
              <w:right w:val="nil"/>
            </w:tcBorders>
            <w:shd w:val="clear" w:color="000000" w:fill="A5A5A5"/>
            <w:noWrap/>
            <w:vAlign w:val="center"/>
            <w:hideMark/>
          </w:tcPr>
          <w:p w:rsidR="00654B5D" w:rsidRPr="00654B5D" w:rsidRDefault="00654B5D" w:rsidP="00654B5D">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INDICE PAR DIVISION</w:t>
            </w:r>
          </w:p>
        </w:tc>
        <w:tc>
          <w:tcPr>
            <w:tcW w:w="1417" w:type="pct"/>
            <w:gridSpan w:val="3"/>
            <w:tcBorders>
              <w:top w:val="single" w:sz="12" w:space="0" w:color="auto"/>
              <w:left w:val="nil"/>
              <w:bottom w:val="single" w:sz="12" w:space="0" w:color="auto"/>
              <w:right w:val="nil"/>
            </w:tcBorders>
            <w:shd w:val="clear" w:color="000000" w:fill="A5A5A5"/>
            <w:noWrap/>
            <w:vAlign w:val="bottom"/>
            <w:hideMark/>
          </w:tcPr>
          <w:p w:rsidR="00654B5D" w:rsidRPr="00654B5D" w:rsidRDefault="00654B5D" w:rsidP="00654B5D">
            <w:pPr>
              <w:spacing w:after="0" w:line="240" w:lineRule="auto"/>
              <w:jc w:val="center"/>
              <w:rPr>
                <w:rFonts w:ascii="Times New Roman" w:eastAsia="Times New Roman" w:hAnsi="Times New Roman" w:cs="Times New Roman"/>
                <w:b/>
                <w:bCs/>
                <w:color w:val="000000"/>
                <w:lang w:eastAsia="fr-FR"/>
              </w:rPr>
            </w:pPr>
            <w:r w:rsidRPr="00654B5D">
              <w:rPr>
                <w:rFonts w:ascii="Times New Roman" w:eastAsia="Times New Roman" w:hAnsi="Times New Roman" w:cs="Times New Roman"/>
                <w:b/>
                <w:bCs/>
                <w:color w:val="000000"/>
                <w:lang w:eastAsia="fr-FR"/>
              </w:rPr>
              <w:t>KENITRA</w:t>
            </w:r>
          </w:p>
        </w:tc>
        <w:tc>
          <w:tcPr>
            <w:tcW w:w="1263" w:type="pct"/>
            <w:gridSpan w:val="3"/>
            <w:tcBorders>
              <w:top w:val="single" w:sz="12" w:space="0" w:color="auto"/>
              <w:left w:val="nil"/>
              <w:bottom w:val="single" w:sz="12" w:space="0" w:color="auto"/>
              <w:right w:val="nil"/>
            </w:tcBorders>
            <w:shd w:val="clear" w:color="000000" w:fill="A5A5A5"/>
            <w:noWrap/>
            <w:vAlign w:val="bottom"/>
            <w:hideMark/>
          </w:tcPr>
          <w:p w:rsidR="00654B5D" w:rsidRPr="00654B5D" w:rsidRDefault="00654B5D" w:rsidP="00654B5D">
            <w:pPr>
              <w:spacing w:after="0" w:line="240" w:lineRule="auto"/>
              <w:jc w:val="center"/>
              <w:rPr>
                <w:rFonts w:ascii="Times New Roman" w:eastAsia="Times New Roman" w:hAnsi="Times New Roman" w:cs="Times New Roman"/>
                <w:b/>
                <w:bCs/>
                <w:color w:val="000000"/>
                <w:lang w:eastAsia="fr-FR"/>
              </w:rPr>
            </w:pPr>
            <w:r w:rsidRPr="00654B5D">
              <w:rPr>
                <w:rFonts w:ascii="Times New Roman" w:eastAsia="Times New Roman" w:hAnsi="Times New Roman" w:cs="Times New Roman"/>
                <w:b/>
                <w:bCs/>
                <w:color w:val="000000"/>
                <w:lang w:eastAsia="fr-FR"/>
              </w:rPr>
              <w:t>MAROC</w:t>
            </w:r>
          </w:p>
        </w:tc>
      </w:tr>
      <w:tr w:rsidR="00654B5D" w:rsidRPr="00654B5D" w:rsidTr="000E1F3F">
        <w:trPr>
          <w:trHeight w:val="585"/>
        </w:trPr>
        <w:tc>
          <w:tcPr>
            <w:tcW w:w="2319" w:type="pct"/>
            <w:vMerge/>
            <w:tcBorders>
              <w:top w:val="single" w:sz="8" w:space="0" w:color="auto"/>
              <w:left w:val="nil"/>
              <w:bottom w:val="single" w:sz="12" w:space="0" w:color="auto"/>
              <w:right w:val="nil"/>
            </w:tcBorders>
            <w:vAlign w:val="center"/>
            <w:hideMark/>
          </w:tcPr>
          <w:p w:rsidR="00654B5D" w:rsidRPr="00654B5D" w:rsidRDefault="00654B5D" w:rsidP="00654B5D">
            <w:pPr>
              <w:spacing w:after="0" w:line="240" w:lineRule="auto"/>
              <w:rPr>
                <w:rFonts w:ascii="Times New Roman" w:eastAsia="Times New Roman" w:hAnsi="Times New Roman" w:cs="Times New Roman"/>
                <w:b/>
                <w:bCs/>
                <w:lang w:eastAsia="fr-FR"/>
              </w:rPr>
            </w:pPr>
          </w:p>
        </w:tc>
        <w:tc>
          <w:tcPr>
            <w:tcW w:w="454"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654B5D">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2016</w:t>
            </w:r>
          </w:p>
        </w:tc>
        <w:tc>
          <w:tcPr>
            <w:tcW w:w="454"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654B5D">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2017</w:t>
            </w:r>
          </w:p>
        </w:tc>
        <w:tc>
          <w:tcPr>
            <w:tcW w:w="510" w:type="pct"/>
            <w:tcBorders>
              <w:top w:val="single" w:sz="12" w:space="0" w:color="auto"/>
              <w:left w:val="nil"/>
              <w:bottom w:val="single" w:sz="12" w:space="0" w:color="auto"/>
              <w:right w:val="nil"/>
            </w:tcBorders>
            <w:shd w:val="clear" w:color="000000" w:fill="A5A5A5"/>
            <w:vAlign w:val="center"/>
            <w:hideMark/>
          </w:tcPr>
          <w:p w:rsidR="00654B5D" w:rsidRPr="00654B5D" w:rsidRDefault="00654B5D" w:rsidP="00654B5D">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 xml:space="preserve">   var (%)                                                                                   </w:t>
            </w:r>
          </w:p>
        </w:tc>
        <w:tc>
          <w:tcPr>
            <w:tcW w:w="407"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654B5D">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2016</w:t>
            </w:r>
          </w:p>
        </w:tc>
        <w:tc>
          <w:tcPr>
            <w:tcW w:w="407"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654B5D">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2017</w:t>
            </w:r>
          </w:p>
        </w:tc>
        <w:tc>
          <w:tcPr>
            <w:tcW w:w="449" w:type="pct"/>
            <w:tcBorders>
              <w:top w:val="single" w:sz="12" w:space="0" w:color="auto"/>
              <w:left w:val="nil"/>
              <w:bottom w:val="single" w:sz="12" w:space="0" w:color="auto"/>
              <w:right w:val="nil"/>
            </w:tcBorders>
            <w:shd w:val="clear" w:color="000000" w:fill="A5A5A5"/>
            <w:vAlign w:val="center"/>
            <w:hideMark/>
          </w:tcPr>
          <w:p w:rsidR="00654B5D" w:rsidRPr="00654B5D" w:rsidRDefault="00654B5D" w:rsidP="00654B5D">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 xml:space="preserve">   var (%)                                                                                   </w:t>
            </w:r>
          </w:p>
        </w:tc>
      </w:tr>
      <w:tr w:rsidR="00654B5D" w:rsidRPr="00654B5D" w:rsidTr="000E1F3F">
        <w:trPr>
          <w:trHeight w:val="465"/>
        </w:trPr>
        <w:tc>
          <w:tcPr>
            <w:tcW w:w="2319" w:type="pct"/>
            <w:tcBorders>
              <w:top w:val="single" w:sz="12" w:space="0" w:color="auto"/>
              <w:left w:val="nil"/>
              <w:bottom w:val="nil"/>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01. PRODUITS ALIMENTAIRES ET BOISSONS NON ALCOOLISÉES</w:t>
            </w:r>
          </w:p>
        </w:tc>
        <w:tc>
          <w:tcPr>
            <w:tcW w:w="454" w:type="pct"/>
            <w:tcBorders>
              <w:top w:val="single" w:sz="12"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sz w:val="20"/>
                <w:szCs w:val="20"/>
                <w:lang w:eastAsia="fr-FR"/>
              </w:rPr>
            </w:pPr>
            <w:r w:rsidRPr="00654B5D">
              <w:rPr>
                <w:rFonts w:ascii="Times New Roman" w:eastAsia="Times New Roman" w:hAnsi="Times New Roman" w:cs="Times New Roman"/>
                <w:sz w:val="20"/>
                <w:szCs w:val="20"/>
                <w:lang w:eastAsia="fr-FR"/>
              </w:rPr>
              <w:t>125,9</w:t>
            </w:r>
          </w:p>
        </w:tc>
        <w:tc>
          <w:tcPr>
            <w:tcW w:w="454" w:type="pct"/>
            <w:tcBorders>
              <w:top w:val="single" w:sz="12"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sz w:val="20"/>
                <w:szCs w:val="20"/>
                <w:lang w:eastAsia="fr-FR"/>
              </w:rPr>
            </w:pPr>
            <w:r w:rsidRPr="00654B5D">
              <w:rPr>
                <w:rFonts w:ascii="Times New Roman" w:eastAsia="Times New Roman" w:hAnsi="Times New Roman" w:cs="Times New Roman"/>
                <w:sz w:val="20"/>
                <w:szCs w:val="20"/>
                <w:lang w:eastAsia="fr-FR"/>
              </w:rPr>
              <w:t>124,8</w:t>
            </w:r>
          </w:p>
        </w:tc>
        <w:tc>
          <w:tcPr>
            <w:tcW w:w="510" w:type="pct"/>
            <w:tcBorders>
              <w:top w:val="single" w:sz="12"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sz w:val="20"/>
                <w:szCs w:val="20"/>
                <w:lang w:eastAsia="fr-FR"/>
              </w:rPr>
            </w:pPr>
            <w:r w:rsidRPr="00654B5D">
              <w:rPr>
                <w:rFonts w:ascii="Times New Roman" w:eastAsia="Times New Roman" w:hAnsi="Times New Roman" w:cs="Times New Roman"/>
                <w:sz w:val="20"/>
                <w:szCs w:val="20"/>
                <w:lang w:eastAsia="fr-FR"/>
              </w:rPr>
              <w:t>-0,9</w:t>
            </w:r>
          </w:p>
        </w:tc>
        <w:tc>
          <w:tcPr>
            <w:tcW w:w="407" w:type="pct"/>
            <w:tcBorders>
              <w:top w:val="single" w:sz="12"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sz w:val="20"/>
                <w:szCs w:val="20"/>
                <w:lang w:eastAsia="fr-FR"/>
              </w:rPr>
            </w:pPr>
            <w:r w:rsidRPr="00654B5D">
              <w:rPr>
                <w:rFonts w:ascii="Times New Roman" w:eastAsia="Times New Roman" w:hAnsi="Times New Roman" w:cs="Times New Roman"/>
                <w:sz w:val="20"/>
                <w:szCs w:val="20"/>
                <w:lang w:eastAsia="fr-FR"/>
              </w:rPr>
              <w:t>126,8</w:t>
            </w:r>
          </w:p>
        </w:tc>
        <w:tc>
          <w:tcPr>
            <w:tcW w:w="407" w:type="pct"/>
            <w:tcBorders>
              <w:top w:val="single" w:sz="12"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sz w:val="20"/>
                <w:szCs w:val="20"/>
                <w:lang w:eastAsia="fr-FR"/>
              </w:rPr>
            </w:pPr>
            <w:r w:rsidRPr="00654B5D">
              <w:rPr>
                <w:rFonts w:ascii="Times New Roman" w:eastAsia="Times New Roman" w:hAnsi="Times New Roman" w:cs="Times New Roman"/>
                <w:sz w:val="20"/>
                <w:szCs w:val="20"/>
                <w:lang w:eastAsia="fr-FR"/>
              </w:rPr>
              <w:t>126,8</w:t>
            </w:r>
          </w:p>
        </w:tc>
        <w:tc>
          <w:tcPr>
            <w:tcW w:w="449" w:type="pct"/>
            <w:tcBorders>
              <w:top w:val="single" w:sz="12"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sz w:val="20"/>
                <w:szCs w:val="20"/>
                <w:lang w:eastAsia="fr-FR"/>
              </w:rPr>
            </w:pPr>
            <w:r w:rsidRPr="00654B5D">
              <w:rPr>
                <w:rFonts w:ascii="Times New Roman" w:eastAsia="Times New Roman" w:hAnsi="Times New Roman" w:cs="Times New Roman"/>
                <w:sz w:val="20"/>
                <w:szCs w:val="20"/>
                <w:lang w:eastAsia="fr-FR"/>
              </w:rPr>
              <w:t>0,0</w:t>
            </w:r>
          </w:p>
        </w:tc>
      </w:tr>
      <w:tr w:rsidR="00654B5D" w:rsidRPr="00654B5D" w:rsidTr="000E1F3F">
        <w:trPr>
          <w:trHeight w:val="330"/>
        </w:trPr>
        <w:tc>
          <w:tcPr>
            <w:tcW w:w="2319" w:type="pct"/>
            <w:tcBorders>
              <w:top w:val="nil"/>
              <w:left w:val="nil"/>
              <w:bottom w:val="single" w:sz="8" w:space="0" w:color="auto"/>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02. BOISSONS ALCOOLISÉES, TABAC ET STUPÉFIANTS</w:t>
            </w:r>
          </w:p>
        </w:tc>
        <w:tc>
          <w:tcPr>
            <w:tcW w:w="454"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122,4</w:t>
            </w:r>
          </w:p>
        </w:tc>
        <w:tc>
          <w:tcPr>
            <w:tcW w:w="454"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123,5</w:t>
            </w:r>
          </w:p>
        </w:tc>
        <w:tc>
          <w:tcPr>
            <w:tcW w:w="510"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0,9</w:t>
            </w:r>
          </w:p>
        </w:tc>
        <w:tc>
          <w:tcPr>
            <w:tcW w:w="407"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122,7</w:t>
            </w:r>
          </w:p>
        </w:tc>
        <w:tc>
          <w:tcPr>
            <w:tcW w:w="407"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124,0</w:t>
            </w:r>
          </w:p>
        </w:tc>
        <w:tc>
          <w:tcPr>
            <w:tcW w:w="449"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w:t>
            </w:r>
          </w:p>
        </w:tc>
      </w:tr>
      <w:tr w:rsidR="00654B5D" w:rsidRPr="00654B5D" w:rsidTr="000E1F3F">
        <w:trPr>
          <w:trHeight w:val="330"/>
        </w:trPr>
        <w:tc>
          <w:tcPr>
            <w:tcW w:w="2319" w:type="pct"/>
            <w:tcBorders>
              <w:top w:val="single" w:sz="8" w:space="0" w:color="auto"/>
              <w:bottom w:val="single" w:sz="8" w:space="0" w:color="auto"/>
              <w:right w:val="nil"/>
            </w:tcBorders>
            <w:shd w:val="clear" w:color="000000" w:fill="FFFFFF"/>
            <w:vAlign w:val="center"/>
            <w:hideMark/>
          </w:tcPr>
          <w:p w:rsidR="00654B5D" w:rsidRPr="00654B5D" w:rsidRDefault="00654B5D" w:rsidP="008E4BB9">
            <w:pPr>
              <w:spacing w:after="0" w:line="240" w:lineRule="auto"/>
              <w:rPr>
                <w:rFonts w:ascii="Times New Roman" w:eastAsia="Times New Roman" w:hAnsi="Times New Roman" w:cs="Times New Roman"/>
                <w:b/>
                <w:bCs/>
                <w:sz w:val="24"/>
                <w:szCs w:val="24"/>
                <w:lang w:eastAsia="fr-FR"/>
              </w:rPr>
            </w:pPr>
            <w:r w:rsidRPr="00654B5D">
              <w:rPr>
                <w:rFonts w:ascii="Times New Roman" w:eastAsia="Times New Roman" w:hAnsi="Times New Roman" w:cs="Times New Roman"/>
                <w:b/>
                <w:bCs/>
                <w:sz w:val="24"/>
                <w:szCs w:val="24"/>
                <w:lang w:eastAsia="fr-FR"/>
              </w:rPr>
              <w:t>Indices des Produits alimentaires</w:t>
            </w:r>
          </w:p>
        </w:tc>
        <w:tc>
          <w:tcPr>
            <w:tcW w:w="454" w:type="pct"/>
            <w:tcBorders>
              <w:top w:val="single" w:sz="8" w:space="0" w:color="auto"/>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b/>
                <w:bCs/>
                <w:color w:val="000000"/>
                <w:lang w:eastAsia="fr-FR"/>
              </w:rPr>
            </w:pPr>
            <w:r w:rsidRPr="00654B5D">
              <w:rPr>
                <w:rFonts w:ascii="Times New Roman" w:eastAsia="Times New Roman" w:hAnsi="Times New Roman" w:cs="Times New Roman"/>
                <w:b/>
                <w:bCs/>
                <w:color w:val="000000"/>
                <w:lang w:eastAsia="fr-FR"/>
              </w:rPr>
              <w:t>125,7</w:t>
            </w:r>
          </w:p>
        </w:tc>
        <w:tc>
          <w:tcPr>
            <w:tcW w:w="454" w:type="pct"/>
            <w:tcBorders>
              <w:top w:val="single" w:sz="8" w:space="0" w:color="auto"/>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b/>
                <w:bCs/>
                <w:color w:val="000000"/>
                <w:lang w:eastAsia="fr-FR"/>
              </w:rPr>
            </w:pPr>
            <w:r w:rsidRPr="00654B5D">
              <w:rPr>
                <w:rFonts w:ascii="Times New Roman" w:eastAsia="Times New Roman" w:hAnsi="Times New Roman" w:cs="Times New Roman"/>
                <w:b/>
                <w:bCs/>
                <w:color w:val="000000"/>
                <w:lang w:eastAsia="fr-FR"/>
              </w:rPr>
              <w:t>124,8</w:t>
            </w:r>
          </w:p>
        </w:tc>
        <w:tc>
          <w:tcPr>
            <w:tcW w:w="510" w:type="pct"/>
            <w:tcBorders>
              <w:top w:val="single" w:sz="8" w:space="0" w:color="auto"/>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b/>
                <w:bCs/>
                <w:color w:val="000000"/>
                <w:lang w:eastAsia="fr-FR"/>
              </w:rPr>
            </w:pPr>
            <w:r w:rsidRPr="00654B5D">
              <w:rPr>
                <w:rFonts w:ascii="Times New Roman" w:eastAsia="Times New Roman" w:hAnsi="Times New Roman" w:cs="Times New Roman"/>
                <w:b/>
                <w:bCs/>
                <w:color w:val="000000"/>
                <w:lang w:eastAsia="fr-FR"/>
              </w:rPr>
              <w:t>-0,8</w:t>
            </w:r>
          </w:p>
        </w:tc>
        <w:tc>
          <w:tcPr>
            <w:tcW w:w="407" w:type="pct"/>
            <w:tcBorders>
              <w:top w:val="single" w:sz="8" w:space="0" w:color="auto"/>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b/>
                <w:bCs/>
                <w:color w:val="000000"/>
                <w:lang w:eastAsia="fr-FR"/>
              </w:rPr>
            </w:pPr>
            <w:r w:rsidRPr="00654B5D">
              <w:rPr>
                <w:rFonts w:ascii="Times New Roman" w:eastAsia="Times New Roman" w:hAnsi="Times New Roman" w:cs="Times New Roman"/>
                <w:b/>
                <w:bCs/>
                <w:color w:val="000000"/>
                <w:lang w:eastAsia="fr-FR"/>
              </w:rPr>
              <w:t>126,5</w:t>
            </w:r>
          </w:p>
        </w:tc>
        <w:tc>
          <w:tcPr>
            <w:tcW w:w="407" w:type="pct"/>
            <w:tcBorders>
              <w:top w:val="single" w:sz="8" w:space="0" w:color="auto"/>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b/>
                <w:bCs/>
                <w:color w:val="000000"/>
                <w:lang w:eastAsia="fr-FR"/>
              </w:rPr>
            </w:pPr>
            <w:r w:rsidRPr="00654B5D">
              <w:rPr>
                <w:rFonts w:ascii="Times New Roman" w:eastAsia="Times New Roman" w:hAnsi="Times New Roman" w:cs="Times New Roman"/>
                <w:b/>
                <w:bCs/>
                <w:color w:val="000000"/>
                <w:lang w:eastAsia="fr-FR"/>
              </w:rPr>
              <w:t>126,6</w:t>
            </w:r>
          </w:p>
        </w:tc>
        <w:tc>
          <w:tcPr>
            <w:tcW w:w="449" w:type="pct"/>
            <w:tcBorders>
              <w:top w:val="single" w:sz="8" w:space="0" w:color="auto"/>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b/>
                <w:bCs/>
                <w:color w:val="000000"/>
                <w:lang w:eastAsia="fr-FR"/>
              </w:rPr>
            </w:pPr>
            <w:r w:rsidRPr="00654B5D">
              <w:rPr>
                <w:rFonts w:ascii="Times New Roman" w:eastAsia="Times New Roman" w:hAnsi="Times New Roman" w:cs="Times New Roman"/>
                <w:b/>
                <w:bCs/>
                <w:color w:val="000000"/>
                <w:lang w:eastAsia="fr-FR"/>
              </w:rPr>
              <w:t>0,1</w:t>
            </w:r>
          </w:p>
        </w:tc>
      </w:tr>
      <w:tr w:rsidR="00654B5D" w:rsidRPr="00654B5D" w:rsidTr="000E1F3F">
        <w:trPr>
          <w:trHeight w:val="315"/>
        </w:trPr>
        <w:tc>
          <w:tcPr>
            <w:tcW w:w="2319" w:type="pct"/>
            <w:tcBorders>
              <w:top w:val="single" w:sz="8" w:space="0" w:color="auto"/>
              <w:left w:val="nil"/>
              <w:bottom w:val="nil"/>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03. ARTICLES D'HABILLEMENT ET CHAUSSURES</w:t>
            </w:r>
          </w:p>
        </w:tc>
        <w:tc>
          <w:tcPr>
            <w:tcW w:w="454" w:type="pct"/>
            <w:tcBorders>
              <w:top w:val="single" w:sz="8"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109,8</w:t>
            </w:r>
          </w:p>
        </w:tc>
        <w:tc>
          <w:tcPr>
            <w:tcW w:w="454" w:type="pct"/>
            <w:tcBorders>
              <w:top w:val="single" w:sz="8"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111,1</w:t>
            </w:r>
          </w:p>
        </w:tc>
        <w:tc>
          <w:tcPr>
            <w:tcW w:w="510" w:type="pct"/>
            <w:tcBorders>
              <w:top w:val="single" w:sz="8"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1,2</w:t>
            </w:r>
          </w:p>
        </w:tc>
        <w:tc>
          <w:tcPr>
            <w:tcW w:w="407" w:type="pct"/>
            <w:tcBorders>
              <w:top w:val="single" w:sz="8"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114,1</w:t>
            </w:r>
          </w:p>
        </w:tc>
        <w:tc>
          <w:tcPr>
            <w:tcW w:w="407" w:type="pct"/>
            <w:tcBorders>
              <w:top w:val="single" w:sz="8"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115,7</w:t>
            </w:r>
          </w:p>
        </w:tc>
        <w:tc>
          <w:tcPr>
            <w:tcW w:w="449" w:type="pct"/>
            <w:tcBorders>
              <w:top w:val="single" w:sz="8" w:space="0" w:color="auto"/>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1,4</w:t>
            </w:r>
          </w:p>
        </w:tc>
      </w:tr>
      <w:tr w:rsidR="00654B5D" w:rsidRPr="00654B5D" w:rsidTr="000E1F3F">
        <w:trPr>
          <w:trHeight w:val="465"/>
        </w:trPr>
        <w:tc>
          <w:tcPr>
            <w:tcW w:w="2319" w:type="pct"/>
            <w:tcBorders>
              <w:top w:val="nil"/>
              <w:left w:val="nil"/>
              <w:bottom w:val="nil"/>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04. LOGEMENT, EAU, GAZ, ELECTRICITE ET AUTRES COMBUSTIBLES</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107,7</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108,5</w:t>
            </w:r>
          </w:p>
        </w:tc>
        <w:tc>
          <w:tcPr>
            <w:tcW w:w="510"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0,7</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113,9</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115,3</w:t>
            </w:r>
          </w:p>
        </w:tc>
        <w:tc>
          <w:tcPr>
            <w:tcW w:w="449"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1,2</w:t>
            </w:r>
          </w:p>
        </w:tc>
      </w:tr>
      <w:tr w:rsidR="00654B5D" w:rsidRPr="00654B5D" w:rsidTr="000E1F3F">
        <w:trPr>
          <w:trHeight w:val="465"/>
        </w:trPr>
        <w:tc>
          <w:tcPr>
            <w:tcW w:w="2319" w:type="pct"/>
            <w:tcBorders>
              <w:top w:val="nil"/>
              <w:left w:val="nil"/>
              <w:bottom w:val="nil"/>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05. MEUBLES, ARTICLES DE MENAGE ET ENTRETIEN COURANT DU FOYER</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106,5</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106,7</w:t>
            </w:r>
          </w:p>
        </w:tc>
        <w:tc>
          <w:tcPr>
            <w:tcW w:w="510"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0,1</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109,2</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109,8</w:t>
            </w:r>
          </w:p>
        </w:tc>
        <w:tc>
          <w:tcPr>
            <w:tcW w:w="449"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0,6</w:t>
            </w:r>
          </w:p>
        </w:tc>
      </w:tr>
      <w:tr w:rsidR="00654B5D" w:rsidRPr="00654B5D" w:rsidTr="000E1F3F">
        <w:trPr>
          <w:trHeight w:val="315"/>
        </w:trPr>
        <w:tc>
          <w:tcPr>
            <w:tcW w:w="2319" w:type="pct"/>
            <w:tcBorders>
              <w:top w:val="nil"/>
              <w:left w:val="nil"/>
              <w:bottom w:val="nil"/>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06. SANTÉ</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108,8</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112,2</w:t>
            </w:r>
          </w:p>
        </w:tc>
        <w:tc>
          <w:tcPr>
            <w:tcW w:w="510"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3,2</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104,5</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105,2</w:t>
            </w:r>
          </w:p>
        </w:tc>
        <w:tc>
          <w:tcPr>
            <w:tcW w:w="449"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0,7</w:t>
            </w:r>
          </w:p>
        </w:tc>
      </w:tr>
      <w:tr w:rsidR="00654B5D" w:rsidRPr="00654B5D" w:rsidTr="000E1F3F">
        <w:trPr>
          <w:trHeight w:val="315"/>
        </w:trPr>
        <w:tc>
          <w:tcPr>
            <w:tcW w:w="2319" w:type="pct"/>
            <w:tcBorders>
              <w:top w:val="nil"/>
              <w:left w:val="nil"/>
              <w:bottom w:val="nil"/>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07. TRANSPORTS</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109,6</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113,3</w:t>
            </w:r>
          </w:p>
        </w:tc>
        <w:tc>
          <w:tcPr>
            <w:tcW w:w="510"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3,3</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108,9</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110,7</w:t>
            </w:r>
          </w:p>
        </w:tc>
        <w:tc>
          <w:tcPr>
            <w:tcW w:w="449"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1,6</w:t>
            </w:r>
          </w:p>
        </w:tc>
      </w:tr>
      <w:tr w:rsidR="00654B5D" w:rsidRPr="00654B5D" w:rsidTr="000E1F3F">
        <w:trPr>
          <w:trHeight w:val="315"/>
        </w:trPr>
        <w:tc>
          <w:tcPr>
            <w:tcW w:w="2319" w:type="pct"/>
            <w:tcBorders>
              <w:top w:val="nil"/>
              <w:left w:val="nil"/>
              <w:bottom w:val="nil"/>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08. COMMUNICATIONS</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58,6</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58,6</w:t>
            </w:r>
          </w:p>
        </w:tc>
        <w:tc>
          <w:tcPr>
            <w:tcW w:w="510"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0,0</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59,5</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59,4</w:t>
            </w:r>
          </w:p>
        </w:tc>
        <w:tc>
          <w:tcPr>
            <w:tcW w:w="449"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-0,1</w:t>
            </w:r>
          </w:p>
        </w:tc>
      </w:tr>
      <w:tr w:rsidR="00654B5D" w:rsidRPr="00654B5D" w:rsidTr="000E1F3F">
        <w:trPr>
          <w:trHeight w:val="315"/>
        </w:trPr>
        <w:tc>
          <w:tcPr>
            <w:tcW w:w="2319" w:type="pct"/>
            <w:tcBorders>
              <w:top w:val="nil"/>
              <w:left w:val="nil"/>
              <w:bottom w:val="nil"/>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09. LOISIRS ET CULTURE</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101,8</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101,9</w:t>
            </w:r>
          </w:p>
        </w:tc>
        <w:tc>
          <w:tcPr>
            <w:tcW w:w="510"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0,0</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98,2</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98,7</w:t>
            </w:r>
          </w:p>
        </w:tc>
        <w:tc>
          <w:tcPr>
            <w:tcW w:w="449"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0,6</w:t>
            </w:r>
          </w:p>
        </w:tc>
      </w:tr>
      <w:tr w:rsidR="00654B5D" w:rsidRPr="00654B5D" w:rsidTr="000E1F3F">
        <w:trPr>
          <w:trHeight w:val="315"/>
        </w:trPr>
        <w:tc>
          <w:tcPr>
            <w:tcW w:w="2319" w:type="pct"/>
            <w:tcBorders>
              <w:top w:val="nil"/>
              <w:left w:val="nil"/>
              <w:bottom w:val="nil"/>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10. ENSEIGNEMENT</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115,8</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115,9</w:t>
            </w:r>
          </w:p>
        </w:tc>
        <w:tc>
          <w:tcPr>
            <w:tcW w:w="510"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0,1</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142,7</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146,5</w:t>
            </w:r>
          </w:p>
        </w:tc>
        <w:tc>
          <w:tcPr>
            <w:tcW w:w="449"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2,6</w:t>
            </w:r>
          </w:p>
        </w:tc>
      </w:tr>
      <w:tr w:rsidR="00654B5D" w:rsidRPr="00654B5D" w:rsidTr="000E1F3F">
        <w:trPr>
          <w:trHeight w:val="315"/>
        </w:trPr>
        <w:tc>
          <w:tcPr>
            <w:tcW w:w="2319" w:type="pct"/>
            <w:tcBorders>
              <w:top w:val="nil"/>
              <w:left w:val="nil"/>
              <w:bottom w:val="nil"/>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11. RESTAURANTS ET HÔTELS</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145,1</w:t>
            </w:r>
          </w:p>
        </w:tc>
        <w:tc>
          <w:tcPr>
            <w:tcW w:w="454"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148,7</w:t>
            </w:r>
          </w:p>
        </w:tc>
        <w:tc>
          <w:tcPr>
            <w:tcW w:w="510"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2,4</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125,6</w:t>
            </w:r>
          </w:p>
        </w:tc>
        <w:tc>
          <w:tcPr>
            <w:tcW w:w="407"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129,6</w:t>
            </w:r>
          </w:p>
        </w:tc>
        <w:tc>
          <w:tcPr>
            <w:tcW w:w="449" w:type="pct"/>
            <w:tcBorders>
              <w:top w:val="nil"/>
              <w:left w:val="nil"/>
              <w:bottom w:val="nil"/>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3,2</w:t>
            </w:r>
          </w:p>
        </w:tc>
      </w:tr>
      <w:tr w:rsidR="00654B5D" w:rsidRPr="00654B5D" w:rsidTr="000E1F3F">
        <w:trPr>
          <w:trHeight w:val="225"/>
        </w:trPr>
        <w:tc>
          <w:tcPr>
            <w:tcW w:w="2319" w:type="pct"/>
            <w:tcBorders>
              <w:top w:val="nil"/>
              <w:left w:val="nil"/>
              <w:bottom w:val="single" w:sz="8" w:space="0" w:color="auto"/>
              <w:right w:val="nil"/>
            </w:tcBorders>
            <w:shd w:val="clear" w:color="auto" w:fill="auto"/>
            <w:vAlign w:val="center"/>
            <w:hideMark/>
          </w:tcPr>
          <w:p w:rsidR="00654B5D" w:rsidRPr="00654B5D" w:rsidRDefault="00654B5D" w:rsidP="008E4BB9">
            <w:pPr>
              <w:spacing w:after="0" w:line="240" w:lineRule="auto"/>
              <w:rPr>
                <w:rFonts w:ascii="Times New Roman" w:eastAsia="Times New Roman" w:hAnsi="Times New Roman" w:cs="Times New Roman"/>
                <w:sz w:val="16"/>
                <w:szCs w:val="16"/>
                <w:lang w:eastAsia="fr-FR"/>
              </w:rPr>
            </w:pPr>
            <w:r w:rsidRPr="00654B5D">
              <w:rPr>
                <w:rFonts w:ascii="Times New Roman" w:eastAsia="Times New Roman" w:hAnsi="Times New Roman" w:cs="Times New Roman"/>
                <w:sz w:val="16"/>
                <w:szCs w:val="16"/>
                <w:lang w:eastAsia="fr-FR"/>
              </w:rPr>
              <w:t>12. BIENS ET SERVICES DIVERS</w:t>
            </w:r>
          </w:p>
        </w:tc>
        <w:tc>
          <w:tcPr>
            <w:tcW w:w="454"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123,4</w:t>
            </w:r>
          </w:p>
        </w:tc>
        <w:tc>
          <w:tcPr>
            <w:tcW w:w="454"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124,0</w:t>
            </w:r>
          </w:p>
        </w:tc>
        <w:tc>
          <w:tcPr>
            <w:tcW w:w="510"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0,5</w:t>
            </w:r>
          </w:p>
        </w:tc>
        <w:tc>
          <w:tcPr>
            <w:tcW w:w="407"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114,3</w:t>
            </w:r>
          </w:p>
        </w:tc>
        <w:tc>
          <w:tcPr>
            <w:tcW w:w="407"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115,2</w:t>
            </w:r>
          </w:p>
        </w:tc>
        <w:tc>
          <w:tcPr>
            <w:tcW w:w="449" w:type="pct"/>
            <w:tcBorders>
              <w:top w:val="nil"/>
              <w:left w:val="nil"/>
              <w:bottom w:val="single" w:sz="8" w:space="0" w:color="auto"/>
              <w:right w:val="nil"/>
            </w:tcBorders>
            <w:shd w:val="clear" w:color="auto" w:fill="auto"/>
            <w:noWrap/>
            <w:vAlign w:val="center"/>
            <w:hideMark/>
          </w:tcPr>
          <w:p w:rsidR="00654B5D" w:rsidRPr="00654B5D" w:rsidRDefault="00654B5D" w:rsidP="008E4BB9">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color w:val="000000"/>
                <w:sz w:val="20"/>
                <w:szCs w:val="20"/>
                <w:lang w:eastAsia="fr-FR"/>
              </w:rPr>
              <w:t>0,8</w:t>
            </w:r>
          </w:p>
        </w:tc>
      </w:tr>
      <w:tr w:rsidR="008E4BB9" w:rsidRPr="00654B5D" w:rsidTr="000E1F3F">
        <w:trPr>
          <w:trHeight w:val="420"/>
        </w:trPr>
        <w:tc>
          <w:tcPr>
            <w:tcW w:w="2319" w:type="pct"/>
            <w:tcBorders>
              <w:top w:val="single" w:sz="8" w:space="0" w:color="auto"/>
              <w:left w:val="nil"/>
              <w:bottom w:val="single" w:sz="12" w:space="0" w:color="auto"/>
              <w:right w:val="nil"/>
            </w:tcBorders>
            <w:shd w:val="clear" w:color="auto" w:fill="auto"/>
            <w:vAlign w:val="center"/>
            <w:hideMark/>
          </w:tcPr>
          <w:p w:rsidR="008E4BB9" w:rsidRPr="00654B5D" w:rsidRDefault="008E4BB9" w:rsidP="000E1F3F">
            <w:pPr>
              <w:spacing w:after="0" w:line="240" w:lineRule="auto"/>
              <w:jc w:val="center"/>
              <w:rPr>
                <w:rFonts w:ascii="Times New Roman" w:eastAsia="Times New Roman" w:hAnsi="Times New Roman" w:cs="Times New Roman"/>
                <w:sz w:val="16"/>
                <w:szCs w:val="16"/>
                <w:lang w:eastAsia="fr-FR"/>
              </w:rPr>
            </w:pPr>
            <w:r w:rsidRPr="00654B5D">
              <w:rPr>
                <w:rFonts w:ascii="Times New Roman" w:eastAsia="Times New Roman" w:hAnsi="Times New Roman" w:cs="Times New Roman"/>
                <w:b/>
                <w:bCs/>
                <w:sz w:val="24"/>
                <w:szCs w:val="24"/>
                <w:lang w:eastAsia="fr-FR"/>
              </w:rPr>
              <w:t>Indices des Produits non alimentaires</w:t>
            </w:r>
          </w:p>
        </w:tc>
        <w:tc>
          <w:tcPr>
            <w:tcW w:w="454" w:type="pct"/>
            <w:tcBorders>
              <w:top w:val="single" w:sz="8" w:space="0" w:color="auto"/>
              <w:left w:val="nil"/>
              <w:bottom w:val="single" w:sz="12" w:space="0" w:color="auto"/>
              <w:right w:val="nil"/>
            </w:tcBorders>
            <w:shd w:val="clear" w:color="auto" w:fill="auto"/>
            <w:noWrap/>
            <w:vAlign w:val="center"/>
            <w:hideMark/>
          </w:tcPr>
          <w:p w:rsidR="008E4BB9" w:rsidRPr="00654B5D" w:rsidRDefault="008E4BB9" w:rsidP="000E1F3F">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b/>
                <w:bCs/>
                <w:color w:val="000000"/>
                <w:lang w:eastAsia="fr-FR"/>
              </w:rPr>
              <w:t>109,1</w:t>
            </w:r>
          </w:p>
        </w:tc>
        <w:tc>
          <w:tcPr>
            <w:tcW w:w="454" w:type="pct"/>
            <w:tcBorders>
              <w:top w:val="single" w:sz="8" w:space="0" w:color="auto"/>
              <w:left w:val="nil"/>
              <w:bottom w:val="single" w:sz="12" w:space="0" w:color="auto"/>
              <w:right w:val="nil"/>
            </w:tcBorders>
            <w:shd w:val="clear" w:color="auto" w:fill="auto"/>
            <w:noWrap/>
            <w:vAlign w:val="center"/>
            <w:hideMark/>
          </w:tcPr>
          <w:p w:rsidR="008E4BB9" w:rsidRPr="00654B5D" w:rsidRDefault="008E4BB9" w:rsidP="000E1F3F">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b/>
                <w:bCs/>
                <w:color w:val="000000"/>
                <w:lang w:eastAsia="fr-FR"/>
              </w:rPr>
              <w:t>110,6</w:t>
            </w:r>
          </w:p>
        </w:tc>
        <w:tc>
          <w:tcPr>
            <w:tcW w:w="510" w:type="pct"/>
            <w:tcBorders>
              <w:top w:val="single" w:sz="8" w:space="0" w:color="auto"/>
              <w:left w:val="nil"/>
              <w:bottom w:val="single" w:sz="12" w:space="0" w:color="auto"/>
              <w:right w:val="nil"/>
            </w:tcBorders>
            <w:shd w:val="clear" w:color="auto" w:fill="auto"/>
            <w:noWrap/>
            <w:vAlign w:val="center"/>
            <w:hideMark/>
          </w:tcPr>
          <w:p w:rsidR="008E4BB9" w:rsidRPr="00654B5D" w:rsidRDefault="008E4BB9" w:rsidP="000E1F3F">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b/>
                <w:bCs/>
                <w:color w:val="000000"/>
                <w:lang w:eastAsia="fr-FR"/>
              </w:rPr>
              <w:t>1,4</w:t>
            </w:r>
          </w:p>
        </w:tc>
        <w:tc>
          <w:tcPr>
            <w:tcW w:w="407" w:type="pct"/>
            <w:tcBorders>
              <w:top w:val="single" w:sz="8" w:space="0" w:color="auto"/>
              <w:left w:val="nil"/>
              <w:bottom w:val="single" w:sz="12" w:space="0" w:color="auto"/>
              <w:right w:val="nil"/>
            </w:tcBorders>
            <w:shd w:val="clear" w:color="auto" w:fill="auto"/>
            <w:noWrap/>
            <w:vAlign w:val="center"/>
            <w:hideMark/>
          </w:tcPr>
          <w:p w:rsidR="008E4BB9" w:rsidRPr="00654B5D" w:rsidRDefault="008E4BB9" w:rsidP="000E1F3F">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b/>
                <w:bCs/>
                <w:color w:val="000000"/>
                <w:lang w:eastAsia="fr-FR"/>
              </w:rPr>
              <w:t>110,3</w:t>
            </w:r>
          </w:p>
        </w:tc>
        <w:tc>
          <w:tcPr>
            <w:tcW w:w="407" w:type="pct"/>
            <w:tcBorders>
              <w:top w:val="single" w:sz="8" w:space="0" w:color="auto"/>
              <w:left w:val="nil"/>
              <w:bottom w:val="single" w:sz="12" w:space="0" w:color="auto"/>
              <w:right w:val="nil"/>
            </w:tcBorders>
            <w:shd w:val="clear" w:color="auto" w:fill="auto"/>
            <w:noWrap/>
            <w:vAlign w:val="center"/>
            <w:hideMark/>
          </w:tcPr>
          <w:p w:rsidR="008E4BB9" w:rsidRPr="00654B5D" w:rsidRDefault="008E4BB9" w:rsidP="000E1F3F">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b/>
                <w:bCs/>
                <w:color w:val="000000"/>
                <w:lang w:eastAsia="fr-FR"/>
              </w:rPr>
              <w:t>111,8</w:t>
            </w:r>
          </w:p>
        </w:tc>
        <w:tc>
          <w:tcPr>
            <w:tcW w:w="449" w:type="pct"/>
            <w:tcBorders>
              <w:top w:val="single" w:sz="8" w:space="0" w:color="auto"/>
              <w:left w:val="nil"/>
              <w:bottom w:val="single" w:sz="12" w:space="0" w:color="auto"/>
              <w:right w:val="nil"/>
            </w:tcBorders>
            <w:shd w:val="clear" w:color="auto" w:fill="auto"/>
            <w:noWrap/>
            <w:vAlign w:val="center"/>
            <w:hideMark/>
          </w:tcPr>
          <w:p w:rsidR="008E4BB9" w:rsidRPr="00654B5D" w:rsidRDefault="008E4BB9" w:rsidP="000E1F3F">
            <w:pPr>
              <w:spacing w:after="0" w:line="240" w:lineRule="auto"/>
              <w:jc w:val="right"/>
              <w:rPr>
                <w:rFonts w:ascii="Times New Roman" w:eastAsia="Times New Roman" w:hAnsi="Times New Roman" w:cs="Times New Roman"/>
                <w:color w:val="000000"/>
                <w:sz w:val="20"/>
                <w:szCs w:val="20"/>
                <w:lang w:eastAsia="fr-FR"/>
              </w:rPr>
            </w:pPr>
            <w:r w:rsidRPr="00654B5D">
              <w:rPr>
                <w:rFonts w:ascii="Times New Roman" w:eastAsia="Times New Roman" w:hAnsi="Times New Roman" w:cs="Times New Roman"/>
                <w:b/>
                <w:bCs/>
                <w:color w:val="000000"/>
                <w:lang w:eastAsia="fr-FR"/>
              </w:rPr>
              <w:t>1,3</w:t>
            </w:r>
          </w:p>
        </w:tc>
      </w:tr>
      <w:tr w:rsidR="00654B5D" w:rsidRPr="00654B5D" w:rsidTr="000E1F3F">
        <w:trPr>
          <w:trHeight w:val="330"/>
        </w:trPr>
        <w:tc>
          <w:tcPr>
            <w:tcW w:w="2319"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0E1F3F">
            <w:pPr>
              <w:spacing w:after="0" w:line="240" w:lineRule="auto"/>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 xml:space="preserve">  INDICE  GENERAL    </w:t>
            </w:r>
          </w:p>
        </w:tc>
        <w:tc>
          <w:tcPr>
            <w:tcW w:w="454"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0E1F3F">
            <w:pPr>
              <w:spacing w:after="0" w:line="240" w:lineRule="auto"/>
              <w:jc w:val="right"/>
              <w:rPr>
                <w:rFonts w:ascii="Times New Roman" w:eastAsia="Times New Roman" w:hAnsi="Times New Roman" w:cs="Times New Roman"/>
                <w:b/>
                <w:bCs/>
                <w:sz w:val="24"/>
                <w:szCs w:val="24"/>
                <w:lang w:eastAsia="fr-FR"/>
              </w:rPr>
            </w:pPr>
            <w:r w:rsidRPr="00654B5D">
              <w:rPr>
                <w:rFonts w:ascii="Times New Roman" w:eastAsia="Times New Roman" w:hAnsi="Times New Roman" w:cs="Times New Roman"/>
                <w:b/>
                <w:bCs/>
                <w:sz w:val="24"/>
                <w:szCs w:val="24"/>
                <w:lang w:eastAsia="fr-FR"/>
              </w:rPr>
              <w:t>116,0</w:t>
            </w:r>
          </w:p>
        </w:tc>
        <w:tc>
          <w:tcPr>
            <w:tcW w:w="454"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0E1F3F">
            <w:pPr>
              <w:spacing w:after="0" w:line="240" w:lineRule="auto"/>
              <w:jc w:val="right"/>
              <w:rPr>
                <w:rFonts w:ascii="Times New Roman" w:eastAsia="Times New Roman" w:hAnsi="Times New Roman" w:cs="Times New Roman"/>
                <w:b/>
                <w:bCs/>
                <w:sz w:val="24"/>
                <w:szCs w:val="24"/>
                <w:lang w:eastAsia="fr-FR"/>
              </w:rPr>
            </w:pPr>
            <w:r w:rsidRPr="00654B5D">
              <w:rPr>
                <w:rFonts w:ascii="Times New Roman" w:eastAsia="Times New Roman" w:hAnsi="Times New Roman" w:cs="Times New Roman"/>
                <w:b/>
                <w:bCs/>
                <w:sz w:val="24"/>
                <w:szCs w:val="24"/>
                <w:lang w:eastAsia="fr-FR"/>
              </w:rPr>
              <w:t>116,5</w:t>
            </w:r>
          </w:p>
        </w:tc>
        <w:tc>
          <w:tcPr>
            <w:tcW w:w="510"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0E1F3F">
            <w:pPr>
              <w:spacing w:after="0" w:line="240" w:lineRule="auto"/>
              <w:jc w:val="right"/>
              <w:rPr>
                <w:rFonts w:ascii="Times New Roman" w:eastAsia="Times New Roman" w:hAnsi="Times New Roman" w:cs="Times New Roman"/>
                <w:b/>
                <w:bCs/>
                <w:sz w:val="24"/>
                <w:szCs w:val="24"/>
                <w:lang w:eastAsia="fr-FR"/>
              </w:rPr>
            </w:pPr>
            <w:r w:rsidRPr="00654B5D">
              <w:rPr>
                <w:rFonts w:ascii="Times New Roman" w:eastAsia="Times New Roman" w:hAnsi="Times New Roman" w:cs="Times New Roman"/>
                <w:b/>
                <w:bCs/>
                <w:sz w:val="24"/>
                <w:szCs w:val="24"/>
                <w:lang w:eastAsia="fr-FR"/>
              </w:rPr>
              <w:t>0,4</w:t>
            </w:r>
          </w:p>
        </w:tc>
        <w:tc>
          <w:tcPr>
            <w:tcW w:w="407"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0E1F3F">
            <w:pPr>
              <w:spacing w:after="0" w:line="240" w:lineRule="auto"/>
              <w:jc w:val="right"/>
              <w:rPr>
                <w:rFonts w:ascii="Times New Roman" w:eastAsia="Times New Roman" w:hAnsi="Times New Roman" w:cs="Times New Roman"/>
                <w:b/>
                <w:bCs/>
                <w:sz w:val="24"/>
                <w:szCs w:val="24"/>
                <w:lang w:eastAsia="fr-FR"/>
              </w:rPr>
            </w:pPr>
            <w:r w:rsidRPr="00654B5D">
              <w:rPr>
                <w:rFonts w:ascii="Times New Roman" w:eastAsia="Times New Roman" w:hAnsi="Times New Roman" w:cs="Times New Roman"/>
                <w:b/>
                <w:bCs/>
                <w:sz w:val="24"/>
                <w:szCs w:val="24"/>
                <w:lang w:eastAsia="fr-FR"/>
              </w:rPr>
              <w:t>117,1</w:t>
            </w:r>
          </w:p>
        </w:tc>
        <w:tc>
          <w:tcPr>
            <w:tcW w:w="407"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0E1F3F">
            <w:pPr>
              <w:spacing w:after="0" w:line="240" w:lineRule="auto"/>
              <w:jc w:val="right"/>
              <w:rPr>
                <w:rFonts w:ascii="Times New Roman" w:eastAsia="Times New Roman" w:hAnsi="Times New Roman" w:cs="Times New Roman"/>
                <w:b/>
                <w:bCs/>
                <w:sz w:val="24"/>
                <w:szCs w:val="24"/>
                <w:lang w:eastAsia="fr-FR"/>
              </w:rPr>
            </w:pPr>
            <w:r w:rsidRPr="00654B5D">
              <w:rPr>
                <w:rFonts w:ascii="Times New Roman" w:eastAsia="Times New Roman" w:hAnsi="Times New Roman" w:cs="Times New Roman"/>
                <w:b/>
                <w:bCs/>
                <w:sz w:val="24"/>
                <w:szCs w:val="24"/>
                <w:lang w:eastAsia="fr-FR"/>
              </w:rPr>
              <w:t>117,9</w:t>
            </w:r>
          </w:p>
        </w:tc>
        <w:tc>
          <w:tcPr>
            <w:tcW w:w="449"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0E1F3F">
            <w:pPr>
              <w:spacing w:after="0" w:line="240" w:lineRule="auto"/>
              <w:jc w:val="right"/>
              <w:rPr>
                <w:rFonts w:ascii="Times New Roman" w:eastAsia="Times New Roman" w:hAnsi="Times New Roman" w:cs="Times New Roman"/>
                <w:b/>
                <w:bCs/>
                <w:sz w:val="24"/>
                <w:szCs w:val="24"/>
                <w:lang w:eastAsia="fr-FR"/>
              </w:rPr>
            </w:pPr>
            <w:r w:rsidRPr="00654B5D">
              <w:rPr>
                <w:rFonts w:ascii="Times New Roman" w:eastAsia="Times New Roman" w:hAnsi="Times New Roman" w:cs="Times New Roman"/>
                <w:b/>
                <w:bCs/>
                <w:sz w:val="24"/>
                <w:szCs w:val="24"/>
                <w:lang w:eastAsia="fr-FR"/>
              </w:rPr>
              <w:t>0,8</w:t>
            </w:r>
          </w:p>
        </w:tc>
      </w:tr>
    </w:tbl>
    <w:p w:rsidR="00793797" w:rsidRDefault="00793797" w:rsidP="00D02F5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descendant au niveau des groupes et classes de la première division de la nomenclature des biens et services </w:t>
      </w:r>
      <w:r w:rsidR="004B1065">
        <w:rPr>
          <w:rFonts w:asciiTheme="majorBidi" w:hAnsiTheme="majorBidi" w:cstheme="majorBidi"/>
          <w:sz w:val="24"/>
          <w:szCs w:val="24"/>
        </w:rPr>
        <w:t>(tableau</w:t>
      </w:r>
      <w:r w:rsidR="00181E8D">
        <w:rPr>
          <w:rFonts w:asciiTheme="majorBidi" w:hAnsiTheme="majorBidi" w:cstheme="majorBidi"/>
          <w:sz w:val="24"/>
          <w:szCs w:val="24"/>
        </w:rPr>
        <w:t xml:space="preserve"> A1 </w:t>
      </w:r>
      <w:r>
        <w:rPr>
          <w:rFonts w:asciiTheme="majorBidi" w:hAnsiTheme="majorBidi" w:cstheme="majorBidi"/>
          <w:sz w:val="24"/>
          <w:szCs w:val="24"/>
        </w:rPr>
        <w:t>en annexe), on constate</w:t>
      </w:r>
      <w:r w:rsidR="007D1684">
        <w:rPr>
          <w:rFonts w:asciiTheme="majorBidi" w:hAnsiTheme="majorBidi" w:cstheme="majorBidi"/>
          <w:sz w:val="24"/>
          <w:szCs w:val="24"/>
        </w:rPr>
        <w:t xml:space="preserve"> que dans le groupe Produits Alimentaires les baisses les plus importantes</w:t>
      </w:r>
      <w:r w:rsidR="00C173BC">
        <w:rPr>
          <w:rFonts w:asciiTheme="majorBidi" w:hAnsiTheme="majorBidi" w:cstheme="majorBidi"/>
          <w:sz w:val="24"/>
          <w:szCs w:val="24"/>
        </w:rPr>
        <w:t>, enregistrées entre 2016 et 2017,</w:t>
      </w:r>
      <w:r w:rsidR="007D1684">
        <w:rPr>
          <w:rFonts w:asciiTheme="majorBidi" w:hAnsiTheme="majorBidi" w:cstheme="majorBidi"/>
          <w:sz w:val="24"/>
          <w:szCs w:val="24"/>
        </w:rPr>
        <w:t xml:space="preserve"> ont touché les prix des "Pains et Céréales" </w:t>
      </w:r>
      <w:r w:rsidR="00D02F59">
        <w:rPr>
          <w:rFonts w:asciiTheme="majorBidi" w:hAnsiTheme="majorBidi" w:cstheme="majorBidi"/>
          <w:sz w:val="24"/>
          <w:szCs w:val="24"/>
        </w:rPr>
        <w:t>(</w:t>
      </w:r>
      <w:r w:rsidR="007D1684">
        <w:rPr>
          <w:rFonts w:asciiTheme="majorBidi" w:hAnsiTheme="majorBidi" w:cstheme="majorBidi"/>
          <w:sz w:val="24"/>
          <w:szCs w:val="24"/>
        </w:rPr>
        <w:t>2,1%</w:t>
      </w:r>
      <w:r w:rsidR="00D02F59">
        <w:rPr>
          <w:rFonts w:asciiTheme="majorBidi" w:hAnsiTheme="majorBidi" w:cstheme="majorBidi"/>
          <w:sz w:val="24"/>
          <w:szCs w:val="24"/>
        </w:rPr>
        <w:t>)</w:t>
      </w:r>
      <w:r>
        <w:rPr>
          <w:rFonts w:asciiTheme="majorBidi" w:hAnsiTheme="majorBidi" w:cstheme="majorBidi"/>
          <w:sz w:val="24"/>
          <w:szCs w:val="24"/>
        </w:rPr>
        <w:t xml:space="preserve">, </w:t>
      </w:r>
      <w:r w:rsidR="007D1684">
        <w:rPr>
          <w:rFonts w:asciiTheme="majorBidi" w:hAnsiTheme="majorBidi" w:cstheme="majorBidi"/>
          <w:sz w:val="24"/>
          <w:szCs w:val="24"/>
        </w:rPr>
        <w:t xml:space="preserve"> des </w:t>
      </w:r>
      <w:r w:rsidR="005B507B">
        <w:rPr>
          <w:rFonts w:asciiTheme="majorBidi" w:hAnsiTheme="majorBidi" w:cstheme="majorBidi"/>
          <w:sz w:val="24"/>
          <w:szCs w:val="24"/>
        </w:rPr>
        <w:t>"</w:t>
      </w:r>
      <w:r w:rsidR="007D1684">
        <w:rPr>
          <w:rFonts w:asciiTheme="majorBidi" w:hAnsiTheme="majorBidi" w:cstheme="majorBidi"/>
          <w:sz w:val="24"/>
          <w:szCs w:val="24"/>
        </w:rPr>
        <w:t>Poissons et Fruits de mer</w:t>
      </w:r>
      <w:r w:rsidR="005B507B">
        <w:rPr>
          <w:rFonts w:asciiTheme="majorBidi" w:hAnsiTheme="majorBidi" w:cstheme="majorBidi"/>
          <w:sz w:val="24"/>
          <w:szCs w:val="24"/>
        </w:rPr>
        <w:t xml:space="preserve">" </w:t>
      </w:r>
      <w:r w:rsidR="00D02F59">
        <w:rPr>
          <w:rFonts w:asciiTheme="majorBidi" w:hAnsiTheme="majorBidi" w:cstheme="majorBidi"/>
          <w:sz w:val="24"/>
          <w:szCs w:val="24"/>
        </w:rPr>
        <w:t>(</w:t>
      </w:r>
      <w:r w:rsidR="005B507B">
        <w:rPr>
          <w:rFonts w:asciiTheme="majorBidi" w:hAnsiTheme="majorBidi" w:cstheme="majorBidi"/>
          <w:sz w:val="24"/>
          <w:szCs w:val="24"/>
        </w:rPr>
        <w:t>2,7%</w:t>
      </w:r>
      <w:r w:rsidR="00D02F59">
        <w:rPr>
          <w:rFonts w:asciiTheme="majorBidi" w:hAnsiTheme="majorBidi" w:cstheme="majorBidi"/>
          <w:sz w:val="24"/>
          <w:szCs w:val="24"/>
        </w:rPr>
        <w:t>)</w:t>
      </w:r>
      <w:r w:rsidR="005B507B">
        <w:rPr>
          <w:rFonts w:asciiTheme="majorBidi" w:hAnsiTheme="majorBidi" w:cstheme="majorBidi"/>
          <w:sz w:val="24"/>
          <w:szCs w:val="24"/>
        </w:rPr>
        <w:t xml:space="preserve"> et des "Fruits" </w:t>
      </w:r>
      <w:r w:rsidR="00D02F59">
        <w:rPr>
          <w:rFonts w:asciiTheme="majorBidi" w:hAnsiTheme="majorBidi" w:cstheme="majorBidi"/>
          <w:sz w:val="24"/>
          <w:szCs w:val="24"/>
        </w:rPr>
        <w:t>(</w:t>
      </w:r>
      <w:r w:rsidR="005B507B">
        <w:rPr>
          <w:rFonts w:asciiTheme="majorBidi" w:hAnsiTheme="majorBidi" w:cstheme="majorBidi"/>
          <w:sz w:val="24"/>
          <w:szCs w:val="24"/>
        </w:rPr>
        <w:t>6,8%</w:t>
      </w:r>
      <w:r w:rsidR="00D02F59">
        <w:rPr>
          <w:rFonts w:asciiTheme="majorBidi" w:hAnsiTheme="majorBidi" w:cstheme="majorBidi"/>
          <w:sz w:val="24"/>
          <w:szCs w:val="24"/>
        </w:rPr>
        <w:t>)</w:t>
      </w:r>
      <w:r w:rsidR="005B507B">
        <w:rPr>
          <w:rFonts w:asciiTheme="majorBidi" w:hAnsiTheme="majorBidi" w:cstheme="majorBidi"/>
          <w:sz w:val="24"/>
          <w:szCs w:val="24"/>
        </w:rPr>
        <w:t>. En contrepartie, les prix des "Huiles et Graisses" ont augmenté de 4,5% et les Légumes de 2,5%.</w:t>
      </w:r>
      <w:r w:rsidR="0037461F">
        <w:rPr>
          <w:rFonts w:asciiTheme="majorBidi" w:hAnsiTheme="majorBidi" w:cstheme="majorBidi"/>
          <w:sz w:val="24"/>
          <w:szCs w:val="24"/>
        </w:rPr>
        <w:t xml:space="preserve"> </w:t>
      </w:r>
      <w:r w:rsidR="00C173BC">
        <w:rPr>
          <w:rFonts w:asciiTheme="majorBidi" w:hAnsiTheme="majorBidi" w:cstheme="majorBidi"/>
          <w:sz w:val="24"/>
          <w:szCs w:val="24"/>
        </w:rPr>
        <w:t>Quant aux</w:t>
      </w:r>
      <w:r w:rsidR="0037461F">
        <w:rPr>
          <w:rFonts w:asciiTheme="majorBidi" w:hAnsiTheme="majorBidi" w:cstheme="majorBidi"/>
          <w:sz w:val="24"/>
          <w:szCs w:val="24"/>
        </w:rPr>
        <w:t xml:space="preserve"> Boissons non alcoolisées</w:t>
      </w:r>
      <w:r w:rsidR="003D61A2">
        <w:rPr>
          <w:rFonts w:asciiTheme="majorBidi" w:hAnsiTheme="majorBidi" w:cstheme="majorBidi"/>
          <w:sz w:val="24"/>
          <w:szCs w:val="24"/>
        </w:rPr>
        <w:t xml:space="preserve">, les prix des </w:t>
      </w:r>
      <w:r>
        <w:rPr>
          <w:rFonts w:asciiTheme="majorBidi" w:hAnsiTheme="majorBidi" w:cstheme="majorBidi"/>
          <w:sz w:val="24"/>
          <w:szCs w:val="24"/>
        </w:rPr>
        <w:t xml:space="preserve"> "café, thé et cacao"</w:t>
      </w:r>
      <w:r w:rsidR="003D61A2">
        <w:rPr>
          <w:rFonts w:asciiTheme="majorBidi" w:hAnsiTheme="majorBidi" w:cstheme="majorBidi"/>
          <w:sz w:val="24"/>
          <w:szCs w:val="24"/>
        </w:rPr>
        <w:t xml:space="preserve"> ont évolué de 0,9% contre 1,1% pour les</w:t>
      </w:r>
      <w:r w:rsidR="00D14C3B">
        <w:rPr>
          <w:rFonts w:asciiTheme="majorBidi" w:hAnsiTheme="majorBidi" w:cstheme="majorBidi"/>
          <w:sz w:val="24"/>
          <w:szCs w:val="24"/>
        </w:rPr>
        <w:t xml:space="preserve"> </w:t>
      </w:r>
      <w:r w:rsidR="00C173BC">
        <w:rPr>
          <w:rFonts w:asciiTheme="majorBidi" w:hAnsiTheme="majorBidi" w:cstheme="majorBidi"/>
          <w:sz w:val="24"/>
          <w:szCs w:val="24"/>
        </w:rPr>
        <w:t>"Eaux minérales, Boissons rafraichissantes, jus de fruits et de légumes".</w:t>
      </w:r>
    </w:p>
    <w:p w:rsidR="00D14C3B" w:rsidRDefault="00D14C3B" w:rsidP="00BA650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Pour ce qui est de la deuxième division, représentée par les "boissons alcoolisées, tabac et stupéfiants", l’indice du "tabac" </w:t>
      </w:r>
      <w:r w:rsidR="00C173BC">
        <w:rPr>
          <w:rFonts w:asciiTheme="majorBidi" w:hAnsiTheme="majorBidi" w:cstheme="majorBidi"/>
          <w:sz w:val="24"/>
          <w:szCs w:val="24"/>
        </w:rPr>
        <w:t>a crû de 0,9%</w:t>
      </w:r>
      <w:r>
        <w:rPr>
          <w:rFonts w:asciiTheme="majorBidi" w:hAnsiTheme="majorBidi" w:cstheme="majorBidi"/>
          <w:sz w:val="24"/>
          <w:szCs w:val="24"/>
        </w:rPr>
        <w:t xml:space="preserve"> entre 201</w:t>
      </w:r>
      <w:r w:rsidR="00C173BC">
        <w:rPr>
          <w:rFonts w:asciiTheme="majorBidi" w:hAnsiTheme="majorBidi" w:cstheme="majorBidi"/>
          <w:sz w:val="24"/>
          <w:szCs w:val="24"/>
        </w:rPr>
        <w:t>6</w:t>
      </w:r>
      <w:r>
        <w:rPr>
          <w:rFonts w:asciiTheme="majorBidi" w:hAnsiTheme="majorBidi" w:cstheme="majorBidi"/>
          <w:sz w:val="24"/>
          <w:szCs w:val="24"/>
        </w:rPr>
        <w:t xml:space="preserve"> et 201</w:t>
      </w:r>
      <w:r w:rsidR="00C173BC">
        <w:rPr>
          <w:rFonts w:asciiTheme="majorBidi" w:hAnsiTheme="majorBidi" w:cstheme="majorBidi"/>
          <w:sz w:val="24"/>
          <w:szCs w:val="24"/>
        </w:rPr>
        <w:t>7</w:t>
      </w:r>
      <w:r>
        <w:rPr>
          <w:rFonts w:asciiTheme="majorBidi" w:hAnsiTheme="majorBidi" w:cstheme="majorBidi"/>
          <w:sz w:val="24"/>
          <w:szCs w:val="24"/>
        </w:rPr>
        <w:t xml:space="preserve">, tandis que celui des "boissons alcoolisées" a </w:t>
      </w:r>
      <w:r w:rsidR="00C173BC">
        <w:rPr>
          <w:rFonts w:asciiTheme="majorBidi" w:hAnsiTheme="majorBidi" w:cstheme="majorBidi"/>
          <w:sz w:val="24"/>
          <w:szCs w:val="24"/>
        </w:rPr>
        <w:t>diminué de 1,7</w:t>
      </w:r>
      <w:r>
        <w:rPr>
          <w:rFonts w:asciiTheme="majorBidi" w:hAnsiTheme="majorBidi" w:cstheme="majorBidi"/>
          <w:sz w:val="24"/>
          <w:szCs w:val="24"/>
        </w:rPr>
        <w:t>%, notamment à cause</w:t>
      </w:r>
      <w:r w:rsidR="000E3DA5">
        <w:rPr>
          <w:rFonts w:asciiTheme="majorBidi" w:hAnsiTheme="majorBidi" w:cstheme="majorBidi"/>
          <w:sz w:val="24"/>
          <w:szCs w:val="24"/>
        </w:rPr>
        <w:t xml:space="preserve"> de la </w:t>
      </w:r>
      <w:r w:rsidR="00BA650D">
        <w:rPr>
          <w:rFonts w:asciiTheme="majorBidi" w:hAnsiTheme="majorBidi" w:cstheme="majorBidi"/>
          <w:sz w:val="24"/>
          <w:szCs w:val="24"/>
        </w:rPr>
        <w:t>bai</w:t>
      </w:r>
      <w:r w:rsidR="000E3DA5">
        <w:rPr>
          <w:rFonts w:asciiTheme="majorBidi" w:hAnsiTheme="majorBidi" w:cstheme="majorBidi"/>
          <w:sz w:val="24"/>
          <w:szCs w:val="24"/>
        </w:rPr>
        <w:t>sse d</w:t>
      </w:r>
      <w:r w:rsidR="00BA650D">
        <w:rPr>
          <w:rFonts w:asciiTheme="majorBidi" w:hAnsiTheme="majorBidi" w:cstheme="majorBidi"/>
          <w:sz w:val="24"/>
          <w:szCs w:val="24"/>
        </w:rPr>
        <w:t xml:space="preserve">es </w:t>
      </w:r>
      <w:r>
        <w:rPr>
          <w:rFonts w:asciiTheme="majorBidi" w:hAnsiTheme="majorBidi" w:cstheme="majorBidi"/>
          <w:sz w:val="24"/>
          <w:szCs w:val="24"/>
        </w:rPr>
        <w:t xml:space="preserve"> prix </w:t>
      </w:r>
      <w:r w:rsidR="00BA650D">
        <w:rPr>
          <w:rFonts w:asciiTheme="majorBidi" w:hAnsiTheme="majorBidi" w:cstheme="majorBidi"/>
          <w:sz w:val="24"/>
          <w:szCs w:val="24"/>
        </w:rPr>
        <w:t>du "Vin et Boissons fermentées</w:t>
      </w:r>
      <w:r>
        <w:rPr>
          <w:rFonts w:asciiTheme="majorBidi" w:hAnsiTheme="majorBidi" w:cstheme="majorBidi"/>
          <w:sz w:val="24"/>
          <w:szCs w:val="24"/>
        </w:rPr>
        <w:t>" de 5,</w:t>
      </w:r>
      <w:r w:rsidR="00BA650D">
        <w:rPr>
          <w:rFonts w:asciiTheme="majorBidi" w:hAnsiTheme="majorBidi" w:cstheme="majorBidi"/>
          <w:sz w:val="24"/>
          <w:szCs w:val="24"/>
        </w:rPr>
        <w:t>4</w:t>
      </w:r>
      <w:r>
        <w:rPr>
          <w:rFonts w:asciiTheme="majorBidi" w:hAnsiTheme="majorBidi" w:cstheme="majorBidi"/>
          <w:sz w:val="24"/>
          <w:szCs w:val="24"/>
        </w:rPr>
        <w:t>%.</w:t>
      </w:r>
    </w:p>
    <w:p w:rsidR="00E82E8A" w:rsidRDefault="00D14C3B" w:rsidP="0068776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Quant aux produits non alimentaires,</w:t>
      </w:r>
      <w:r w:rsidR="00567B9C">
        <w:rPr>
          <w:rFonts w:asciiTheme="majorBidi" w:hAnsiTheme="majorBidi" w:cstheme="majorBidi"/>
          <w:sz w:val="24"/>
          <w:szCs w:val="24"/>
        </w:rPr>
        <w:t xml:space="preserve"> mis</w:t>
      </w:r>
      <w:r w:rsidR="00EC15A6">
        <w:rPr>
          <w:rFonts w:asciiTheme="majorBidi" w:hAnsiTheme="majorBidi" w:cstheme="majorBidi"/>
          <w:sz w:val="24"/>
          <w:szCs w:val="24"/>
        </w:rPr>
        <w:t>es</w:t>
      </w:r>
      <w:r w:rsidR="00567B9C">
        <w:rPr>
          <w:rFonts w:asciiTheme="majorBidi" w:hAnsiTheme="majorBidi" w:cstheme="majorBidi"/>
          <w:sz w:val="24"/>
          <w:szCs w:val="24"/>
        </w:rPr>
        <w:t xml:space="preserve"> à part les divisions des "Communications" et "Loisirs et Culture" dont les indices sont restés stables, le reste des </w:t>
      </w:r>
      <w:r>
        <w:rPr>
          <w:rFonts w:asciiTheme="majorBidi" w:hAnsiTheme="majorBidi" w:cstheme="majorBidi"/>
          <w:sz w:val="24"/>
          <w:szCs w:val="24"/>
        </w:rPr>
        <w:t xml:space="preserve">divisions </w:t>
      </w:r>
      <w:r w:rsidR="00567B9C">
        <w:rPr>
          <w:rFonts w:asciiTheme="majorBidi" w:hAnsiTheme="majorBidi" w:cstheme="majorBidi"/>
          <w:sz w:val="24"/>
          <w:szCs w:val="24"/>
        </w:rPr>
        <w:t>a</w:t>
      </w:r>
      <w:r>
        <w:rPr>
          <w:rFonts w:asciiTheme="majorBidi" w:hAnsiTheme="majorBidi" w:cstheme="majorBidi"/>
          <w:sz w:val="24"/>
          <w:szCs w:val="24"/>
        </w:rPr>
        <w:t xml:space="preserve"> enregistré des variations positives entre 201</w:t>
      </w:r>
      <w:r w:rsidR="00C07512">
        <w:rPr>
          <w:rFonts w:asciiTheme="majorBidi" w:hAnsiTheme="majorBidi" w:cstheme="majorBidi"/>
          <w:sz w:val="24"/>
          <w:szCs w:val="24"/>
        </w:rPr>
        <w:t>6</w:t>
      </w:r>
      <w:r>
        <w:rPr>
          <w:rFonts w:asciiTheme="majorBidi" w:hAnsiTheme="majorBidi" w:cstheme="majorBidi"/>
          <w:sz w:val="24"/>
          <w:szCs w:val="24"/>
        </w:rPr>
        <w:t xml:space="preserve"> et 201</w:t>
      </w:r>
      <w:r w:rsidR="00C07512">
        <w:rPr>
          <w:rFonts w:asciiTheme="majorBidi" w:hAnsiTheme="majorBidi" w:cstheme="majorBidi"/>
          <w:sz w:val="24"/>
          <w:szCs w:val="24"/>
        </w:rPr>
        <w:t>7</w:t>
      </w:r>
      <w:r>
        <w:rPr>
          <w:rFonts w:asciiTheme="majorBidi" w:hAnsiTheme="majorBidi" w:cstheme="majorBidi"/>
          <w:sz w:val="24"/>
          <w:szCs w:val="24"/>
        </w:rPr>
        <w:t xml:space="preserve">. </w:t>
      </w:r>
    </w:p>
    <w:p w:rsidR="00D14C3B" w:rsidRDefault="00D14C3B"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hausses les plus élevées ont touché :</w:t>
      </w:r>
    </w:p>
    <w:p w:rsidR="00D14C3B" w:rsidRDefault="00D14C3B" w:rsidP="0068776B">
      <w:pPr>
        <w:pStyle w:val="Paragraphedeliste"/>
        <w:numPr>
          <w:ilvl w:val="0"/>
          <w:numId w:val="43"/>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w:t>
      </w:r>
      <w:r w:rsidR="0068776B">
        <w:rPr>
          <w:rFonts w:asciiTheme="majorBidi" w:hAnsiTheme="majorBidi" w:cstheme="majorBidi"/>
          <w:sz w:val="24"/>
          <w:szCs w:val="24"/>
        </w:rPr>
        <w:t>Transports</w:t>
      </w:r>
      <w:r>
        <w:rPr>
          <w:rFonts w:asciiTheme="majorBidi" w:hAnsiTheme="majorBidi" w:cstheme="majorBidi"/>
          <w:sz w:val="24"/>
          <w:szCs w:val="24"/>
        </w:rPr>
        <w:t xml:space="preserve">" avec </w:t>
      </w:r>
      <w:r w:rsidR="0068776B">
        <w:rPr>
          <w:rFonts w:asciiTheme="majorBidi" w:hAnsiTheme="majorBidi" w:cstheme="majorBidi"/>
          <w:sz w:val="24"/>
          <w:szCs w:val="24"/>
        </w:rPr>
        <w:t>3</w:t>
      </w:r>
      <w:r>
        <w:rPr>
          <w:rFonts w:asciiTheme="majorBidi" w:hAnsiTheme="majorBidi" w:cstheme="majorBidi"/>
          <w:sz w:val="24"/>
          <w:szCs w:val="24"/>
        </w:rPr>
        <w:t>,</w:t>
      </w:r>
      <w:r w:rsidR="0068776B">
        <w:rPr>
          <w:rFonts w:asciiTheme="majorBidi" w:hAnsiTheme="majorBidi" w:cstheme="majorBidi"/>
          <w:sz w:val="24"/>
          <w:szCs w:val="24"/>
        </w:rPr>
        <w:t>3</w:t>
      </w:r>
      <w:r>
        <w:rPr>
          <w:rFonts w:asciiTheme="majorBidi" w:hAnsiTheme="majorBidi" w:cstheme="majorBidi"/>
          <w:sz w:val="24"/>
          <w:szCs w:val="24"/>
        </w:rPr>
        <w:t>% suite</w:t>
      </w:r>
      <w:r w:rsidR="00974B0E">
        <w:rPr>
          <w:rFonts w:asciiTheme="majorBidi" w:hAnsiTheme="majorBidi" w:cstheme="majorBidi"/>
          <w:sz w:val="24"/>
          <w:szCs w:val="24"/>
        </w:rPr>
        <w:t>,</w:t>
      </w:r>
      <w:r>
        <w:rPr>
          <w:rFonts w:asciiTheme="majorBidi" w:hAnsiTheme="majorBidi" w:cstheme="majorBidi"/>
          <w:sz w:val="24"/>
          <w:szCs w:val="24"/>
        </w:rPr>
        <w:t xml:space="preserve"> </w:t>
      </w:r>
      <w:r w:rsidR="0068776B">
        <w:rPr>
          <w:rFonts w:asciiTheme="majorBidi" w:hAnsiTheme="majorBidi" w:cstheme="majorBidi"/>
          <w:sz w:val="24"/>
          <w:szCs w:val="24"/>
        </w:rPr>
        <w:t>notamment</w:t>
      </w:r>
      <w:r w:rsidR="00974B0E">
        <w:rPr>
          <w:rFonts w:asciiTheme="majorBidi" w:hAnsiTheme="majorBidi" w:cstheme="majorBidi"/>
          <w:sz w:val="24"/>
          <w:szCs w:val="24"/>
        </w:rPr>
        <w:t>,</w:t>
      </w:r>
      <w:r w:rsidR="0068776B">
        <w:rPr>
          <w:rFonts w:asciiTheme="majorBidi" w:hAnsiTheme="majorBidi" w:cstheme="majorBidi"/>
          <w:sz w:val="24"/>
          <w:szCs w:val="24"/>
        </w:rPr>
        <w:t xml:space="preserve"> </w:t>
      </w:r>
      <w:r>
        <w:rPr>
          <w:rFonts w:asciiTheme="majorBidi" w:hAnsiTheme="majorBidi" w:cstheme="majorBidi"/>
          <w:sz w:val="24"/>
          <w:szCs w:val="24"/>
        </w:rPr>
        <w:t xml:space="preserve">à la hausse des prix des </w:t>
      </w:r>
      <w:r w:rsidR="0068776B">
        <w:rPr>
          <w:rFonts w:asciiTheme="majorBidi" w:hAnsiTheme="majorBidi" w:cstheme="majorBidi"/>
          <w:sz w:val="24"/>
          <w:szCs w:val="24"/>
        </w:rPr>
        <w:t>carburants</w:t>
      </w:r>
      <w:r>
        <w:rPr>
          <w:rFonts w:asciiTheme="majorBidi" w:hAnsiTheme="majorBidi" w:cstheme="majorBidi"/>
          <w:sz w:val="24"/>
          <w:szCs w:val="24"/>
        </w:rPr>
        <w:t xml:space="preserve"> de </w:t>
      </w:r>
      <w:r w:rsidR="0068776B">
        <w:rPr>
          <w:rFonts w:asciiTheme="majorBidi" w:hAnsiTheme="majorBidi" w:cstheme="majorBidi"/>
          <w:sz w:val="24"/>
          <w:szCs w:val="24"/>
        </w:rPr>
        <w:t>9</w:t>
      </w:r>
      <w:r>
        <w:rPr>
          <w:rFonts w:asciiTheme="majorBidi" w:hAnsiTheme="majorBidi" w:cstheme="majorBidi"/>
          <w:sz w:val="24"/>
          <w:szCs w:val="24"/>
        </w:rPr>
        <w:t>,</w:t>
      </w:r>
      <w:r w:rsidR="0068776B">
        <w:rPr>
          <w:rFonts w:asciiTheme="majorBidi" w:hAnsiTheme="majorBidi" w:cstheme="majorBidi"/>
          <w:sz w:val="24"/>
          <w:szCs w:val="24"/>
        </w:rPr>
        <w:t>3</w:t>
      </w:r>
      <w:r>
        <w:rPr>
          <w:rFonts w:asciiTheme="majorBidi" w:hAnsiTheme="majorBidi" w:cstheme="majorBidi"/>
          <w:sz w:val="24"/>
          <w:szCs w:val="24"/>
        </w:rPr>
        <w:t>%.</w:t>
      </w:r>
    </w:p>
    <w:p w:rsidR="0068776B" w:rsidRDefault="0068776B" w:rsidP="0068776B">
      <w:pPr>
        <w:pStyle w:val="Paragraphedeliste"/>
        <w:numPr>
          <w:ilvl w:val="0"/>
          <w:numId w:val="43"/>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"Santé" avec 3,2%, hausse causée, en premier lieu, par l’augmentation des services médicaux de 15,4%.</w:t>
      </w:r>
    </w:p>
    <w:p w:rsidR="00E82E8A" w:rsidRDefault="00E82E8A" w:rsidP="003456E8">
      <w:pPr>
        <w:pStyle w:val="Paragraphedeliste"/>
        <w:numPr>
          <w:ilvl w:val="0"/>
          <w:numId w:val="43"/>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L</w:t>
      </w:r>
      <w:r w:rsidR="0068776B">
        <w:rPr>
          <w:rFonts w:asciiTheme="majorBidi" w:hAnsiTheme="majorBidi" w:cstheme="majorBidi"/>
          <w:sz w:val="24"/>
          <w:szCs w:val="24"/>
        </w:rPr>
        <w:t>es</w:t>
      </w:r>
      <w:r>
        <w:rPr>
          <w:rFonts w:asciiTheme="majorBidi" w:hAnsiTheme="majorBidi" w:cstheme="majorBidi"/>
          <w:sz w:val="24"/>
          <w:szCs w:val="24"/>
        </w:rPr>
        <w:t xml:space="preserve"> "Restaurants et hôtels</w:t>
      </w:r>
      <w:r w:rsidR="003456E8">
        <w:rPr>
          <w:rFonts w:asciiTheme="majorBidi" w:hAnsiTheme="majorBidi" w:cstheme="majorBidi"/>
          <w:sz w:val="24"/>
          <w:szCs w:val="24"/>
        </w:rPr>
        <w:t>"</w:t>
      </w:r>
      <w:r>
        <w:rPr>
          <w:rFonts w:asciiTheme="majorBidi" w:hAnsiTheme="majorBidi" w:cstheme="majorBidi"/>
          <w:sz w:val="24"/>
          <w:szCs w:val="24"/>
        </w:rPr>
        <w:t xml:space="preserve"> avec </w:t>
      </w:r>
      <w:r w:rsidR="0068776B">
        <w:rPr>
          <w:rFonts w:asciiTheme="majorBidi" w:hAnsiTheme="majorBidi" w:cstheme="majorBidi"/>
          <w:sz w:val="24"/>
          <w:szCs w:val="24"/>
        </w:rPr>
        <w:t>2,4</w:t>
      </w:r>
      <w:r>
        <w:rPr>
          <w:rFonts w:asciiTheme="majorBidi" w:hAnsiTheme="majorBidi" w:cstheme="majorBidi"/>
          <w:sz w:val="24"/>
          <w:szCs w:val="24"/>
        </w:rPr>
        <w:t xml:space="preserve">%, hausse due essentiellement au renchérissement des prix des services de restauration de </w:t>
      </w:r>
      <w:r w:rsidR="0068776B">
        <w:rPr>
          <w:rFonts w:asciiTheme="majorBidi" w:hAnsiTheme="majorBidi" w:cstheme="majorBidi"/>
          <w:sz w:val="24"/>
          <w:szCs w:val="24"/>
        </w:rPr>
        <w:t>2,5</w:t>
      </w:r>
      <w:r>
        <w:rPr>
          <w:rFonts w:asciiTheme="majorBidi" w:hAnsiTheme="majorBidi" w:cstheme="majorBidi"/>
          <w:sz w:val="24"/>
          <w:szCs w:val="24"/>
        </w:rPr>
        <w:t>%.</w:t>
      </w:r>
    </w:p>
    <w:p w:rsidR="007E2973" w:rsidRDefault="007E04CF" w:rsidP="007E2973">
      <w:pPr>
        <w:spacing w:before="240" w:after="240" w:line="240" w:lineRule="auto"/>
        <w:jc w:val="both"/>
        <w:rPr>
          <w:rFonts w:asciiTheme="majorBidi" w:hAnsiTheme="majorBidi" w:cstheme="majorBidi"/>
          <w:b/>
          <w:bCs/>
          <w:color w:val="0070C0"/>
          <w:sz w:val="26"/>
          <w:szCs w:val="26"/>
        </w:rPr>
      </w:pPr>
      <w:r w:rsidRPr="00511678">
        <w:rPr>
          <w:rFonts w:asciiTheme="majorBidi" w:hAnsiTheme="majorBidi" w:cstheme="majorBidi"/>
          <w:b/>
          <w:bCs/>
          <w:color w:val="0070C0"/>
          <w:sz w:val="26"/>
          <w:szCs w:val="26"/>
        </w:rPr>
        <w:tab/>
      </w:r>
    </w:p>
    <w:p w:rsidR="00252B2A" w:rsidRPr="004F39E8" w:rsidRDefault="004D65AF" w:rsidP="00586B08">
      <w:pPr>
        <w:pStyle w:val="Titre2"/>
        <w:rPr>
          <w:rFonts w:asciiTheme="majorBidi" w:hAnsiTheme="majorBidi"/>
        </w:rPr>
      </w:pPr>
      <w:r w:rsidRPr="00511678">
        <w:rPr>
          <w:rFonts w:asciiTheme="majorBidi" w:hAnsiTheme="majorBidi"/>
          <w:b w:val="0"/>
          <w:bCs w:val="0"/>
        </w:rPr>
        <w:tab/>
      </w:r>
      <w:bookmarkStart w:id="32" w:name="_Toc515274012"/>
      <w:r w:rsidRPr="004F39E8">
        <w:rPr>
          <w:rFonts w:asciiTheme="majorBidi" w:hAnsiTheme="majorBidi"/>
        </w:rPr>
        <w:t>II</w:t>
      </w:r>
      <w:r w:rsidR="00586B08" w:rsidRPr="004F39E8">
        <w:rPr>
          <w:rFonts w:asciiTheme="majorBidi" w:hAnsiTheme="majorBidi"/>
        </w:rPr>
        <w:t>I</w:t>
      </w:r>
      <w:r w:rsidRPr="004F39E8">
        <w:rPr>
          <w:rFonts w:asciiTheme="majorBidi" w:hAnsiTheme="majorBidi"/>
        </w:rPr>
        <w:t>-</w:t>
      </w:r>
      <w:r w:rsidR="0096274A" w:rsidRPr="004F39E8">
        <w:rPr>
          <w:rFonts w:asciiTheme="majorBidi" w:hAnsiTheme="majorBidi"/>
        </w:rPr>
        <w:t>4</w:t>
      </w:r>
      <w:r w:rsidRPr="004F39E8">
        <w:rPr>
          <w:rFonts w:asciiTheme="majorBidi" w:hAnsiTheme="majorBidi"/>
        </w:rPr>
        <w:t xml:space="preserve"> Evolution de l’IPC général de la ville de Kenitra entre 2007 et 201</w:t>
      </w:r>
      <w:r w:rsidR="00F255F4" w:rsidRPr="004F39E8">
        <w:rPr>
          <w:rFonts w:asciiTheme="majorBidi" w:hAnsiTheme="majorBidi"/>
        </w:rPr>
        <w:t>7</w:t>
      </w:r>
      <w:bookmarkEnd w:id="32"/>
    </w:p>
    <w:p w:rsidR="00342BBE" w:rsidRPr="004F39E8" w:rsidRDefault="00342BBE" w:rsidP="003D21FB">
      <w:pPr>
        <w:pStyle w:val="Titre3"/>
        <w:rPr>
          <w:rFonts w:asciiTheme="majorBidi" w:hAnsiTheme="majorBidi"/>
          <w:sz w:val="24"/>
          <w:szCs w:val="24"/>
        </w:rPr>
      </w:pPr>
      <w:r w:rsidRPr="004F39E8">
        <w:rPr>
          <w:rFonts w:asciiTheme="majorBidi" w:hAnsiTheme="majorBidi"/>
          <w:sz w:val="24"/>
          <w:szCs w:val="24"/>
        </w:rPr>
        <w:tab/>
      </w:r>
      <w:r w:rsidRPr="004F39E8">
        <w:rPr>
          <w:rFonts w:asciiTheme="majorBidi" w:hAnsiTheme="majorBidi"/>
          <w:sz w:val="24"/>
          <w:szCs w:val="24"/>
        </w:rPr>
        <w:tab/>
      </w:r>
      <w:bookmarkStart w:id="33" w:name="_Toc515274013"/>
      <w:r w:rsidR="00002361">
        <w:rPr>
          <w:rFonts w:asciiTheme="majorBidi" w:hAnsiTheme="majorBidi"/>
          <w:sz w:val="24"/>
          <w:szCs w:val="24"/>
        </w:rPr>
        <w:t>I</w:t>
      </w:r>
      <w:r w:rsidRPr="004F39E8">
        <w:rPr>
          <w:rFonts w:asciiTheme="majorBidi" w:hAnsiTheme="majorBidi"/>
          <w:sz w:val="24"/>
          <w:szCs w:val="24"/>
        </w:rPr>
        <w:t>II-</w:t>
      </w:r>
      <w:r w:rsidR="0096274A" w:rsidRPr="004F39E8">
        <w:rPr>
          <w:rFonts w:asciiTheme="majorBidi" w:hAnsiTheme="majorBidi"/>
          <w:sz w:val="24"/>
          <w:szCs w:val="24"/>
        </w:rPr>
        <w:t>4</w:t>
      </w:r>
      <w:r w:rsidRPr="004F39E8">
        <w:rPr>
          <w:rFonts w:asciiTheme="majorBidi" w:hAnsiTheme="majorBidi"/>
          <w:sz w:val="24"/>
          <w:szCs w:val="24"/>
        </w:rPr>
        <w:t>-1 Evolution mensuelle de l’IPC</w:t>
      </w:r>
      <w:bookmarkEnd w:id="33"/>
      <w:r w:rsidRPr="004F39E8">
        <w:rPr>
          <w:rFonts w:asciiTheme="majorBidi" w:hAnsiTheme="majorBidi"/>
          <w:sz w:val="24"/>
          <w:szCs w:val="24"/>
        </w:rPr>
        <w:t xml:space="preserve"> </w:t>
      </w:r>
    </w:p>
    <w:p w:rsidR="004D65AF" w:rsidRDefault="004D65AF"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2007, première année après l’année de base de l’IPC, l’inflation a été caractérisée par deux principaux rythmes de croissance. En effet, au cours du premier semestre, elle n’a pas dépassé 1,4% tandis que le deuxième semestre a été marqué par une hausse soutenue des prix qui a atteint son pic au mois d’</w:t>
      </w:r>
      <w:r w:rsidR="00D23B05">
        <w:rPr>
          <w:rFonts w:asciiTheme="majorBidi" w:hAnsiTheme="majorBidi" w:cstheme="majorBidi"/>
          <w:sz w:val="24"/>
          <w:szCs w:val="24"/>
        </w:rPr>
        <w:t>O</w:t>
      </w:r>
      <w:r>
        <w:rPr>
          <w:rFonts w:asciiTheme="majorBidi" w:hAnsiTheme="majorBidi" w:cstheme="majorBidi"/>
          <w:sz w:val="24"/>
          <w:szCs w:val="24"/>
        </w:rPr>
        <w:t>ctobre (3,7%).</w:t>
      </w:r>
    </w:p>
    <w:p w:rsidR="004D65AF" w:rsidRDefault="004D65AF"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2008, les prix ont continué de grimper de façon à ce que l’inflation a atteint</w:t>
      </w:r>
      <w:r w:rsidR="00FE7FC3">
        <w:rPr>
          <w:rFonts w:asciiTheme="majorBidi" w:hAnsiTheme="majorBidi" w:cstheme="majorBidi"/>
          <w:sz w:val="24"/>
          <w:szCs w:val="24"/>
        </w:rPr>
        <w:t xml:space="preserve"> des niveaux inquiétants : 5,7% par rapport à 2006 et 3,8% par rapport à 2007.</w:t>
      </w:r>
    </w:p>
    <w:p w:rsidR="00FE7FC3" w:rsidRDefault="00FE7FC3" w:rsidP="009A505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Cette flambée des prix a été cau</w:t>
      </w:r>
      <w:r w:rsidR="009A58F8">
        <w:rPr>
          <w:rFonts w:asciiTheme="majorBidi" w:hAnsiTheme="majorBidi" w:cstheme="majorBidi"/>
          <w:sz w:val="24"/>
          <w:szCs w:val="24"/>
        </w:rPr>
        <w:t xml:space="preserve">sée par </w:t>
      </w:r>
      <w:r w:rsidR="00EC15A6">
        <w:rPr>
          <w:rFonts w:asciiTheme="majorBidi" w:hAnsiTheme="majorBidi" w:cstheme="majorBidi"/>
          <w:sz w:val="24"/>
          <w:szCs w:val="24"/>
        </w:rPr>
        <w:t xml:space="preserve">le début de </w:t>
      </w:r>
      <w:r w:rsidR="009A58F8">
        <w:rPr>
          <w:rFonts w:asciiTheme="majorBidi" w:hAnsiTheme="majorBidi" w:cstheme="majorBidi"/>
          <w:sz w:val="24"/>
          <w:szCs w:val="24"/>
        </w:rPr>
        <w:t>la crise économique mondiale dont le principal déclencheur était la cherté des matières premières notamment le</w:t>
      </w:r>
      <w:r w:rsidR="009A505A">
        <w:rPr>
          <w:rFonts w:asciiTheme="majorBidi" w:hAnsiTheme="majorBidi" w:cstheme="majorBidi"/>
          <w:sz w:val="24"/>
          <w:szCs w:val="24"/>
        </w:rPr>
        <w:t>s produits énergétiques</w:t>
      </w:r>
      <w:r w:rsidR="009A58F8">
        <w:rPr>
          <w:rFonts w:asciiTheme="majorBidi" w:hAnsiTheme="majorBidi" w:cstheme="majorBidi"/>
          <w:sz w:val="24"/>
          <w:szCs w:val="24"/>
        </w:rPr>
        <w:t xml:space="preserve"> et les céréales qui sont utilisé</w:t>
      </w:r>
      <w:r w:rsidR="00E17784">
        <w:rPr>
          <w:rFonts w:asciiTheme="majorBidi" w:hAnsiTheme="majorBidi" w:cstheme="majorBidi"/>
          <w:sz w:val="24"/>
          <w:szCs w:val="24"/>
        </w:rPr>
        <w:t>e</w:t>
      </w:r>
      <w:r w:rsidR="009A58F8">
        <w:rPr>
          <w:rFonts w:asciiTheme="majorBidi" w:hAnsiTheme="majorBidi" w:cstheme="majorBidi"/>
          <w:sz w:val="24"/>
          <w:szCs w:val="24"/>
        </w:rPr>
        <w:t>s par tant de pays industrialisés comme source d’énergie.</w:t>
      </w:r>
    </w:p>
    <w:p w:rsidR="00BA65B3" w:rsidRDefault="00BA65B3"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2009, l’indice des prix à la consommation a repris ses </w:t>
      </w:r>
      <w:r w:rsidR="00D23B05">
        <w:rPr>
          <w:rFonts w:asciiTheme="majorBidi" w:hAnsiTheme="majorBidi" w:cstheme="majorBidi"/>
          <w:sz w:val="24"/>
          <w:szCs w:val="24"/>
        </w:rPr>
        <w:t>fluctuations</w:t>
      </w:r>
      <w:r>
        <w:rPr>
          <w:rFonts w:asciiTheme="majorBidi" w:hAnsiTheme="majorBidi" w:cstheme="majorBidi"/>
          <w:sz w:val="24"/>
          <w:szCs w:val="24"/>
        </w:rPr>
        <w:t xml:space="preserve"> cycliques avec une tendance haussière au cours du premier et troisième trimestres et un rythme décroissant au deuxième et quatrième </w:t>
      </w:r>
      <w:r w:rsidR="00D23B05">
        <w:rPr>
          <w:rFonts w:asciiTheme="majorBidi" w:hAnsiTheme="majorBidi" w:cstheme="majorBidi"/>
          <w:sz w:val="24"/>
          <w:szCs w:val="24"/>
        </w:rPr>
        <w:t>trimestres</w:t>
      </w:r>
      <w:r>
        <w:rPr>
          <w:rFonts w:asciiTheme="majorBidi" w:hAnsiTheme="majorBidi" w:cstheme="majorBidi"/>
          <w:sz w:val="24"/>
          <w:szCs w:val="24"/>
        </w:rPr>
        <w:t>.</w:t>
      </w:r>
      <w:r w:rsidR="00D23B05">
        <w:rPr>
          <w:rFonts w:asciiTheme="majorBidi" w:hAnsiTheme="majorBidi" w:cstheme="majorBidi"/>
          <w:sz w:val="24"/>
          <w:szCs w:val="24"/>
        </w:rPr>
        <w:t xml:space="preserve"> Cependant le niveau général des prix est resté élevé par rapport à 2008 (soit un taux d’inflation de 1,1%), sauf pour les mois de Juin, Juillet et Décembre.</w:t>
      </w:r>
    </w:p>
    <w:p w:rsidR="00D23B05" w:rsidRDefault="00D23B05"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ce qui concerne l’année 2010, l’inflation s’est atténuée et a atteint même, des seuils négatifs en Janvier, Février, Mars, Avril, Septembre et Octobre par rapport à 2009.</w:t>
      </w:r>
    </w:p>
    <w:p w:rsidR="00D23B05" w:rsidRDefault="00D23B05"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Il y a lieu de noter que les cinq premiers mois ont été caractérisés par une hausse continue des prix, soit 2,3% entre Janvier et Mai 2010</w:t>
      </w:r>
      <w:r w:rsidR="00B76CC0">
        <w:rPr>
          <w:rFonts w:asciiTheme="majorBidi" w:hAnsiTheme="majorBidi" w:cstheme="majorBidi"/>
          <w:sz w:val="24"/>
          <w:szCs w:val="24"/>
        </w:rPr>
        <w:t>. En juin, une baisse de 1,2% a été enregistrée par rapport à Mai et à partir de Juillet, l’IPC a repris son ascension.</w:t>
      </w:r>
    </w:p>
    <w:p w:rsidR="00B76CC0" w:rsidRPr="00BF1CF4" w:rsidRDefault="00B76CC0" w:rsidP="00EC15A6">
      <w:pPr>
        <w:spacing w:before="240" w:after="240" w:line="240" w:lineRule="auto"/>
        <w:jc w:val="both"/>
        <w:rPr>
          <w:rFonts w:asciiTheme="majorBidi" w:hAnsiTheme="majorBidi" w:cstheme="majorBidi"/>
          <w:sz w:val="24"/>
          <w:szCs w:val="24"/>
        </w:rPr>
      </w:pPr>
      <w:r w:rsidRPr="00BF1CF4">
        <w:rPr>
          <w:rFonts w:asciiTheme="majorBidi" w:hAnsiTheme="majorBidi" w:cstheme="majorBidi"/>
          <w:sz w:val="24"/>
          <w:szCs w:val="24"/>
        </w:rPr>
        <w:t>En plus de</w:t>
      </w:r>
      <w:r w:rsidR="009A505A" w:rsidRPr="00BF1CF4">
        <w:rPr>
          <w:rFonts w:asciiTheme="majorBidi" w:hAnsiTheme="majorBidi" w:cstheme="majorBidi"/>
          <w:sz w:val="24"/>
          <w:szCs w:val="24"/>
        </w:rPr>
        <w:t>s effets des</w:t>
      </w:r>
      <w:r w:rsidRPr="00BF1CF4">
        <w:rPr>
          <w:rFonts w:asciiTheme="majorBidi" w:hAnsiTheme="majorBidi" w:cstheme="majorBidi"/>
          <w:sz w:val="24"/>
          <w:szCs w:val="24"/>
        </w:rPr>
        <w:t xml:space="preserve"> saisons</w:t>
      </w:r>
      <w:r w:rsidR="009A505A" w:rsidRPr="00BF1CF4">
        <w:rPr>
          <w:rFonts w:asciiTheme="majorBidi" w:hAnsiTheme="majorBidi" w:cstheme="majorBidi"/>
          <w:sz w:val="24"/>
          <w:szCs w:val="24"/>
        </w:rPr>
        <w:t xml:space="preserve"> et du calendrier (</w:t>
      </w:r>
      <w:r w:rsidRPr="00BF1CF4">
        <w:rPr>
          <w:rFonts w:asciiTheme="majorBidi" w:hAnsiTheme="majorBidi" w:cstheme="majorBidi"/>
          <w:sz w:val="24"/>
          <w:szCs w:val="24"/>
        </w:rPr>
        <w:t>fêtes religieuses et vacances</w:t>
      </w:r>
      <w:r w:rsidR="009A505A" w:rsidRPr="00BF1CF4">
        <w:rPr>
          <w:rFonts w:asciiTheme="majorBidi" w:hAnsiTheme="majorBidi" w:cstheme="majorBidi"/>
          <w:sz w:val="24"/>
          <w:szCs w:val="24"/>
        </w:rPr>
        <w:t>)</w:t>
      </w:r>
      <w:r w:rsidRPr="00BF1CF4">
        <w:rPr>
          <w:rFonts w:asciiTheme="majorBidi" w:hAnsiTheme="majorBidi" w:cstheme="majorBidi"/>
          <w:sz w:val="24"/>
          <w:szCs w:val="24"/>
        </w:rPr>
        <w:t xml:space="preserve"> qui agissent sur le niveau général des prix, l’année 2010 a été marquée par la cherté du niveau de vie dont la cause revient aux inondations qui ont frappé la région du Gharb</w:t>
      </w:r>
      <w:r w:rsidR="00342BBE" w:rsidRPr="00BF1CF4">
        <w:rPr>
          <w:rFonts w:asciiTheme="majorBidi" w:hAnsiTheme="majorBidi" w:cstheme="majorBidi"/>
          <w:sz w:val="24"/>
          <w:szCs w:val="24"/>
        </w:rPr>
        <w:t xml:space="preserve"> deux années consécutives 2009 et 2010.</w:t>
      </w:r>
    </w:p>
    <w:p w:rsidR="00342BBE" w:rsidRPr="00BF1CF4" w:rsidRDefault="00342BBE" w:rsidP="00725E87">
      <w:pPr>
        <w:spacing w:before="240" w:after="240" w:line="240" w:lineRule="auto"/>
        <w:jc w:val="both"/>
        <w:rPr>
          <w:rFonts w:asciiTheme="majorBidi" w:hAnsiTheme="majorBidi" w:cstheme="majorBidi"/>
          <w:sz w:val="24"/>
          <w:szCs w:val="24"/>
        </w:rPr>
      </w:pPr>
      <w:r w:rsidRPr="00BF1CF4">
        <w:rPr>
          <w:rFonts w:asciiTheme="majorBidi" w:hAnsiTheme="majorBidi" w:cstheme="majorBidi"/>
          <w:sz w:val="24"/>
          <w:szCs w:val="24"/>
        </w:rPr>
        <w:t xml:space="preserve">Les conséquences de ces dernières, ajoutées à une hausse exorbitante du baril de pétrole et à la conjoncture politique dans le monde arabe, ont fait de l’année 2011, l’année la plus chère. En effet, l’IPC a atteint un niveau moyen de 109 et un maximum de 110,3 qui est également la valeur la plus élevée au cours de ces cinq dernières années. </w:t>
      </w:r>
    </w:p>
    <w:p w:rsidR="009A505A" w:rsidRDefault="009A505A" w:rsidP="00BF1CF4">
      <w:pPr>
        <w:spacing w:before="240" w:after="240" w:line="240" w:lineRule="auto"/>
        <w:jc w:val="both"/>
        <w:rPr>
          <w:rFonts w:asciiTheme="majorBidi" w:hAnsiTheme="majorBidi" w:cstheme="majorBidi"/>
          <w:sz w:val="24"/>
          <w:szCs w:val="24"/>
        </w:rPr>
      </w:pPr>
      <w:r w:rsidRPr="00BF1CF4">
        <w:rPr>
          <w:rFonts w:asciiTheme="majorBidi" w:hAnsiTheme="majorBidi" w:cstheme="majorBidi"/>
          <w:sz w:val="24"/>
          <w:szCs w:val="24"/>
        </w:rPr>
        <w:t xml:space="preserve">Mis à part les deux mois de mars et avril ainsi que le dernier trimestre de l’année 2012, les prix </w:t>
      </w:r>
      <w:r w:rsidR="00BF1CF4" w:rsidRPr="00BF1CF4">
        <w:rPr>
          <w:rFonts w:asciiTheme="majorBidi" w:hAnsiTheme="majorBidi" w:cstheme="majorBidi"/>
          <w:sz w:val="24"/>
          <w:szCs w:val="24"/>
        </w:rPr>
        <w:t xml:space="preserve">au cours </w:t>
      </w:r>
      <w:r w:rsidRPr="00BF1CF4">
        <w:rPr>
          <w:rFonts w:asciiTheme="majorBidi" w:hAnsiTheme="majorBidi" w:cstheme="majorBidi"/>
          <w:sz w:val="24"/>
          <w:szCs w:val="24"/>
        </w:rPr>
        <w:t>de cette année ont continué de grimper</w:t>
      </w:r>
      <w:r w:rsidR="00BF1CF4" w:rsidRPr="00BF1CF4">
        <w:rPr>
          <w:rFonts w:asciiTheme="majorBidi" w:hAnsiTheme="majorBidi" w:cstheme="majorBidi"/>
          <w:sz w:val="24"/>
          <w:szCs w:val="24"/>
        </w:rPr>
        <w:t xml:space="preserve"> à cause du relèvement des tarifs des carburants et des lubrifiants conjugués à des conditions climatiques défavorables.</w:t>
      </w:r>
    </w:p>
    <w:p w:rsidR="00BF1CF4" w:rsidRPr="006F4290" w:rsidRDefault="00BF1CF4" w:rsidP="00BF1CF4">
      <w:pPr>
        <w:spacing w:before="240" w:after="240" w:line="240" w:lineRule="auto"/>
        <w:jc w:val="both"/>
        <w:rPr>
          <w:rFonts w:asciiTheme="majorBidi" w:hAnsiTheme="majorBidi" w:cstheme="majorBidi"/>
          <w:sz w:val="24"/>
          <w:szCs w:val="24"/>
        </w:rPr>
      </w:pPr>
      <w:r w:rsidRPr="006F4290">
        <w:rPr>
          <w:rFonts w:asciiTheme="majorBidi" w:hAnsiTheme="majorBidi" w:cstheme="majorBidi"/>
          <w:sz w:val="24"/>
          <w:szCs w:val="24"/>
        </w:rPr>
        <w:lastRenderedPageBreak/>
        <w:t>Malgré une bonne année agricole, l’IPC a continué de croitre en 2013</w:t>
      </w:r>
      <w:r w:rsidR="003042FE" w:rsidRPr="006F4290">
        <w:rPr>
          <w:rFonts w:asciiTheme="majorBidi" w:hAnsiTheme="majorBidi" w:cstheme="majorBidi"/>
          <w:sz w:val="24"/>
          <w:szCs w:val="24"/>
        </w:rPr>
        <w:t>, hausse surtout ressentie au cours des trois premiers trimestres de l’année. Cette augmentation est impactée aussi bien par l’effet négatif de l’année 2012 que par la conjoncture économique mondiale qui subit encore les conséquences de la crise mondiale.</w:t>
      </w:r>
    </w:p>
    <w:p w:rsidR="00B30F0E" w:rsidRPr="006F4290" w:rsidRDefault="003042FE" w:rsidP="00BF1CF4">
      <w:pPr>
        <w:spacing w:before="240" w:after="240" w:line="240" w:lineRule="auto"/>
        <w:jc w:val="both"/>
        <w:rPr>
          <w:rFonts w:asciiTheme="majorBidi" w:hAnsiTheme="majorBidi" w:cstheme="majorBidi"/>
          <w:sz w:val="24"/>
          <w:szCs w:val="24"/>
        </w:rPr>
      </w:pPr>
      <w:r w:rsidRPr="006F4290">
        <w:rPr>
          <w:rFonts w:asciiTheme="majorBidi" w:hAnsiTheme="majorBidi" w:cstheme="majorBidi"/>
          <w:sz w:val="24"/>
          <w:szCs w:val="24"/>
        </w:rPr>
        <w:t>En 2014, l’inflation a enregistré un net recul dû essentiellement à la baisse des produits alimentaires à prix volatils. Cependant, à partir de septembre, les prix ont commencé à augmenter sous l’effet de la hausse des prix des carburants et lubrifiants suit</w:t>
      </w:r>
      <w:r w:rsidR="00985540" w:rsidRPr="006F4290">
        <w:rPr>
          <w:rFonts w:asciiTheme="majorBidi" w:hAnsiTheme="majorBidi" w:cstheme="majorBidi"/>
          <w:sz w:val="24"/>
          <w:szCs w:val="24"/>
        </w:rPr>
        <w:t>e</w:t>
      </w:r>
      <w:r w:rsidRPr="006F4290">
        <w:rPr>
          <w:rFonts w:asciiTheme="majorBidi" w:hAnsiTheme="majorBidi" w:cstheme="majorBidi"/>
          <w:sz w:val="24"/>
          <w:szCs w:val="24"/>
        </w:rPr>
        <w:t xml:space="preserve"> à l’impact du recul progressif </w:t>
      </w:r>
      <w:r w:rsidR="00B30F0E" w:rsidRPr="006F4290">
        <w:rPr>
          <w:rFonts w:asciiTheme="majorBidi" w:hAnsiTheme="majorBidi" w:cstheme="majorBidi"/>
          <w:sz w:val="24"/>
          <w:szCs w:val="24"/>
        </w:rPr>
        <w:t>du niveau de compensation.</w:t>
      </w:r>
    </w:p>
    <w:p w:rsidR="00985540" w:rsidRPr="006F4290" w:rsidRDefault="00985540" w:rsidP="00BF1CF4">
      <w:pPr>
        <w:spacing w:before="240" w:after="240" w:line="240" w:lineRule="auto"/>
        <w:jc w:val="both"/>
        <w:rPr>
          <w:rFonts w:asciiTheme="majorBidi" w:hAnsiTheme="majorBidi" w:cstheme="majorBidi"/>
          <w:sz w:val="24"/>
          <w:szCs w:val="24"/>
        </w:rPr>
      </w:pPr>
      <w:r w:rsidRPr="006F4290">
        <w:rPr>
          <w:rFonts w:asciiTheme="majorBidi" w:hAnsiTheme="majorBidi" w:cstheme="majorBidi"/>
          <w:sz w:val="24"/>
          <w:szCs w:val="24"/>
        </w:rPr>
        <w:t>L’inflation s’est, de nouveau, accélérée en passant de 0,5% à 1,5% en 2015. Ceci est le résultat de la hausse des produits alimentaires à prix volatils et de certains produits réglementés comme l’eau, l’électricité, le tabac et le transport routier.</w:t>
      </w:r>
    </w:p>
    <w:p w:rsidR="00C25EE4" w:rsidRPr="006F4290" w:rsidRDefault="00C25EE4" w:rsidP="00C25EE4">
      <w:pPr>
        <w:spacing w:before="240" w:after="240" w:line="240" w:lineRule="auto"/>
        <w:jc w:val="both"/>
        <w:rPr>
          <w:rFonts w:asciiTheme="majorBidi" w:hAnsiTheme="majorBidi" w:cstheme="majorBidi"/>
          <w:sz w:val="24"/>
          <w:szCs w:val="24"/>
        </w:rPr>
      </w:pPr>
      <w:r w:rsidRPr="006F4290">
        <w:rPr>
          <w:rFonts w:asciiTheme="majorBidi" w:hAnsiTheme="majorBidi" w:cstheme="majorBidi"/>
          <w:sz w:val="24"/>
          <w:szCs w:val="24"/>
        </w:rPr>
        <w:t xml:space="preserve">En termes de niveaux, l’Indice des Prix à la Consommation a enregistré les valeurs les plus élevées entre Juillet et Octobre de la même année. </w:t>
      </w:r>
    </w:p>
    <w:p w:rsidR="00C25EE4" w:rsidRPr="006F4290" w:rsidRDefault="00C25EE4" w:rsidP="00C51F59">
      <w:pPr>
        <w:spacing w:before="240" w:after="240" w:line="240" w:lineRule="auto"/>
        <w:jc w:val="both"/>
        <w:rPr>
          <w:rFonts w:asciiTheme="majorBidi" w:hAnsiTheme="majorBidi" w:cstheme="majorBidi"/>
          <w:sz w:val="24"/>
          <w:szCs w:val="24"/>
        </w:rPr>
      </w:pPr>
      <w:r w:rsidRPr="006F4290">
        <w:rPr>
          <w:rFonts w:asciiTheme="majorBidi" w:hAnsiTheme="majorBidi" w:cstheme="majorBidi"/>
          <w:sz w:val="24"/>
          <w:szCs w:val="24"/>
        </w:rPr>
        <w:t xml:space="preserve">Pour ce qui est de l’année 2016, </w:t>
      </w:r>
      <w:r w:rsidR="009D68D5" w:rsidRPr="006F4290">
        <w:rPr>
          <w:rFonts w:asciiTheme="majorBidi" w:hAnsiTheme="majorBidi" w:cstheme="majorBidi"/>
          <w:sz w:val="24"/>
          <w:szCs w:val="24"/>
        </w:rPr>
        <w:t>une série de chocs ont influencé négativement l’offre de certains produits alimentaires frais tels que les oignons qui ont connu une flambée de leurs prix suite à une baisse de leur production. Aussi, quelques problèmes sanitaires dans le secteur avicole ont</w:t>
      </w:r>
      <w:r w:rsidR="00C51F59">
        <w:rPr>
          <w:rFonts w:asciiTheme="majorBidi" w:hAnsiTheme="majorBidi" w:cstheme="majorBidi"/>
          <w:sz w:val="24"/>
          <w:szCs w:val="24"/>
        </w:rPr>
        <w:t xml:space="preserve">-ils impacté </w:t>
      </w:r>
      <w:r w:rsidR="009D68D5" w:rsidRPr="006F4290">
        <w:rPr>
          <w:rFonts w:asciiTheme="majorBidi" w:hAnsiTheme="majorBidi" w:cstheme="majorBidi"/>
          <w:sz w:val="24"/>
          <w:szCs w:val="24"/>
        </w:rPr>
        <w:t xml:space="preserve">que le prix des œufs et de la volaille </w:t>
      </w:r>
      <w:r w:rsidR="00C51F59">
        <w:rPr>
          <w:rFonts w:asciiTheme="majorBidi" w:hAnsiTheme="majorBidi" w:cstheme="majorBidi"/>
          <w:sz w:val="24"/>
          <w:szCs w:val="24"/>
        </w:rPr>
        <w:t xml:space="preserve">qui </w:t>
      </w:r>
      <w:r w:rsidR="009D68D5" w:rsidRPr="006F4290">
        <w:rPr>
          <w:rFonts w:asciiTheme="majorBidi" w:hAnsiTheme="majorBidi" w:cstheme="majorBidi"/>
          <w:sz w:val="24"/>
          <w:szCs w:val="24"/>
        </w:rPr>
        <w:t>ont atteints des niveaux exorbitants. Les prix de ces produits ont affecté significativement l’IPC qui n’a pas cessé d’augmenter durant les trois premiers trimestres.</w:t>
      </w:r>
    </w:p>
    <w:p w:rsidR="006F4290" w:rsidRPr="006F4290" w:rsidRDefault="006F4290" w:rsidP="00C25EE4">
      <w:pPr>
        <w:spacing w:before="240" w:after="240" w:line="240" w:lineRule="auto"/>
        <w:jc w:val="both"/>
        <w:rPr>
          <w:rFonts w:asciiTheme="majorBidi" w:hAnsiTheme="majorBidi" w:cstheme="majorBidi"/>
          <w:sz w:val="24"/>
          <w:szCs w:val="24"/>
        </w:rPr>
      </w:pPr>
      <w:r w:rsidRPr="006F4290">
        <w:rPr>
          <w:rFonts w:asciiTheme="majorBidi" w:hAnsiTheme="majorBidi" w:cstheme="majorBidi"/>
          <w:sz w:val="24"/>
          <w:szCs w:val="24"/>
        </w:rPr>
        <w:t>Concernant l’année 2017, les conditions climatiques favorables combinées à un repli des produits énergétiques au niveau international, ont agit positivement sur les prix, d’où une augmentation modérée de l’indice entre janvier et août. Cependant, à partir de septembre, le niveau de l’indice s’est élevé suite à l’impact de la maladie qui a touché la viande ovine.</w:t>
      </w:r>
    </w:p>
    <w:p w:rsidR="004F39E8" w:rsidRDefault="003042FE" w:rsidP="004F39E8">
      <w:pPr>
        <w:spacing w:before="240" w:after="240"/>
        <w:jc w:val="both"/>
        <w:rPr>
          <w:rFonts w:asciiTheme="majorBidi" w:hAnsiTheme="majorBidi" w:cstheme="majorBidi"/>
          <w:color w:val="548DD4" w:themeColor="text2" w:themeTint="99"/>
          <w:sz w:val="24"/>
          <w:szCs w:val="24"/>
        </w:rPr>
      </w:pPr>
      <w:r w:rsidRPr="004F39E8">
        <w:rPr>
          <w:rFonts w:asciiTheme="majorBidi" w:hAnsiTheme="majorBidi" w:cstheme="majorBidi"/>
          <w:color w:val="548DD4" w:themeColor="text2" w:themeTint="99"/>
          <w:sz w:val="24"/>
          <w:szCs w:val="24"/>
        </w:rPr>
        <w:t xml:space="preserve"> </w:t>
      </w:r>
    </w:p>
    <w:p w:rsidR="004F39E8" w:rsidRDefault="004F39E8" w:rsidP="004F39E8">
      <w:pPr>
        <w:spacing w:before="240" w:after="240"/>
        <w:jc w:val="both"/>
        <w:rPr>
          <w:rFonts w:asciiTheme="majorBidi" w:hAnsiTheme="majorBidi" w:cstheme="majorBidi"/>
          <w:color w:val="548DD4" w:themeColor="text2" w:themeTint="99"/>
          <w:sz w:val="24"/>
          <w:szCs w:val="24"/>
        </w:rPr>
      </w:pPr>
    </w:p>
    <w:p w:rsidR="004F39E8" w:rsidRDefault="004F39E8" w:rsidP="004F39E8">
      <w:pPr>
        <w:spacing w:before="240" w:after="240"/>
        <w:jc w:val="both"/>
        <w:rPr>
          <w:rFonts w:asciiTheme="majorBidi" w:hAnsiTheme="majorBidi" w:cstheme="majorBidi"/>
          <w:color w:val="548DD4" w:themeColor="text2" w:themeTint="99"/>
          <w:sz w:val="24"/>
          <w:szCs w:val="24"/>
        </w:rPr>
      </w:pPr>
    </w:p>
    <w:p w:rsidR="004F39E8" w:rsidRDefault="004F39E8" w:rsidP="004F39E8">
      <w:pPr>
        <w:spacing w:before="240" w:after="240"/>
        <w:jc w:val="both"/>
        <w:rPr>
          <w:rFonts w:asciiTheme="majorBidi" w:hAnsiTheme="majorBidi" w:cstheme="majorBidi"/>
          <w:color w:val="548DD4" w:themeColor="text2" w:themeTint="99"/>
          <w:sz w:val="24"/>
          <w:szCs w:val="24"/>
        </w:rPr>
      </w:pPr>
    </w:p>
    <w:p w:rsidR="004F39E8" w:rsidRDefault="004F39E8" w:rsidP="004F39E8">
      <w:pPr>
        <w:spacing w:before="240" w:after="240"/>
        <w:jc w:val="both"/>
        <w:rPr>
          <w:rFonts w:asciiTheme="majorBidi" w:hAnsiTheme="majorBidi" w:cstheme="majorBidi"/>
          <w:color w:val="548DD4" w:themeColor="text2" w:themeTint="99"/>
          <w:sz w:val="24"/>
          <w:szCs w:val="24"/>
        </w:rPr>
      </w:pPr>
    </w:p>
    <w:p w:rsidR="004F39E8" w:rsidRDefault="004F39E8" w:rsidP="004F39E8">
      <w:pPr>
        <w:spacing w:before="240" w:after="240"/>
        <w:jc w:val="both"/>
        <w:rPr>
          <w:rFonts w:asciiTheme="majorBidi" w:hAnsiTheme="majorBidi" w:cstheme="majorBidi"/>
          <w:color w:val="548DD4" w:themeColor="text2" w:themeTint="99"/>
          <w:sz w:val="24"/>
          <w:szCs w:val="24"/>
        </w:rPr>
      </w:pPr>
    </w:p>
    <w:p w:rsidR="00EC15A6" w:rsidRDefault="00EC15A6" w:rsidP="00462F63">
      <w:pPr>
        <w:pStyle w:val="Lgende"/>
        <w:rPr>
          <w:rFonts w:ascii="Times New Roman" w:hAnsi="Times New Roman"/>
          <w:sz w:val="22"/>
        </w:rPr>
      </w:pPr>
    </w:p>
    <w:p w:rsidR="00C51F59" w:rsidRDefault="00C51F59" w:rsidP="00462F63">
      <w:pPr>
        <w:pStyle w:val="Lgende"/>
        <w:rPr>
          <w:rFonts w:ascii="Times New Roman" w:hAnsi="Times New Roman"/>
          <w:sz w:val="22"/>
        </w:rPr>
      </w:pPr>
    </w:p>
    <w:p w:rsidR="00C51F59" w:rsidRDefault="00C51F59" w:rsidP="00462F63">
      <w:pPr>
        <w:pStyle w:val="Lgende"/>
        <w:rPr>
          <w:rFonts w:ascii="Times New Roman" w:hAnsi="Times New Roman"/>
          <w:sz w:val="22"/>
        </w:rPr>
      </w:pPr>
    </w:p>
    <w:p w:rsidR="008B74DA" w:rsidRDefault="008B74DA" w:rsidP="00462F63">
      <w:pPr>
        <w:pStyle w:val="Lgende"/>
        <w:rPr>
          <w:rFonts w:ascii="Times New Roman" w:hAnsi="Times New Roman"/>
          <w:sz w:val="22"/>
        </w:rPr>
      </w:pPr>
    </w:p>
    <w:p w:rsidR="008B74DA" w:rsidRDefault="008B74DA" w:rsidP="00462F63">
      <w:pPr>
        <w:pStyle w:val="Lgende"/>
        <w:rPr>
          <w:rFonts w:ascii="Times New Roman" w:hAnsi="Times New Roman"/>
          <w:sz w:val="22"/>
        </w:rPr>
      </w:pPr>
    </w:p>
    <w:p w:rsidR="004F39E8" w:rsidRPr="00462F63" w:rsidRDefault="00462F63" w:rsidP="00462F63">
      <w:pPr>
        <w:pStyle w:val="Lgende"/>
        <w:rPr>
          <w:rFonts w:ascii="Times New Roman" w:hAnsi="Times New Roman" w:cstheme="majorBidi"/>
          <w:color w:val="548DD4" w:themeColor="text2" w:themeTint="99"/>
          <w:sz w:val="22"/>
        </w:rPr>
      </w:pPr>
      <w:bookmarkStart w:id="34" w:name="_Toc515274108"/>
      <w:r w:rsidRPr="00462F63">
        <w:rPr>
          <w:rFonts w:ascii="Times New Roman" w:hAnsi="Times New Roman"/>
          <w:sz w:val="22"/>
        </w:rPr>
        <w:lastRenderedPageBreak/>
        <w:t xml:space="preserve">Graphique </w:t>
      </w:r>
      <w:r w:rsidR="001022E9"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1022E9" w:rsidRPr="00462F63">
        <w:rPr>
          <w:rFonts w:ascii="Times New Roman" w:hAnsi="Times New Roman"/>
          <w:sz w:val="22"/>
        </w:rPr>
        <w:fldChar w:fldCharType="separate"/>
      </w:r>
      <w:r w:rsidR="00156FC8">
        <w:rPr>
          <w:rFonts w:ascii="Times New Roman" w:hAnsi="Times New Roman"/>
          <w:noProof/>
          <w:sz w:val="22"/>
        </w:rPr>
        <w:t>5</w:t>
      </w:r>
      <w:r w:rsidR="001022E9"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rPr>
        <w:t>Evolution de l'IPC de la ville de Kenitra entre 2007 et 2017</w:t>
      </w:r>
      <w:bookmarkEnd w:id="34"/>
      <w:r w:rsidR="004F39E8" w:rsidRPr="00462F63">
        <w:rPr>
          <w:rFonts w:ascii="Times New Roman" w:hAnsi="Times New Roman" w:cstheme="majorBidi"/>
          <w:bCs w:val="0"/>
          <w:color w:val="548DD4" w:themeColor="text2" w:themeTint="99"/>
          <w:sz w:val="22"/>
        </w:rPr>
        <w:t xml:space="preserve"> </w:t>
      </w:r>
    </w:p>
    <w:p w:rsidR="004D65AF" w:rsidRDefault="00F255F4" w:rsidP="00725E87">
      <w:pPr>
        <w:spacing w:before="240" w:after="240" w:line="240" w:lineRule="auto"/>
        <w:jc w:val="both"/>
        <w:rPr>
          <w:rFonts w:asciiTheme="majorBidi" w:hAnsiTheme="majorBidi" w:cstheme="majorBidi"/>
          <w:sz w:val="24"/>
          <w:szCs w:val="24"/>
        </w:rPr>
      </w:pPr>
      <w:r w:rsidRPr="00F255F4">
        <w:rPr>
          <w:rFonts w:asciiTheme="majorBidi" w:hAnsiTheme="majorBidi" w:cstheme="majorBidi"/>
          <w:noProof/>
          <w:sz w:val="24"/>
          <w:szCs w:val="24"/>
          <w:lang w:eastAsia="fr-FR"/>
        </w:rPr>
        <w:drawing>
          <wp:inline distT="0" distB="0" distL="0" distR="0">
            <wp:extent cx="5819775" cy="4610100"/>
            <wp:effectExtent l="19050" t="0" r="9525"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74DA" w:rsidRDefault="008B74DA" w:rsidP="003D21FB">
      <w:pPr>
        <w:pStyle w:val="Titre3"/>
        <w:rPr>
          <w:rFonts w:asciiTheme="majorBidi" w:hAnsiTheme="majorBidi"/>
          <w:sz w:val="24"/>
          <w:szCs w:val="24"/>
        </w:rPr>
      </w:pPr>
    </w:p>
    <w:p w:rsidR="004D65AF" w:rsidRPr="004F39E8" w:rsidRDefault="00342BBE" w:rsidP="003D21FB">
      <w:pPr>
        <w:pStyle w:val="Titre3"/>
        <w:rPr>
          <w:rFonts w:asciiTheme="majorBidi" w:hAnsiTheme="majorBidi"/>
          <w:sz w:val="24"/>
          <w:szCs w:val="24"/>
        </w:rPr>
      </w:pPr>
      <w:bookmarkStart w:id="35" w:name="_Toc515274014"/>
      <w:r w:rsidRPr="004F39E8">
        <w:rPr>
          <w:rFonts w:asciiTheme="majorBidi" w:hAnsiTheme="majorBidi"/>
          <w:sz w:val="24"/>
          <w:szCs w:val="24"/>
        </w:rPr>
        <w:t>II</w:t>
      </w:r>
      <w:r w:rsidR="00586B08" w:rsidRPr="004F39E8">
        <w:rPr>
          <w:rFonts w:asciiTheme="majorBidi" w:hAnsiTheme="majorBidi"/>
          <w:sz w:val="24"/>
          <w:szCs w:val="24"/>
        </w:rPr>
        <w:t>I</w:t>
      </w:r>
      <w:r w:rsidRPr="004F39E8">
        <w:rPr>
          <w:rFonts w:asciiTheme="majorBidi" w:hAnsiTheme="majorBidi"/>
          <w:sz w:val="24"/>
          <w:szCs w:val="24"/>
        </w:rPr>
        <w:t>-</w:t>
      </w:r>
      <w:r w:rsidR="0096274A" w:rsidRPr="004F39E8">
        <w:rPr>
          <w:rFonts w:asciiTheme="majorBidi" w:hAnsiTheme="majorBidi"/>
          <w:sz w:val="24"/>
          <w:szCs w:val="24"/>
        </w:rPr>
        <w:t>4</w:t>
      </w:r>
      <w:r w:rsidRPr="004F39E8">
        <w:rPr>
          <w:rFonts w:asciiTheme="majorBidi" w:hAnsiTheme="majorBidi"/>
          <w:sz w:val="24"/>
          <w:szCs w:val="24"/>
        </w:rPr>
        <w:t xml:space="preserve">-2 Evolution annuelle </w:t>
      </w:r>
      <w:r w:rsidR="003D21FB" w:rsidRPr="004F39E8">
        <w:rPr>
          <w:rFonts w:asciiTheme="majorBidi" w:hAnsiTheme="majorBidi"/>
          <w:sz w:val="24"/>
          <w:szCs w:val="24"/>
        </w:rPr>
        <w:t>de l’IPC</w:t>
      </w:r>
      <w:bookmarkEnd w:id="35"/>
    </w:p>
    <w:p w:rsidR="00662B97" w:rsidRPr="004F39E8" w:rsidRDefault="00662B97" w:rsidP="004F39E8">
      <w:pPr>
        <w:pStyle w:val="Titre4"/>
        <w:spacing w:before="100" w:beforeAutospacing="1"/>
        <w:rPr>
          <w:rFonts w:asciiTheme="majorBidi" w:hAnsiTheme="majorBidi"/>
          <w:sz w:val="24"/>
          <w:szCs w:val="24"/>
        </w:rPr>
      </w:pPr>
      <w:bookmarkStart w:id="36" w:name="_Toc515274015"/>
      <w:r w:rsidRPr="004F39E8">
        <w:rPr>
          <w:rFonts w:asciiTheme="majorBidi" w:hAnsiTheme="majorBidi"/>
          <w:sz w:val="24"/>
          <w:szCs w:val="24"/>
        </w:rPr>
        <w:t>II</w:t>
      </w:r>
      <w:r w:rsidR="00586B08" w:rsidRPr="004F39E8">
        <w:rPr>
          <w:rFonts w:asciiTheme="majorBidi" w:hAnsiTheme="majorBidi"/>
          <w:sz w:val="24"/>
          <w:szCs w:val="24"/>
        </w:rPr>
        <w:t>I</w:t>
      </w:r>
      <w:r w:rsidRPr="004F39E8">
        <w:rPr>
          <w:rFonts w:asciiTheme="majorBidi" w:hAnsiTheme="majorBidi"/>
          <w:sz w:val="24"/>
          <w:szCs w:val="24"/>
        </w:rPr>
        <w:t xml:space="preserve">-4-2-1  Evolution annuelle </w:t>
      </w:r>
      <w:r w:rsidR="003D21FB" w:rsidRPr="004F39E8">
        <w:rPr>
          <w:rFonts w:asciiTheme="majorBidi" w:hAnsiTheme="majorBidi"/>
          <w:sz w:val="24"/>
          <w:szCs w:val="24"/>
        </w:rPr>
        <w:t>des indices généraux de Kénitra et du Maroc</w:t>
      </w:r>
      <w:bookmarkEnd w:id="36"/>
    </w:p>
    <w:p w:rsidR="00F46CAF" w:rsidRDefault="004119FD" w:rsidP="004F39E8">
      <w:pPr>
        <w:spacing w:before="100" w:beforeAutospacing="1"/>
        <w:jc w:val="both"/>
        <w:rPr>
          <w:rFonts w:asciiTheme="majorBidi" w:hAnsiTheme="majorBidi" w:cstheme="majorBidi"/>
          <w:sz w:val="24"/>
          <w:szCs w:val="24"/>
        </w:rPr>
      </w:pPr>
      <w:r w:rsidRPr="004119FD">
        <w:rPr>
          <w:rFonts w:asciiTheme="majorBidi" w:hAnsiTheme="majorBidi" w:cstheme="majorBidi"/>
          <w:sz w:val="24"/>
          <w:szCs w:val="24"/>
        </w:rPr>
        <w:t xml:space="preserve">L’analyse de </w:t>
      </w:r>
      <w:r>
        <w:rPr>
          <w:rFonts w:asciiTheme="majorBidi" w:hAnsiTheme="majorBidi" w:cstheme="majorBidi"/>
          <w:sz w:val="24"/>
          <w:szCs w:val="24"/>
        </w:rPr>
        <w:t xml:space="preserve">l’évolution de </w:t>
      </w:r>
      <w:r w:rsidRPr="004119FD">
        <w:rPr>
          <w:rFonts w:asciiTheme="majorBidi" w:hAnsiTheme="majorBidi" w:cstheme="majorBidi"/>
          <w:sz w:val="24"/>
          <w:szCs w:val="24"/>
        </w:rPr>
        <w:t>l’IPC général entre 2007 et 2017</w:t>
      </w:r>
      <w:r>
        <w:rPr>
          <w:rFonts w:asciiTheme="majorBidi" w:hAnsiTheme="majorBidi" w:cstheme="majorBidi"/>
          <w:sz w:val="24"/>
          <w:szCs w:val="24"/>
        </w:rPr>
        <w:t xml:space="preserve">, montre que </w:t>
      </w:r>
      <w:r w:rsidR="00CA6B51">
        <w:rPr>
          <w:rFonts w:asciiTheme="majorBidi" w:hAnsiTheme="majorBidi" w:cstheme="majorBidi"/>
          <w:sz w:val="24"/>
          <w:szCs w:val="24"/>
        </w:rPr>
        <w:t>le niveau général des prix</w:t>
      </w:r>
      <w:r>
        <w:rPr>
          <w:rFonts w:asciiTheme="majorBidi" w:hAnsiTheme="majorBidi" w:cstheme="majorBidi"/>
          <w:sz w:val="24"/>
          <w:szCs w:val="24"/>
        </w:rPr>
        <w:t xml:space="preserve"> de la ville de Kénitra a enregistré des niveaux inférieurs à </w:t>
      </w:r>
      <w:r w:rsidR="00CA6B51">
        <w:rPr>
          <w:rFonts w:asciiTheme="majorBidi" w:hAnsiTheme="majorBidi" w:cstheme="majorBidi"/>
          <w:sz w:val="24"/>
          <w:szCs w:val="24"/>
        </w:rPr>
        <w:t>la moyenne nationale</w:t>
      </w:r>
      <w:r>
        <w:rPr>
          <w:rFonts w:asciiTheme="majorBidi" w:hAnsiTheme="majorBidi" w:cstheme="majorBidi"/>
          <w:sz w:val="24"/>
          <w:szCs w:val="24"/>
        </w:rPr>
        <w:t xml:space="preserve">. Toutefois, ces niveaux restent rapprochés et leurs courbes adoptent la même allure </w:t>
      </w:r>
      <w:r w:rsidR="00D4044E">
        <w:rPr>
          <w:rFonts w:asciiTheme="majorBidi" w:hAnsiTheme="majorBidi" w:cstheme="majorBidi"/>
          <w:sz w:val="24"/>
          <w:szCs w:val="24"/>
        </w:rPr>
        <w:t xml:space="preserve">croissante </w:t>
      </w:r>
      <w:r>
        <w:rPr>
          <w:rFonts w:asciiTheme="majorBidi" w:hAnsiTheme="majorBidi" w:cstheme="majorBidi"/>
          <w:sz w:val="24"/>
          <w:szCs w:val="24"/>
        </w:rPr>
        <w:t>durant ces onze dernières années</w:t>
      </w:r>
      <w:r w:rsidR="00A97818">
        <w:rPr>
          <w:rFonts w:asciiTheme="majorBidi" w:hAnsiTheme="majorBidi" w:cstheme="majorBidi"/>
          <w:sz w:val="24"/>
          <w:szCs w:val="24"/>
        </w:rPr>
        <w:t xml:space="preserve"> comme l’indique le graphique ci-dessous.</w:t>
      </w:r>
    </w:p>
    <w:p w:rsidR="006749E7" w:rsidRDefault="006749E7" w:rsidP="00A97818">
      <w:pPr>
        <w:jc w:val="both"/>
        <w:rPr>
          <w:rFonts w:asciiTheme="majorBidi" w:hAnsiTheme="majorBidi" w:cstheme="majorBidi"/>
          <w:sz w:val="24"/>
          <w:szCs w:val="24"/>
        </w:rPr>
      </w:pPr>
    </w:p>
    <w:p w:rsidR="004F39E8" w:rsidRDefault="004F39E8" w:rsidP="004F39E8">
      <w:pPr>
        <w:jc w:val="both"/>
        <w:rPr>
          <w:rFonts w:asciiTheme="majorBidi" w:hAnsiTheme="majorBidi" w:cstheme="majorBidi"/>
          <w:sz w:val="24"/>
          <w:szCs w:val="24"/>
        </w:rPr>
      </w:pPr>
    </w:p>
    <w:p w:rsidR="004F39E8" w:rsidRDefault="004F39E8" w:rsidP="004F39E8">
      <w:pPr>
        <w:jc w:val="both"/>
        <w:rPr>
          <w:rFonts w:asciiTheme="majorBidi" w:hAnsiTheme="majorBidi" w:cstheme="majorBidi"/>
          <w:sz w:val="24"/>
          <w:szCs w:val="24"/>
        </w:rPr>
      </w:pPr>
    </w:p>
    <w:p w:rsidR="004F39E8" w:rsidRDefault="004F39E8" w:rsidP="004F39E8">
      <w:pPr>
        <w:jc w:val="both"/>
        <w:rPr>
          <w:rFonts w:asciiTheme="majorBidi" w:hAnsiTheme="majorBidi" w:cstheme="majorBidi"/>
          <w:sz w:val="24"/>
          <w:szCs w:val="24"/>
        </w:rPr>
      </w:pPr>
    </w:p>
    <w:p w:rsidR="004F39E8" w:rsidRDefault="004F39E8" w:rsidP="004F39E8">
      <w:pPr>
        <w:jc w:val="both"/>
        <w:rPr>
          <w:rFonts w:asciiTheme="majorBidi" w:hAnsiTheme="majorBidi" w:cstheme="majorBidi"/>
          <w:sz w:val="24"/>
          <w:szCs w:val="24"/>
        </w:rPr>
      </w:pPr>
    </w:p>
    <w:p w:rsidR="006749E7" w:rsidRPr="00462F63" w:rsidRDefault="00462F63" w:rsidP="00462F63">
      <w:pPr>
        <w:pStyle w:val="Lgende"/>
        <w:rPr>
          <w:rFonts w:ascii="Times New Roman" w:hAnsi="Times New Roman" w:cstheme="majorBidi"/>
          <w:bCs w:val="0"/>
          <w:color w:val="548DD4" w:themeColor="text2" w:themeTint="99"/>
          <w:sz w:val="22"/>
          <w:szCs w:val="24"/>
        </w:rPr>
      </w:pPr>
      <w:bookmarkStart w:id="37" w:name="_Toc515274109"/>
      <w:r w:rsidRPr="00462F63">
        <w:rPr>
          <w:rFonts w:ascii="Times New Roman" w:hAnsi="Times New Roman"/>
          <w:sz w:val="22"/>
        </w:rPr>
        <w:t xml:space="preserve">Graphique </w:t>
      </w:r>
      <w:r w:rsidR="001022E9"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1022E9" w:rsidRPr="00462F63">
        <w:rPr>
          <w:rFonts w:ascii="Times New Roman" w:hAnsi="Times New Roman"/>
          <w:sz w:val="22"/>
        </w:rPr>
        <w:fldChar w:fldCharType="separate"/>
      </w:r>
      <w:r w:rsidR="00156FC8">
        <w:rPr>
          <w:rFonts w:ascii="Times New Roman" w:hAnsi="Times New Roman"/>
          <w:noProof/>
          <w:sz w:val="22"/>
        </w:rPr>
        <w:t>6</w:t>
      </w:r>
      <w:r w:rsidR="001022E9"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 xml:space="preserve">Evolution de l'IPC  général de la ville de  </w:t>
      </w:r>
      <w:r>
        <w:rPr>
          <w:rFonts w:ascii="Times New Roman" w:hAnsi="Times New Roman" w:cstheme="majorBidi"/>
          <w:bCs w:val="0"/>
          <w:color w:val="548DD4" w:themeColor="text2" w:themeTint="99"/>
          <w:sz w:val="22"/>
          <w:szCs w:val="24"/>
        </w:rPr>
        <w:t>K</w:t>
      </w:r>
      <w:r w:rsidR="004F39E8" w:rsidRPr="00462F63">
        <w:rPr>
          <w:rFonts w:ascii="Times New Roman" w:hAnsi="Times New Roman" w:cstheme="majorBidi"/>
          <w:bCs w:val="0"/>
          <w:color w:val="548DD4" w:themeColor="text2" w:themeTint="99"/>
          <w:sz w:val="22"/>
          <w:szCs w:val="24"/>
        </w:rPr>
        <w:t>énitra et du Maroc entre 2007 et 2017</w:t>
      </w:r>
      <w:bookmarkEnd w:id="37"/>
    </w:p>
    <w:p w:rsidR="00662B97" w:rsidRDefault="000F16C3" w:rsidP="000F16C3">
      <w:pPr>
        <w:spacing w:before="240" w:after="240" w:line="240" w:lineRule="auto"/>
        <w:jc w:val="both"/>
        <w:rPr>
          <w:rFonts w:asciiTheme="majorBidi" w:hAnsiTheme="majorBidi" w:cstheme="majorBidi"/>
          <w:b/>
          <w:bCs/>
          <w:color w:val="4F81BD" w:themeColor="accent1"/>
          <w:sz w:val="24"/>
          <w:szCs w:val="24"/>
        </w:rPr>
      </w:pPr>
      <w:r w:rsidRPr="000F16C3">
        <w:rPr>
          <w:rFonts w:asciiTheme="majorBidi" w:hAnsiTheme="majorBidi" w:cstheme="majorBidi"/>
          <w:b/>
          <w:bCs/>
          <w:noProof/>
          <w:color w:val="4F81BD" w:themeColor="accent1"/>
          <w:sz w:val="24"/>
          <w:szCs w:val="24"/>
          <w:lang w:eastAsia="fr-FR"/>
        </w:rPr>
        <w:drawing>
          <wp:inline distT="0" distB="0" distL="0" distR="0">
            <wp:extent cx="5791200" cy="3667760"/>
            <wp:effectExtent l="19050" t="0" r="19050" b="8890"/>
            <wp:docPr id="9"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62B97" w:rsidRPr="004F39E8" w:rsidRDefault="003D21FB" w:rsidP="004B1065">
      <w:pPr>
        <w:pStyle w:val="Titre4"/>
        <w:rPr>
          <w:rFonts w:asciiTheme="majorBidi" w:hAnsiTheme="majorBidi"/>
          <w:sz w:val="24"/>
          <w:szCs w:val="24"/>
        </w:rPr>
      </w:pPr>
      <w:bookmarkStart w:id="38" w:name="_Toc515274016"/>
      <w:r w:rsidRPr="004F39E8">
        <w:rPr>
          <w:rFonts w:asciiTheme="majorBidi" w:hAnsiTheme="majorBidi"/>
          <w:sz w:val="24"/>
          <w:szCs w:val="24"/>
        </w:rPr>
        <w:t>III-4-2-2 Evolution annuelle des indices</w:t>
      </w:r>
      <w:r w:rsidR="004B1065">
        <w:rPr>
          <w:rFonts w:asciiTheme="majorBidi" w:hAnsiTheme="majorBidi"/>
          <w:sz w:val="24"/>
          <w:szCs w:val="24"/>
        </w:rPr>
        <w:t> :</w:t>
      </w:r>
      <w:r w:rsidRPr="004F39E8">
        <w:rPr>
          <w:rFonts w:asciiTheme="majorBidi" w:hAnsiTheme="majorBidi"/>
          <w:sz w:val="24"/>
          <w:szCs w:val="24"/>
        </w:rPr>
        <w:t xml:space="preserve"> </w:t>
      </w:r>
      <w:r w:rsidR="004B1065">
        <w:rPr>
          <w:rFonts w:asciiTheme="majorBidi" w:hAnsiTheme="majorBidi"/>
          <w:sz w:val="24"/>
          <w:szCs w:val="24"/>
        </w:rPr>
        <w:t>g</w:t>
      </w:r>
      <w:r w:rsidRPr="004F39E8">
        <w:rPr>
          <w:rFonts w:asciiTheme="majorBidi" w:hAnsiTheme="majorBidi"/>
          <w:sz w:val="24"/>
          <w:szCs w:val="24"/>
        </w:rPr>
        <w:t xml:space="preserve">énéral, </w:t>
      </w:r>
      <w:r w:rsidR="004B1065">
        <w:rPr>
          <w:rFonts w:asciiTheme="majorBidi" w:hAnsiTheme="majorBidi"/>
          <w:sz w:val="24"/>
          <w:szCs w:val="24"/>
        </w:rPr>
        <w:t>a</w:t>
      </w:r>
      <w:r w:rsidRPr="004F39E8">
        <w:rPr>
          <w:rFonts w:asciiTheme="majorBidi" w:hAnsiTheme="majorBidi"/>
          <w:sz w:val="24"/>
          <w:szCs w:val="24"/>
        </w:rPr>
        <w:t>limentaire et</w:t>
      </w:r>
      <w:r w:rsidR="004B1065">
        <w:rPr>
          <w:rFonts w:asciiTheme="majorBidi" w:hAnsiTheme="majorBidi"/>
          <w:sz w:val="24"/>
          <w:szCs w:val="24"/>
        </w:rPr>
        <w:t xml:space="preserve"> n</w:t>
      </w:r>
      <w:r w:rsidRPr="004F39E8">
        <w:rPr>
          <w:rFonts w:asciiTheme="majorBidi" w:hAnsiTheme="majorBidi"/>
          <w:sz w:val="24"/>
          <w:szCs w:val="24"/>
        </w:rPr>
        <w:t xml:space="preserve">on </w:t>
      </w:r>
      <w:r w:rsidR="004B1065">
        <w:rPr>
          <w:rFonts w:asciiTheme="majorBidi" w:hAnsiTheme="majorBidi"/>
          <w:sz w:val="24"/>
          <w:szCs w:val="24"/>
        </w:rPr>
        <w:t>a</w:t>
      </w:r>
      <w:r w:rsidRPr="004F39E8">
        <w:rPr>
          <w:rFonts w:asciiTheme="majorBidi" w:hAnsiTheme="majorBidi"/>
          <w:sz w:val="24"/>
          <w:szCs w:val="24"/>
        </w:rPr>
        <w:t>limentaire</w:t>
      </w:r>
      <w:r w:rsidR="00D4044E" w:rsidRPr="004F39E8">
        <w:rPr>
          <w:rFonts w:asciiTheme="majorBidi" w:hAnsiTheme="majorBidi"/>
          <w:sz w:val="24"/>
          <w:szCs w:val="24"/>
        </w:rPr>
        <w:t xml:space="preserve"> de la ville de Kénitra</w:t>
      </w:r>
      <w:bookmarkEnd w:id="38"/>
    </w:p>
    <w:p w:rsidR="00342BBE" w:rsidRDefault="00342BBE" w:rsidP="002C2AC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L’IPC général de la ville de Kenitra a évolué positivement entre 2007 et 201</w:t>
      </w:r>
      <w:r w:rsidR="003C424B">
        <w:rPr>
          <w:rFonts w:asciiTheme="majorBidi" w:hAnsiTheme="majorBidi" w:cstheme="majorBidi"/>
          <w:sz w:val="24"/>
          <w:szCs w:val="24"/>
        </w:rPr>
        <w:t>7</w:t>
      </w:r>
      <w:r w:rsidR="006A3751">
        <w:rPr>
          <w:rFonts w:asciiTheme="majorBidi" w:hAnsiTheme="majorBidi" w:cstheme="majorBidi"/>
          <w:sz w:val="24"/>
          <w:szCs w:val="24"/>
        </w:rPr>
        <w:t xml:space="preserve"> avec, toutefois, un rythme </w:t>
      </w:r>
      <w:r w:rsidR="002B024D">
        <w:rPr>
          <w:rFonts w:asciiTheme="majorBidi" w:hAnsiTheme="majorBidi" w:cstheme="majorBidi"/>
          <w:sz w:val="24"/>
          <w:szCs w:val="24"/>
        </w:rPr>
        <w:t>ralenti</w:t>
      </w:r>
      <w:r w:rsidR="006A3751">
        <w:rPr>
          <w:rFonts w:asciiTheme="majorBidi" w:hAnsiTheme="majorBidi" w:cstheme="majorBidi"/>
          <w:sz w:val="24"/>
          <w:szCs w:val="24"/>
        </w:rPr>
        <w:t xml:space="preserve"> entre 2008</w:t>
      </w:r>
      <w:r w:rsidR="002B024D">
        <w:rPr>
          <w:rFonts w:asciiTheme="majorBidi" w:hAnsiTheme="majorBidi" w:cstheme="majorBidi"/>
          <w:sz w:val="24"/>
          <w:szCs w:val="24"/>
        </w:rPr>
        <w:t>-</w:t>
      </w:r>
      <w:r w:rsidR="006A3751">
        <w:rPr>
          <w:rFonts w:asciiTheme="majorBidi" w:hAnsiTheme="majorBidi" w:cstheme="majorBidi"/>
          <w:sz w:val="24"/>
          <w:szCs w:val="24"/>
        </w:rPr>
        <w:t>2010</w:t>
      </w:r>
      <w:r w:rsidR="002B024D">
        <w:rPr>
          <w:rFonts w:asciiTheme="majorBidi" w:hAnsiTheme="majorBidi" w:cstheme="majorBidi"/>
          <w:sz w:val="24"/>
          <w:szCs w:val="24"/>
        </w:rPr>
        <w:t>, 2013-2014 et 2016-2017</w:t>
      </w:r>
      <w:r w:rsidR="006A3751">
        <w:rPr>
          <w:rFonts w:asciiTheme="majorBidi" w:hAnsiTheme="majorBidi" w:cstheme="majorBidi"/>
          <w:sz w:val="24"/>
          <w:szCs w:val="24"/>
        </w:rPr>
        <w:t xml:space="preserve">. Ceci est vrai </w:t>
      </w:r>
      <w:r w:rsidR="002C2ACF">
        <w:rPr>
          <w:rFonts w:asciiTheme="majorBidi" w:hAnsiTheme="majorBidi" w:cstheme="majorBidi"/>
          <w:sz w:val="24"/>
          <w:szCs w:val="24"/>
        </w:rPr>
        <w:t xml:space="preserve">également </w:t>
      </w:r>
      <w:r w:rsidR="006A3751">
        <w:rPr>
          <w:rFonts w:asciiTheme="majorBidi" w:hAnsiTheme="majorBidi" w:cstheme="majorBidi"/>
          <w:sz w:val="24"/>
          <w:szCs w:val="24"/>
        </w:rPr>
        <w:t>pour l’indice alimentaire.</w:t>
      </w:r>
      <w:r w:rsidR="002B024D">
        <w:rPr>
          <w:rFonts w:asciiTheme="majorBidi" w:hAnsiTheme="majorBidi" w:cstheme="majorBidi"/>
          <w:sz w:val="24"/>
          <w:szCs w:val="24"/>
        </w:rPr>
        <w:t xml:space="preserve"> Quant à l’indice non alimentaire, son rythme de croissance a régressé entre 2008-2010, 2011-2012 et 2014-2016. </w:t>
      </w:r>
    </w:p>
    <w:p w:rsidR="006A3751" w:rsidRDefault="006A3751" w:rsidP="00EC15A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2008, </w:t>
      </w:r>
      <w:r w:rsidR="00EC15A6">
        <w:rPr>
          <w:rFonts w:asciiTheme="majorBidi" w:hAnsiTheme="majorBidi" w:cstheme="majorBidi"/>
          <w:sz w:val="24"/>
          <w:szCs w:val="24"/>
        </w:rPr>
        <w:t xml:space="preserve">début </w:t>
      </w:r>
      <w:r>
        <w:rPr>
          <w:rFonts w:asciiTheme="majorBidi" w:hAnsiTheme="majorBidi" w:cstheme="majorBidi"/>
          <w:sz w:val="24"/>
          <w:szCs w:val="24"/>
        </w:rPr>
        <w:t>de la crise économique internationale, l’IPC général a crû de 3,8% par rapport à l’année 2007, hausse engendrée essentiellement par les produits alimentaires dont l’indice a augmenté de 7,8% contre seulement 0,9% pour l’indice non alimentaire.</w:t>
      </w:r>
    </w:p>
    <w:p w:rsidR="002B024D" w:rsidRDefault="002B024D" w:rsidP="002B02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Il est à souligner que durant la période 2007-2017, l’année 2008 est celle qui a connu l’inflation la plus importante pour les produits alimentaires. En contrepartie, les prix des produits non alimentaires ont enregistré la hausse la plus élevée en 2014, avec 1,5% par rapport à 2013.</w:t>
      </w:r>
    </w:p>
    <w:p w:rsidR="004F39E8" w:rsidRDefault="004F39E8" w:rsidP="004F39E8">
      <w:pPr>
        <w:spacing w:after="0" w:line="240" w:lineRule="auto"/>
        <w:jc w:val="both"/>
        <w:rPr>
          <w:rFonts w:asciiTheme="majorBidi" w:hAnsiTheme="majorBidi" w:cstheme="majorBidi"/>
          <w:b/>
          <w:bCs/>
          <w:color w:val="548DD4" w:themeColor="text2" w:themeTint="99"/>
          <w:sz w:val="24"/>
          <w:szCs w:val="24"/>
        </w:rPr>
      </w:pPr>
    </w:p>
    <w:p w:rsidR="004F39E8" w:rsidRDefault="004F39E8" w:rsidP="004F39E8">
      <w:pPr>
        <w:spacing w:after="0" w:line="240" w:lineRule="auto"/>
        <w:jc w:val="both"/>
        <w:rPr>
          <w:rFonts w:asciiTheme="majorBidi" w:hAnsiTheme="majorBidi" w:cstheme="majorBidi"/>
          <w:b/>
          <w:bCs/>
          <w:color w:val="548DD4" w:themeColor="text2" w:themeTint="99"/>
          <w:sz w:val="24"/>
          <w:szCs w:val="24"/>
        </w:rPr>
      </w:pPr>
    </w:p>
    <w:p w:rsidR="004F39E8" w:rsidRDefault="004F39E8" w:rsidP="004F39E8">
      <w:pPr>
        <w:spacing w:after="0" w:line="240" w:lineRule="auto"/>
        <w:jc w:val="both"/>
        <w:rPr>
          <w:rFonts w:asciiTheme="majorBidi" w:hAnsiTheme="majorBidi" w:cstheme="majorBidi"/>
          <w:b/>
          <w:bCs/>
          <w:color w:val="548DD4" w:themeColor="text2" w:themeTint="99"/>
          <w:sz w:val="24"/>
          <w:szCs w:val="24"/>
        </w:rPr>
      </w:pPr>
    </w:p>
    <w:p w:rsidR="004F39E8" w:rsidRDefault="004F39E8" w:rsidP="004F39E8">
      <w:pPr>
        <w:spacing w:after="0" w:line="240" w:lineRule="auto"/>
        <w:jc w:val="both"/>
        <w:rPr>
          <w:rFonts w:asciiTheme="majorBidi" w:hAnsiTheme="majorBidi" w:cstheme="majorBidi"/>
          <w:b/>
          <w:bCs/>
          <w:color w:val="548DD4" w:themeColor="text2" w:themeTint="99"/>
          <w:sz w:val="24"/>
          <w:szCs w:val="24"/>
        </w:rPr>
      </w:pPr>
    </w:p>
    <w:p w:rsidR="004F39E8" w:rsidRDefault="004F39E8" w:rsidP="004F39E8">
      <w:pPr>
        <w:spacing w:after="0" w:line="240" w:lineRule="auto"/>
        <w:jc w:val="both"/>
        <w:rPr>
          <w:rFonts w:asciiTheme="majorBidi" w:hAnsiTheme="majorBidi" w:cstheme="majorBidi"/>
          <w:b/>
          <w:bCs/>
          <w:color w:val="548DD4" w:themeColor="text2" w:themeTint="99"/>
          <w:sz w:val="24"/>
          <w:szCs w:val="24"/>
        </w:rPr>
      </w:pPr>
    </w:p>
    <w:p w:rsidR="004F39E8" w:rsidRDefault="004F39E8" w:rsidP="004F39E8">
      <w:pPr>
        <w:spacing w:after="0" w:line="240" w:lineRule="auto"/>
        <w:jc w:val="both"/>
        <w:rPr>
          <w:rFonts w:asciiTheme="majorBidi" w:hAnsiTheme="majorBidi" w:cstheme="majorBidi"/>
          <w:b/>
          <w:bCs/>
          <w:color w:val="548DD4" w:themeColor="text2" w:themeTint="99"/>
          <w:sz w:val="24"/>
          <w:szCs w:val="24"/>
        </w:rPr>
      </w:pPr>
    </w:p>
    <w:p w:rsidR="004F39E8" w:rsidRDefault="004F39E8" w:rsidP="004F39E8">
      <w:pPr>
        <w:spacing w:after="0" w:line="240" w:lineRule="auto"/>
        <w:jc w:val="both"/>
        <w:rPr>
          <w:rFonts w:asciiTheme="majorBidi" w:hAnsiTheme="majorBidi" w:cstheme="majorBidi"/>
          <w:b/>
          <w:bCs/>
          <w:color w:val="548DD4" w:themeColor="text2" w:themeTint="99"/>
          <w:sz w:val="24"/>
          <w:szCs w:val="24"/>
        </w:rPr>
      </w:pPr>
    </w:p>
    <w:p w:rsidR="004F39E8" w:rsidRDefault="004F39E8" w:rsidP="004F39E8">
      <w:pPr>
        <w:spacing w:after="0" w:line="240" w:lineRule="auto"/>
        <w:jc w:val="both"/>
        <w:rPr>
          <w:rFonts w:asciiTheme="majorBidi" w:hAnsiTheme="majorBidi" w:cstheme="majorBidi"/>
          <w:b/>
          <w:bCs/>
          <w:color w:val="548DD4" w:themeColor="text2" w:themeTint="99"/>
          <w:sz w:val="24"/>
          <w:szCs w:val="24"/>
        </w:rPr>
      </w:pPr>
    </w:p>
    <w:p w:rsidR="004F39E8" w:rsidRDefault="004F39E8" w:rsidP="004F39E8">
      <w:pPr>
        <w:spacing w:after="0" w:line="240" w:lineRule="auto"/>
        <w:jc w:val="both"/>
        <w:rPr>
          <w:rFonts w:asciiTheme="majorBidi" w:hAnsiTheme="majorBidi" w:cstheme="majorBidi"/>
          <w:b/>
          <w:bCs/>
          <w:color w:val="548DD4" w:themeColor="text2" w:themeTint="99"/>
          <w:sz w:val="24"/>
          <w:szCs w:val="24"/>
        </w:rPr>
      </w:pPr>
    </w:p>
    <w:p w:rsidR="004F39E8" w:rsidRPr="00462F63" w:rsidRDefault="00462F63" w:rsidP="00462F63">
      <w:pPr>
        <w:pStyle w:val="Lgende"/>
        <w:rPr>
          <w:rFonts w:ascii="Times New Roman" w:hAnsi="Times New Roman" w:cstheme="majorBidi"/>
          <w:bCs w:val="0"/>
          <w:color w:val="548DD4" w:themeColor="text2" w:themeTint="99"/>
          <w:sz w:val="22"/>
          <w:szCs w:val="24"/>
        </w:rPr>
      </w:pPr>
      <w:bookmarkStart w:id="39" w:name="_Toc515274110"/>
      <w:r w:rsidRPr="00462F63">
        <w:rPr>
          <w:rFonts w:ascii="Times New Roman" w:hAnsi="Times New Roman"/>
          <w:sz w:val="22"/>
        </w:rPr>
        <w:t xml:space="preserve">Graphique </w:t>
      </w:r>
      <w:r w:rsidR="001022E9"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1022E9" w:rsidRPr="00462F63">
        <w:rPr>
          <w:rFonts w:ascii="Times New Roman" w:hAnsi="Times New Roman"/>
          <w:sz w:val="22"/>
        </w:rPr>
        <w:fldChar w:fldCharType="separate"/>
      </w:r>
      <w:r w:rsidR="00156FC8">
        <w:rPr>
          <w:rFonts w:ascii="Times New Roman" w:hAnsi="Times New Roman"/>
          <w:noProof/>
          <w:sz w:val="22"/>
        </w:rPr>
        <w:t>7</w:t>
      </w:r>
      <w:r w:rsidR="001022E9"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Evolution des indices alimentaire, non alimentaire et général entre 2007 et 2011</w:t>
      </w:r>
      <w:r w:rsidR="00DF65E2" w:rsidRPr="00462F63">
        <w:rPr>
          <w:rFonts w:ascii="Times New Roman" w:hAnsi="Times New Roman" w:cstheme="majorBidi"/>
          <w:bCs w:val="0"/>
          <w:color w:val="548DD4" w:themeColor="text2" w:themeTint="99"/>
          <w:sz w:val="22"/>
          <w:szCs w:val="24"/>
        </w:rPr>
        <w:t>,</w:t>
      </w:r>
      <w:bookmarkEnd w:id="39"/>
    </w:p>
    <w:p w:rsidR="004F39E8" w:rsidRPr="004F39E8" w:rsidRDefault="004F39E8" w:rsidP="004F39E8">
      <w:pPr>
        <w:spacing w:after="0" w:line="240" w:lineRule="auto"/>
        <w:jc w:val="both"/>
        <w:rPr>
          <w:rFonts w:asciiTheme="majorBidi" w:hAnsiTheme="majorBidi" w:cstheme="majorBidi"/>
          <w:color w:val="548DD4" w:themeColor="text2" w:themeTint="99"/>
          <w:sz w:val="24"/>
          <w:szCs w:val="24"/>
        </w:rPr>
      </w:pPr>
      <w:r w:rsidRPr="004F39E8">
        <w:rPr>
          <w:rFonts w:asciiTheme="majorBidi" w:hAnsiTheme="majorBidi" w:cstheme="majorBidi"/>
          <w:b/>
          <w:bCs/>
          <w:color w:val="548DD4" w:themeColor="text2" w:themeTint="99"/>
          <w:sz w:val="24"/>
          <w:szCs w:val="24"/>
        </w:rPr>
        <w:t xml:space="preserve">Ville de Kénitra </w:t>
      </w:r>
    </w:p>
    <w:p w:rsidR="00252B2A" w:rsidRDefault="009F2287" w:rsidP="00725E87">
      <w:pPr>
        <w:spacing w:before="240" w:after="240" w:line="240" w:lineRule="auto"/>
        <w:jc w:val="both"/>
        <w:rPr>
          <w:rFonts w:asciiTheme="majorBidi" w:hAnsiTheme="majorBidi" w:cstheme="majorBidi"/>
          <w:sz w:val="24"/>
          <w:szCs w:val="24"/>
        </w:rPr>
      </w:pPr>
      <w:r w:rsidRPr="009F2287">
        <w:rPr>
          <w:rFonts w:asciiTheme="majorBidi" w:hAnsiTheme="majorBidi" w:cstheme="majorBidi"/>
          <w:noProof/>
          <w:sz w:val="24"/>
          <w:szCs w:val="24"/>
          <w:lang w:eastAsia="fr-FR"/>
        </w:rPr>
        <w:drawing>
          <wp:inline distT="0" distB="0" distL="0" distR="0">
            <wp:extent cx="5695950" cy="3886200"/>
            <wp:effectExtent l="19050" t="0" r="19050" b="0"/>
            <wp:docPr id="11"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2B2A" w:rsidRPr="00AF5C86" w:rsidRDefault="006A3751" w:rsidP="00AF5C86">
      <w:pPr>
        <w:pStyle w:val="Titre3"/>
        <w:rPr>
          <w:rFonts w:asciiTheme="majorBidi" w:hAnsiTheme="majorBidi"/>
          <w:sz w:val="24"/>
          <w:szCs w:val="24"/>
        </w:rPr>
      </w:pPr>
      <w:bookmarkStart w:id="40" w:name="_Toc515274017"/>
      <w:r w:rsidRPr="00AF5C86">
        <w:rPr>
          <w:rFonts w:asciiTheme="majorBidi" w:hAnsiTheme="majorBidi"/>
          <w:sz w:val="24"/>
          <w:szCs w:val="24"/>
        </w:rPr>
        <w:t>II</w:t>
      </w:r>
      <w:r w:rsidR="00586B08" w:rsidRPr="00AF5C86">
        <w:rPr>
          <w:rFonts w:asciiTheme="majorBidi" w:hAnsiTheme="majorBidi"/>
          <w:sz w:val="24"/>
          <w:szCs w:val="24"/>
        </w:rPr>
        <w:t>I</w:t>
      </w:r>
      <w:r w:rsidRPr="00AF5C86">
        <w:rPr>
          <w:rFonts w:asciiTheme="majorBidi" w:hAnsiTheme="majorBidi"/>
          <w:sz w:val="24"/>
          <w:szCs w:val="24"/>
        </w:rPr>
        <w:t>-</w:t>
      </w:r>
      <w:r w:rsidR="0096274A" w:rsidRPr="00AF5C86">
        <w:rPr>
          <w:rFonts w:asciiTheme="majorBidi" w:hAnsiTheme="majorBidi"/>
          <w:sz w:val="24"/>
          <w:szCs w:val="24"/>
        </w:rPr>
        <w:t>4</w:t>
      </w:r>
      <w:r w:rsidRPr="00AF5C86">
        <w:rPr>
          <w:rFonts w:asciiTheme="majorBidi" w:hAnsiTheme="majorBidi"/>
          <w:sz w:val="24"/>
          <w:szCs w:val="24"/>
        </w:rPr>
        <w:t>-3 Evolution de l’inflation générale</w:t>
      </w:r>
      <w:bookmarkEnd w:id="40"/>
    </w:p>
    <w:p w:rsidR="00AF5C86" w:rsidRPr="004B1065" w:rsidRDefault="00AF5C86" w:rsidP="00AF5C86">
      <w:pPr>
        <w:pStyle w:val="Titre4"/>
        <w:rPr>
          <w:rFonts w:asciiTheme="majorBidi" w:hAnsiTheme="majorBidi"/>
          <w:i w:val="0"/>
          <w:iCs w:val="0"/>
        </w:rPr>
      </w:pPr>
      <w:bookmarkStart w:id="41" w:name="_Toc515274018"/>
      <w:r w:rsidRPr="004B1065">
        <w:rPr>
          <w:rFonts w:asciiTheme="majorBidi" w:hAnsiTheme="majorBidi"/>
          <w:i w:val="0"/>
          <w:iCs w:val="0"/>
        </w:rPr>
        <w:t>III-4-3-1 Evolution annuelle de l’inflation</w:t>
      </w:r>
      <w:bookmarkEnd w:id="41"/>
    </w:p>
    <w:p w:rsidR="006A1838" w:rsidRDefault="006A1838" w:rsidP="00725E87">
      <w:pPr>
        <w:spacing w:before="240" w:after="240" w:line="240" w:lineRule="auto"/>
        <w:jc w:val="both"/>
        <w:rPr>
          <w:rFonts w:asciiTheme="majorBidi" w:hAnsiTheme="majorBidi" w:cstheme="majorBidi"/>
          <w:sz w:val="24"/>
          <w:szCs w:val="24"/>
        </w:rPr>
      </w:pPr>
      <w:r w:rsidRPr="006A1838">
        <w:rPr>
          <w:rFonts w:asciiTheme="majorBidi" w:hAnsiTheme="majorBidi" w:cstheme="majorBidi"/>
          <w:sz w:val="24"/>
          <w:szCs w:val="24"/>
        </w:rPr>
        <w:t>Entre 2007 et 2008, l’inflation</w:t>
      </w:r>
      <w:r>
        <w:rPr>
          <w:rFonts w:asciiTheme="majorBidi" w:hAnsiTheme="majorBidi" w:cstheme="majorBidi"/>
          <w:sz w:val="24"/>
          <w:szCs w:val="24"/>
        </w:rPr>
        <w:t xml:space="preserve"> générale a plus que doublé</w:t>
      </w:r>
      <w:r w:rsidR="00C51F59">
        <w:rPr>
          <w:rFonts w:asciiTheme="majorBidi" w:hAnsiTheme="majorBidi" w:cstheme="majorBidi"/>
          <w:sz w:val="24"/>
          <w:szCs w:val="24"/>
        </w:rPr>
        <w:t>,</w:t>
      </w:r>
      <w:r>
        <w:rPr>
          <w:rFonts w:asciiTheme="majorBidi" w:hAnsiTheme="majorBidi" w:cstheme="majorBidi"/>
          <w:sz w:val="24"/>
          <w:szCs w:val="24"/>
        </w:rPr>
        <w:t xml:space="preserve"> en passant de 1,8% à 3,8% au niveau de la ville de Kenitra contre, respectivement, 2,5% et 3,7% au niveau national.</w:t>
      </w:r>
    </w:p>
    <w:p w:rsidR="006A1838" w:rsidRDefault="006A1838"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Quant à la période 2009-2010, elle a été marquée par une maîtrise de l’inflation et ce aussi bien pour la ville de Kenitra que pour le pays.</w:t>
      </w:r>
    </w:p>
    <w:p w:rsidR="006A1838" w:rsidRDefault="006A1838" w:rsidP="00C51F5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Pour ce qui est de l’année 2011, l’inflation générale a commencé à se faire sentir au niveau de la ville de Kenitra tandis qu’elle est restée maîtrisée pour le </w:t>
      </w:r>
      <w:r w:rsidR="00C51F59">
        <w:rPr>
          <w:rFonts w:asciiTheme="majorBidi" w:hAnsiTheme="majorBidi" w:cstheme="majorBidi"/>
          <w:sz w:val="24"/>
          <w:szCs w:val="24"/>
        </w:rPr>
        <w:t>l’ensemble du pays</w:t>
      </w:r>
      <w:r>
        <w:rPr>
          <w:rFonts w:asciiTheme="majorBidi" w:hAnsiTheme="majorBidi" w:cstheme="majorBidi"/>
          <w:sz w:val="24"/>
          <w:szCs w:val="24"/>
        </w:rPr>
        <w:t>.</w:t>
      </w:r>
    </w:p>
    <w:p w:rsidR="00723A2E" w:rsidRDefault="00723A2E"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Entre 2012 et 2015, l’inflation au niveau de Kénitra est restée tangente à la moyenne nationale. Cependant, elle a commencé à s’atténuer au niveau local à partir de l’année 2016.</w:t>
      </w:r>
    </w:p>
    <w:p w:rsidR="004F39E8" w:rsidRDefault="004F39E8" w:rsidP="004F39E8">
      <w:pPr>
        <w:spacing w:before="240" w:after="240" w:line="240" w:lineRule="auto"/>
        <w:jc w:val="both"/>
        <w:rPr>
          <w:rFonts w:asciiTheme="majorBidi" w:hAnsiTheme="majorBidi" w:cstheme="majorBidi"/>
          <w:b/>
          <w:bCs/>
          <w:color w:val="548DD4" w:themeColor="text2" w:themeTint="99"/>
          <w:sz w:val="24"/>
          <w:szCs w:val="24"/>
        </w:rPr>
      </w:pPr>
    </w:p>
    <w:p w:rsidR="004F39E8" w:rsidRDefault="004F39E8" w:rsidP="004F39E8">
      <w:pPr>
        <w:spacing w:before="240" w:after="240" w:line="240" w:lineRule="auto"/>
        <w:jc w:val="both"/>
        <w:rPr>
          <w:rFonts w:asciiTheme="majorBidi" w:hAnsiTheme="majorBidi" w:cstheme="majorBidi"/>
          <w:b/>
          <w:bCs/>
          <w:color w:val="548DD4" w:themeColor="text2" w:themeTint="99"/>
          <w:sz w:val="24"/>
          <w:szCs w:val="24"/>
        </w:rPr>
      </w:pPr>
    </w:p>
    <w:p w:rsidR="004F39E8" w:rsidRDefault="004F39E8" w:rsidP="004F39E8">
      <w:pPr>
        <w:spacing w:before="240" w:after="240" w:line="240" w:lineRule="auto"/>
        <w:jc w:val="both"/>
        <w:rPr>
          <w:rFonts w:asciiTheme="majorBidi" w:hAnsiTheme="majorBidi" w:cstheme="majorBidi"/>
          <w:b/>
          <w:bCs/>
          <w:color w:val="548DD4" w:themeColor="text2" w:themeTint="99"/>
          <w:sz w:val="24"/>
          <w:szCs w:val="24"/>
        </w:rPr>
      </w:pPr>
    </w:p>
    <w:p w:rsidR="004F39E8" w:rsidRDefault="004F39E8" w:rsidP="004F39E8">
      <w:pPr>
        <w:spacing w:before="240" w:after="240" w:line="240" w:lineRule="auto"/>
        <w:jc w:val="both"/>
        <w:rPr>
          <w:rFonts w:asciiTheme="majorBidi" w:hAnsiTheme="majorBidi" w:cstheme="majorBidi"/>
          <w:b/>
          <w:bCs/>
          <w:color w:val="548DD4" w:themeColor="text2" w:themeTint="99"/>
          <w:sz w:val="24"/>
          <w:szCs w:val="24"/>
        </w:rPr>
      </w:pPr>
    </w:p>
    <w:p w:rsidR="004F39E8" w:rsidRPr="00462F63" w:rsidRDefault="00462F63" w:rsidP="00462F63">
      <w:pPr>
        <w:pStyle w:val="Lgende"/>
        <w:rPr>
          <w:rFonts w:ascii="Times New Roman" w:hAnsi="Times New Roman" w:cstheme="majorBidi"/>
          <w:color w:val="548DD4" w:themeColor="text2" w:themeTint="99"/>
          <w:sz w:val="22"/>
          <w:szCs w:val="24"/>
        </w:rPr>
      </w:pPr>
      <w:bookmarkStart w:id="42" w:name="_Toc515274111"/>
      <w:r w:rsidRPr="00462F63">
        <w:rPr>
          <w:rFonts w:ascii="Times New Roman" w:hAnsi="Times New Roman"/>
          <w:sz w:val="22"/>
        </w:rPr>
        <w:t xml:space="preserve">Graphique </w:t>
      </w:r>
      <w:r w:rsidR="001022E9"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1022E9" w:rsidRPr="00462F63">
        <w:rPr>
          <w:rFonts w:ascii="Times New Roman" w:hAnsi="Times New Roman"/>
          <w:sz w:val="22"/>
        </w:rPr>
        <w:fldChar w:fldCharType="separate"/>
      </w:r>
      <w:r w:rsidR="00156FC8">
        <w:rPr>
          <w:rFonts w:ascii="Times New Roman" w:hAnsi="Times New Roman"/>
          <w:noProof/>
          <w:sz w:val="22"/>
        </w:rPr>
        <w:t>8</w:t>
      </w:r>
      <w:r w:rsidR="001022E9"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Evolution de l'inflation générale entre 2007 et 2017</w:t>
      </w:r>
      <w:bookmarkEnd w:id="42"/>
    </w:p>
    <w:p w:rsidR="006A3751" w:rsidRDefault="00905A5F" w:rsidP="00725E87">
      <w:pPr>
        <w:spacing w:before="240" w:after="240" w:line="240" w:lineRule="auto"/>
        <w:jc w:val="both"/>
        <w:rPr>
          <w:rFonts w:asciiTheme="majorBidi" w:hAnsiTheme="majorBidi" w:cstheme="majorBidi"/>
          <w:sz w:val="24"/>
          <w:szCs w:val="24"/>
        </w:rPr>
      </w:pPr>
      <w:r w:rsidRPr="00905A5F">
        <w:rPr>
          <w:rFonts w:asciiTheme="majorBidi" w:hAnsiTheme="majorBidi" w:cstheme="majorBidi"/>
          <w:noProof/>
          <w:sz w:val="24"/>
          <w:szCs w:val="24"/>
          <w:lang w:eastAsia="fr-FR"/>
        </w:rPr>
        <w:drawing>
          <wp:inline distT="0" distB="0" distL="0" distR="0">
            <wp:extent cx="5686425" cy="3619500"/>
            <wp:effectExtent l="19050" t="0" r="9525" b="0"/>
            <wp:docPr id="1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85540" w:rsidRPr="00985540" w:rsidRDefault="00985540" w:rsidP="00985540">
      <w:pPr>
        <w:pStyle w:val="Titre4"/>
        <w:rPr>
          <w:rFonts w:asciiTheme="majorBidi" w:hAnsiTheme="majorBidi"/>
          <w:i w:val="0"/>
          <w:iCs w:val="0"/>
        </w:rPr>
      </w:pPr>
      <w:bookmarkStart w:id="43" w:name="_Toc515274019"/>
      <w:r w:rsidRPr="00985540">
        <w:rPr>
          <w:rFonts w:asciiTheme="majorBidi" w:hAnsiTheme="majorBidi"/>
          <w:i w:val="0"/>
          <w:iCs w:val="0"/>
        </w:rPr>
        <w:t>III-4-3-2 Glissement</w:t>
      </w:r>
      <w:r>
        <w:rPr>
          <w:rFonts w:asciiTheme="majorBidi" w:hAnsiTheme="majorBidi"/>
          <w:i w:val="0"/>
          <w:iCs w:val="0"/>
        </w:rPr>
        <w:t>s</w:t>
      </w:r>
      <w:r w:rsidRPr="00985540">
        <w:rPr>
          <w:rFonts w:asciiTheme="majorBidi" w:hAnsiTheme="majorBidi"/>
          <w:i w:val="0"/>
          <w:iCs w:val="0"/>
        </w:rPr>
        <w:t xml:space="preserve"> annuel</w:t>
      </w:r>
      <w:r>
        <w:rPr>
          <w:rFonts w:asciiTheme="majorBidi" w:hAnsiTheme="majorBidi"/>
          <w:i w:val="0"/>
          <w:iCs w:val="0"/>
        </w:rPr>
        <w:t>s</w:t>
      </w:r>
      <w:bookmarkEnd w:id="43"/>
    </w:p>
    <w:p w:rsidR="007D21C9" w:rsidRDefault="007D21C9" w:rsidP="00725E87">
      <w:pPr>
        <w:spacing w:before="240" w:after="240" w:line="240" w:lineRule="auto"/>
        <w:jc w:val="both"/>
        <w:rPr>
          <w:rFonts w:asciiTheme="majorBidi" w:hAnsiTheme="majorBidi" w:cstheme="majorBidi"/>
        </w:rPr>
      </w:pPr>
      <w:r>
        <w:rPr>
          <w:rFonts w:asciiTheme="majorBidi" w:hAnsiTheme="majorBidi" w:cstheme="majorBidi"/>
        </w:rPr>
        <w:t>La tendance générale des glissements annuels de l’IPC depuis son année de base, révèle une hausse soutenue des prix durant les deux années 2007 et 2008.</w:t>
      </w:r>
    </w:p>
    <w:p w:rsidR="007D21C9" w:rsidRDefault="007D21C9" w:rsidP="00BC2F08">
      <w:pPr>
        <w:spacing w:before="240" w:after="240" w:line="240" w:lineRule="auto"/>
        <w:jc w:val="both"/>
        <w:rPr>
          <w:rFonts w:asciiTheme="majorBidi" w:hAnsiTheme="majorBidi" w:cstheme="majorBidi"/>
        </w:rPr>
      </w:pPr>
      <w:r>
        <w:rPr>
          <w:rFonts w:asciiTheme="majorBidi" w:hAnsiTheme="majorBidi" w:cstheme="majorBidi"/>
        </w:rPr>
        <w:t>A partir de 2009, on assiste à un recul des prix des biens et services consommés par les ménages urbains, qui va s’étendre jusqu’à 2010 où la variation de l’IPC a</w:t>
      </w:r>
      <w:r w:rsidR="003D66B4">
        <w:rPr>
          <w:rFonts w:asciiTheme="majorBidi" w:hAnsiTheme="majorBidi" w:cstheme="majorBidi"/>
        </w:rPr>
        <w:t>, souvent,</w:t>
      </w:r>
      <w:r>
        <w:rPr>
          <w:rFonts w:asciiTheme="majorBidi" w:hAnsiTheme="majorBidi" w:cstheme="majorBidi"/>
        </w:rPr>
        <w:t xml:space="preserve"> atteint des niveaux </w:t>
      </w:r>
      <w:r w:rsidR="00BC2F08">
        <w:rPr>
          <w:rFonts w:asciiTheme="majorBidi" w:hAnsiTheme="majorBidi" w:cstheme="majorBidi"/>
        </w:rPr>
        <w:t>négatif</w:t>
      </w:r>
      <w:r>
        <w:rPr>
          <w:rFonts w:asciiTheme="majorBidi" w:hAnsiTheme="majorBidi" w:cstheme="majorBidi"/>
        </w:rPr>
        <w:t>s. Or, avec l’avènement de l’année 2011, les prix ont comm</w:t>
      </w:r>
      <w:r w:rsidR="006E71A6">
        <w:rPr>
          <w:rFonts w:asciiTheme="majorBidi" w:hAnsiTheme="majorBidi" w:cstheme="majorBidi"/>
        </w:rPr>
        <w:t>encé à reprendre leur ascension pour s’atténuer ensuite en 2012. Au-delà de cette année, on note une alternance de l’inflation entre 2013 et 2017.</w:t>
      </w:r>
    </w:p>
    <w:p w:rsidR="007D21C9" w:rsidRDefault="007D21C9" w:rsidP="002C2ACF">
      <w:pPr>
        <w:spacing w:before="240" w:after="240" w:line="240" w:lineRule="auto"/>
        <w:jc w:val="both"/>
        <w:rPr>
          <w:rFonts w:asciiTheme="majorBidi" w:hAnsiTheme="majorBidi" w:cstheme="majorBidi"/>
        </w:rPr>
      </w:pPr>
      <w:r>
        <w:rPr>
          <w:rFonts w:asciiTheme="majorBidi" w:hAnsiTheme="majorBidi" w:cstheme="majorBidi"/>
        </w:rPr>
        <w:t>Quant aux fluctuations cycliques en dents de scie, illustrées par le graphique</w:t>
      </w:r>
      <w:r w:rsidR="002C2ACF">
        <w:rPr>
          <w:rFonts w:asciiTheme="majorBidi" w:hAnsiTheme="majorBidi" w:cstheme="majorBidi"/>
        </w:rPr>
        <w:t xml:space="preserve"> en bas</w:t>
      </w:r>
      <w:r w:rsidR="006E71A6">
        <w:rPr>
          <w:rFonts w:asciiTheme="majorBidi" w:hAnsiTheme="majorBidi" w:cstheme="majorBidi"/>
        </w:rPr>
        <w:t>,</w:t>
      </w:r>
      <w:r w:rsidR="002C2ACF">
        <w:rPr>
          <w:rFonts w:asciiTheme="majorBidi" w:hAnsiTheme="majorBidi" w:cstheme="majorBidi"/>
        </w:rPr>
        <w:t xml:space="preserve"> </w:t>
      </w:r>
      <w:r>
        <w:rPr>
          <w:rFonts w:asciiTheme="majorBidi" w:hAnsiTheme="majorBidi" w:cstheme="majorBidi"/>
        </w:rPr>
        <w:t>elles font apparaître l’effet de saisonnalité que subissent les prix des produits de consommation d’un</w:t>
      </w:r>
      <w:r w:rsidR="002C2ACF">
        <w:rPr>
          <w:rFonts w:asciiTheme="majorBidi" w:hAnsiTheme="majorBidi" w:cstheme="majorBidi"/>
        </w:rPr>
        <w:t>e saison</w:t>
      </w:r>
      <w:r>
        <w:rPr>
          <w:rFonts w:asciiTheme="majorBidi" w:hAnsiTheme="majorBidi" w:cstheme="majorBidi"/>
        </w:rPr>
        <w:t xml:space="preserve"> à l’autre. </w:t>
      </w:r>
      <w:r w:rsidR="002C2ACF">
        <w:rPr>
          <w:rFonts w:asciiTheme="majorBidi" w:hAnsiTheme="majorBidi" w:cstheme="majorBidi"/>
        </w:rPr>
        <w:t>A noter que ces fluctuations se répètent, à peu près de la même manière d’une année à l’autre.</w:t>
      </w: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Pr="00462F63" w:rsidRDefault="00462F63" w:rsidP="00462F63">
      <w:pPr>
        <w:pStyle w:val="Lgende"/>
        <w:rPr>
          <w:rFonts w:asciiTheme="majorBidi" w:hAnsiTheme="majorBidi" w:cstheme="majorBidi"/>
          <w:color w:val="548DD4" w:themeColor="text2" w:themeTint="99"/>
          <w:sz w:val="22"/>
          <w:szCs w:val="22"/>
        </w:rPr>
      </w:pPr>
      <w:bookmarkStart w:id="44" w:name="_Toc515274112"/>
      <w:r w:rsidRPr="00462F63">
        <w:rPr>
          <w:rFonts w:asciiTheme="majorBidi" w:hAnsiTheme="majorBidi" w:cstheme="majorBidi"/>
          <w:sz w:val="22"/>
          <w:szCs w:val="22"/>
        </w:rPr>
        <w:t xml:space="preserve">Graphique </w:t>
      </w:r>
      <w:r w:rsidR="001022E9" w:rsidRPr="00462F63">
        <w:rPr>
          <w:rFonts w:asciiTheme="majorBidi" w:hAnsiTheme="majorBidi" w:cstheme="majorBidi"/>
          <w:sz w:val="22"/>
          <w:szCs w:val="22"/>
        </w:rPr>
        <w:fldChar w:fldCharType="begin"/>
      </w:r>
      <w:r w:rsidRPr="00462F63">
        <w:rPr>
          <w:rFonts w:asciiTheme="majorBidi" w:hAnsiTheme="majorBidi" w:cstheme="majorBidi"/>
          <w:sz w:val="22"/>
          <w:szCs w:val="22"/>
        </w:rPr>
        <w:instrText xml:space="preserve"> SEQ Graphique \* ARABIC </w:instrText>
      </w:r>
      <w:r w:rsidR="001022E9" w:rsidRPr="00462F63">
        <w:rPr>
          <w:rFonts w:asciiTheme="majorBidi" w:hAnsiTheme="majorBidi" w:cstheme="majorBidi"/>
          <w:sz w:val="22"/>
          <w:szCs w:val="22"/>
        </w:rPr>
        <w:fldChar w:fldCharType="separate"/>
      </w:r>
      <w:r w:rsidR="00156FC8">
        <w:rPr>
          <w:rFonts w:asciiTheme="majorBidi" w:hAnsiTheme="majorBidi" w:cstheme="majorBidi"/>
          <w:noProof/>
          <w:sz w:val="22"/>
          <w:szCs w:val="22"/>
        </w:rPr>
        <w:t>9</w:t>
      </w:r>
      <w:r w:rsidR="001022E9" w:rsidRPr="00462F63">
        <w:rPr>
          <w:rFonts w:asciiTheme="majorBidi" w:hAnsiTheme="majorBidi" w:cstheme="majorBidi"/>
          <w:sz w:val="22"/>
          <w:szCs w:val="22"/>
        </w:rPr>
        <w:fldChar w:fldCharType="end"/>
      </w:r>
      <w:r w:rsidRPr="00462F63">
        <w:rPr>
          <w:rFonts w:asciiTheme="majorBidi" w:hAnsiTheme="majorBidi" w:cstheme="majorBidi"/>
          <w:sz w:val="22"/>
          <w:szCs w:val="22"/>
        </w:rPr>
        <w:t xml:space="preserve"> : </w:t>
      </w:r>
      <w:r w:rsidR="004F39E8" w:rsidRPr="00462F63">
        <w:rPr>
          <w:rFonts w:asciiTheme="majorBidi" w:hAnsiTheme="majorBidi" w:cstheme="majorBidi"/>
          <w:color w:val="548DD4" w:themeColor="text2" w:themeTint="99"/>
          <w:sz w:val="22"/>
          <w:szCs w:val="22"/>
        </w:rPr>
        <w:t>IPC de la ville de Kénitra et du Maroc : glissements annuels entre 2007 et 2017</w:t>
      </w:r>
      <w:bookmarkEnd w:id="44"/>
      <w:r w:rsidR="004F39E8" w:rsidRPr="00462F63">
        <w:rPr>
          <w:rFonts w:asciiTheme="majorBidi" w:hAnsiTheme="majorBidi" w:cstheme="majorBidi"/>
          <w:color w:val="548DD4" w:themeColor="text2" w:themeTint="99"/>
          <w:sz w:val="22"/>
          <w:szCs w:val="22"/>
        </w:rPr>
        <w:t xml:space="preserve"> </w:t>
      </w:r>
    </w:p>
    <w:p w:rsidR="00925A91" w:rsidRDefault="003F7D9C" w:rsidP="007D21C9">
      <w:pPr>
        <w:spacing w:before="240" w:after="240" w:line="240" w:lineRule="auto"/>
        <w:jc w:val="both"/>
        <w:rPr>
          <w:rFonts w:asciiTheme="majorBidi" w:hAnsiTheme="majorBidi" w:cstheme="majorBidi"/>
        </w:rPr>
      </w:pPr>
      <w:r w:rsidRPr="003F7D9C">
        <w:rPr>
          <w:rFonts w:asciiTheme="majorBidi" w:hAnsiTheme="majorBidi" w:cstheme="majorBidi"/>
          <w:noProof/>
          <w:lang w:eastAsia="fr-FR"/>
        </w:rPr>
        <w:drawing>
          <wp:inline distT="0" distB="0" distL="0" distR="0">
            <wp:extent cx="5759450" cy="4129463"/>
            <wp:effectExtent l="19050" t="0" r="12700" b="4387"/>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E2789" w:rsidRDefault="006E2789" w:rsidP="00725E87">
      <w:pPr>
        <w:spacing w:before="240" w:after="240" w:line="240" w:lineRule="auto"/>
        <w:jc w:val="both"/>
        <w:rPr>
          <w:rFonts w:asciiTheme="majorBidi" w:hAnsiTheme="majorBidi" w:cstheme="majorBidi"/>
        </w:rPr>
      </w:pPr>
    </w:p>
    <w:p w:rsidR="009E2412" w:rsidRDefault="009C15D0" w:rsidP="00777D90">
      <w:pPr>
        <w:spacing w:before="240" w:after="240" w:line="240" w:lineRule="auto"/>
        <w:jc w:val="both"/>
        <w:rPr>
          <w:rFonts w:asciiTheme="majorBidi" w:hAnsiTheme="majorBidi" w:cstheme="majorBidi"/>
          <w:b/>
          <w:bCs/>
        </w:rPr>
      </w:pPr>
      <w:r w:rsidRPr="00511678">
        <w:rPr>
          <w:rFonts w:asciiTheme="majorBidi" w:hAnsiTheme="majorBidi" w:cstheme="majorBidi"/>
          <w:b/>
          <w:bCs/>
          <w:color w:val="4F81BD" w:themeColor="accent1"/>
          <w:sz w:val="26"/>
          <w:szCs w:val="26"/>
        </w:rPr>
        <w:tab/>
      </w:r>
    </w:p>
    <w:p w:rsidR="004B1065" w:rsidRDefault="004B1065">
      <w:pPr>
        <w:rPr>
          <w:rFonts w:asciiTheme="majorBidi" w:hAnsiTheme="majorBidi" w:cstheme="majorBidi"/>
          <w:b/>
          <w:bCs/>
        </w:rPr>
      </w:pPr>
      <w:r>
        <w:rPr>
          <w:rFonts w:asciiTheme="majorBidi" w:hAnsiTheme="majorBidi" w:cstheme="majorBidi"/>
          <w:b/>
          <w:bCs/>
        </w:rPr>
        <w:br w:type="page"/>
      </w: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lastRenderedPageBreak/>
        <w:br w:type="page"/>
      </w:r>
    </w:p>
    <w:p w:rsidR="004B1065" w:rsidRDefault="004B1065"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A905C6">
      <w:pPr>
        <w:rPr>
          <w:rFonts w:asciiTheme="majorBidi" w:hAnsiTheme="majorBidi"/>
          <w:color w:val="4F81BD" w:themeColor="accent1"/>
        </w:rPr>
      </w:pPr>
      <w:r w:rsidRPr="001022E9">
        <w:rPr>
          <w:rFonts w:asciiTheme="majorBidi" w:hAnsiTheme="majorBidi"/>
          <w:color w:val="4F81BD" w:themeColor="accent1"/>
        </w:rPr>
        <w:pict>
          <v:shape id="_x0000_i1028" type="#_x0000_t136" style="width:343.5pt;height:76.5pt" fillcolor="#4f81bd [3204]" strokecolor="#4f81bd [3204]">
            <v:fill r:id="rId9" o:title="Papier Kraft" type="tile"/>
            <v:shadow on="t" type="perspective" color="#c7dfd3" opacity="52429f" origin="-.5,-.5" offset="-26pt,-36pt" matrix="1.25,,,1.25"/>
            <v:textpath style="font-family:&quot;Times New Roman&quot;;font-size:28pt;font-weight:bold;v-text-kern:t" trim="t" fitpath="t" string="Conclusion"/>
          </v:shape>
        </w:pict>
      </w: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br w:type="page"/>
      </w: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lastRenderedPageBreak/>
        <w:br w:type="page"/>
      </w:r>
    </w:p>
    <w:p w:rsidR="002D3D25" w:rsidRPr="009E2412" w:rsidRDefault="002D3D25" w:rsidP="005B5C23">
      <w:pPr>
        <w:pStyle w:val="Titre1"/>
        <w:rPr>
          <w:rFonts w:asciiTheme="majorBidi" w:hAnsiTheme="majorBidi"/>
          <w:b w:val="0"/>
          <w:bCs w:val="0"/>
          <w:color w:val="4F81BD" w:themeColor="accent1"/>
        </w:rPr>
      </w:pPr>
      <w:bookmarkStart w:id="45" w:name="_Toc515274020"/>
      <w:r w:rsidRPr="009E2412">
        <w:rPr>
          <w:rFonts w:asciiTheme="majorBidi" w:hAnsiTheme="majorBidi"/>
          <w:color w:val="4F81BD" w:themeColor="accent1"/>
        </w:rPr>
        <w:lastRenderedPageBreak/>
        <w:t>CONCLUSION</w:t>
      </w:r>
      <w:bookmarkEnd w:id="45"/>
    </w:p>
    <w:p w:rsidR="009C25F6" w:rsidRDefault="0093096C" w:rsidP="00A56E40">
      <w:pPr>
        <w:spacing w:before="240" w:after="240" w:line="240" w:lineRule="auto"/>
        <w:jc w:val="both"/>
        <w:rPr>
          <w:rFonts w:asciiTheme="majorBidi" w:hAnsiTheme="majorBidi" w:cstheme="majorBidi"/>
          <w:sz w:val="24"/>
          <w:szCs w:val="24"/>
        </w:rPr>
      </w:pPr>
      <w:r w:rsidRPr="0093096C">
        <w:rPr>
          <w:rFonts w:asciiTheme="majorBidi" w:hAnsiTheme="majorBidi" w:cstheme="majorBidi"/>
          <w:sz w:val="24"/>
          <w:szCs w:val="24"/>
        </w:rPr>
        <w:t>La présente note</w:t>
      </w:r>
      <w:r>
        <w:rPr>
          <w:rFonts w:asciiTheme="majorBidi" w:hAnsiTheme="majorBidi" w:cstheme="majorBidi"/>
          <w:sz w:val="24"/>
          <w:szCs w:val="24"/>
        </w:rPr>
        <w:t xml:space="preserve"> a essayé d’apporter quelques éclaircissements sur le </w:t>
      </w:r>
      <w:r w:rsidR="009D7830">
        <w:rPr>
          <w:rFonts w:asciiTheme="majorBidi" w:hAnsiTheme="majorBidi" w:cstheme="majorBidi"/>
          <w:sz w:val="24"/>
          <w:szCs w:val="24"/>
        </w:rPr>
        <w:t xml:space="preserve">coût </w:t>
      </w:r>
      <w:r>
        <w:rPr>
          <w:rFonts w:asciiTheme="majorBidi" w:hAnsiTheme="majorBidi" w:cstheme="majorBidi"/>
          <w:sz w:val="24"/>
          <w:szCs w:val="24"/>
        </w:rPr>
        <w:t>de</w:t>
      </w:r>
      <w:r w:rsidR="009D7830">
        <w:rPr>
          <w:rFonts w:asciiTheme="majorBidi" w:hAnsiTheme="majorBidi" w:cstheme="majorBidi"/>
          <w:sz w:val="24"/>
          <w:szCs w:val="24"/>
        </w:rPr>
        <w:t xml:space="preserve"> la</w:t>
      </w:r>
      <w:r>
        <w:rPr>
          <w:rFonts w:asciiTheme="majorBidi" w:hAnsiTheme="majorBidi" w:cstheme="majorBidi"/>
          <w:sz w:val="24"/>
          <w:szCs w:val="24"/>
        </w:rPr>
        <w:t xml:space="preserve"> vie dans la ville de Kenitra, à travers l’analyse des résultats relatifs à l’Indice des Prix à la Consommation</w:t>
      </w:r>
      <w:r w:rsidR="001F2DA4">
        <w:rPr>
          <w:rFonts w:asciiTheme="majorBidi" w:hAnsiTheme="majorBidi" w:cstheme="majorBidi"/>
          <w:sz w:val="24"/>
          <w:szCs w:val="24"/>
        </w:rPr>
        <w:t xml:space="preserve"> (base100:</w:t>
      </w:r>
      <w:r w:rsidR="00A56E40">
        <w:rPr>
          <w:rFonts w:asciiTheme="majorBidi" w:hAnsiTheme="majorBidi" w:cstheme="majorBidi"/>
          <w:sz w:val="24"/>
          <w:szCs w:val="24"/>
        </w:rPr>
        <w:t xml:space="preserve"> </w:t>
      </w:r>
      <w:r w:rsidR="001F2DA4">
        <w:rPr>
          <w:rFonts w:asciiTheme="majorBidi" w:hAnsiTheme="majorBidi" w:cstheme="majorBidi"/>
          <w:sz w:val="24"/>
          <w:szCs w:val="24"/>
        </w:rPr>
        <w:t>2006) au cours de la période 2007-201</w:t>
      </w:r>
      <w:r w:rsidR="000977A7">
        <w:rPr>
          <w:rFonts w:asciiTheme="majorBidi" w:hAnsiTheme="majorBidi" w:cstheme="majorBidi"/>
          <w:sz w:val="24"/>
          <w:szCs w:val="24"/>
        </w:rPr>
        <w:t>7</w:t>
      </w:r>
      <w:r>
        <w:rPr>
          <w:rFonts w:asciiTheme="majorBidi" w:hAnsiTheme="majorBidi" w:cstheme="majorBidi"/>
          <w:sz w:val="24"/>
          <w:szCs w:val="24"/>
        </w:rPr>
        <w:t>.</w:t>
      </w:r>
    </w:p>
    <w:p w:rsidR="008862EF" w:rsidRDefault="001F2DA4" w:rsidP="00A56E40">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201</w:t>
      </w:r>
      <w:r w:rsidR="00A56E40">
        <w:rPr>
          <w:rFonts w:asciiTheme="majorBidi" w:hAnsiTheme="majorBidi" w:cstheme="majorBidi"/>
          <w:sz w:val="24"/>
          <w:szCs w:val="24"/>
        </w:rPr>
        <w:t>7</w:t>
      </w:r>
      <w:r>
        <w:rPr>
          <w:rFonts w:asciiTheme="majorBidi" w:hAnsiTheme="majorBidi" w:cstheme="majorBidi"/>
          <w:sz w:val="24"/>
          <w:szCs w:val="24"/>
        </w:rPr>
        <w:t>, l’IPC</w:t>
      </w:r>
      <w:r w:rsidR="00A56E40">
        <w:rPr>
          <w:rFonts w:asciiTheme="majorBidi" w:hAnsiTheme="majorBidi" w:cstheme="majorBidi"/>
          <w:sz w:val="24"/>
          <w:szCs w:val="24"/>
        </w:rPr>
        <w:t xml:space="preserve"> général</w:t>
      </w:r>
      <w:r>
        <w:rPr>
          <w:rFonts w:asciiTheme="majorBidi" w:hAnsiTheme="majorBidi" w:cstheme="majorBidi"/>
          <w:sz w:val="24"/>
          <w:szCs w:val="24"/>
        </w:rPr>
        <w:t xml:space="preserve"> </w:t>
      </w:r>
      <w:r w:rsidR="0093096C">
        <w:rPr>
          <w:rFonts w:asciiTheme="majorBidi" w:hAnsiTheme="majorBidi" w:cstheme="majorBidi"/>
          <w:sz w:val="24"/>
          <w:szCs w:val="24"/>
        </w:rPr>
        <w:t>a atteint le niveau de 1</w:t>
      </w:r>
      <w:r w:rsidR="00A56E40">
        <w:rPr>
          <w:rFonts w:asciiTheme="majorBidi" w:hAnsiTheme="majorBidi" w:cstheme="majorBidi"/>
          <w:sz w:val="24"/>
          <w:szCs w:val="24"/>
        </w:rPr>
        <w:t>16,5</w:t>
      </w:r>
      <w:r w:rsidR="0093096C">
        <w:rPr>
          <w:rFonts w:asciiTheme="majorBidi" w:hAnsiTheme="majorBidi" w:cstheme="majorBidi"/>
          <w:sz w:val="24"/>
          <w:szCs w:val="24"/>
        </w:rPr>
        <w:t xml:space="preserve"> contre </w:t>
      </w:r>
      <w:r w:rsidR="00A56E40">
        <w:rPr>
          <w:rFonts w:asciiTheme="majorBidi" w:hAnsiTheme="majorBidi" w:cstheme="majorBidi"/>
          <w:sz w:val="24"/>
          <w:szCs w:val="24"/>
        </w:rPr>
        <w:t>116</w:t>
      </w:r>
      <w:r w:rsidR="0093096C">
        <w:rPr>
          <w:rFonts w:asciiTheme="majorBidi" w:hAnsiTheme="majorBidi" w:cstheme="majorBidi"/>
          <w:sz w:val="24"/>
          <w:szCs w:val="24"/>
        </w:rPr>
        <w:t xml:space="preserve"> en 201</w:t>
      </w:r>
      <w:r w:rsidR="00A56E40">
        <w:rPr>
          <w:rFonts w:asciiTheme="majorBidi" w:hAnsiTheme="majorBidi" w:cstheme="majorBidi"/>
          <w:sz w:val="24"/>
          <w:szCs w:val="24"/>
        </w:rPr>
        <w:t>6</w:t>
      </w:r>
      <w:r w:rsidR="0093096C">
        <w:rPr>
          <w:rFonts w:asciiTheme="majorBidi" w:hAnsiTheme="majorBidi" w:cstheme="majorBidi"/>
          <w:sz w:val="24"/>
          <w:szCs w:val="24"/>
        </w:rPr>
        <w:t xml:space="preserve">, soit une évolution de </w:t>
      </w:r>
      <w:r w:rsidR="00A56E40">
        <w:rPr>
          <w:rFonts w:asciiTheme="majorBidi" w:hAnsiTheme="majorBidi" w:cstheme="majorBidi"/>
          <w:sz w:val="24"/>
          <w:szCs w:val="24"/>
        </w:rPr>
        <w:t>0,4</w:t>
      </w:r>
      <w:r w:rsidR="0093096C">
        <w:rPr>
          <w:rFonts w:asciiTheme="majorBidi" w:hAnsiTheme="majorBidi" w:cstheme="majorBidi"/>
          <w:sz w:val="24"/>
          <w:szCs w:val="24"/>
        </w:rPr>
        <w:t>%</w:t>
      </w:r>
      <w:r w:rsidR="008862EF">
        <w:rPr>
          <w:rFonts w:asciiTheme="majorBidi" w:hAnsiTheme="majorBidi" w:cstheme="majorBidi"/>
          <w:sz w:val="24"/>
          <w:szCs w:val="24"/>
        </w:rPr>
        <w:t>. Celle-ci,</w:t>
      </w:r>
      <w:r w:rsidR="0093096C">
        <w:rPr>
          <w:rFonts w:asciiTheme="majorBidi" w:hAnsiTheme="majorBidi" w:cstheme="majorBidi"/>
          <w:sz w:val="24"/>
          <w:szCs w:val="24"/>
        </w:rPr>
        <w:t xml:space="preserve"> représente </w:t>
      </w:r>
      <w:r w:rsidR="00A56E40">
        <w:rPr>
          <w:rFonts w:asciiTheme="majorBidi" w:hAnsiTheme="majorBidi" w:cstheme="majorBidi"/>
          <w:sz w:val="24"/>
          <w:szCs w:val="24"/>
        </w:rPr>
        <w:t>la moitié</w:t>
      </w:r>
      <w:r w:rsidR="0093096C">
        <w:rPr>
          <w:rFonts w:asciiTheme="majorBidi" w:hAnsiTheme="majorBidi" w:cstheme="majorBidi"/>
          <w:sz w:val="24"/>
          <w:szCs w:val="24"/>
        </w:rPr>
        <w:t xml:space="preserve"> de la hausse de </w:t>
      </w:r>
      <w:r w:rsidR="008862EF">
        <w:rPr>
          <w:rFonts w:asciiTheme="majorBidi" w:hAnsiTheme="majorBidi" w:cstheme="majorBidi"/>
          <w:sz w:val="24"/>
          <w:szCs w:val="24"/>
        </w:rPr>
        <w:t>cet indice</w:t>
      </w:r>
      <w:r w:rsidR="0093096C">
        <w:rPr>
          <w:rFonts w:asciiTheme="majorBidi" w:hAnsiTheme="majorBidi" w:cstheme="majorBidi"/>
          <w:sz w:val="24"/>
          <w:szCs w:val="24"/>
        </w:rPr>
        <w:t xml:space="preserve"> au niveau national</w:t>
      </w:r>
      <w:r w:rsidR="008862EF">
        <w:rPr>
          <w:rFonts w:asciiTheme="majorBidi" w:hAnsiTheme="majorBidi" w:cstheme="majorBidi"/>
          <w:sz w:val="24"/>
          <w:szCs w:val="24"/>
        </w:rPr>
        <w:t xml:space="preserve"> (0,</w:t>
      </w:r>
      <w:r w:rsidR="00A56E40">
        <w:rPr>
          <w:rFonts w:asciiTheme="majorBidi" w:hAnsiTheme="majorBidi" w:cstheme="majorBidi"/>
          <w:sz w:val="24"/>
          <w:szCs w:val="24"/>
        </w:rPr>
        <w:t>8</w:t>
      </w:r>
      <w:r w:rsidR="008862EF">
        <w:rPr>
          <w:rFonts w:asciiTheme="majorBidi" w:hAnsiTheme="majorBidi" w:cstheme="majorBidi"/>
          <w:sz w:val="24"/>
          <w:szCs w:val="24"/>
        </w:rPr>
        <w:t>%)</w:t>
      </w:r>
      <w:r w:rsidR="0093096C">
        <w:rPr>
          <w:rFonts w:asciiTheme="majorBidi" w:hAnsiTheme="majorBidi" w:cstheme="majorBidi"/>
          <w:sz w:val="24"/>
          <w:szCs w:val="24"/>
        </w:rPr>
        <w:t xml:space="preserve">. </w:t>
      </w:r>
    </w:p>
    <w:p w:rsidR="0093096C" w:rsidRDefault="008862EF" w:rsidP="00C51F5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 </w:t>
      </w:r>
      <w:r w:rsidR="0093096C">
        <w:rPr>
          <w:rFonts w:asciiTheme="majorBidi" w:hAnsiTheme="majorBidi" w:cstheme="majorBidi"/>
          <w:sz w:val="24"/>
          <w:szCs w:val="24"/>
        </w:rPr>
        <w:t xml:space="preserve">variation de l’indice général </w:t>
      </w:r>
      <w:r>
        <w:rPr>
          <w:rFonts w:asciiTheme="majorBidi" w:hAnsiTheme="majorBidi" w:cstheme="majorBidi"/>
          <w:sz w:val="24"/>
          <w:szCs w:val="24"/>
        </w:rPr>
        <w:t>de K</w:t>
      </w:r>
      <w:r w:rsidR="00C51F59">
        <w:rPr>
          <w:rFonts w:asciiTheme="majorBidi" w:hAnsiTheme="majorBidi" w:cstheme="majorBidi"/>
          <w:sz w:val="24"/>
          <w:szCs w:val="24"/>
        </w:rPr>
        <w:t>é</w:t>
      </w:r>
      <w:r>
        <w:rPr>
          <w:rFonts w:asciiTheme="majorBidi" w:hAnsiTheme="majorBidi" w:cstheme="majorBidi"/>
          <w:sz w:val="24"/>
          <w:szCs w:val="24"/>
        </w:rPr>
        <w:t xml:space="preserve">nitra </w:t>
      </w:r>
      <w:r w:rsidR="0093096C">
        <w:rPr>
          <w:rFonts w:asciiTheme="majorBidi" w:hAnsiTheme="majorBidi" w:cstheme="majorBidi"/>
          <w:sz w:val="24"/>
          <w:szCs w:val="24"/>
        </w:rPr>
        <w:t xml:space="preserve">est le résultat de la </w:t>
      </w:r>
      <w:r w:rsidR="00A56E40">
        <w:rPr>
          <w:rFonts w:asciiTheme="majorBidi" w:hAnsiTheme="majorBidi" w:cstheme="majorBidi"/>
          <w:sz w:val="24"/>
          <w:szCs w:val="24"/>
        </w:rPr>
        <w:t>bai</w:t>
      </w:r>
      <w:r w:rsidR="0093096C">
        <w:rPr>
          <w:rFonts w:asciiTheme="majorBidi" w:hAnsiTheme="majorBidi" w:cstheme="majorBidi"/>
          <w:sz w:val="24"/>
          <w:szCs w:val="24"/>
        </w:rPr>
        <w:t xml:space="preserve">sse de l’indice des produits alimentaires de </w:t>
      </w:r>
      <w:r w:rsidR="00A56E40">
        <w:rPr>
          <w:rFonts w:asciiTheme="majorBidi" w:hAnsiTheme="majorBidi" w:cstheme="majorBidi"/>
          <w:sz w:val="24"/>
          <w:szCs w:val="24"/>
        </w:rPr>
        <w:t>0</w:t>
      </w:r>
      <w:r w:rsidR="0093096C">
        <w:rPr>
          <w:rFonts w:asciiTheme="majorBidi" w:hAnsiTheme="majorBidi" w:cstheme="majorBidi"/>
          <w:sz w:val="24"/>
          <w:szCs w:val="24"/>
        </w:rPr>
        <w:t>,</w:t>
      </w:r>
      <w:r w:rsidR="00A56E40">
        <w:rPr>
          <w:rFonts w:asciiTheme="majorBidi" w:hAnsiTheme="majorBidi" w:cstheme="majorBidi"/>
          <w:sz w:val="24"/>
          <w:szCs w:val="24"/>
        </w:rPr>
        <w:t>8</w:t>
      </w:r>
      <w:r w:rsidR="0093096C">
        <w:rPr>
          <w:rFonts w:asciiTheme="majorBidi" w:hAnsiTheme="majorBidi" w:cstheme="majorBidi"/>
          <w:sz w:val="24"/>
          <w:szCs w:val="24"/>
        </w:rPr>
        <w:t>% et</w:t>
      </w:r>
      <w:r w:rsidR="00A56E40">
        <w:rPr>
          <w:rFonts w:asciiTheme="majorBidi" w:hAnsiTheme="majorBidi" w:cstheme="majorBidi"/>
          <w:sz w:val="24"/>
          <w:szCs w:val="24"/>
        </w:rPr>
        <w:t xml:space="preserve"> la hausse de</w:t>
      </w:r>
      <w:r w:rsidR="0093096C">
        <w:rPr>
          <w:rFonts w:asciiTheme="majorBidi" w:hAnsiTheme="majorBidi" w:cstheme="majorBidi"/>
          <w:sz w:val="24"/>
          <w:szCs w:val="24"/>
        </w:rPr>
        <w:t xml:space="preserve"> celui des produits non alimentaires de 1</w:t>
      </w:r>
      <w:r w:rsidR="00A56E40">
        <w:rPr>
          <w:rFonts w:asciiTheme="majorBidi" w:hAnsiTheme="majorBidi" w:cstheme="majorBidi"/>
          <w:sz w:val="24"/>
          <w:szCs w:val="24"/>
        </w:rPr>
        <w:t>,4</w:t>
      </w:r>
      <w:r w:rsidR="0093096C">
        <w:rPr>
          <w:rFonts w:asciiTheme="majorBidi" w:hAnsiTheme="majorBidi" w:cstheme="majorBidi"/>
          <w:sz w:val="24"/>
          <w:szCs w:val="24"/>
        </w:rPr>
        <w:t>%.</w:t>
      </w:r>
    </w:p>
    <w:p w:rsidR="0028731E" w:rsidRDefault="0028731E" w:rsidP="00B933B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Quant à l’évolution de l’IPC au cours de ces </w:t>
      </w:r>
      <w:r w:rsidR="00B933BF">
        <w:rPr>
          <w:rFonts w:asciiTheme="majorBidi" w:hAnsiTheme="majorBidi" w:cstheme="majorBidi"/>
          <w:sz w:val="24"/>
          <w:szCs w:val="24"/>
        </w:rPr>
        <w:t>onze</w:t>
      </w:r>
      <w:r>
        <w:rPr>
          <w:rFonts w:asciiTheme="majorBidi" w:hAnsiTheme="majorBidi" w:cstheme="majorBidi"/>
          <w:sz w:val="24"/>
          <w:szCs w:val="24"/>
        </w:rPr>
        <w:t xml:space="preserve"> dernières années, on constate que l’indice </w:t>
      </w:r>
      <w:r w:rsidR="00EB40CB">
        <w:rPr>
          <w:rFonts w:asciiTheme="majorBidi" w:hAnsiTheme="majorBidi" w:cstheme="majorBidi"/>
          <w:sz w:val="24"/>
          <w:szCs w:val="24"/>
        </w:rPr>
        <w:t xml:space="preserve">général de </w:t>
      </w:r>
      <w:r w:rsidR="001F2DA4">
        <w:rPr>
          <w:rFonts w:asciiTheme="majorBidi" w:hAnsiTheme="majorBidi" w:cstheme="majorBidi"/>
          <w:sz w:val="24"/>
          <w:szCs w:val="24"/>
        </w:rPr>
        <w:t>Kenitra</w:t>
      </w:r>
      <w:r w:rsidR="00EB40CB">
        <w:rPr>
          <w:rFonts w:asciiTheme="majorBidi" w:hAnsiTheme="majorBidi" w:cstheme="majorBidi"/>
          <w:sz w:val="24"/>
          <w:szCs w:val="24"/>
        </w:rPr>
        <w:t xml:space="preserve"> n’a pas cessé de croître ; de 101,8</w:t>
      </w:r>
      <w:r w:rsidR="0099742C">
        <w:rPr>
          <w:rFonts w:asciiTheme="majorBidi" w:hAnsiTheme="majorBidi" w:cstheme="majorBidi"/>
          <w:sz w:val="24"/>
          <w:szCs w:val="24"/>
        </w:rPr>
        <w:t xml:space="preserve"> atteint</w:t>
      </w:r>
      <w:r w:rsidR="00EB40CB">
        <w:rPr>
          <w:rFonts w:asciiTheme="majorBidi" w:hAnsiTheme="majorBidi" w:cstheme="majorBidi"/>
          <w:sz w:val="24"/>
          <w:szCs w:val="24"/>
        </w:rPr>
        <w:t xml:space="preserve"> en 2007, il </w:t>
      </w:r>
      <w:r w:rsidR="0099742C">
        <w:rPr>
          <w:rFonts w:asciiTheme="majorBidi" w:hAnsiTheme="majorBidi" w:cstheme="majorBidi"/>
          <w:sz w:val="24"/>
          <w:szCs w:val="24"/>
        </w:rPr>
        <w:t>est passé à</w:t>
      </w:r>
      <w:r w:rsidR="00575A91">
        <w:rPr>
          <w:rFonts w:asciiTheme="majorBidi" w:hAnsiTheme="majorBidi" w:cstheme="majorBidi"/>
          <w:sz w:val="24"/>
          <w:szCs w:val="24"/>
        </w:rPr>
        <w:t xml:space="preserve"> 116,5</w:t>
      </w:r>
      <w:r w:rsidR="00EB40CB">
        <w:rPr>
          <w:rFonts w:asciiTheme="majorBidi" w:hAnsiTheme="majorBidi" w:cstheme="majorBidi"/>
          <w:sz w:val="24"/>
          <w:szCs w:val="24"/>
        </w:rPr>
        <w:t xml:space="preserve"> en 201</w:t>
      </w:r>
      <w:r w:rsidR="00575A91">
        <w:rPr>
          <w:rFonts w:asciiTheme="majorBidi" w:hAnsiTheme="majorBidi" w:cstheme="majorBidi"/>
          <w:sz w:val="24"/>
          <w:szCs w:val="24"/>
        </w:rPr>
        <w:t>7</w:t>
      </w:r>
      <w:r w:rsidR="00EB40CB">
        <w:rPr>
          <w:rFonts w:asciiTheme="majorBidi" w:hAnsiTheme="majorBidi" w:cstheme="majorBidi"/>
          <w:sz w:val="24"/>
          <w:szCs w:val="24"/>
        </w:rPr>
        <w:t>.</w:t>
      </w:r>
      <w:r w:rsidR="001F2DA4">
        <w:rPr>
          <w:rFonts w:asciiTheme="majorBidi" w:hAnsiTheme="majorBidi" w:cstheme="majorBidi"/>
          <w:sz w:val="24"/>
          <w:szCs w:val="24"/>
        </w:rPr>
        <w:t xml:space="preserve"> Cependant, cet accroissement a été caractérisé par un rythme décroissant entre 2008 </w:t>
      </w:r>
      <w:r w:rsidR="00575A91">
        <w:rPr>
          <w:rFonts w:asciiTheme="majorBidi" w:hAnsiTheme="majorBidi" w:cstheme="majorBidi"/>
          <w:sz w:val="24"/>
          <w:szCs w:val="24"/>
        </w:rPr>
        <w:t>-</w:t>
      </w:r>
      <w:r w:rsidR="001F2DA4">
        <w:rPr>
          <w:rFonts w:asciiTheme="majorBidi" w:hAnsiTheme="majorBidi" w:cstheme="majorBidi"/>
          <w:sz w:val="24"/>
          <w:szCs w:val="24"/>
        </w:rPr>
        <w:t>2010</w:t>
      </w:r>
      <w:r w:rsidR="00575A91">
        <w:rPr>
          <w:rFonts w:asciiTheme="majorBidi" w:hAnsiTheme="majorBidi" w:cstheme="majorBidi"/>
          <w:sz w:val="24"/>
          <w:szCs w:val="24"/>
        </w:rPr>
        <w:t>, 2013-2014 et 2016-2017</w:t>
      </w:r>
      <w:r w:rsidR="001F2DA4">
        <w:rPr>
          <w:rFonts w:asciiTheme="majorBidi" w:hAnsiTheme="majorBidi" w:cstheme="majorBidi"/>
          <w:sz w:val="24"/>
          <w:szCs w:val="24"/>
        </w:rPr>
        <w:t>.</w:t>
      </w:r>
    </w:p>
    <w:p w:rsidR="001F2DA4" w:rsidRDefault="001F2DA4" w:rsidP="00C51F5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Ainsi, on remarque que l’inflation générale a atteint son niveau le plus élevé en 2008 avec 3,8%</w:t>
      </w:r>
      <w:r w:rsidR="003146FA">
        <w:rPr>
          <w:rFonts w:asciiTheme="majorBidi" w:hAnsiTheme="majorBidi" w:cstheme="majorBidi"/>
          <w:sz w:val="24"/>
          <w:szCs w:val="24"/>
        </w:rPr>
        <w:t>.</w:t>
      </w:r>
      <w:r>
        <w:rPr>
          <w:rFonts w:asciiTheme="majorBidi" w:hAnsiTheme="majorBidi" w:cstheme="majorBidi"/>
          <w:sz w:val="24"/>
          <w:szCs w:val="24"/>
        </w:rPr>
        <w:t xml:space="preserve"> </w:t>
      </w:r>
      <w:r w:rsidR="003146FA">
        <w:rPr>
          <w:rFonts w:asciiTheme="majorBidi" w:hAnsiTheme="majorBidi" w:cstheme="majorBidi"/>
          <w:sz w:val="24"/>
          <w:szCs w:val="24"/>
        </w:rPr>
        <w:t>Au-delà de cette</w:t>
      </w:r>
      <w:r w:rsidR="00DF65E2">
        <w:rPr>
          <w:rFonts w:asciiTheme="majorBidi" w:hAnsiTheme="majorBidi" w:cstheme="majorBidi"/>
          <w:sz w:val="24"/>
          <w:szCs w:val="24"/>
        </w:rPr>
        <w:t xml:space="preserve"> année</w:t>
      </w:r>
      <w:r w:rsidR="003146FA">
        <w:rPr>
          <w:rFonts w:asciiTheme="majorBidi" w:hAnsiTheme="majorBidi" w:cstheme="majorBidi"/>
          <w:sz w:val="24"/>
          <w:szCs w:val="24"/>
        </w:rPr>
        <w:t xml:space="preserve">, l’inflation s’est atténuée et n’a dépassé guère 1,8% (niveau enregistré en 2013 contre 1,9 % pour le Maroc). Quant à l’année 2017, elle est considérée, </w:t>
      </w:r>
      <w:r w:rsidR="00C51F59">
        <w:rPr>
          <w:rFonts w:asciiTheme="majorBidi" w:hAnsiTheme="majorBidi" w:cstheme="majorBidi"/>
          <w:sz w:val="24"/>
          <w:szCs w:val="24"/>
        </w:rPr>
        <w:t xml:space="preserve">à l’instar de </w:t>
      </w:r>
      <w:r w:rsidR="003146FA">
        <w:rPr>
          <w:rFonts w:asciiTheme="majorBidi" w:hAnsiTheme="majorBidi" w:cstheme="majorBidi"/>
          <w:sz w:val="24"/>
          <w:szCs w:val="24"/>
        </w:rPr>
        <w:t xml:space="preserve"> l’année 2010, comme une année </w:t>
      </w:r>
      <w:r w:rsidR="002C2ACF">
        <w:rPr>
          <w:rFonts w:asciiTheme="majorBidi" w:hAnsiTheme="majorBidi" w:cstheme="majorBidi"/>
          <w:sz w:val="24"/>
          <w:szCs w:val="24"/>
        </w:rPr>
        <w:t>à faible inflation : 0,4% et 0,2% respectivement.</w:t>
      </w:r>
    </w:p>
    <w:p w:rsidR="004B1065" w:rsidRDefault="00B933BF" w:rsidP="00C51F59">
      <w:pPr>
        <w:spacing w:before="240" w:after="240" w:line="240" w:lineRule="auto"/>
        <w:jc w:val="both"/>
        <w:rPr>
          <w:rFonts w:asciiTheme="majorBidi" w:hAnsiTheme="majorBidi" w:cstheme="majorBidi"/>
          <w:color w:val="000000" w:themeColor="text1"/>
          <w:sz w:val="24"/>
          <w:szCs w:val="24"/>
        </w:rPr>
      </w:pPr>
      <w:r w:rsidRPr="00B933BF">
        <w:rPr>
          <w:rFonts w:asciiTheme="majorBidi" w:hAnsiTheme="majorBidi" w:cstheme="majorBidi"/>
          <w:color w:val="000000" w:themeColor="text1"/>
          <w:sz w:val="24"/>
          <w:szCs w:val="24"/>
        </w:rPr>
        <w:t xml:space="preserve">L’analyse des données mensuelles de l’IPC montre que celui-ci est, généralement caractérisé par deux cycles de hausse et deux autres de baisse. Les périodes de ces cycles connaissent des décalages dans le temps dus, d’une part, à l’effet de saisonnalité qui, au Maroc reste tributaire des conditions climatiques, et d’autre part, à l’effet du calendrier dont les fêtes religieuses sont mobiles d’une année à l’autre. Tous ces éléments, </w:t>
      </w:r>
      <w:r w:rsidR="00AF5C86">
        <w:rPr>
          <w:rFonts w:asciiTheme="majorBidi" w:hAnsiTheme="majorBidi" w:cstheme="majorBidi"/>
          <w:color w:val="000000" w:themeColor="text1"/>
          <w:sz w:val="24"/>
          <w:szCs w:val="24"/>
        </w:rPr>
        <w:t>impactent</w:t>
      </w:r>
      <w:r w:rsidRPr="00B933BF">
        <w:rPr>
          <w:rFonts w:asciiTheme="majorBidi" w:hAnsiTheme="majorBidi" w:cstheme="majorBidi"/>
          <w:color w:val="000000" w:themeColor="text1"/>
          <w:sz w:val="24"/>
          <w:szCs w:val="24"/>
        </w:rPr>
        <w:t xml:space="preserve"> significativement les prix des biens et services  et par conséquent, l’indice des prix à la consommation</w:t>
      </w:r>
      <w:r w:rsidR="00993861">
        <w:rPr>
          <w:rFonts w:asciiTheme="majorBidi" w:hAnsiTheme="majorBidi" w:cstheme="majorBidi"/>
          <w:color w:val="000000" w:themeColor="text1"/>
          <w:sz w:val="24"/>
          <w:szCs w:val="24"/>
        </w:rPr>
        <w:t xml:space="preserve"> suit leur tendance.</w:t>
      </w:r>
    </w:p>
    <w:p w:rsidR="004B1065" w:rsidRDefault="004B1065">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B933BF" w:rsidRPr="00B933BF" w:rsidRDefault="00B933BF" w:rsidP="00C51F59">
      <w:pPr>
        <w:spacing w:before="240" w:after="240" w:line="240" w:lineRule="auto"/>
        <w:jc w:val="both"/>
        <w:rPr>
          <w:rFonts w:asciiTheme="majorBidi" w:hAnsiTheme="majorBidi" w:cstheme="majorBidi"/>
          <w:color w:val="000000" w:themeColor="text1"/>
          <w:sz w:val="24"/>
          <w:szCs w:val="24"/>
        </w:rPr>
      </w:pPr>
    </w:p>
    <w:p w:rsidR="0093096C" w:rsidRPr="0093096C" w:rsidRDefault="0093096C" w:rsidP="00725E87">
      <w:pPr>
        <w:spacing w:before="240" w:after="240" w:line="240" w:lineRule="auto"/>
        <w:jc w:val="both"/>
        <w:rPr>
          <w:rFonts w:asciiTheme="majorBidi" w:hAnsiTheme="majorBidi" w:cstheme="majorBidi"/>
          <w:sz w:val="24"/>
          <w:szCs w:val="24"/>
        </w:rPr>
      </w:pPr>
    </w:p>
    <w:p w:rsidR="009C25F6" w:rsidRDefault="009C25F6" w:rsidP="00725E87">
      <w:pPr>
        <w:spacing w:before="240" w:after="240" w:line="240" w:lineRule="auto"/>
        <w:jc w:val="both"/>
        <w:rPr>
          <w:rFonts w:asciiTheme="majorBidi" w:hAnsiTheme="majorBidi" w:cstheme="majorBidi"/>
        </w:rPr>
      </w:pPr>
    </w:p>
    <w:p w:rsidR="009C25F6" w:rsidRDefault="009C25F6" w:rsidP="00725E87">
      <w:pPr>
        <w:spacing w:before="240" w:after="240" w:line="240" w:lineRule="auto"/>
        <w:jc w:val="both"/>
        <w:rPr>
          <w:rFonts w:asciiTheme="majorBidi" w:hAnsiTheme="majorBidi" w:cstheme="majorBidi"/>
        </w:rPr>
      </w:pPr>
    </w:p>
    <w:p w:rsidR="0099742C" w:rsidRDefault="0099742C" w:rsidP="00725E87">
      <w:pPr>
        <w:spacing w:before="240" w:after="240" w:line="240" w:lineRule="auto"/>
        <w:jc w:val="both"/>
        <w:rPr>
          <w:rFonts w:asciiTheme="majorBidi" w:hAnsiTheme="majorBidi" w:cstheme="majorBidi"/>
        </w:rPr>
      </w:pPr>
    </w:p>
    <w:p w:rsidR="0088341C" w:rsidRDefault="0088341C" w:rsidP="00725E87">
      <w:pPr>
        <w:spacing w:before="240" w:after="240" w:line="240" w:lineRule="auto"/>
        <w:jc w:val="both"/>
        <w:rPr>
          <w:rFonts w:asciiTheme="majorBidi" w:hAnsiTheme="majorBidi" w:cstheme="majorBidi"/>
        </w:rPr>
      </w:pPr>
    </w:p>
    <w:p w:rsidR="0088341C" w:rsidRDefault="0088341C" w:rsidP="00725E87">
      <w:pPr>
        <w:spacing w:before="240" w:after="240" w:line="240" w:lineRule="auto"/>
        <w:jc w:val="both"/>
        <w:rPr>
          <w:rFonts w:asciiTheme="majorBidi" w:hAnsiTheme="majorBidi" w:cstheme="majorBidi"/>
        </w:rPr>
      </w:pPr>
    </w:p>
    <w:p w:rsidR="0088341C" w:rsidRDefault="0088341C" w:rsidP="00725E87">
      <w:pPr>
        <w:spacing w:before="240" w:after="240" w:line="240" w:lineRule="auto"/>
        <w:jc w:val="both"/>
        <w:rPr>
          <w:rFonts w:asciiTheme="majorBidi" w:hAnsiTheme="majorBidi" w:cstheme="majorBidi"/>
        </w:rPr>
      </w:pPr>
    </w:p>
    <w:p w:rsidR="0088341C" w:rsidRDefault="0088341C" w:rsidP="00725E87">
      <w:pPr>
        <w:spacing w:before="240" w:after="240" w:line="240" w:lineRule="auto"/>
        <w:jc w:val="both"/>
        <w:rPr>
          <w:rFonts w:asciiTheme="majorBidi" w:hAnsiTheme="majorBidi" w:cstheme="majorBidi"/>
        </w:rPr>
      </w:pPr>
    </w:p>
    <w:p w:rsidR="0088341C" w:rsidRDefault="0088341C" w:rsidP="00725E87">
      <w:pPr>
        <w:spacing w:before="240" w:after="240" w:line="240" w:lineRule="auto"/>
        <w:jc w:val="both"/>
        <w:rPr>
          <w:rFonts w:asciiTheme="majorBidi" w:hAnsiTheme="majorBidi" w:cstheme="majorBidi"/>
        </w:rPr>
      </w:pPr>
    </w:p>
    <w:p w:rsidR="0088341C" w:rsidRDefault="0088341C" w:rsidP="00725E87">
      <w:pPr>
        <w:spacing w:before="240" w:after="240" w:line="240" w:lineRule="auto"/>
        <w:jc w:val="both"/>
        <w:rPr>
          <w:rFonts w:asciiTheme="majorBidi" w:hAnsiTheme="majorBidi" w:cstheme="majorBidi"/>
        </w:rPr>
      </w:pPr>
    </w:p>
    <w:p w:rsidR="0088341C" w:rsidRDefault="0088341C" w:rsidP="00725E87">
      <w:pPr>
        <w:spacing w:before="240" w:after="240" w:line="240" w:lineRule="auto"/>
        <w:jc w:val="both"/>
        <w:rPr>
          <w:rFonts w:asciiTheme="majorBidi" w:hAnsiTheme="majorBidi" w:cstheme="majorBidi"/>
        </w:rPr>
      </w:pPr>
    </w:p>
    <w:p w:rsidR="0088341C" w:rsidRDefault="0088341C" w:rsidP="00725E87">
      <w:pPr>
        <w:spacing w:before="240" w:after="240" w:line="240" w:lineRule="auto"/>
        <w:jc w:val="both"/>
        <w:rPr>
          <w:rFonts w:asciiTheme="majorBidi" w:hAnsiTheme="majorBidi" w:cstheme="majorBidi"/>
        </w:rPr>
      </w:pPr>
    </w:p>
    <w:p w:rsidR="0088341C" w:rsidRDefault="0088341C"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99742C" w:rsidRDefault="0099742C" w:rsidP="0099742C">
      <w:pPr>
        <w:rPr>
          <w:rFonts w:asciiTheme="majorBidi" w:hAnsiTheme="majorBidi" w:cstheme="majorBidi"/>
        </w:rPr>
      </w:pPr>
    </w:p>
    <w:p w:rsidR="0099742C" w:rsidRDefault="0099742C" w:rsidP="0099742C">
      <w:pPr>
        <w:rPr>
          <w:rFonts w:asciiTheme="majorBidi" w:hAnsiTheme="majorBidi" w:cstheme="majorBidi"/>
        </w:rPr>
      </w:pPr>
    </w:p>
    <w:p w:rsidR="0099742C" w:rsidRDefault="0099742C" w:rsidP="0099742C">
      <w:pPr>
        <w:rPr>
          <w:rFonts w:asciiTheme="majorBidi" w:hAnsiTheme="majorBidi" w:cstheme="majorBidi"/>
        </w:rPr>
      </w:pPr>
    </w:p>
    <w:p w:rsidR="0099742C" w:rsidRDefault="0099742C" w:rsidP="0099742C">
      <w:pPr>
        <w:rPr>
          <w:rFonts w:asciiTheme="majorBidi" w:hAnsiTheme="majorBidi" w:cstheme="majorBidi"/>
        </w:rPr>
      </w:pPr>
    </w:p>
    <w:p w:rsidR="0099742C" w:rsidRDefault="0099742C" w:rsidP="0099742C">
      <w:pPr>
        <w:rPr>
          <w:rFonts w:asciiTheme="majorBidi" w:hAnsiTheme="majorBidi" w:cstheme="majorBidi"/>
        </w:rPr>
      </w:pPr>
    </w:p>
    <w:p w:rsidR="0099742C" w:rsidRDefault="0099742C" w:rsidP="0099742C">
      <w:pPr>
        <w:rPr>
          <w:rFonts w:asciiTheme="majorBidi" w:hAnsiTheme="majorBidi" w:cstheme="majorBidi"/>
        </w:rPr>
      </w:pPr>
    </w:p>
    <w:p w:rsidR="007D21C9" w:rsidRDefault="007D21C9" w:rsidP="0099742C">
      <w:pPr>
        <w:rPr>
          <w:rFonts w:asciiTheme="majorBidi" w:hAnsiTheme="majorBidi" w:cstheme="majorBidi"/>
        </w:rPr>
      </w:pPr>
    </w:p>
    <w:p w:rsidR="007D21C9" w:rsidRDefault="007D21C9" w:rsidP="0099742C">
      <w:pPr>
        <w:rPr>
          <w:rFonts w:asciiTheme="majorBidi" w:hAnsiTheme="majorBidi" w:cstheme="majorBidi"/>
        </w:rPr>
      </w:pPr>
    </w:p>
    <w:p w:rsidR="0099742C" w:rsidRDefault="0099742C" w:rsidP="0099742C">
      <w:pPr>
        <w:rPr>
          <w:rFonts w:asciiTheme="majorBidi" w:hAnsiTheme="majorBidi" w:cstheme="majorBidi"/>
        </w:rPr>
      </w:pPr>
    </w:p>
    <w:p w:rsidR="008D45BD" w:rsidRDefault="008D45BD" w:rsidP="0099742C">
      <w:pPr>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156FC8" w:rsidRDefault="00156FC8" w:rsidP="00725E87">
      <w:pPr>
        <w:spacing w:before="240" w:after="240" w:line="240" w:lineRule="auto"/>
        <w:jc w:val="both"/>
        <w:rPr>
          <w:rFonts w:asciiTheme="majorBidi" w:hAnsiTheme="majorBidi" w:cstheme="majorBidi"/>
        </w:rPr>
      </w:pPr>
    </w:p>
    <w:p w:rsidR="00156FC8" w:rsidRDefault="00156FC8"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8D45BD" w:rsidRDefault="00A905C6" w:rsidP="00725E87">
      <w:pPr>
        <w:spacing w:before="240" w:after="240" w:line="240" w:lineRule="auto"/>
        <w:jc w:val="both"/>
        <w:rPr>
          <w:rFonts w:asciiTheme="majorBidi" w:hAnsiTheme="majorBidi" w:cstheme="majorBidi"/>
        </w:rPr>
      </w:pPr>
      <w:r w:rsidRPr="001022E9">
        <w:rPr>
          <w:rFonts w:asciiTheme="majorBidi" w:hAnsiTheme="majorBidi" w:cstheme="majorBidi"/>
        </w:rPr>
        <w:pict>
          <v:shape id="_x0000_i1029" type="#_x0000_t136" style="width:358.5pt;height:63.75pt" fillcolor="#063" strokecolor="green">
            <v:fill r:id="rId9" o:title="Papier Kraft" type="tile"/>
            <v:shadow on="t" type="perspective" color="#c7dfd3" opacity="52429f" origin="-.5,-.5" offset="-26pt,-36pt" matrix="1.25,,,1.25"/>
            <v:textpath style="font-family:&quot;Times New Roman&quot;;v-text-kern:t" trim="t" fitpath="t" string="ANNEXE&#10;"/>
          </v:shape>
        </w:pict>
      </w: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31503A" w:rsidRDefault="0031503A" w:rsidP="0031503A">
      <w:pPr>
        <w:rPr>
          <w:rFonts w:eastAsiaTheme="majorEastAsia" w:cstheme="majorBidi"/>
          <w:sz w:val="28"/>
          <w:szCs w:val="28"/>
        </w:rPr>
      </w:pPr>
      <w:r>
        <w:br w:type="page"/>
      </w:r>
    </w:p>
    <w:p w:rsidR="004B1065" w:rsidRDefault="004B1065">
      <w:r>
        <w:lastRenderedPageBreak/>
        <w:br w:type="page"/>
      </w:r>
    </w:p>
    <w:tbl>
      <w:tblPr>
        <w:tblW w:w="5000" w:type="pct"/>
        <w:tblCellMar>
          <w:left w:w="70" w:type="dxa"/>
          <w:right w:w="70" w:type="dxa"/>
        </w:tblCellMar>
        <w:tblLook w:val="04A0"/>
      </w:tblPr>
      <w:tblGrid>
        <w:gridCol w:w="6512"/>
        <w:gridCol w:w="876"/>
        <w:gridCol w:w="900"/>
        <w:gridCol w:w="1066"/>
      </w:tblGrid>
      <w:tr w:rsidR="00331969" w:rsidRPr="00951E73" w:rsidTr="0031503A">
        <w:trPr>
          <w:trHeight w:val="990"/>
          <w:tblHeader/>
        </w:trPr>
        <w:tc>
          <w:tcPr>
            <w:tcW w:w="5000" w:type="pct"/>
            <w:gridSpan w:val="4"/>
            <w:tcBorders>
              <w:top w:val="nil"/>
              <w:left w:val="nil"/>
              <w:bottom w:val="single" w:sz="4" w:space="0" w:color="auto"/>
              <w:right w:val="nil"/>
            </w:tcBorders>
            <w:shd w:val="clear" w:color="auto" w:fill="auto"/>
            <w:vAlign w:val="center"/>
            <w:hideMark/>
          </w:tcPr>
          <w:p w:rsidR="00BA4A1B" w:rsidRPr="00951E73" w:rsidRDefault="00951E73" w:rsidP="00331969">
            <w:pPr>
              <w:spacing w:after="0" w:line="240" w:lineRule="auto"/>
              <w:rPr>
                <w:rFonts w:ascii="Times New Roman" w:eastAsia="Times New Roman" w:hAnsi="Times New Roman" w:cs="Times New Roman"/>
                <w:b/>
                <w:bCs/>
                <w:color w:val="4F81BD" w:themeColor="accent1"/>
                <w:szCs w:val="24"/>
                <w:lang w:eastAsia="fr-FR"/>
              </w:rPr>
            </w:pPr>
            <w:bookmarkStart w:id="46" w:name="_Toc515274113"/>
            <w:r w:rsidRPr="00951E73">
              <w:rPr>
                <w:rFonts w:ascii="Times New Roman" w:hAnsi="Times New Roman"/>
                <w:b/>
                <w:bCs/>
                <w:color w:val="4F81BD" w:themeColor="accent1"/>
              </w:rPr>
              <w:lastRenderedPageBreak/>
              <w:t xml:space="preserve">Tableau A </w:t>
            </w:r>
            <w:r w:rsidR="001022E9" w:rsidRPr="00951E73">
              <w:rPr>
                <w:rFonts w:ascii="Times New Roman" w:hAnsi="Times New Roman"/>
                <w:b/>
                <w:bCs/>
                <w:color w:val="4F81BD" w:themeColor="accent1"/>
              </w:rPr>
              <w:fldChar w:fldCharType="begin"/>
            </w:r>
            <w:r w:rsidRPr="00951E73">
              <w:rPr>
                <w:rFonts w:ascii="Times New Roman" w:hAnsi="Times New Roman"/>
                <w:b/>
                <w:bCs/>
                <w:color w:val="4F81BD" w:themeColor="accent1"/>
              </w:rPr>
              <w:instrText xml:space="preserve"> SEQ Tableau_A \* ARABIC </w:instrText>
            </w:r>
            <w:r w:rsidR="001022E9" w:rsidRPr="00951E73">
              <w:rPr>
                <w:rFonts w:ascii="Times New Roman" w:hAnsi="Times New Roman"/>
                <w:b/>
                <w:bCs/>
                <w:color w:val="4F81BD" w:themeColor="accent1"/>
              </w:rPr>
              <w:fldChar w:fldCharType="separate"/>
            </w:r>
            <w:r w:rsidR="00156FC8">
              <w:rPr>
                <w:rFonts w:ascii="Times New Roman" w:hAnsi="Times New Roman"/>
                <w:b/>
                <w:bCs/>
                <w:noProof/>
                <w:color w:val="4F81BD" w:themeColor="accent1"/>
              </w:rPr>
              <w:t>1</w:t>
            </w:r>
            <w:r w:rsidR="001022E9" w:rsidRPr="00951E73">
              <w:rPr>
                <w:rFonts w:ascii="Times New Roman" w:hAnsi="Times New Roman"/>
                <w:b/>
                <w:bCs/>
                <w:color w:val="4F81BD" w:themeColor="accent1"/>
              </w:rPr>
              <w:fldChar w:fldCharType="end"/>
            </w:r>
            <w:r w:rsidRPr="00951E73">
              <w:rPr>
                <w:rFonts w:ascii="Times New Roman" w:hAnsi="Times New Roman"/>
                <w:b/>
                <w:bCs/>
                <w:color w:val="4F81BD" w:themeColor="accent1"/>
              </w:rPr>
              <w:t xml:space="preserve"> : </w:t>
            </w:r>
            <w:r w:rsidR="00331969" w:rsidRPr="00951E73">
              <w:rPr>
                <w:rFonts w:ascii="Times New Roman" w:eastAsia="Times New Roman" w:hAnsi="Times New Roman" w:cs="Times New Roman"/>
                <w:b/>
                <w:bCs/>
                <w:color w:val="4F81BD" w:themeColor="accent1"/>
                <w:szCs w:val="24"/>
                <w:lang w:eastAsia="fr-FR"/>
              </w:rPr>
              <w:t>IPC de la ville de Kenitra par division, groupe et classes de produits</w:t>
            </w:r>
            <w:bookmarkEnd w:id="46"/>
            <w:r w:rsidR="00331969" w:rsidRPr="00951E73">
              <w:rPr>
                <w:rFonts w:ascii="Times New Roman" w:eastAsia="Times New Roman" w:hAnsi="Times New Roman" w:cs="Times New Roman"/>
                <w:b/>
                <w:bCs/>
                <w:color w:val="4F81BD" w:themeColor="accent1"/>
                <w:szCs w:val="24"/>
                <w:lang w:eastAsia="fr-FR"/>
              </w:rPr>
              <w:t xml:space="preserve"> </w:t>
            </w:r>
          </w:p>
          <w:p w:rsidR="00F67555" w:rsidRPr="00951E73" w:rsidRDefault="00BA4A1B" w:rsidP="00905A63">
            <w:pPr>
              <w:spacing w:after="0" w:line="240" w:lineRule="auto"/>
              <w:rPr>
                <w:rFonts w:ascii="Times New Roman" w:eastAsia="Times New Roman" w:hAnsi="Times New Roman" w:cs="Times New Roman"/>
                <w:b/>
                <w:bCs/>
                <w:color w:val="4F81BD" w:themeColor="accent1"/>
                <w:sz w:val="24"/>
                <w:szCs w:val="24"/>
                <w:lang w:eastAsia="fr-FR"/>
              </w:rPr>
            </w:pPr>
            <w:r w:rsidRPr="00951E73">
              <w:rPr>
                <w:rFonts w:ascii="Times New Roman" w:eastAsia="Times New Roman" w:hAnsi="Times New Roman" w:cs="Times New Roman"/>
                <w:b/>
                <w:bCs/>
                <w:color w:val="4F81BD" w:themeColor="accent1"/>
                <w:szCs w:val="24"/>
                <w:lang w:eastAsia="fr-FR"/>
              </w:rPr>
              <w:t xml:space="preserve">                       </w:t>
            </w:r>
            <w:r w:rsidR="00331969" w:rsidRPr="00951E73">
              <w:rPr>
                <w:rFonts w:ascii="Times New Roman" w:eastAsia="Times New Roman" w:hAnsi="Times New Roman" w:cs="Times New Roman"/>
                <w:b/>
                <w:bCs/>
                <w:color w:val="4F81BD" w:themeColor="accent1"/>
                <w:szCs w:val="24"/>
                <w:lang w:eastAsia="fr-FR"/>
              </w:rPr>
              <w:t xml:space="preserve">- </w:t>
            </w:r>
            <w:r w:rsidRPr="00951E73">
              <w:rPr>
                <w:rFonts w:ascii="Times New Roman" w:eastAsia="Times New Roman" w:hAnsi="Times New Roman" w:cs="Times New Roman"/>
                <w:b/>
                <w:bCs/>
                <w:color w:val="4F81BD" w:themeColor="accent1"/>
                <w:szCs w:val="24"/>
                <w:lang w:eastAsia="fr-FR"/>
              </w:rPr>
              <w:t xml:space="preserve"> </w:t>
            </w:r>
            <w:r w:rsidR="00331969" w:rsidRPr="00951E73">
              <w:rPr>
                <w:rFonts w:ascii="Times New Roman" w:eastAsia="Times New Roman" w:hAnsi="Times New Roman" w:cs="Times New Roman"/>
                <w:b/>
                <w:bCs/>
                <w:color w:val="4F81BD" w:themeColor="accent1"/>
                <w:szCs w:val="24"/>
                <w:lang w:eastAsia="fr-FR"/>
              </w:rPr>
              <w:t>Années 2016 et 2017-</w:t>
            </w:r>
          </w:p>
        </w:tc>
      </w:tr>
      <w:tr w:rsidR="00331969" w:rsidRPr="00331969" w:rsidTr="0031503A">
        <w:trPr>
          <w:trHeight w:val="765"/>
          <w:tblHeader/>
        </w:trPr>
        <w:tc>
          <w:tcPr>
            <w:tcW w:w="3481" w:type="pct"/>
            <w:tcBorders>
              <w:top w:val="nil"/>
              <w:left w:val="single" w:sz="4" w:space="0" w:color="auto"/>
              <w:bottom w:val="nil"/>
              <w:right w:val="single" w:sz="4" w:space="0" w:color="auto"/>
            </w:tcBorders>
            <w:shd w:val="clear" w:color="000000" w:fill="7F7F7F"/>
            <w:vAlign w:val="center"/>
            <w:hideMark/>
          </w:tcPr>
          <w:p w:rsidR="00331969" w:rsidRPr="0031503A" w:rsidRDefault="00331969" w:rsidP="00331969">
            <w:pPr>
              <w:spacing w:after="0" w:line="240" w:lineRule="auto"/>
              <w:rPr>
                <w:rFonts w:ascii="Times New Roman" w:eastAsia="Times New Roman" w:hAnsi="Times New Roman" w:cs="Times New Roman"/>
                <w:b/>
                <w:bCs/>
                <w:lang w:eastAsia="fr-FR"/>
              </w:rPr>
            </w:pPr>
            <w:r w:rsidRPr="0031503A">
              <w:rPr>
                <w:rFonts w:ascii="Times New Roman" w:eastAsia="Times New Roman" w:hAnsi="Times New Roman" w:cs="Times New Roman"/>
                <w:b/>
                <w:bCs/>
                <w:lang w:eastAsia="fr-FR"/>
              </w:rPr>
              <w:t>DIVISIONS, GROUPES &amp;CLASSES</w:t>
            </w:r>
          </w:p>
        </w:tc>
        <w:tc>
          <w:tcPr>
            <w:tcW w:w="468" w:type="pct"/>
            <w:tcBorders>
              <w:top w:val="nil"/>
              <w:left w:val="nil"/>
              <w:bottom w:val="single" w:sz="4" w:space="0" w:color="auto"/>
              <w:right w:val="single" w:sz="4" w:space="0" w:color="auto"/>
            </w:tcBorders>
            <w:shd w:val="clear" w:color="000000" w:fill="7F7F7F"/>
            <w:vAlign w:val="center"/>
            <w:hideMark/>
          </w:tcPr>
          <w:p w:rsidR="00331969" w:rsidRPr="0031503A" w:rsidRDefault="00331969" w:rsidP="00331969">
            <w:pPr>
              <w:spacing w:after="0" w:line="240" w:lineRule="auto"/>
              <w:jc w:val="center"/>
              <w:rPr>
                <w:rFonts w:asciiTheme="majorBidi" w:eastAsia="Times New Roman" w:hAnsiTheme="majorBidi" w:cstheme="majorBidi"/>
                <w:b/>
                <w:bCs/>
                <w:lang w:eastAsia="fr-FR"/>
              </w:rPr>
            </w:pPr>
            <w:r w:rsidRPr="0031503A">
              <w:rPr>
                <w:rFonts w:asciiTheme="majorBidi" w:eastAsia="Times New Roman" w:hAnsiTheme="majorBidi" w:cstheme="majorBidi"/>
                <w:b/>
                <w:bCs/>
                <w:lang w:eastAsia="fr-FR"/>
              </w:rPr>
              <w:t>2016</w:t>
            </w:r>
          </w:p>
        </w:tc>
        <w:tc>
          <w:tcPr>
            <w:tcW w:w="481" w:type="pct"/>
            <w:tcBorders>
              <w:top w:val="nil"/>
              <w:left w:val="nil"/>
              <w:bottom w:val="single" w:sz="4" w:space="0" w:color="auto"/>
              <w:right w:val="single" w:sz="4" w:space="0" w:color="auto"/>
            </w:tcBorders>
            <w:shd w:val="clear" w:color="000000" w:fill="7F7F7F"/>
            <w:vAlign w:val="center"/>
            <w:hideMark/>
          </w:tcPr>
          <w:p w:rsidR="00331969" w:rsidRPr="0031503A" w:rsidRDefault="00331969" w:rsidP="00331969">
            <w:pPr>
              <w:spacing w:after="0" w:line="240" w:lineRule="auto"/>
              <w:jc w:val="center"/>
              <w:rPr>
                <w:rFonts w:asciiTheme="majorBidi" w:eastAsia="Times New Roman" w:hAnsiTheme="majorBidi" w:cstheme="majorBidi"/>
                <w:b/>
                <w:bCs/>
                <w:lang w:eastAsia="fr-FR"/>
              </w:rPr>
            </w:pPr>
            <w:r w:rsidRPr="0031503A">
              <w:rPr>
                <w:rFonts w:asciiTheme="majorBidi" w:eastAsia="Times New Roman" w:hAnsiTheme="majorBidi" w:cstheme="majorBidi"/>
                <w:b/>
                <w:bCs/>
                <w:lang w:eastAsia="fr-FR"/>
              </w:rPr>
              <w:t>2017</w:t>
            </w:r>
          </w:p>
        </w:tc>
        <w:tc>
          <w:tcPr>
            <w:tcW w:w="570" w:type="pct"/>
            <w:tcBorders>
              <w:top w:val="nil"/>
              <w:left w:val="nil"/>
              <w:bottom w:val="single" w:sz="4" w:space="0" w:color="auto"/>
              <w:right w:val="single" w:sz="4" w:space="0" w:color="auto"/>
            </w:tcBorders>
            <w:shd w:val="clear" w:color="000000" w:fill="7F7F7F"/>
            <w:vAlign w:val="center"/>
            <w:hideMark/>
          </w:tcPr>
          <w:p w:rsidR="00331969" w:rsidRPr="0031503A" w:rsidRDefault="00331969" w:rsidP="00331969">
            <w:pPr>
              <w:spacing w:after="0" w:line="240" w:lineRule="auto"/>
              <w:jc w:val="center"/>
              <w:rPr>
                <w:rFonts w:asciiTheme="majorBidi" w:eastAsia="Times New Roman" w:hAnsiTheme="majorBidi" w:cstheme="majorBidi"/>
                <w:b/>
                <w:bCs/>
                <w:lang w:eastAsia="fr-FR"/>
              </w:rPr>
            </w:pPr>
            <w:r w:rsidRPr="0031503A">
              <w:rPr>
                <w:rFonts w:asciiTheme="majorBidi" w:eastAsia="Times New Roman" w:hAnsiTheme="majorBidi" w:cstheme="majorBidi"/>
                <w:b/>
                <w:bCs/>
                <w:lang w:eastAsia="fr-FR"/>
              </w:rPr>
              <w:t>VAR (%)</w:t>
            </w:r>
          </w:p>
        </w:tc>
      </w:tr>
      <w:tr w:rsidR="00331969" w:rsidRPr="00331969" w:rsidTr="0031503A">
        <w:trPr>
          <w:trHeight w:val="420"/>
        </w:trPr>
        <w:tc>
          <w:tcPr>
            <w:tcW w:w="3481"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01. PRODUITS ALIMENTAIRES ET BOISSONS NON ALCOOLISÉES</w:t>
            </w:r>
          </w:p>
        </w:tc>
        <w:tc>
          <w:tcPr>
            <w:tcW w:w="468" w:type="pct"/>
            <w:tcBorders>
              <w:top w:val="nil"/>
              <w:left w:val="nil"/>
              <w:bottom w:val="single" w:sz="4" w:space="0" w:color="auto"/>
              <w:right w:val="single" w:sz="4" w:space="0" w:color="auto"/>
            </w:tcBorders>
            <w:shd w:val="clear" w:color="000000" w:fill="C0C0C0"/>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125,9</w:t>
            </w:r>
          </w:p>
        </w:tc>
        <w:tc>
          <w:tcPr>
            <w:tcW w:w="481" w:type="pct"/>
            <w:tcBorders>
              <w:top w:val="nil"/>
              <w:left w:val="nil"/>
              <w:bottom w:val="single" w:sz="4" w:space="0" w:color="auto"/>
              <w:right w:val="single" w:sz="4" w:space="0" w:color="auto"/>
            </w:tcBorders>
            <w:shd w:val="clear" w:color="000000" w:fill="C0C0C0"/>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124,8</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-0,9</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011. PRODUITS ALIMENTAIRES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125,6</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124,4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PAIN ET CEREALES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125,2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122,5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-2,1</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VIANDE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110,1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109,2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-0,8</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POISSON ET FRUITS DE MER</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159,0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154,8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-2,7</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LAIT, FROMAGE ET OEUFS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121,6</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119,2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-1,9</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HUILES ET GRAISSES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143,4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149,8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4,5</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FRUITS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134,8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125,7</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-6,8</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LEGUMES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126,8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130,4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2,9</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SUCRE, CONFITURE, MIEL, CHOCOLAT ET CONFESERIE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109,6</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109,4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-0,2</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PRODUITS ALIMENTAIRES N.C.A.</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193,7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180,9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-6,6</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012. BOISSONS NON ALCOOLISÉES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134,2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135,5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0,9</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CAFE, THE ET CACAO</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139,8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141,1</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0,9</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EAUX MINERALES, BOISSONS RAFRAICHISSANTES, JUS DE FRUITS ET DE LEGUMES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114,6</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115,9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02. BOISSONS ALCOOLISÉES, TABAC ET STUPÉFIANTS</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122,4</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123,5</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0,9</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021. BOISSONS ALCOOLISÉES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129,0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126,8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-1,7</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SPIRITUEUX</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124,9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121,7</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-2,6</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VIN ET BOISSONS FERMENTÉES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128,9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122,0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-5,4</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BIÈRE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143,6</w:t>
            </w:r>
          </w:p>
        </w:tc>
        <w:tc>
          <w:tcPr>
            <w:tcW w:w="570" w:type="pct"/>
            <w:tcBorders>
              <w:top w:val="nil"/>
              <w:left w:val="nil"/>
              <w:bottom w:val="single" w:sz="4" w:space="0" w:color="auto"/>
              <w:right w:val="single" w:sz="4" w:space="0" w:color="auto"/>
            </w:tcBorders>
            <w:shd w:val="clear" w:color="000000" w:fill="FFFFF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2,6</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022. TABAC</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122,4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123,5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0,9</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TABAC</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122,4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123,5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0,9</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03. ARTICLES D'HABILLEMENT ET CHAUSSURES</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109,8</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111,1</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1,2</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031. ARTICLES D'HABILLEMENT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107,4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108,8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TISSUS POUR HABILLEMENT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133,5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133,5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VETEMENTS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105,5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107,0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AUTRES ARTICLES ET ACCESSOIRES D'HABILLEMENT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99,8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99,8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NETTOYAGE, REPARATION ET LOCATION D'ARTICLES D'HABILLEMENT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113,7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116,6</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2,6</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032. CHAUSSURES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123,2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123,7</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0,4</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CHAUSSURES DIVERSES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123,6</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124,1</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0,4</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CORDONNERIE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117,5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117,5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04. LOGEMENT, EAU, GAZ, ELECTRICITE ET AUTRES COMBUSTIBLES</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107,7</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108,5</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0,7</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041. LOYERS EFFECTIFS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102,9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103,3</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0,3</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LOYERS EFFECTIVEMENT PAYES PAR LES LOCATAIRES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102,9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103,3</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0,3</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042. ENTRETIEN ET REPARATION DE LOGEMENT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106,0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106,1</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0,1</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FOURNITURES POUR TRAVAUX D'ENTRETIEN ET DE REPARATION DES LOGEMENT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115,4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116,5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0,9</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lastRenderedPageBreak/>
              <w:t>SERVICES CONCERNANT L'ENTRETIEN ET LES RÉPARATIONS DU LOGEMENT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104,1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104,1</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043. ALIMENTATION EN EAU ET SERVICES DIVERS LIÉS AU LOGEMENT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115,5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115,5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ALIMENTATION EN EAU ET ASSAINISSEMENT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115,5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115,5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044. ELECTRICITE, GAZ ET AUTRES COMBUSTIBLES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108,4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110,2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1,6</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ELECTRICITE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112,4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115,4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2,7</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GAZ</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COMBUSTIBLES SOLIDES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166,7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170,9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2,5</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05. MEUBLES, ARTICLES DE MENAGE ET ENTRETIEN COURANT DU FOYER</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106,5</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106,7</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0,1</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051. MEUBLES, ARTICLES D'AMEUBLEMENT, TAPIS ET AUTRES REVETEMENTS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133,2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136,7</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2,7</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MEUBLES ET ARTICLES D'AMEUBLEMENT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137,5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141,7</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3,0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TAPIS ET REVÊTEMENTS DE SOL DIVERS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110,3</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110,6</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0,3</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052. ARTICLES DE MÉNAGE EN TEXTILES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88,8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89,2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0,5</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ARTICLES DE MENAGE EN TEXTILES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88,8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89,2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0,5</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053. APPAREILS MÉNAGERS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0,1</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GROS APPAREILS MENAGERS,ELECTRIQUES OU NON</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99,9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-0,1</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PETITS APPAREILS ÉLECTROMÉNAGERS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106,5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109,4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2,7</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REPARATION D'APPAREILS MÉNAGERS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115,7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116,7</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0,8</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054. VERRERIE, VAISSELLE ET USTENSILES DE MÉNAGE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110,7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114,0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2,9</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VERRERIE, VAISSELLE ET USTENSILES DE MÉNAGE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110,7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114,0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2,9</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055. OUTILLAGE ET AUTRE MATÉRIEL POUR LA MAISON ET LE JARDIN</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108,1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108,0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-0,1</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PETIT OUTILLAGE ET ACCESSOIRES DIVERS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108,1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108,0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-0,1</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056. BIENS ET SERVICES LIÉS À L'ENTRETIEN COURANT DU FOYER</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106,5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104,8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-1,6</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BIENS D'ÉQUIPEMENT MÉNAGER NON DURABLES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107,8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105,8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-1,9</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DOMESTIQUES ET SERVICES MÉNAGERS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06. SANTÉ</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108,8</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112,2</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3,2</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 xml:space="preserve">061.  </w:t>
            </w:r>
            <w:r w:rsidR="00567B9C" w:rsidRPr="00331969">
              <w:rPr>
                <w:rFonts w:ascii="Times New Roman" w:eastAsia="Times New Roman" w:hAnsi="Times New Roman" w:cs="Times New Roman"/>
                <w:b/>
                <w:bCs/>
                <w:color w:val="339966"/>
                <w:sz w:val="16"/>
                <w:szCs w:val="16"/>
                <w:lang w:eastAsia="fr-FR"/>
              </w:rPr>
              <w:t>PRODUITS, APPAREILS ET MATERIELS MEDICAUX</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94,1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93,9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-0,3</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PRODUITS PHARMACEUTIQUES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93,8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93,8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PRODUITS MEDICAUX DIVERS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94,2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101,8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8,1</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APPAREILS ET MATERIEL THERAPEUTIQUES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99,7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93,6</w:t>
            </w:r>
          </w:p>
        </w:tc>
        <w:tc>
          <w:tcPr>
            <w:tcW w:w="570" w:type="pct"/>
            <w:tcBorders>
              <w:top w:val="nil"/>
              <w:left w:val="nil"/>
              <w:bottom w:val="single" w:sz="4" w:space="0" w:color="auto"/>
              <w:right w:val="single" w:sz="4" w:space="0" w:color="auto"/>
            </w:tcBorders>
            <w:shd w:val="clear" w:color="000000" w:fill="FFFFFF"/>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-6,2</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062. SERVICES AMBULATOIRES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114,8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123,0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7,1</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MÉDICAUX</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135,1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155,9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15,4</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DENTAIRES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122,9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129,2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5,1</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PARAMÉDICAUX</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101,2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102,0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0,8</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063. SERVICES HOSPITALIERS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138,6</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138,6</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HOSPITALIERS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138,6</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138,6</w:t>
            </w:r>
          </w:p>
        </w:tc>
        <w:tc>
          <w:tcPr>
            <w:tcW w:w="570" w:type="pct"/>
            <w:tcBorders>
              <w:top w:val="nil"/>
              <w:left w:val="nil"/>
              <w:bottom w:val="single" w:sz="4" w:space="0" w:color="auto"/>
              <w:right w:val="single" w:sz="4" w:space="0" w:color="auto"/>
            </w:tcBorders>
            <w:shd w:val="clear" w:color="000000" w:fill="FFFFFF"/>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lastRenderedPageBreak/>
              <w:t>07. TRANSPORTS</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109,6</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113,3</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3,3</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071. ACHAT DE VÉHICULES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103,1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103,5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0,4</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VOITURES AUTOMOBILES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103,0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103,2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0,2</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MOTOCYCLES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105,5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110,9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5,1</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BICYCLETTES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101,2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104,6</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3,4</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072. DÉPENSES D'UTILISATION DES VÉHICULES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113,8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121,3</w:t>
            </w:r>
          </w:p>
        </w:tc>
        <w:tc>
          <w:tcPr>
            <w:tcW w:w="570" w:type="pct"/>
            <w:tcBorders>
              <w:top w:val="nil"/>
              <w:left w:val="nil"/>
              <w:bottom w:val="single" w:sz="4" w:space="0" w:color="auto"/>
              <w:right w:val="single" w:sz="4" w:space="0" w:color="auto"/>
            </w:tcBorders>
            <w:shd w:val="clear" w:color="000000" w:fill="FFFFFF"/>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6,7</w:t>
            </w:r>
          </w:p>
        </w:tc>
      </w:tr>
      <w:tr w:rsidR="00331969"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PIECES DE RECHANGE ET ACCESSOIRES POUR VEHICULES DE TOURISME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112,4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112,5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0,1</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CARBURANTS ET LUBRIFIANTS POUR VEHICULES DE TOURISME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105,4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115,3</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9,3</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ENTRETIEN ET REPARATION DE VEHICULES PARTICULIERS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133,3</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143,0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7,3</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DIVERS LIES AUX VEHICULES PARTICULIERS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119,7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119,7</w:t>
            </w:r>
          </w:p>
        </w:tc>
        <w:tc>
          <w:tcPr>
            <w:tcW w:w="570" w:type="pct"/>
            <w:tcBorders>
              <w:top w:val="nil"/>
              <w:left w:val="nil"/>
              <w:bottom w:val="single" w:sz="4" w:space="0" w:color="auto"/>
              <w:right w:val="single" w:sz="4" w:space="0" w:color="auto"/>
            </w:tcBorders>
            <w:shd w:val="clear" w:color="000000" w:fill="FFFFFF"/>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073. SERVICES DE TRANSPORT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112,1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112,1</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TRANSPORT FERROVIAIRE DE PASSAGERS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121,2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121,2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TRANSPORT ROUTIER DE PASSAGERS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116,8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116,8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TRANSPORT AÉRIEN DE PASSAGERS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73,4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73,2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-0,3</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08. COMMUNICATIONS</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58,6</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58,6</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081. SERVICES POSTAUX</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133,4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133,4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POSTAUX</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133,4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133,4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082. MATÉRIEL DE TÉLÉPHONIE ET DE TÉLÉCOPIE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83,3</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83,3</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MATERIEL DE TELEPHONIE ET DE TELECOPIE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83,3</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83,3</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083. SERVICES DE TÉLÉPHONIE ET DE TÉLÉCOPIE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53,0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53,0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DE TELEPHONIE ET DE TELECOPIE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53,0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53,0</w:t>
            </w:r>
          </w:p>
        </w:tc>
        <w:tc>
          <w:tcPr>
            <w:tcW w:w="570" w:type="pct"/>
            <w:tcBorders>
              <w:top w:val="nil"/>
              <w:left w:val="nil"/>
              <w:bottom w:val="single" w:sz="4" w:space="0" w:color="auto"/>
              <w:right w:val="single" w:sz="4" w:space="0" w:color="auto"/>
            </w:tcBorders>
            <w:shd w:val="clear" w:color="000000" w:fill="FFFFFF"/>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09. LOISIRS ET CULTURE</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101,8</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101,9</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091. MATÉRIEL AUDIOVISUEL, PHOTOGRAPHIQUE ET DE TRAITEMENT DE L'INFORMATION</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80,7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80,3</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-0,4</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MATERIEL DE RECEPTION, D'ENREGISTREMENT ET DE REPRODUCTION DU SON ET DE L'IMAGE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80,1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79,7</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-0,5</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MATERIEL PHOTOGRAPHIQUE ET CINEMATOGRAPHIQUE ET APPAREILS OPTIQUES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79,6</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79,4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-0,2</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MATÉRIEL DE TRAITEMENT DE L'INFORMATION</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54,5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54,0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SUPPORTS D'ENREGISTREMENT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REPARATION DE MATERIEL AUDIOVISUEL, PHOTOGRAPHIQUE ET DE TRAITEMENT DE L'INFORMATION</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093. AUTRES ARTICLES ET MATÉRIEL DE LOISIRS, DE JARDINAGE ET ANIM</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102,2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101,8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-0,4</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JEUX, JOUETS ET PASSE-TEMPS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90,2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89,5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-0,8</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ARTICLES DE SPORT, MATÉRIEL DE CAMPING ET MATÉRIEL POUR ACTIVITES DE PEIL AIR</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109,9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109,9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PRODUITS POUR JARDINS, PLANTES ET FLEURS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132,5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132,5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094. SERVICES RÉCRÉATIFS ET CULTURELS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104,9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105,8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0,8</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RCREATIFS ET SPORTIFS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103,5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103,1</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-0,4</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CULTURELS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111,2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114,4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2,9</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lastRenderedPageBreak/>
              <w:t>JEUX DE HASARD</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095. JOURNAUX, LIVRES ET ARTICLES DE PAPETERIE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113,7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113,8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0,1</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LIVRES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JOURNAUX ET PUBLICATIONS PERIODIQUES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154,0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154,0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PAPETERIE ET MATÉRIEL DE DESSIN</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106,5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106,7</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0,2</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096. FORFAITS TOURISTIQUES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124,1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124,2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0,1</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FORFAITS TOURISTIQUES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124,1</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124,2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0,1</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10. ENSEIGNEMENT</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115,8</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115,9</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0,1</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101. ENSEIGNEMENT PRÉÉLÉMENTAIRE ET PRIMAIRE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116,9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116,9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ENSEIGNEMENT PRÉÉLÉMENTAIRE ET PRIMAIRE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116,9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116,9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102. ENSEIGNEMENT SECONDAIRE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153,0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153,0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ENSEIGNEMENT SECONDAIRE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153,0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153,0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103. ENSEIGNEMENT POSTSECONDAIRE NON SUPÉRIEUR</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105,5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106,2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0,6</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ENSEIGNEMENT POSTSECONDAIRE NON SUPÉRIEUR</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105,5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106,2</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0,6</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104. ENSEIGNEMENT SUPÉRIEUR</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111,4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111,4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ENSEIGNEMENT SUPÉRIEUR</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111,4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111,4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105. ENSEIGNEMENT NON DÉFINI PAR NIVEAU</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ENSEIGNEMENT NON DÉFINI PAR NIVEAU</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11. RESTAURANTS ET HÔTELS</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145,1</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148,7</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2,4</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111. SERVICES DE RESTAURATION</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145,4</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149,1</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2,5</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RESTAURANTS, CAFÉS ET ÉTABLISSEMENTS SIMILAIRES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145,5</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148,9</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2,3</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CANTINES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143,2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152,5</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6,5</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112. SERVICES D'HÉBERGEMENT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134,0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134,0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SERVICES D'HÉBERGEMENT</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134,0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134,0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331969" w:rsidRPr="00331969" w:rsidRDefault="00331969" w:rsidP="00331969">
            <w:pPr>
              <w:spacing w:after="0" w:line="240" w:lineRule="auto"/>
              <w:rPr>
                <w:rFonts w:ascii="Times New Roman" w:eastAsia="Times New Roman" w:hAnsi="Times New Roman" w:cs="Times New Roman"/>
                <w:b/>
                <w:bCs/>
                <w:color w:val="8064A2"/>
                <w:sz w:val="16"/>
                <w:szCs w:val="16"/>
                <w:lang w:eastAsia="fr-FR"/>
              </w:rPr>
            </w:pPr>
            <w:r w:rsidRPr="00331969">
              <w:rPr>
                <w:rFonts w:ascii="Times New Roman" w:eastAsia="Times New Roman" w:hAnsi="Times New Roman" w:cs="Times New Roman"/>
                <w:b/>
                <w:bCs/>
                <w:color w:val="8064A2"/>
                <w:sz w:val="16"/>
                <w:szCs w:val="16"/>
                <w:lang w:eastAsia="fr-FR"/>
              </w:rPr>
              <w:t>12. BIENS ET SERVICES DIVERS</w:t>
            </w:r>
          </w:p>
        </w:tc>
        <w:tc>
          <w:tcPr>
            <w:tcW w:w="468"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123,4</w:t>
            </w:r>
          </w:p>
        </w:tc>
        <w:tc>
          <w:tcPr>
            <w:tcW w:w="481"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124,0</w:t>
            </w:r>
          </w:p>
        </w:tc>
        <w:tc>
          <w:tcPr>
            <w:tcW w:w="570" w:type="pct"/>
            <w:tcBorders>
              <w:top w:val="nil"/>
              <w:left w:val="nil"/>
              <w:bottom w:val="single" w:sz="4" w:space="0" w:color="auto"/>
              <w:right w:val="single" w:sz="4" w:space="0" w:color="auto"/>
            </w:tcBorders>
            <w:shd w:val="clear" w:color="000000" w:fill="BFBFBF"/>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0,5</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121. SOINS CORPORELS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139,9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141,3</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SALONS DE COIFFURE ET INSTITUTS DE SOINS ET DE BEAUTÉ</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154,2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156,1</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APPAREILS ELECTRIQUES POUR SOINS CORPORELS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110,8</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110,8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AUTRES APPAREILS, ARTICLES ET PRODUITS POUR SOINS CORPORELS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114,9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115,3</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0,4</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123. EFFETS PERSONNELS N.C.A.</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161,2</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161,8</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0,4</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ARTICLES DE BIJOUTERIE ET HORLOGERIE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167,9</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168,4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0,3</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AUTRES EFFETS PERSONNELS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120,7</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121,4</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0,6</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125. ASSURANCE</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99,6</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99,6</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lastRenderedPageBreak/>
              <w:t>ASSURANCE TRANSPORTS</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99,6</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99,6</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339966"/>
                <w:sz w:val="16"/>
                <w:szCs w:val="16"/>
                <w:lang w:eastAsia="fr-FR"/>
              </w:rPr>
            </w:pPr>
            <w:r w:rsidRPr="00331969">
              <w:rPr>
                <w:rFonts w:ascii="Times New Roman" w:eastAsia="Times New Roman" w:hAnsi="Times New Roman" w:cs="Times New Roman"/>
                <w:b/>
                <w:bCs/>
                <w:color w:val="339966"/>
                <w:sz w:val="16"/>
                <w:szCs w:val="16"/>
                <w:lang w:eastAsia="fr-FR"/>
              </w:rPr>
              <w:t xml:space="preserve">127. AUTRES SERVICES </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331969" w:rsidRPr="00331969" w:rsidRDefault="00331969" w:rsidP="00331969">
            <w:pPr>
              <w:spacing w:after="0" w:line="240" w:lineRule="auto"/>
              <w:rPr>
                <w:rFonts w:ascii="Times New Roman" w:eastAsia="Times New Roman" w:hAnsi="Times New Roman" w:cs="Times New Roman"/>
                <w:b/>
                <w:bCs/>
                <w:color w:val="CC99FF"/>
                <w:sz w:val="16"/>
                <w:szCs w:val="16"/>
                <w:lang w:eastAsia="fr-FR"/>
              </w:rPr>
            </w:pPr>
            <w:r w:rsidRPr="00331969">
              <w:rPr>
                <w:rFonts w:ascii="Times New Roman" w:eastAsia="Times New Roman" w:hAnsi="Times New Roman" w:cs="Times New Roman"/>
                <w:b/>
                <w:bCs/>
                <w:color w:val="CC99FF"/>
                <w:sz w:val="16"/>
                <w:szCs w:val="16"/>
                <w:lang w:eastAsia="fr-FR"/>
              </w:rPr>
              <w:t xml:space="preserve">AUTRES SERVICES </w:t>
            </w:r>
          </w:p>
        </w:tc>
        <w:tc>
          <w:tcPr>
            <w:tcW w:w="468"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481"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100,0</w:t>
            </w:r>
          </w:p>
        </w:tc>
        <w:tc>
          <w:tcPr>
            <w:tcW w:w="570" w:type="pct"/>
            <w:tcBorders>
              <w:top w:val="nil"/>
              <w:left w:val="nil"/>
              <w:bottom w:val="single" w:sz="4" w:space="0" w:color="auto"/>
              <w:right w:val="single" w:sz="4" w:space="0" w:color="auto"/>
            </w:tcBorders>
            <w:shd w:val="clear" w:color="auto" w:fill="auto"/>
            <w:vAlign w:val="center"/>
            <w:hideMark/>
          </w:tcPr>
          <w:p w:rsidR="00331969" w:rsidRPr="0031503A" w:rsidRDefault="00331969" w:rsidP="00331969">
            <w:pPr>
              <w:spacing w:after="0" w:line="240" w:lineRule="auto"/>
              <w:jc w:val="right"/>
              <w:rPr>
                <w:rFonts w:asciiTheme="majorBidi" w:eastAsia="Times New Roman" w:hAnsiTheme="majorBidi" w:cstheme="majorBidi"/>
                <w:color w:val="000000"/>
                <w:sz w:val="20"/>
                <w:szCs w:val="20"/>
                <w:lang w:eastAsia="fr-FR"/>
              </w:rPr>
            </w:pPr>
            <w:r w:rsidRPr="0031503A">
              <w:rPr>
                <w:rFonts w:asciiTheme="majorBidi" w:eastAsia="Times New Roman" w:hAnsiTheme="majorBidi" w:cstheme="majorBidi"/>
                <w:color w:val="000000"/>
                <w:sz w:val="20"/>
                <w:szCs w:val="20"/>
                <w:lang w:eastAsia="fr-FR"/>
              </w:rPr>
              <w:t>0,0</w:t>
            </w:r>
          </w:p>
        </w:tc>
      </w:tr>
      <w:tr w:rsidR="00331969" w:rsidRPr="00331969" w:rsidTr="0031503A">
        <w:trPr>
          <w:trHeight w:val="315"/>
        </w:trPr>
        <w:tc>
          <w:tcPr>
            <w:tcW w:w="3481" w:type="pct"/>
            <w:tcBorders>
              <w:top w:val="nil"/>
              <w:left w:val="single" w:sz="4" w:space="0" w:color="auto"/>
              <w:bottom w:val="single" w:sz="4" w:space="0" w:color="auto"/>
              <w:right w:val="single" w:sz="4" w:space="0" w:color="auto"/>
            </w:tcBorders>
            <w:shd w:val="clear" w:color="000000" w:fill="A5A5A5"/>
            <w:vAlign w:val="center"/>
            <w:hideMark/>
          </w:tcPr>
          <w:p w:rsidR="00331969" w:rsidRPr="00331969" w:rsidRDefault="00331969" w:rsidP="00331969">
            <w:pPr>
              <w:spacing w:after="0" w:line="240" w:lineRule="auto"/>
              <w:rPr>
                <w:rFonts w:ascii="Times New Roman" w:eastAsia="Times New Roman" w:hAnsi="Times New Roman" w:cs="Times New Roman"/>
                <w:b/>
                <w:bCs/>
                <w:color w:val="993366"/>
                <w:sz w:val="16"/>
                <w:szCs w:val="16"/>
                <w:lang w:eastAsia="fr-FR"/>
              </w:rPr>
            </w:pPr>
            <w:r w:rsidRPr="00331969">
              <w:rPr>
                <w:rFonts w:ascii="Times New Roman" w:eastAsia="Times New Roman" w:hAnsi="Times New Roman" w:cs="Times New Roman"/>
                <w:b/>
                <w:bCs/>
                <w:color w:val="993366"/>
                <w:sz w:val="16"/>
                <w:szCs w:val="16"/>
                <w:lang w:eastAsia="fr-FR"/>
              </w:rPr>
              <w:t>INDICE GENERAL</w:t>
            </w:r>
          </w:p>
        </w:tc>
        <w:tc>
          <w:tcPr>
            <w:tcW w:w="468" w:type="pct"/>
            <w:tcBorders>
              <w:top w:val="nil"/>
              <w:left w:val="nil"/>
              <w:bottom w:val="single" w:sz="4" w:space="0" w:color="auto"/>
              <w:right w:val="single" w:sz="4" w:space="0" w:color="auto"/>
            </w:tcBorders>
            <w:shd w:val="clear" w:color="000000" w:fill="A5A5A5"/>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116,0</w:t>
            </w:r>
          </w:p>
        </w:tc>
        <w:tc>
          <w:tcPr>
            <w:tcW w:w="481" w:type="pct"/>
            <w:tcBorders>
              <w:top w:val="nil"/>
              <w:left w:val="nil"/>
              <w:bottom w:val="single" w:sz="4" w:space="0" w:color="auto"/>
              <w:right w:val="single" w:sz="4" w:space="0" w:color="auto"/>
            </w:tcBorders>
            <w:shd w:val="clear" w:color="000000" w:fill="A5A5A5"/>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116,5</w:t>
            </w:r>
          </w:p>
        </w:tc>
        <w:tc>
          <w:tcPr>
            <w:tcW w:w="570" w:type="pct"/>
            <w:tcBorders>
              <w:top w:val="nil"/>
              <w:left w:val="nil"/>
              <w:bottom w:val="single" w:sz="4" w:space="0" w:color="auto"/>
              <w:right w:val="single" w:sz="4" w:space="0" w:color="auto"/>
            </w:tcBorders>
            <w:shd w:val="clear" w:color="000000" w:fill="A5A5A5"/>
            <w:vAlign w:val="center"/>
            <w:hideMark/>
          </w:tcPr>
          <w:p w:rsidR="00331969" w:rsidRPr="0031503A" w:rsidRDefault="00331969" w:rsidP="00331969">
            <w:pPr>
              <w:spacing w:after="0" w:line="240" w:lineRule="auto"/>
              <w:jc w:val="right"/>
              <w:rPr>
                <w:rFonts w:asciiTheme="majorBidi" w:eastAsia="Times New Roman" w:hAnsiTheme="majorBidi" w:cstheme="majorBidi"/>
                <w:b/>
                <w:bCs/>
                <w:color w:val="000000"/>
                <w:sz w:val="20"/>
                <w:szCs w:val="20"/>
                <w:lang w:eastAsia="fr-FR"/>
              </w:rPr>
            </w:pPr>
            <w:r w:rsidRPr="0031503A">
              <w:rPr>
                <w:rFonts w:asciiTheme="majorBidi" w:eastAsia="Times New Roman" w:hAnsiTheme="majorBidi" w:cstheme="majorBidi"/>
                <w:b/>
                <w:bCs/>
                <w:color w:val="000000"/>
                <w:sz w:val="20"/>
                <w:szCs w:val="20"/>
                <w:lang w:eastAsia="fr-FR"/>
              </w:rPr>
              <w:t>0,4</w:t>
            </w:r>
          </w:p>
        </w:tc>
      </w:tr>
    </w:tbl>
    <w:p w:rsidR="00AE1AFA" w:rsidRDefault="00AE1AFA" w:rsidP="00F7045D"/>
    <w:p w:rsidR="00331969" w:rsidRPr="00F67555" w:rsidRDefault="00331969" w:rsidP="00BD5911">
      <w:pPr>
        <w:rPr>
          <w:vanish/>
          <w:specVanish/>
        </w:rPr>
      </w:pPr>
    </w:p>
    <w:p w:rsidR="00BD5911" w:rsidRDefault="00BD5911" w:rsidP="004F39E8">
      <w:pPr>
        <w:spacing w:after="0" w:line="240" w:lineRule="auto"/>
        <w:rPr>
          <w:rFonts w:asciiTheme="majorBidi" w:hAnsiTheme="majorBidi" w:cstheme="majorBidi"/>
          <w:b/>
          <w:bCs/>
          <w:color w:val="4F81BD" w:themeColor="accent1"/>
        </w:rPr>
        <w:sectPr w:rsidR="00BD5911" w:rsidSect="007B49E0">
          <w:footerReference w:type="default" r:id="rId19"/>
          <w:pgSz w:w="11906" w:h="16838"/>
          <w:pgMar w:top="1701" w:right="1274" w:bottom="1701" w:left="1418" w:header="709" w:footer="709" w:gutter="0"/>
          <w:cols w:space="708"/>
          <w:titlePg/>
          <w:docGrid w:linePitch="360"/>
        </w:sectPr>
      </w:pPr>
    </w:p>
    <w:tbl>
      <w:tblPr>
        <w:tblW w:w="5000" w:type="pct"/>
        <w:tblCellMar>
          <w:left w:w="70" w:type="dxa"/>
          <w:right w:w="70" w:type="dxa"/>
        </w:tblCellMar>
        <w:tblLook w:val="04A0"/>
      </w:tblPr>
      <w:tblGrid>
        <w:gridCol w:w="3227"/>
        <w:gridCol w:w="790"/>
        <w:gridCol w:w="790"/>
        <w:gridCol w:w="798"/>
        <w:gridCol w:w="790"/>
        <w:gridCol w:w="790"/>
        <w:gridCol w:w="790"/>
        <w:gridCol w:w="790"/>
        <w:gridCol w:w="790"/>
        <w:gridCol w:w="790"/>
        <w:gridCol w:w="790"/>
        <w:gridCol w:w="790"/>
        <w:gridCol w:w="793"/>
        <w:gridCol w:w="858"/>
      </w:tblGrid>
      <w:tr w:rsidR="000247A5" w:rsidRPr="00951E73" w:rsidTr="000247A5">
        <w:trPr>
          <w:trHeight w:val="390"/>
        </w:trPr>
        <w:tc>
          <w:tcPr>
            <w:tcW w:w="5000" w:type="pct"/>
            <w:gridSpan w:val="14"/>
            <w:tcBorders>
              <w:top w:val="nil"/>
              <w:left w:val="nil"/>
              <w:bottom w:val="single" w:sz="8" w:space="0" w:color="auto"/>
              <w:right w:val="nil"/>
            </w:tcBorders>
            <w:shd w:val="clear" w:color="auto" w:fill="auto"/>
            <w:noWrap/>
            <w:vAlign w:val="bottom"/>
            <w:hideMark/>
          </w:tcPr>
          <w:p w:rsidR="000247A5" w:rsidRPr="00951E73" w:rsidRDefault="00951E73" w:rsidP="004F39E8">
            <w:pPr>
              <w:spacing w:after="0" w:line="240" w:lineRule="auto"/>
              <w:rPr>
                <w:rFonts w:asciiTheme="majorBidi" w:eastAsia="Times New Roman" w:hAnsiTheme="majorBidi" w:cstheme="majorBidi"/>
                <w:b/>
                <w:bCs/>
                <w:color w:val="4F81BD" w:themeColor="accent1"/>
                <w:lang w:eastAsia="fr-FR"/>
              </w:rPr>
            </w:pPr>
            <w:bookmarkStart w:id="47" w:name="_Toc515274114"/>
            <w:r w:rsidRPr="00951E73">
              <w:rPr>
                <w:rFonts w:asciiTheme="majorBidi" w:hAnsiTheme="majorBidi" w:cstheme="majorBidi"/>
                <w:b/>
                <w:bCs/>
                <w:color w:val="4F81BD" w:themeColor="accent1"/>
              </w:rPr>
              <w:lastRenderedPageBreak/>
              <w:t xml:space="preserve">Tableau A </w:t>
            </w:r>
            <w:r w:rsidR="001022E9" w:rsidRPr="00951E73">
              <w:rPr>
                <w:rFonts w:asciiTheme="majorBidi" w:hAnsiTheme="majorBidi" w:cstheme="majorBidi"/>
                <w:b/>
                <w:bCs/>
                <w:color w:val="4F81BD" w:themeColor="accent1"/>
              </w:rPr>
              <w:fldChar w:fldCharType="begin"/>
            </w:r>
            <w:r w:rsidRPr="00951E73">
              <w:rPr>
                <w:rFonts w:asciiTheme="majorBidi" w:hAnsiTheme="majorBidi" w:cstheme="majorBidi"/>
                <w:b/>
                <w:bCs/>
                <w:color w:val="4F81BD" w:themeColor="accent1"/>
              </w:rPr>
              <w:instrText xml:space="preserve"> SEQ Tableau_A \* ARABIC </w:instrText>
            </w:r>
            <w:r w:rsidR="001022E9" w:rsidRPr="00951E73">
              <w:rPr>
                <w:rFonts w:asciiTheme="majorBidi" w:hAnsiTheme="majorBidi" w:cstheme="majorBidi"/>
                <w:b/>
                <w:bCs/>
                <w:color w:val="4F81BD" w:themeColor="accent1"/>
              </w:rPr>
              <w:fldChar w:fldCharType="separate"/>
            </w:r>
            <w:r w:rsidR="00156FC8">
              <w:rPr>
                <w:rFonts w:asciiTheme="majorBidi" w:hAnsiTheme="majorBidi" w:cstheme="majorBidi"/>
                <w:b/>
                <w:bCs/>
                <w:noProof/>
                <w:color w:val="4F81BD" w:themeColor="accent1"/>
              </w:rPr>
              <w:t>2</w:t>
            </w:r>
            <w:r w:rsidR="001022E9" w:rsidRPr="00951E73">
              <w:rPr>
                <w:rFonts w:asciiTheme="majorBidi" w:hAnsiTheme="majorBidi" w:cstheme="majorBidi"/>
                <w:b/>
                <w:bCs/>
                <w:color w:val="4F81BD" w:themeColor="accent1"/>
              </w:rPr>
              <w:fldChar w:fldCharType="end"/>
            </w:r>
            <w:r w:rsidRPr="00951E73">
              <w:rPr>
                <w:rFonts w:asciiTheme="majorBidi" w:hAnsiTheme="majorBidi" w:cstheme="majorBidi"/>
                <w:b/>
                <w:bCs/>
                <w:color w:val="4F81BD" w:themeColor="accent1"/>
              </w:rPr>
              <w:t xml:space="preserve"> : </w:t>
            </w:r>
            <w:r w:rsidR="000247A5" w:rsidRPr="00951E73">
              <w:rPr>
                <w:rFonts w:asciiTheme="majorBidi" w:eastAsia="Times New Roman" w:hAnsiTheme="majorBidi" w:cstheme="majorBidi"/>
                <w:b/>
                <w:bCs/>
                <w:color w:val="4F81BD" w:themeColor="accent1"/>
                <w:lang w:eastAsia="fr-FR"/>
              </w:rPr>
              <w:t>IPC de la ville de Kénitra par division et par mois</w:t>
            </w:r>
            <w:r w:rsidR="00F67E78">
              <w:rPr>
                <w:rFonts w:asciiTheme="majorBidi" w:eastAsia="Times New Roman" w:hAnsiTheme="majorBidi" w:cstheme="majorBidi"/>
                <w:b/>
                <w:bCs/>
                <w:color w:val="4F81BD" w:themeColor="accent1"/>
                <w:lang w:eastAsia="fr-FR"/>
              </w:rPr>
              <w:t xml:space="preserve"> </w:t>
            </w:r>
            <w:r w:rsidR="000247A5" w:rsidRPr="00951E73">
              <w:rPr>
                <w:rFonts w:asciiTheme="majorBidi" w:eastAsia="Times New Roman" w:hAnsiTheme="majorBidi" w:cstheme="majorBidi"/>
                <w:b/>
                <w:bCs/>
                <w:color w:val="4F81BD" w:themeColor="accent1"/>
                <w:lang w:eastAsia="fr-FR"/>
              </w:rPr>
              <w:t>- Année 2017-</w:t>
            </w:r>
            <w:bookmarkEnd w:id="47"/>
          </w:p>
        </w:tc>
      </w:tr>
      <w:tr w:rsidR="000247A5" w:rsidRPr="000247A5" w:rsidTr="00F67B0C">
        <w:trPr>
          <w:trHeight w:val="595"/>
        </w:trPr>
        <w:tc>
          <w:tcPr>
            <w:tcW w:w="1188"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0247A5" w:rsidRPr="00FD10A2" w:rsidRDefault="000247A5" w:rsidP="004F39E8">
            <w:pPr>
              <w:spacing w:after="0" w:line="240" w:lineRule="auto"/>
              <w:rPr>
                <w:rFonts w:ascii="Times New Roman" w:eastAsia="Times New Roman" w:hAnsi="Times New Roman" w:cs="Times New Roman"/>
                <w:b/>
                <w:bCs/>
                <w:sz w:val="20"/>
                <w:szCs w:val="20"/>
                <w:lang w:eastAsia="fr-FR"/>
              </w:rPr>
            </w:pPr>
            <w:r w:rsidRPr="00FD10A2">
              <w:rPr>
                <w:rFonts w:ascii="Times New Roman" w:eastAsia="Times New Roman" w:hAnsi="Times New Roman" w:cs="Times New Roman"/>
                <w:b/>
                <w:bCs/>
                <w:sz w:val="20"/>
                <w:szCs w:val="20"/>
                <w:lang w:eastAsia="fr-FR"/>
              </w:rPr>
              <w:t xml:space="preserve"> 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Jan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Fev</w:t>
            </w:r>
          </w:p>
        </w:tc>
        <w:tc>
          <w:tcPr>
            <w:tcW w:w="294"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Mars</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Avr</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Mai</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Juin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Jul</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Août</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Sep</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Oct</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Nov</w:t>
            </w:r>
          </w:p>
        </w:tc>
        <w:tc>
          <w:tcPr>
            <w:tcW w:w="292" w:type="pct"/>
            <w:tcBorders>
              <w:top w:val="single" w:sz="8" w:space="0" w:color="auto"/>
              <w:left w:val="single" w:sz="8" w:space="0" w:color="auto"/>
              <w:bottom w:val="single" w:sz="8" w:space="0" w:color="auto"/>
              <w:right w:val="nil"/>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Dec</w:t>
            </w:r>
          </w:p>
        </w:tc>
        <w:tc>
          <w:tcPr>
            <w:tcW w:w="313"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Moy</w:t>
            </w:r>
          </w:p>
        </w:tc>
      </w:tr>
      <w:tr w:rsidR="000247A5" w:rsidRPr="000247A5" w:rsidTr="00F67B0C">
        <w:trPr>
          <w:trHeight w:val="744"/>
        </w:trPr>
        <w:tc>
          <w:tcPr>
            <w:tcW w:w="11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125,6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123,7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123,2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123,2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126,8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125,5</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126,8</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128,3</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124,8</w:t>
            </w:r>
          </w:p>
        </w:tc>
      </w:tr>
      <w:tr w:rsidR="000247A5" w:rsidRPr="000247A5" w:rsidTr="00F67B0C">
        <w:trPr>
          <w:trHeight w:val="69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123,5</w:t>
            </w:r>
          </w:p>
        </w:tc>
      </w:tr>
      <w:tr w:rsidR="000247A5" w:rsidRPr="000247A5" w:rsidTr="008B74DA">
        <w:trPr>
          <w:trHeight w:val="642"/>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110,2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110,2</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110,3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110,3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111,5</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111,6</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111,8</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111,1</w:t>
            </w:r>
          </w:p>
        </w:tc>
      </w:tr>
      <w:tr w:rsidR="000247A5" w:rsidRPr="000247A5" w:rsidTr="008B74DA">
        <w:trPr>
          <w:trHeight w:val="695"/>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108,5</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108,5</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108,5</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108,5</w:t>
            </w:r>
          </w:p>
        </w:tc>
      </w:tr>
      <w:tr w:rsidR="000247A5" w:rsidRPr="000247A5" w:rsidTr="008B74DA">
        <w:trPr>
          <w:trHeight w:val="549"/>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107,1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107,1</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107,1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106,5</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106,5</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106,5</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106,7</w:t>
            </w:r>
          </w:p>
        </w:tc>
      </w:tr>
      <w:tr w:rsidR="000247A5" w:rsidRPr="000247A5" w:rsidTr="00F67B0C">
        <w:trPr>
          <w:trHeight w:val="41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109,2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109,2</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112,2</w:t>
            </w:r>
          </w:p>
        </w:tc>
      </w:tr>
      <w:tr w:rsidR="000247A5" w:rsidRPr="000247A5" w:rsidTr="00F67B0C">
        <w:trPr>
          <w:trHeight w:val="419"/>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113,6</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114,7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113,5</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113,1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113,7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114,4</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113,4</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113,3</w:t>
            </w:r>
          </w:p>
        </w:tc>
      </w:tr>
      <w:tr w:rsidR="000247A5" w:rsidRPr="000247A5" w:rsidTr="00F67B0C">
        <w:trPr>
          <w:trHeight w:val="397"/>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58,6</w:t>
            </w:r>
          </w:p>
        </w:tc>
      </w:tr>
      <w:tr w:rsidR="000247A5" w:rsidRPr="000247A5" w:rsidTr="00F67B0C">
        <w:trPr>
          <w:trHeight w:val="431"/>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101,9</w:t>
            </w:r>
          </w:p>
        </w:tc>
      </w:tr>
      <w:tr w:rsidR="000247A5" w:rsidRPr="000247A5" w:rsidTr="008B74DA">
        <w:trPr>
          <w:trHeight w:val="28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116,1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116,1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116,1</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116,1</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115,9</w:t>
            </w:r>
          </w:p>
        </w:tc>
      </w:tr>
      <w:tr w:rsidR="000247A5" w:rsidRPr="000247A5" w:rsidTr="008B74DA">
        <w:trPr>
          <w:trHeight w:val="414"/>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147,0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146,2</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146,2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147,8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148,0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148,0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148,0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148,0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149,2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150,3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152,7</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152,7</w:t>
            </w:r>
          </w:p>
        </w:tc>
        <w:tc>
          <w:tcPr>
            <w:tcW w:w="313"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148,7</w:t>
            </w:r>
          </w:p>
        </w:tc>
      </w:tr>
      <w:tr w:rsidR="000247A5" w:rsidRPr="000247A5" w:rsidTr="008B74DA">
        <w:trPr>
          <w:trHeight w:val="491"/>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8"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8"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124,1</w:t>
            </w:r>
          </w:p>
        </w:tc>
        <w:tc>
          <w:tcPr>
            <w:tcW w:w="292" w:type="pct"/>
            <w:tcBorders>
              <w:top w:val="nil"/>
              <w:left w:val="nil"/>
              <w:bottom w:val="single" w:sz="8"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124,1</w:t>
            </w:r>
          </w:p>
        </w:tc>
        <w:tc>
          <w:tcPr>
            <w:tcW w:w="313" w:type="pct"/>
            <w:tcBorders>
              <w:top w:val="nil"/>
              <w:left w:val="nil"/>
              <w:bottom w:val="single" w:sz="8"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Calibri" w:eastAsia="Times New Roman" w:hAnsi="Calibri" w:cs="Simplified Arabic"/>
                <w:b/>
                <w:bCs/>
                <w:sz w:val="18"/>
                <w:szCs w:val="18"/>
                <w:lang w:eastAsia="fr-FR"/>
              </w:rPr>
            </w:pPr>
            <w:r w:rsidRPr="000247A5">
              <w:rPr>
                <w:rFonts w:ascii="Calibri" w:eastAsia="Times New Roman" w:hAnsi="Calibri" w:cs="Simplified Arabic" w:hint="cs"/>
                <w:b/>
                <w:bCs/>
                <w:sz w:val="18"/>
                <w:szCs w:val="18"/>
                <w:lang w:eastAsia="fr-FR"/>
              </w:rPr>
              <w:t>124,0</w:t>
            </w:r>
          </w:p>
        </w:tc>
      </w:tr>
      <w:tr w:rsidR="000247A5" w:rsidRPr="000247A5" w:rsidTr="008B74DA">
        <w:trPr>
          <w:trHeight w:val="533"/>
        </w:trPr>
        <w:tc>
          <w:tcPr>
            <w:tcW w:w="1188"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116,4</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116,1</w:t>
            </w:r>
          </w:p>
        </w:tc>
        <w:tc>
          <w:tcPr>
            <w:tcW w:w="294"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115,8</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115,7</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116,1</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116,3</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115,7</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115,8</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117,3</w:t>
            </w:r>
          </w:p>
        </w:tc>
        <w:tc>
          <w:tcPr>
            <w:tcW w:w="291" w:type="pct"/>
            <w:tcBorders>
              <w:top w:val="nil"/>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116,9</w:t>
            </w:r>
          </w:p>
        </w:tc>
        <w:tc>
          <w:tcPr>
            <w:tcW w:w="291" w:type="pct"/>
            <w:tcBorders>
              <w:top w:val="nil"/>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117,6</w:t>
            </w:r>
          </w:p>
        </w:tc>
        <w:tc>
          <w:tcPr>
            <w:tcW w:w="292" w:type="pct"/>
            <w:tcBorders>
              <w:top w:val="nil"/>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118,1</w:t>
            </w:r>
          </w:p>
        </w:tc>
        <w:tc>
          <w:tcPr>
            <w:tcW w:w="313" w:type="pct"/>
            <w:tcBorders>
              <w:top w:val="nil"/>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116,5</w:t>
            </w:r>
          </w:p>
        </w:tc>
      </w:tr>
    </w:tbl>
    <w:p w:rsidR="00F67B0C" w:rsidRDefault="00F67B0C">
      <w:r>
        <w:br w:type="page"/>
      </w:r>
    </w:p>
    <w:tbl>
      <w:tblPr>
        <w:tblW w:w="5000" w:type="pct"/>
        <w:tblCellMar>
          <w:left w:w="70" w:type="dxa"/>
          <w:right w:w="70" w:type="dxa"/>
        </w:tblCellMar>
        <w:tblLook w:val="04A0"/>
      </w:tblPr>
      <w:tblGrid>
        <w:gridCol w:w="3257"/>
        <w:gridCol w:w="790"/>
        <w:gridCol w:w="790"/>
        <w:gridCol w:w="798"/>
        <w:gridCol w:w="790"/>
        <w:gridCol w:w="790"/>
        <w:gridCol w:w="790"/>
        <w:gridCol w:w="790"/>
        <w:gridCol w:w="790"/>
        <w:gridCol w:w="790"/>
        <w:gridCol w:w="790"/>
        <w:gridCol w:w="790"/>
        <w:gridCol w:w="790"/>
        <w:gridCol w:w="831"/>
      </w:tblGrid>
      <w:tr w:rsidR="000247A5" w:rsidRPr="00BC2DF5" w:rsidTr="000247A5">
        <w:trPr>
          <w:trHeight w:val="390"/>
        </w:trPr>
        <w:tc>
          <w:tcPr>
            <w:tcW w:w="5000" w:type="pct"/>
            <w:gridSpan w:val="14"/>
            <w:tcBorders>
              <w:top w:val="nil"/>
              <w:left w:val="nil"/>
              <w:bottom w:val="single" w:sz="8" w:space="0" w:color="auto"/>
              <w:right w:val="nil"/>
            </w:tcBorders>
            <w:shd w:val="clear" w:color="auto" w:fill="auto"/>
            <w:noWrap/>
            <w:vAlign w:val="bottom"/>
            <w:hideMark/>
          </w:tcPr>
          <w:p w:rsidR="000247A5" w:rsidRPr="00951E73" w:rsidRDefault="00951E73" w:rsidP="00BC2DF5">
            <w:pPr>
              <w:spacing w:after="0" w:line="240" w:lineRule="auto"/>
              <w:rPr>
                <w:rFonts w:asciiTheme="majorBidi" w:eastAsia="Times New Roman" w:hAnsiTheme="majorBidi" w:cstheme="majorBidi"/>
                <w:b/>
                <w:bCs/>
                <w:color w:val="4F81BD" w:themeColor="accent1"/>
                <w:lang w:eastAsia="fr-FR"/>
              </w:rPr>
            </w:pPr>
            <w:bookmarkStart w:id="48" w:name="_Toc515274115"/>
            <w:r w:rsidRPr="00951E73">
              <w:rPr>
                <w:rFonts w:asciiTheme="majorBidi" w:hAnsiTheme="majorBidi" w:cstheme="majorBidi"/>
                <w:b/>
                <w:bCs/>
                <w:color w:val="4F81BD" w:themeColor="accent1"/>
              </w:rPr>
              <w:lastRenderedPageBreak/>
              <w:t xml:space="preserve">Tableau A </w:t>
            </w:r>
            <w:r w:rsidR="001022E9" w:rsidRPr="00951E73">
              <w:rPr>
                <w:rFonts w:asciiTheme="majorBidi" w:hAnsiTheme="majorBidi" w:cstheme="majorBidi"/>
                <w:b/>
                <w:bCs/>
                <w:color w:val="4F81BD" w:themeColor="accent1"/>
              </w:rPr>
              <w:fldChar w:fldCharType="begin"/>
            </w:r>
            <w:r w:rsidRPr="00951E73">
              <w:rPr>
                <w:rFonts w:asciiTheme="majorBidi" w:hAnsiTheme="majorBidi" w:cstheme="majorBidi"/>
                <w:b/>
                <w:bCs/>
                <w:color w:val="4F81BD" w:themeColor="accent1"/>
              </w:rPr>
              <w:instrText xml:space="preserve"> SEQ Tableau_A \* ARABIC </w:instrText>
            </w:r>
            <w:r w:rsidR="001022E9" w:rsidRPr="00951E73">
              <w:rPr>
                <w:rFonts w:asciiTheme="majorBidi" w:hAnsiTheme="majorBidi" w:cstheme="majorBidi"/>
                <w:b/>
                <w:bCs/>
                <w:color w:val="4F81BD" w:themeColor="accent1"/>
              </w:rPr>
              <w:fldChar w:fldCharType="separate"/>
            </w:r>
            <w:r w:rsidR="00156FC8">
              <w:rPr>
                <w:rFonts w:asciiTheme="majorBidi" w:hAnsiTheme="majorBidi" w:cstheme="majorBidi"/>
                <w:b/>
                <w:bCs/>
                <w:noProof/>
                <w:color w:val="4F81BD" w:themeColor="accent1"/>
              </w:rPr>
              <w:t>3</w:t>
            </w:r>
            <w:r w:rsidR="001022E9" w:rsidRPr="00951E73">
              <w:rPr>
                <w:rFonts w:asciiTheme="majorBidi" w:hAnsiTheme="majorBidi" w:cstheme="majorBidi"/>
                <w:b/>
                <w:bCs/>
                <w:color w:val="4F81BD" w:themeColor="accent1"/>
              </w:rPr>
              <w:fldChar w:fldCharType="end"/>
            </w:r>
            <w:r w:rsidRPr="00951E73">
              <w:rPr>
                <w:rFonts w:asciiTheme="majorBidi" w:hAnsiTheme="majorBidi" w:cstheme="majorBidi"/>
                <w:b/>
                <w:bCs/>
                <w:color w:val="4F81BD" w:themeColor="accent1"/>
              </w:rPr>
              <w:t xml:space="preserve"> : </w:t>
            </w:r>
            <w:r w:rsidR="000247A5" w:rsidRPr="00951E73">
              <w:rPr>
                <w:rFonts w:asciiTheme="majorBidi" w:eastAsia="Times New Roman" w:hAnsiTheme="majorBidi" w:cstheme="majorBidi"/>
                <w:b/>
                <w:bCs/>
                <w:color w:val="4F81BD" w:themeColor="accent1"/>
                <w:lang w:eastAsia="fr-FR"/>
              </w:rPr>
              <w:t>IPC de la ville de Kénitra par division et par mois</w:t>
            </w:r>
            <w:r w:rsidR="00F67E78">
              <w:rPr>
                <w:rFonts w:asciiTheme="majorBidi" w:eastAsia="Times New Roman" w:hAnsiTheme="majorBidi" w:cstheme="majorBidi"/>
                <w:b/>
                <w:bCs/>
                <w:color w:val="4F81BD" w:themeColor="accent1"/>
                <w:lang w:eastAsia="fr-FR"/>
              </w:rPr>
              <w:t xml:space="preserve"> </w:t>
            </w:r>
            <w:r w:rsidR="000247A5" w:rsidRPr="00951E73">
              <w:rPr>
                <w:rFonts w:asciiTheme="majorBidi" w:eastAsia="Times New Roman" w:hAnsiTheme="majorBidi" w:cstheme="majorBidi"/>
                <w:b/>
                <w:bCs/>
                <w:color w:val="4F81BD" w:themeColor="accent1"/>
                <w:lang w:eastAsia="fr-FR"/>
              </w:rPr>
              <w:t>- Année 2016-</w:t>
            </w:r>
            <w:bookmarkEnd w:id="48"/>
          </w:p>
        </w:tc>
      </w:tr>
      <w:tr w:rsidR="000247A5" w:rsidRPr="00E678BE" w:rsidTr="00F67B0C">
        <w:trPr>
          <w:trHeight w:val="586"/>
        </w:trPr>
        <w:tc>
          <w:tcPr>
            <w:tcW w:w="1199"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Fev</w:t>
            </w:r>
          </w:p>
        </w:tc>
        <w:tc>
          <w:tcPr>
            <w:tcW w:w="294"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Avr</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Jul</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Oct</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Nov</w:t>
            </w:r>
          </w:p>
        </w:tc>
        <w:tc>
          <w:tcPr>
            <w:tcW w:w="291" w:type="pct"/>
            <w:tcBorders>
              <w:top w:val="single" w:sz="8" w:space="0" w:color="auto"/>
              <w:left w:val="single" w:sz="8" w:space="0" w:color="auto"/>
              <w:bottom w:val="single" w:sz="8" w:space="0" w:color="auto"/>
              <w:right w:val="nil"/>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Dec</w:t>
            </w:r>
          </w:p>
        </w:tc>
        <w:tc>
          <w:tcPr>
            <w:tcW w:w="302"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Moy</w:t>
            </w:r>
          </w:p>
        </w:tc>
      </w:tr>
      <w:tr w:rsidR="000247A5" w:rsidRPr="00E678BE" w:rsidTr="008B74DA">
        <w:trPr>
          <w:trHeight w:val="542"/>
        </w:trPr>
        <w:tc>
          <w:tcPr>
            <w:tcW w:w="11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122,6</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127,5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125,7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126,4</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125,9</w:t>
            </w:r>
          </w:p>
        </w:tc>
      </w:tr>
      <w:tr w:rsidR="000247A5" w:rsidRPr="00E678BE" w:rsidTr="00F67B0C">
        <w:trPr>
          <w:trHeight w:val="657"/>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122,4</w:t>
            </w:r>
          </w:p>
        </w:tc>
      </w:tr>
      <w:tr w:rsidR="000247A5" w:rsidRPr="00E678BE" w:rsidTr="008B74DA">
        <w:trPr>
          <w:trHeight w:val="596"/>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110,2</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109,8</w:t>
            </w:r>
          </w:p>
        </w:tc>
      </w:tr>
      <w:tr w:rsidR="000247A5" w:rsidRPr="00E678BE" w:rsidTr="008B74DA">
        <w:trPr>
          <w:trHeight w:val="704"/>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107,5</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107,7</w:t>
            </w:r>
          </w:p>
        </w:tc>
      </w:tr>
      <w:tr w:rsidR="000247A5" w:rsidRPr="00E678BE" w:rsidTr="00F67B0C">
        <w:trPr>
          <w:trHeight w:val="705"/>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106,5</w:t>
            </w:r>
          </w:p>
        </w:tc>
      </w:tr>
      <w:tr w:rsidR="000247A5" w:rsidRPr="00E678BE" w:rsidTr="008B74DA">
        <w:trPr>
          <w:trHeight w:val="399"/>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108,9</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108,8</w:t>
            </w:r>
          </w:p>
        </w:tc>
      </w:tr>
      <w:tr w:rsidR="000247A5" w:rsidRPr="00E678BE" w:rsidTr="00F67B0C">
        <w:trPr>
          <w:trHeight w:val="425"/>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106,7</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111,4</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109,6</w:t>
            </w:r>
          </w:p>
        </w:tc>
      </w:tr>
      <w:tr w:rsidR="000247A5" w:rsidRPr="00E678BE" w:rsidTr="00F67B0C">
        <w:trPr>
          <w:trHeight w:val="417"/>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58,6</w:t>
            </w:r>
          </w:p>
        </w:tc>
      </w:tr>
      <w:tr w:rsidR="000247A5" w:rsidRPr="00E678BE" w:rsidTr="00F67B0C">
        <w:trPr>
          <w:trHeight w:val="410"/>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101,8</w:t>
            </w:r>
          </w:p>
        </w:tc>
      </w:tr>
      <w:tr w:rsidR="000247A5" w:rsidRPr="00E678BE" w:rsidTr="00F67B0C">
        <w:trPr>
          <w:trHeight w:val="415"/>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115,8</w:t>
            </w:r>
          </w:p>
        </w:tc>
      </w:tr>
      <w:tr w:rsidR="000247A5" w:rsidRPr="00E678BE" w:rsidTr="00F67B0C">
        <w:trPr>
          <w:trHeight w:val="407"/>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145,4</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145,1</w:t>
            </w:r>
          </w:p>
        </w:tc>
      </w:tr>
      <w:tr w:rsidR="000247A5" w:rsidRPr="00E678BE" w:rsidTr="00F67B0C">
        <w:trPr>
          <w:trHeight w:val="415"/>
        </w:trPr>
        <w:tc>
          <w:tcPr>
            <w:tcW w:w="1199"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124,0</w:t>
            </w:r>
          </w:p>
        </w:tc>
        <w:tc>
          <w:tcPr>
            <w:tcW w:w="302"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123,4</w:t>
            </w:r>
          </w:p>
        </w:tc>
      </w:tr>
      <w:tr w:rsidR="000247A5" w:rsidRPr="00E678BE" w:rsidTr="008B74DA">
        <w:trPr>
          <w:trHeight w:val="559"/>
        </w:trPr>
        <w:tc>
          <w:tcPr>
            <w:tcW w:w="1199"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4F39E8">
            <w:pPr>
              <w:spacing w:after="0" w:line="240" w:lineRule="auto"/>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114,2</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117,3</w:t>
            </w:r>
          </w:p>
        </w:tc>
        <w:tc>
          <w:tcPr>
            <w:tcW w:w="291" w:type="pct"/>
            <w:tcBorders>
              <w:top w:val="single" w:sz="4"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116,4</w:t>
            </w:r>
          </w:p>
        </w:tc>
        <w:tc>
          <w:tcPr>
            <w:tcW w:w="291" w:type="pct"/>
            <w:tcBorders>
              <w:top w:val="single" w:sz="4"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116,2</w:t>
            </w:r>
          </w:p>
        </w:tc>
        <w:tc>
          <w:tcPr>
            <w:tcW w:w="291" w:type="pct"/>
            <w:tcBorders>
              <w:top w:val="single" w:sz="4"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116,5</w:t>
            </w:r>
          </w:p>
        </w:tc>
        <w:tc>
          <w:tcPr>
            <w:tcW w:w="302" w:type="pct"/>
            <w:tcBorders>
              <w:top w:val="single" w:sz="4"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116,0</w:t>
            </w:r>
          </w:p>
        </w:tc>
      </w:tr>
    </w:tbl>
    <w:p w:rsidR="000247A5" w:rsidRDefault="000247A5" w:rsidP="00F7045D">
      <w:pPr>
        <w:rPr>
          <w:sz w:val="16"/>
          <w:szCs w:val="16"/>
        </w:rPr>
      </w:pPr>
    </w:p>
    <w:p w:rsidR="00E678BE" w:rsidRDefault="00E678BE">
      <w: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0247A5" w:rsidRPr="000247A5" w:rsidTr="000247A5">
        <w:trPr>
          <w:trHeight w:val="390"/>
        </w:trPr>
        <w:tc>
          <w:tcPr>
            <w:tcW w:w="5000" w:type="pct"/>
            <w:gridSpan w:val="14"/>
            <w:tcBorders>
              <w:top w:val="nil"/>
              <w:left w:val="nil"/>
              <w:bottom w:val="single" w:sz="8" w:space="0" w:color="auto"/>
              <w:right w:val="nil"/>
            </w:tcBorders>
            <w:shd w:val="clear" w:color="auto" w:fill="auto"/>
            <w:vAlign w:val="center"/>
            <w:hideMark/>
          </w:tcPr>
          <w:p w:rsidR="000247A5" w:rsidRPr="00951E73" w:rsidRDefault="00951E73" w:rsidP="00BC2DF5">
            <w:pPr>
              <w:spacing w:after="0" w:line="240" w:lineRule="auto"/>
              <w:rPr>
                <w:rFonts w:asciiTheme="majorBidi" w:eastAsia="Times New Roman" w:hAnsiTheme="majorBidi" w:cstheme="majorBidi"/>
                <w:b/>
                <w:bCs/>
                <w:color w:val="4F81BD" w:themeColor="accent1"/>
                <w:lang w:eastAsia="fr-FR"/>
              </w:rPr>
            </w:pPr>
            <w:bookmarkStart w:id="49" w:name="_Toc515274116"/>
            <w:r w:rsidRPr="00951E73">
              <w:rPr>
                <w:rFonts w:asciiTheme="majorBidi" w:hAnsiTheme="majorBidi" w:cstheme="majorBidi"/>
                <w:b/>
                <w:bCs/>
                <w:color w:val="4F81BD" w:themeColor="accent1"/>
              </w:rPr>
              <w:lastRenderedPageBreak/>
              <w:t xml:space="preserve">Tableau A </w:t>
            </w:r>
            <w:r w:rsidR="001022E9" w:rsidRPr="00951E73">
              <w:rPr>
                <w:rFonts w:asciiTheme="majorBidi" w:hAnsiTheme="majorBidi" w:cstheme="majorBidi"/>
                <w:b/>
                <w:bCs/>
                <w:color w:val="4F81BD" w:themeColor="accent1"/>
              </w:rPr>
              <w:fldChar w:fldCharType="begin"/>
            </w:r>
            <w:r w:rsidRPr="00951E73">
              <w:rPr>
                <w:rFonts w:asciiTheme="majorBidi" w:hAnsiTheme="majorBidi" w:cstheme="majorBidi"/>
                <w:b/>
                <w:bCs/>
                <w:color w:val="4F81BD" w:themeColor="accent1"/>
              </w:rPr>
              <w:instrText xml:space="preserve"> SEQ Tableau_A \* ARABIC </w:instrText>
            </w:r>
            <w:r w:rsidR="001022E9" w:rsidRPr="00951E73">
              <w:rPr>
                <w:rFonts w:asciiTheme="majorBidi" w:hAnsiTheme="majorBidi" w:cstheme="majorBidi"/>
                <w:b/>
                <w:bCs/>
                <w:color w:val="4F81BD" w:themeColor="accent1"/>
              </w:rPr>
              <w:fldChar w:fldCharType="separate"/>
            </w:r>
            <w:r w:rsidR="00156FC8">
              <w:rPr>
                <w:rFonts w:asciiTheme="majorBidi" w:hAnsiTheme="majorBidi" w:cstheme="majorBidi"/>
                <w:b/>
                <w:bCs/>
                <w:noProof/>
                <w:color w:val="4F81BD" w:themeColor="accent1"/>
              </w:rPr>
              <w:t>4</w:t>
            </w:r>
            <w:r w:rsidR="001022E9" w:rsidRPr="00951E73">
              <w:rPr>
                <w:rFonts w:asciiTheme="majorBidi" w:hAnsiTheme="majorBidi" w:cstheme="majorBidi"/>
                <w:b/>
                <w:bCs/>
                <w:color w:val="4F81BD" w:themeColor="accent1"/>
              </w:rPr>
              <w:fldChar w:fldCharType="end"/>
            </w:r>
            <w:r w:rsidRPr="00951E73">
              <w:rPr>
                <w:rFonts w:asciiTheme="majorBidi" w:hAnsiTheme="majorBidi" w:cstheme="majorBidi"/>
                <w:b/>
                <w:bCs/>
                <w:color w:val="4F81BD" w:themeColor="accent1"/>
              </w:rPr>
              <w:t xml:space="preserve"> : </w:t>
            </w:r>
            <w:r w:rsidR="000247A5" w:rsidRPr="00951E73">
              <w:rPr>
                <w:rFonts w:asciiTheme="majorBidi" w:eastAsia="Times New Roman" w:hAnsiTheme="majorBidi" w:cstheme="majorBidi"/>
                <w:b/>
                <w:bCs/>
                <w:color w:val="4F81BD" w:themeColor="accent1"/>
                <w:lang w:eastAsia="fr-FR"/>
              </w:rPr>
              <w:t>IPC de la ville de Kénitra par division et par mois</w:t>
            </w:r>
            <w:r w:rsidR="00F67E78">
              <w:rPr>
                <w:rFonts w:asciiTheme="majorBidi" w:eastAsia="Times New Roman" w:hAnsiTheme="majorBidi" w:cstheme="majorBidi"/>
                <w:b/>
                <w:bCs/>
                <w:color w:val="4F81BD" w:themeColor="accent1"/>
                <w:lang w:eastAsia="fr-FR"/>
              </w:rPr>
              <w:t xml:space="preserve"> </w:t>
            </w:r>
            <w:r w:rsidR="000247A5" w:rsidRPr="00951E73">
              <w:rPr>
                <w:rFonts w:asciiTheme="majorBidi" w:eastAsia="Times New Roman" w:hAnsiTheme="majorBidi" w:cstheme="majorBidi"/>
                <w:b/>
                <w:bCs/>
                <w:color w:val="4F81BD" w:themeColor="accent1"/>
                <w:lang w:eastAsia="fr-FR"/>
              </w:rPr>
              <w:t>- Année 2015-</w:t>
            </w:r>
            <w:bookmarkEnd w:id="49"/>
          </w:p>
        </w:tc>
      </w:tr>
      <w:tr w:rsidR="000247A5" w:rsidRPr="000247A5" w:rsidTr="00E678BE">
        <w:trPr>
          <w:trHeight w:val="586"/>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Fev</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Avr</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Jul</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Oct</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Nov</w:t>
            </w:r>
          </w:p>
        </w:tc>
        <w:tc>
          <w:tcPr>
            <w:tcW w:w="291" w:type="pct"/>
            <w:tcBorders>
              <w:top w:val="single" w:sz="8" w:space="0" w:color="auto"/>
              <w:left w:val="single" w:sz="8" w:space="0" w:color="auto"/>
              <w:bottom w:val="single" w:sz="8" w:space="0" w:color="auto"/>
              <w:right w:val="nil"/>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Dec</w:t>
            </w:r>
          </w:p>
        </w:tc>
        <w:tc>
          <w:tcPr>
            <w:tcW w:w="299" w:type="pct"/>
            <w:tcBorders>
              <w:top w:val="single" w:sz="8" w:space="0" w:color="auto"/>
              <w:left w:val="single" w:sz="8"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Moy</w:t>
            </w:r>
          </w:p>
        </w:tc>
      </w:tr>
      <w:tr w:rsidR="000247A5" w:rsidRPr="000247A5" w:rsidTr="008B74DA">
        <w:trPr>
          <w:trHeight w:val="542"/>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122,8</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123,7</w:t>
            </w:r>
          </w:p>
        </w:tc>
      </w:tr>
      <w:tr w:rsidR="000247A5" w:rsidRPr="000247A5" w:rsidTr="008B74DA">
        <w:trPr>
          <w:trHeight w:val="560"/>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120,6</w:t>
            </w:r>
          </w:p>
        </w:tc>
      </w:tr>
      <w:tr w:rsidR="000247A5" w:rsidRPr="000247A5" w:rsidTr="00F67B0C">
        <w:trPr>
          <w:trHeight w:val="56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109,1</w:t>
            </w:r>
          </w:p>
        </w:tc>
      </w:tr>
      <w:tr w:rsidR="000247A5" w:rsidRPr="000247A5" w:rsidTr="008B74DA">
        <w:trPr>
          <w:trHeight w:val="68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106,9</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106,8</w:t>
            </w:r>
          </w:p>
        </w:tc>
      </w:tr>
      <w:tr w:rsidR="000247A5" w:rsidRPr="000247A5" w:rsidTr="008B74DA">
        <w:trPr>
          <w:trHeight w:val="68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105,5</w:t>
            </w:r>
          </w:p>
        </w:tc>
      </w:tr>
      <w:tr w:rsidR="000247A5" w:rsidRPr="000247A5" w:rsidTr="008B74DA">
        <w:trPr>
          <w:trHeight w:val="42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107,4</w:t>
            </w:r>
          </w:p>
        </w:tc>
      </w:tr>
      <w:tr w:rsidR="000247A5" w:rsidRPr="000247A5" w:rsidTr="00F67B0C">
        <w:trPr>
          <w:trHeight w:val="41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108,7</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110,1</w:t>
            </w:r>
          </w:p>
        </w:tc>
      </w:tr>
      <w:tr w:rsidR="000247A5" w:rsidRPr="000247A5" w:rsidTr="00F67B0C">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61,0</w:t>
            </w:r>
          </w:p>
        </w:tc>
      </w:tr>
      <w:tr w:rsidR="000247A5" w:rsidRPr="000247A5" w:rsidTr="00F67B0C">
        <w:trPr>
          <w:trHeight w:val="41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100,3</w:t>
            </w:r>
          </w:p>
        </w:tc>
      </w:tr>
      <w:tr w:rsidR="000247A5" w:rsidRPr="000247A5" w:rsidTr="008B74DA">
        <w:trPr>
          <w:trHeight w:val="42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115,8</w:t>
            </w:r>
          </w:p>
        </w:tc>
      </w:tr>
      <w:tr w:rsidR="000247A5" w:rsidRPr="000247A5" w:rsidTr="00F67B0C">
        <w:trPr>
          <w:trHeight w:val="41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142,0</w:t>
            </w:r>
          </w:p>
        </w:tc>
      </w:tr>
      <w:tr w:rsidR="000247A5" w:rsidRPr="000247A5" w:rsidTr="00F67B0C">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119,7</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121,2</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121,4</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121,5</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121,5</w:t>
            </w:r>
          </w:p>
        </w:tc>
        <w:tc>
          <w:tcPr>
            <w:tcW w:w="299"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120,8</w:t>
            </w:r>
          </w:p>
        </w:tc>
      </w:tr>
      <w:tr w:rsidR="000247A5" w:rsidRPr="000247A5" w:rsidTr="00F67B0C">
        <w:trPr>
          <w:trHeight w:val="544"/>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114,1</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114,5</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114,8</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115,2</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114,4</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114,2</w:t>
            </w:r>
          </w:p>
        </w:tc>
        <w:tc>
          <w:tcPr>
            <w:tcW w:w="299"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114,6</w:t>
            </w:r>
          </w:p>
        </w:tc>
      </w:tr>
    </w:tbl>
    <w:p w:rsidR="00BD5911" w:rsidRDefault="00BD5911" w:rsidP="00F7045D">
      <w:pPr>
        <w:rPr>
          <w:sz w:val="16"/>
          <w:szCs w:val="16"/>
        </w:rPr>
        <w:sectPr w:rsidR="00BD5911" w:rsidSect="00BD5911">
          <w:pgSz w:w="16838" w:h="11906" w:orient="landscape"/>
          <w:pgMar w:top="1418" w:right="1701" w:bottom="1276" w:left="1701" w:header="709" w:footer="709" w:gutter="0"/>
          <w:cols w:space="708"/>
          <w:titlePg/>
          <w:docGrid w:linePitch="360"/>
        </w:sectPr>
      </w:pP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0247A5" w:rsidRPr="005405A4" w:rsidTr="000247A5">
        <w:trPr>
          <w:trHeight w:val="390"/>
        </w:trPr>
        <w:tc>
          <w:tcPr>
            <w:tcW w:w="5000" w:type="pct"/>
            <w:gridSpan w:val="14"/>
            <w:tcBorders>
              <w:top w:val="nil"/>
              <w:left w:val="nil"/>
              <w:bottom w:val="single" w:sz="8" w:space="0" w:color="auto"/>
              <w:right w:val="nil"/>
            </w:tcBorders>
            <w:shd w:val="clear" w:color="auto" w:fill="auto"/>
            <w:vAlign w:val="center"/>
            <w:hideMark/>
          </w:tcPr>
          <w:p w:rsidR="000247A5" w:rsidRPr="005405A4" w:rsidRDefault="005405A4" w:rsidP="00BC2DF5">
            <w:pPr>
              <w:spacing w:after="0" w:line="240" w:lineRule="auto"/>
              <w:rPr>
                <w:rFonts w:ascii="Times New Roman" w:eastAsia="Times New Roman" w:hAnsi="Times New Roman" w:cs="Times New Roman"/>
                <w:b/>
                <w:bCs/>
                <w:color w:val="548DD4" w:themeColor="text2" w:themeTint="99"/>
                <w:lang w:eastAsia="fr-FR"/>
              </w:rPr>
            </w:pPr>
            <w:bookmarkStart w:id="50" w:name="_Toc515274117"/>
            <w:r w:rsidRPr="005405A4">
              <w:rPr>
                <w:rFonts w:ascii="Times New Roman" w:hAnsi="Times New Roman"/>
                <w:b/>
                <w:color w:val="4F81BD" w:themeColor="accent1"/>
              </w:rPr>
              <w:lastRenderedPageBreak/>
              <w:t xml:space="preserve">Tableau A </w:t>
            </w:r>
            <w:r w:rsidR="001022E9" w:rsidRPr="005405A4">
              <w:rPr>
                <w:rFonts w:ascii="Times New Roman" w:hAnsi="Times New Roman"/>
                <w:b/>
                <w:color w:val="4F81BD" w:themeColor="accent1"/>
              </w:rPr>
              <w:fldChar w:fldCharType="begin"/>
            </w:r>
            <w:r w:rsidRPr="005405A4">
              <w:rPr>
                <w:rFonts w:ascii="Times New Roman" w:hAnsi="Times New Roman"/>
                <w:b/>
                <w:color w:val="4F81BD" w:themeColor="accent1"/>
              </w:rPr>
              <w:instrText xml:space="preserve"> SEQ Tableau_A \* ARABIC </w:instrText>
            </w:r>
            <w:r w:rsidR="001022E9" w:rsidRPr="005405A4">
              <w:rPr>
                <w:rFonts w:ascii="Times New Roman" w:hAnsi="Times New Roman"/>
                <w:b/>
                <w:color w:val="4F81BD" w:themeColor="accent1"/>
              </w:rPr>
              <w:fldChar w:fldCharType="separate"/>
            </w:r>
            <w:r w:rsidR="00156FC8">
              <w:rPr>
                <w:rFonts w:ascii="Times New Roman" w:hAnsi="Times New Roman"/>
                <w:b/>
                <w:noProof/>
                <w:color w:val="4F81BD" w:themeColor="accent1"/>
              </w:rPr>
              <w:t>5</w:t>
            </w:r>
            <w:r w:rsidR="001022E9" w:rsidRPr="005405A4">
              <w:rPr>
                <w:rFonts w:ascii="Times New Roman" w:hAnsi="Times New Roman"/>
                <w:b/>
                <w:color w:val="4F81BD" w:themeColor="accent1"/>
              </w:rPr>
              <w:fldChar w:fldCharType="end"/>
            </w:r>
            <w:r w:rsidRPr="005405A4">
              <w:rPr>
                <w:rFonts w:ascii="Times New Roman" w:hAnsi="Times New Roman"/>
                <w:b/>
                <w:color w:val="4F81BD" w:themeColor="accent1"/>
              </w:rPr>
              <w:t xml:space="preserve"> : </w:t>
            </w:r>
            <w:r w:rsidR="000247A5" w:rsidRPr="005405A4">
              <w:rPr>
                <w:rFonts w:ascii="Times New Roman" w:eastAsia="Times New Roman" w:hAnsi="Times New Roman" w:cs="Times New Roman"/>
                <w:b/>
                <w:bCs/>
                <w:color w:val="548DD4" w:themeColor="text2" w:themeTint="99"/>
                <w:lang w:eastAsia="fr-FR"/>
              </w:rPr>
              <w:t>IPC de la ville de Kénitra par division et par mois</w:t>
            </w:r>
            <w:r w:rsidRPr="005405A4">
              <w:rPr>
                <w:rFonts w:ascii="Times New Roman" w:eastAsia="Times New Roman" w:hAnsi="Times New Roman" w:cs="Times New Roman"/>
                <w:b/>
                <w:bCs/>
                <w:color w:val="548DD4" w:themeColor="text2" w:themeTint="99"/>
                <w:lang w:eastAsia="fr-FR"/>
              </w:rPr>
              <w:t xml:space="preserve"> </w:t>
            </w:r>
            <w:r w:rsidR="000247A5" w:rsidRPr="005405A4">
              <w:rPr>
                <w:rFonts w:ascii="Times New Roman" w:eastAsia="Times New Roman" w:hAnsi="Times New Roman" w:cs="Times New Roman"/>
                <w:b/>
                <w:bCs/>
                <w:color w:val="548DD4" w:themeColor="text2" w:themeTint="99"/>
                <w:lang w:eastAsia="fr-FR"/>
              </w:rPr>
              <w:t>- Année 2014</w:t>
            </w:r>
            <w:r w:rsidR="00F67E78">
              <w:rPr>
                <w:rFonts w:ascii="Times New Roman" w:eastAsia="Times New Roman" w:hAnsi="Times New Roman" w:cs="Times New Roman"/>
                <w:b/>
                <w:bCs/>
                <w:color w:val="548DD4" w:themeColor="text2" w:themeTint="99"/>
                <w:lang w:eastAsia="fr-FR"/>
              </w:rPr>
              <w:t xml:space="preserve"> </w:t>
            </w:r>
            <w:r w:rsidR="000247A5" w:rsidRPr="005405A4">
              <w:rPr>
                <w:rFonts w:ascii="Times New Roman" w:eastAsia="Times New Roman" w:hAnsi="Times New Roman" w:cs="Times New Roman"/>
                <w:b/>
                <w:bCs/>
                <w:color w:val="548DD4" w:themeColor="text2" w:themeTint="99"/>
                <w:lang w:eastAsia="fr-FR"/>
              </w:rPr>
              <w:t>-</w:t>
            </w:r>
            <w:bookmarkEnd w:id="50"/>
          </w:p>
        </w:tc>
      </w:tr>
      <w:tr w:rsidR="000247A5" w:rsidRPr="00E678BE" w:rsidTr="00BD5911">
        <w:trPr>
          <w:trHeight w:val="586"/>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Fev</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Avr</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Jul</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Oct</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Nov</w:t>
            </w:r>
          </w:p>
        </w:tc>
        <w:tc>
          <w:tcPr>
            <w:tcW w:w="291" w:type="pct"/>
            <w:tcBorders>
              <w:top w:val="single" w:sz="8" w:space="0" w:color="auto"/>
              <w:left w:val="single" w:sz="8" w:space="0" w:color="auto"/>
              <w:bottom w:val="single" w:sz="8" w:space="0" w:color="auto"/>
              <w:right w:val="nil"/>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Dec</w:t>
            </w:r>
          </w:p>
        </w:tc>
        <w:tc>
          <w:tcPr>
            <w:tcW w:w="303" w:type="pct"/>
            <w:tcBorders>
              <w:top w:val="single" w:sz="8" w:space="0" w:color="auto"/>
              <w:left w:val="single" w:sz="8"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Moy</w:t>
            </w:r>
          </w:p>
        </w:tc>
      </w:tr>
      <w:tr w:rsidR="000247A5" w:rsidRPr="00E678BE" w:rsidTr="008B74DA">
        <w:trPr>
          <w:trHeight w:val="542"/>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120,6</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123,3</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120,8</w:t>
            </w:r>
          </w:p>
        </w:tc>
      </w:tr>
      <w:tr w:rsidR="000247A5" w:rsidRPr="00E678BE" w:rsidTr="008B74DA">
        <w:trPr>
          <w:trHeight w:val="55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116,2</w:t>
            </w:r>
          </w:p>
        </w:tc>
      </w:tr>
      <w:tr w:rsidR="000247A5" w:rsidRPr="00E678BE" w:rsidTr="008B74DA">
        <w:trPr>
          <w:trHeight w:val="56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108,6</w:t>
            </w:r>
          </w:p>
        </w:tc>
      </w:tr>
      <w:tr w:rsidR="000247A5" w:rsidRPr="00E678BE" w:rsidTr="008B74DA">
        <w:trPr>
          <w:trHeight w:val="68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103,5</w:t>
            </w:r>
          </w:p>
        </w:tc>
      </w:tr>
      <w:tr w:rsidR="000247A5" w:rsidRPr="00E678BE" w:rsidTr="008B74DA">
        <w:trPr>
          <w:trHeight w:val="698"/>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104,9</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103,9</w:t>
            </w:r>
          </w:p>
        </w:tc>
      </w:tr>
      <w:tr w:rsidR="000247A5" w:rsidRPr="00E678BE" w:rsidTr="008B74DA">
        <w:trPr>
          <w:trHeight w:val="552"/>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106,0</w:t>
            </w:r>
          </w:p>
        </w:tc>
      </w:tr>
      <w:tr w:rsidR="000247A5" w:rsidRPr="00E678BE" w:rsidTr="008B74DA">
        <w:trPr>
          <w:trHeight w:val="560"/>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113,3</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112,4</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114,7</w:t>
            </w:r>
          </w:p>
        </w:tc>
      </w:tr>
      <w:tr w:rsidR="000247A5" w:rsidRPr="00E678BE" w:rsidTr="00BD5911">
        <w:trPr>
          <w:trHeight w:val="41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61,1</w:t>
            </w:r>
          </w:p>
        </w:tc>
      </w:tr>
      <w:tr w:rsidR="000247A5" w:rsidRPr="00E678BE" w:rsidTr="00BD5911">
        <w:trPr>
          <w:trHeight w:val="42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98,2</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98,5</w:t>
            </w:r>
          </w:p>
        </w:tc>
      </w:tr>
      <w:tr w:rsidR="000247A5" w:rsidRPr="00E678BE" w:rsidTr="00BD5911">
        <w:trPr>
          <w:trHeight w:val="43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115,8</w:t>
            </w:r>
          </w:p>
        </w:tc>
      </w:tr>
      <w:tr w:rsidR="000247A5" w:rsidRPr="00E678BE" w:rsidTr="00BD5911">
        <w:trPr>
          <w:trHeight w:val="54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134,7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134,7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134,7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134,6</w:t>
            </w:r>
          </w:p>
        </w:tc>
      </w:tr>
      <w:tr w:rsidR="000247A5" w:rsidRPr="00E678BE" w:rsidTr="00BD5911">
        <w:trPr>
          <w:trHeight w:val="54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119,5</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119,5</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119,5</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119,6</w:t>
            </w:r>
          </w:p>
        </w:tc>
        <w:tc>
          <w:tcPr>
            <w:tcW w:w="303"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119,1</w:t>
            </w:r>
          </w:p>
        </w:tc>
      </w:tr>
      <w:tr w:rsidR="000247A5" w:rsidRPr="00E678BE" w:rsidTr="008B74DA">
        <w:trPr>
          <w:trHeight w:val="561"/>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113,6</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113,9</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114,1</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114,3</w:t>
            </w:r>
          </w:p>
        </w:tc>
        <w:tc>
          <w:tcPr>
            <w:tcW w:w="303"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112,9</w:t>
            </w:r>
          </w:p>
        </w:tc>
      </w:tr>
    </w:tbl>
    <w:p w:rsidR="000247A5" w:rsidRPr="00E678BE" w:rsidRDefault="000247A5" w:rsidP="00F7045D">
      <w:pPr>
        <w:rPr>
          <w:rFonts w:asciiTheme="majorBidi" w:hAnsiTheme="majorBidi" w:cstheme="majorBidi"/>
          <w:sz w:val="16"/>
          <w:szCs w:val="16"/>
        </w:rPr>
      </w:pPr>
    </w:p>
    <w:p w:rsidR="00E678BE" w:rsidRDefault="00E678BE">
      <w:r>
        <w:br w:type="page"/>
      </w:r>
    </w:p>
    <w:tbl>
      <w:tblPr>
        <w:tblW w:w="5000" w:type="pct"/>
        <w:tblCellMar>
          <w:left w:w="70" w:type="dxa"/>
          <w:right w:w="70" w:type="dxa"/>
        </w:tblCellMar>
        <w:tblLook w:val="04A0"/>
      </w:tblPr>
      <w:tblGrid>
        <w:gridCol w:w="3273"/>
        <w:gridCol w:w="790"/>
        <w:gridCol w:w="790"/>
        <w:gridCol w:w="790"/>
        <w:gridCol w:w="790"/>
        <w:gridCol w:w="790"/>
        <w:gridCol w:w="790"/>
        <w:gridCol w:w="790"/>
        <w:gridCol w:w="790"/>
        <w:gridCol w:w="790"/>
        <w:gridCol w:w="790"/>
        <w:gridCol w:w="790"/>
        <w:gridCol w:w="790"/>
        <w:gridCol w:w="823"/>
      </w:tblGrid>
      <w:tr w:rsidR="000247A5" w:rsidRPr="00E678BE" w:rsidTr="000247A5">
        <w:trPr>
          <w:trHeight w:val="390"/>
        </w:trPr>
        <w:tc>
          <w:tcPr>
            <w:tcW w:w="5000" w:type="pct"/>
            <w:gridSpan w:val="14"/>
            <w:tcBorders>
              <w:top w:val="nil"/>
              <w:left w:val="nil"/>
              <w:bottom w:val="single" w:sz="8" w:space="0" w:color="auto"/>
              <w:right w:val="nil"/>
            </w:tcBorders>
            <w:shd w:val="clear" w:color="auto" w:fill="auto"/>
            <w:vAlign w:val="center"/>
            <w:hideMark/>
          </w:tcPr>
          <w:p w:rsidR="000247A5" w:rsidRPr="00E678BE" w:rsidRDefault="005405A4" w:rsidP="00BC2DF5">
            <w:pPr>
              <w:spacing w:after="0" w:line="240" w:lineRule="auto"/>
              <w:rPr>
                <w:rFonts w:asciiTheme="majorBidi" w:eastAsia="Times New Roman" w:hAnsiTheme="majorBidi" w:cstheme="majorBidi"/>
                <w:b/>
                <w:bCs/>
                <w:color w:val="4F81BD" w:themeColor="accent1"/>
                <w:szCs w:val="24"/>
                <w:lang w:eastAsia="fr-FR"/>
              </w:rPr>
            </w:pPr>
            <w:bookmarkStart w:id="51" w:name="_Toc515274118"/>
            <w:r w:rsidRPr="00E678BE">
              <w:rPr>
                <w:rFonts w:asciiTheme="majorBidi" w:hAnsiTheme="majorBidi" w:cstheme="majorBidi"/>
                <w:b/>
                <w:color w:val="4F81BD" w:themeColor="accent1"/>
              </w:rPr>
              <w:lastRenderedPageBreak/>
              <w:t xml:space="preserve">Tableau A </w:t>
            </w:r>
            <w:r w:rsidR="001022E9" w:rsidRPr="00E678BE">
              <w:rPr>
                <w:rFonts w:asciiTheme="majorBidi" w:hAnsiTheme="majorBidi" w:cstheme="majorBidi"/>
                <w:b/>
                <w:color w:val="4F81BD" w:themeColor="accent1"/>
              </w:rPr>
              <w:fldChar w:fldCharType="begin"/>
            </w:r>
            <w:r w:rsidRPr="00E678BE">
              <w:rPr>
                <w:rFonts w:asciiTheme="majorBidi" w:hAnsiTheme="majorBidi" w:cstheme="majorBidi"/>
                <w:b/>
                <w:color w:val="4F81BD" w:themeColor="accent1"/>
              </w:rPr>
              <w:instrText xml:space="preserve"> SEQ Tableau_A \* ARABIC </w:instrText>
            </w:r>
            <w:r w:rsidR="001022E9" w:rsidRPr="00E678BE">
              <w:rPr>
                <w:rFonts w:asciiTheme="majorBidi" w:hAnsiTheme="majorBidi" w:cstheme="majorBidi"/>
                <w:b/>
                <w:color w:val="4F81BD" w:themeColor="accent1"/>
              </w:rPr>
              <w:fldChar w:fldCharType="separate"/>
            </w:r>
            <w:r w:rsidR="00156FC8">
              <w:rPr>
                <w:rFonts w:asciiTheme="majorBidi" w:hAnsiTheme="majorBidi" w:cstheme="majorBidi"/>
                <w:b/>
                <w:noProof/>
                <w:color w:val="4F81BD" w:themeColor="accent1"/>
              </w:rPr>
              <w:t>6</w:t>
            </w:r>
            <w:r w:rsidR="001022E9" w:rsidRPr="00E678BE">
              <w:rPr>
                <w:rFonts w:asciiTheme="majorBidi" w:hAnsiTheme="majorBidi" w:cstheme="majorBidi"/>
                <w:b/>
                <w:color w:val="4F81BD" w:themeColor="accent1"/>
              </w:rPr>
              <w:fldChar w:fldCharType="end"/>
            </w:r>
            <w:r w:rsidRPr="00E678BE">
              <w:rPr>
                <w:rFonts w:asciiTheme="majorBidi" w:hAnsiTheme="majorBidi" w:cstheme="majorBidi"/>
                <w:b/>
                <w:color w:val="4F81BD" w:themeColor="accent1"/>
              </w:rPr>
              <w:t xml:space="preserve"> : </w:t>
            </w:r>
            <w:r w:rsidR="000247A5" w:rsidRPr="00E678BE">
              <w:rPr>
                <w:rFonts w:asciiTheme="majorBidi" w:eastAsia="Times New Roman" w:hAnsiTheme="majorBidi" w:cstheme="majorBidi"/>
                <w:b/>
                <w:bCs/>
                <w:color w:val="4F81BD" w:themeColor="accent1"/>
                <w:szCs w:val="24"/>
                <w:lang w:eastAsia="fr-FR"/>
              </w:rPr>
              <w:t>IPC de la ville de Kénitra par division et par mois</w:t>
            </w:r>
            <w:r w:rsidRPr="00E678BE">
              <w:rPr>
                <w:rFonts w:asciiTheme="majorBidi" w:eastAsia="Times New Roman" w:hAnsiTheme="majorBidi" w:cstheme="majorBidi"/>
                <w:b/>
                <w:bCs/>
                <w:color w:val="4F81BD" w:themeColor="accent1"/>
                <w:szCs w:val="24"/>
                <w:lang w:eastAsia="fr-FR"/>
              </w:rPr>
              <w:t xml:space="preserve"> </w:t>
            </w:r>
            <w:r w:rsidR="000247A5" w:rsidRPr="00E678BE">
              <w:rPr>
                <w:rFonts w:asciiTheme="majorBidi" w:eastAsia="Times New Roman" w:hAnsiTheme="majorBidi" w:cstheme="majorBidi"/>
                <w:b/>
                <w:bCs/>
                <w:color w:val="4F81BD" w:themeColor="accent1"/>
                <w:szCs w:val="24"/>
                <w:lang w:eastAsia="fr-FR"/>
              </w:rPr>
              <w:t>- Année 2013-</w:t>
            </w:r>
            <w:bookmarkEnd w:id="51"/>
          </w:p>
        </w:tc>
      </w:tr>
      <w:tr w:rsidR="000247A5" w:rsidRPr="00E678BE" w:rsidTr="00E678BE">
        <w:trPr>
          <w:trHeight w:val="444"/>
        </w:trPr>
        <w:tc>
          <w:tcPr>
            <w:tcW w:w="1205"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Jan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Fev</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Mars</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Avr</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Mai</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Juin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Jul</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Août</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Sep</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Oct</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Nov</w:t>
            </w:r>
          </w:p>
        </w:tc>
        <w:tc>
          <w:tcPr>
            <w:tcW w:w="291" w:type="pct"/>
            <w:tcBorders>
              <w:top w:val="single" w:sz="8" w:space="0" w:color="auto"/>
              <w:left w:val="single" w:sz="8" w:space="0" w:color="auto"/>
              <w:bottom w:val="single" w:sz="8" w:space="0" w:color="auto"/>
              <w:right w:val="nil"/>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Dec</w:t>
            </w:r>
          </w:p>
        </w:tc>
        <w:tc>
          <w:tcPr>
            <w:tcW w:w="299" w:type="pct"/>
            <w:tcBorders>
              <w:top w:val="single" w:sz="8" w:space="0" w:color="auto"/>
              <w:left w:val="single" w:sz="8"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Moy</w:t>
            </w:r>
          </w:p>
        </w:tc>
      </w:tr>
      <w:tr w:rsidR="000247A5" w:rsidRPr="00E678BE" w:rsidTr="008B74DA">
        <w:trPr>
          <w:trHeight w:val="695"/>
        </w:trPr>
        <w:tc>
          <w:tcPr>
            <w:tcW w:w="12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120,6</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121,7</w:t>
            </w:r>
          </w:p>
        </w:tc>
      </w:tr>
      <w:tr w:rsidR="000247A5" w:rsidRPr="00E678BE" w:rsidTr="008B74DA">
        <w:trPr>
          <w:trHeight w:val="545"/>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114,3</w:t>
            </w:r>
          </w:p>
        </w:tc>
      </w:tr>
      <w:tr w:rsidR="000247A5" w:rsidRPr="00E678BE" w:rsidTr="008B74DA">
        <w:trPr>
          <w:trHeight w:val="567"/>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108,4</w:t>
            </w:r>
          </w:p>
        </w:tc>
      </w:tr>
      <w:tr w:rsidR="000247A5" w:rsidRPr="00E678BE" w:rsidTr="00BD5911">
        <w:trPr>
          <w:trHeight w:val="692"/>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101,6</w:t>
            </w:r>
          </w:p>
        </w:tc>
      </w:tr>
      <w:tr w:rsidR="000247A5" w:rsidRPr="00E678BE" w:rsidTr="008B74DA">
        <w:trPr>
          <w:trHeight w:val="698"/>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103,7</w:t>
            </w:r>
          </w:p>
        </w:tc>
      </w:tr>
      <w:tr w:rsidR="000247A5" w:rsidRPr="00E678BE" w:rsidTr="008B74DA">
        <w:trPr>
          <w:trHeight w:val="552"/>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107,0</w:t>
            </w:r>
          </w:p>
        </w:tc>
      </w:tr>
      <w:tr w:rsidR="000247A5" w:rsidRPr="00E678BE" w:rsidTr="00BD5911">
        <w:trPr>
          <w:trHeight w:val="555"/>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111,4</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110,4</w:t>
            </w:r>
          </w:p>
        </w:tc>
      </w:tr>
      <w:tr w:rsidR="000247A5" w:rsidRPr="00E678BE" w:rsidTr="00BD5911">
        <w:trPr>
          <w:trHeight w:val="419"/>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60,3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64,1</w:t>
            </w:r>
          </w:p>
        </w:tc>
      </w:tr>
      <w:tr w:rsidR="000247A5" w:rsidRPr="00E678BE" w:rsidTr="00BD5911">
        <w:trPr>
          <w:trHeight w:val="411"/>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98,3</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97,3</w:t>
            </w:r>
          </w:p>
        </w:tc>
      </w:tr>
      <w:tr w:rsidR="000247A5" w:rsidRPr="00E678BE" w:rsidTr="00BD5911">
        <w:trPr>
          <w:trHeight w:val="418"/>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114,9</w:t>
            </w:r>
          </w:p>
        </w:tc>
      </w:tr>
      <w:tr w:rsidR="000247A5" w:rsidRPr="00E678BE" w:rsidTr="00BD5911">
        <w:trPr>
          <w:trHeight w:val="409"/>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132,4</w:t>
            </w:r>
          </w:p>
        </w:tc>
        <w:tc>
          <w:tcPr>
            <w:tcW w:w="299"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128,6</w:t>
            </w:r>
          </w:p>
        </w:tc>
      </w:tr>
      <w:tr w:rsidR="000247A5" w:rsidRPr="00E678BE" w:rsidTr="008B74DA">
        <w:trPr>
          <w:trHeight w:val="422"/>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117,8</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117,8</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117,8</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118,4</w:t>
            </w:r>
          </w:p>
        </w:tc>
        <w:tc>
          <w:tcPr>
            <w:tcW w:w="299"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117,7</w:t>
            </w:r>
          </w:p>
        </w:tc>
      </w:tr>
      <w:tr w:rsidR="000247A5" w:rsidRPr="00E678BE" w:rsidTr="008B74DA">
        <w:trPr>
          <w:trHeight w:val="690"/>
        </w:trPr>
        <w:tc>
          <w:tcPr>
            <w:tcW w:w="1205"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112,0</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113,5</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113,2</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112,4</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112,1</w:t>
            </w:r>
          </w:p>
        </w:tc>
        <w:tc>
          <w:tcPr>
            <w:tcW w:w="299"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r>
    </w:tbl>
    <w:p w:rsidR="000247A5" w:rsidRPr="00E678BE" w:rsidRDefault="000247A5" w:rsidP="00F7045D">
      <w:pPr>
        <w:rPr>
          <w:rFonts w:asciiTheme="majorBidi" w:hAnsiTheme="majorBidi" w:cstheme="majorBidi"/>
          <w:sz w:val="16"/>
          <w:szCs w:val="16"/>
        </w:rPr>
      </w:pPr>
    </w:p>
    <w:p w:rsidR="000247A5" w:rsidRPr="00E678BE" w:rsidRDefault="000247A5" w:rsidP="00F7045D">
      <w:pPr>
        <w:rPr>
          <w:rFonts w:asciiTheme="majorBidi" w:hAnsiTheme="majorBidi" w:cstheme="majorBidi"/>
          <w:sz w:val="16"/>
          <w:szCs w:val="16"/>
        </w:rPr>
      </w:pP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0247A5" w:rsidRPr="00E678BE" w:rsidTr="000247A5">
        <w:trPr>
          <w:trHeight w:val="390"/>
        </w:trPr>
        <w:tc>
          <w:tcPr>
            <w:tcW w:w="5000" w:type="pct"/>
            <w:gridSpan w:val="14"/>
            <w:tcBorders>
              <w:top w:val="nil"/>
              <w:left w:val="nil"/>
              <w:bottom w:val="single" w:sz="8" w:space="0" w:color="auto"/>
              <w:right w:val="nil"/>
            </w:tcBorders>
            <w:shd w:val="clear" w:color="auto" w:fill="auto"/>
            <w:vAlign w:val="center"/>
            <w:hideMark/>
          </w:tcPr>
          <w:p w:rsidR="000247A5" w:rsidRPr="00E678BE" w:rsidRDefault="00E678BE" w:rsidP="00BC2DF5">
            <w:pPr>
              <w:spacing w:after="0" w:line="240" w:lineRule="auto"/>
              <w:rPr>
                <w:rFonts w:asciiTheme="majorBidi" w:eastAsia="Times New Roman" w:hAnsiTheme="majorBidi" w:cstheme="majorBidi"/>
                <w:b/>
                <w:bCs/>
                <w:color w:val="4F81BD" w:themeColor="accent1"/>
                <w:lang w:eastAsia="fr-FR"/>
              </w:rPr>
            </w:pPr>
            <w:r>
              <w:lastRenderedPageBreak/>
              <w:br w:type="page"/>
            </w:r>
            <w:bookmarkStart w:id="52" w:name="_Toc515274119"/>
            <w:r w:rsidR="005405A4" w:rsidRPr="00E678BE">
              <w:rPr>
                <w:rFonts w:asciiTheme="majorBidi" w:hAnsiTheme="majorBidi" w:cstheme="majorBidi"/>
                <w:b/>
                <w:bCs/>
                <w:color w:val="4F81BD" w:themeColor="accent1"/>
              </w:rPr>
              <w:t xml:space="preserve">Tableau A </w:t>
            </w:r>
            <w:r w:rsidR="001022E9" w:rsidRPr="00E678BE">
              <w:rPr>
                <w:rFonts w:asciiTheme="majorBidi" w:hAnsiTheme="majorBidi" w:cstheme="majorBidi"/>
                <w:b/>
                <w:bCs/>
                <w:color w:val="4F81BD" w:themeColor="accent1"/>
              </w:rPr>
              <w:fldChar w:fldCharType="begin"/>
            </w:r>
            <w:r w:rsidR="005405A4" w:rsidRPr="00E678BE">
              <w:rPr>
                <w:rFonts w:asciiTheme="majorBidi" w:hAnsiTheme="majorBidi" w:cstheme="majorBidi"/>
                <w:b/>
                <w:bCs/>
                <w:color w:val="4F81BD" w:themeColor="accent1"/>
              </w:rPr>
              <w:instrText xml:space="preserve"> SEQ Tableau_A \* ARABIC </w:instrText>
            </w:r>
            <w:r w:rsidR="001022E9" w:rsidRPr="00E678BE">
              <w:rPr>
                <w:rFonts w:asciiTheme="majorBidi" w:hAnsiTheme="majorBidi" w:cstheme="majorBidi"/>
                <w:b/>
                <w:bCs/>
                <w:color w:val="4F81BD" w:themeColor="accent1"/>
              </w:rPr>
              <w:fldChar w:fldCharType="separate"/>
            </w:r>
            <w:r w:rsidR="00156FC8">
              <w:rPr>
                <w:rFonts w:asciiTheme="majorBidi" w:hAnsiTheme="majorBidi" w:cstheme="majorBidi"/>
                <w:b/>
                <w:bCs/>
                <w:noProof/>
                <w:color w:val="4F81BD" w:themeColor="accent1"/>
              </w:rPr>
              <w:t>7</w:t>
            </w:r>
            <w:r w:rsidR="001022E9" w:rsidRPr="00E678BE">
              <w:rPr>
                <w:rFonts w:asciiTheme="majorBidi" w:hAnsiTheme="majorBidi" w:cstheme="majorBidi"/>
                <w:b/>
                <w:bCs/>
                <w:color w:val="4F81BD" w:themeColor="accent1"/>
              </w:rPr>
              <w:fldChar w:fldCharType="end"/>
            </w:r>
            <w:r w:rsidR="005405A4" w:rsidRPr="00E678BE">
              <w:rPr>
                <w:rFonts w:asciiTheme="majorBidi" w:hAnsiTheme="majorBidi" w:cstheme="majorBidi"/>
                <w:b/>
                <w:bCs/>
                <w:color w:val="4F81BD" w:themeColor="accent1"/>
              </w:rPr>
              <w:t xml:space="preserve"> : </w:t>
            </w:r>
            <w:r w:rsidR="000247A5" w:rsidRPr="00E678BE">
              <w:rPr>
                <w:rFonts w:asciiTheme="majorBidi" w:eastAsia="Times New Roman" w:hAnsiTheme="majorBidi" w:cstheme="majorBidi"/>
                <w:b/>
                <w:bCs/>
                <w:color w:val="4F81BD" w:themeColor="accent1"/>
                <w:lang w:eastAsia="fr-FR"/>
              </w:rPr>
              <w:t>IPC de la ville de Kénitra par division et par mois</w:t>
            </w:r>
            <w:r w:rsidR="005405A4" w:rsidRPr="00E678BE">
              <w:rPr>
                <w:rFonts w:asciiTheme="majorBidi" w:eastAsia="Times New Roman" w:hAnsiTheme="majorBidi" w:cstheme="majorBidi"/>
                <w:b/>
                <w:bCs/>
                <w:color w:val="4F81BD" w:themeColor="accent1"/>
                <w:lang w:eastAsia="fr-FR"/>
              </w:rPr>
              <w:t xml:space="preserve"> </w:t>
            </w:r>
            <w:r w:rsidR="000247A5" w:rsidRPr="00E678BE">
              <w:rPr>
                <w:rFonts w:asciiTheme="majorBidi" w:eastAsia="Times New Roman" w:hAnsiTheme="majorBidi" w:cstheme="majorBidi"/>
                <w:b/>
                <w:bCs/>
                <w:color w:val="4F81BD" w:themeColor="accent1"/>
                <w:lang w:eastAsia="fr-FR"/>
              </w:rPr>
              <w:t>- Année 2012-</w:t>
            </w:r>
            <w:bookmarkEnd w:id="52"/>
          </w:p>
        </w:tc>
      </w:tr>
      <w:tr w:rsidR="000247A5" w:rsidRPr="00E678BE" w:rsidTr="00BD5911">
        <w:trPr>
          <w:trHeight w:val="330"/>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Fev</w:t>
            </w:r>
          </w:p>
        </w:tc>
        <w:tc>
          <w:tcPr>
            <w:tcW w:w="294"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Avr</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Jul</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Oct</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Nov</w:t>
            </w:r>
          </w:p>
        </w:tc>
        <w:tc>
          <w:tcPr>
            <w:tcW w:w="291" w:type="pct"/>
            <w:tcBorders>
              <w:top w:val="nil"/>
              <w:left w:val="single" w:sz="8" w:space="0" w:color="auto"/>
              <w:bottom w:val="single" w:sz="8" w:space="0" w:color="auto"/>
              <w:right w:val="nil"/>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Dec</w:t>
            </w:r>
          </w:p>
        </w:tc>
        <w:tc>
          <w:tcPr>
            <w:tcW w:w="303" w:type="pct"/>
            <w:tcBorders>
              <w:top w:val="nil"/>
              <w:left w:val="single" w:sz="8"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Moy</w:t>
            </w:r>
          </w:p>
        </w:tc>
      </w:tr>
      <w:tr w:rsidR="000247A5" w:rsidRPr="00E678BE" w:rsidTr="008B74DA">
        <w:trPr>
          <w:trHeight w:val="651"/>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117,6</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119,1</w:t>
            </w:r>
          </w:p>
        </w:tc>
      </w:tr>
      <w:tr w:rsidR="000247A5" w:rsidRPr="00E678BE" w:rsidTr="008B74DA">
        <w:trPr>
          <w:trHeight w:val="55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107,8</w:t>
            </w:r>
          </w:p>
        </w:tc>
      </w:tr>
      <w:tr w:rsidR="000247A5" w:rsidRPr="00E678BE" w:rsidTr="008B74DA">
        <w:trPr>
          <w:trHeight w:val="56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107,5</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107,8</w:t>
            </w:r>
          </w:p>
        </w:tc>
      </w:tr>
      <w:tr w:rsidR="000247A5" w:rsidRPr="00E678BE" w:rsidTr="00BD5911">
        <w:trPr>
          <w:trHeight w:val="70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101,5</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101,3</w:t>
            </w:r>
          </w:p>
        </w:tc>
      </w:tr>
      <w:tr w:rsidR="000247A5" w:rsidRPr="00E678BE" w:rsidTr="008B74DA">
        <w:trPr>
          <w:trHeight w:val="696"/>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103,9</w:t>
            </w:r>
          </w:p>
        </w:tc>
      </w:tr>
      <w:tr w:rsidR="000247A5" w:rsidRPr="00E678BE" w:rsidTr="00BD5911">
        <w:trPr>
          <w:trHeight w:val="416"/>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106,2</w:t>
            </w:r>
          </w:p>
        </w:tc>
      </w:tr>
      <w:tr w:rsidR="000247A5" w:rsidRPr="00E678BE" w:rsidTr="00BD5911">
        <w:trPr>
          <w:trHeight w:val="42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107,0</w:t>
            </w:r>
          </w:p>
        </w:tc>
      </w:tr>
      <w:tr w:rsidR="000247A5" w:rsidRPr="00E678BE" w:rsidTr="00BD5911">
        <w:trPr>
          <w:trHeight w:val="41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74,3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74,4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70,8</w:t>
            </w:r>
          </w:p>
        </w:tc>
      </w:tr>
      <w:tr w:rsidR="000247A5" w:rsidRPr="00E678BE" w:rsidTr="00BD5911">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95,9</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95,9</w:t>
            </w:r>
          </w:p>
        </w:tc>
      </w:tr>
      <w:tr w:rsidR="000247A5" w:rsidRPr="00E678BE" w:rsidTr="00BD5911">
        <w:trPr>
          <w:trHeight w:val="41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111,5</w:t>
            </w:r>
          </w:p>
        </w:tc>
      </w:tr>
      <w:tr w:rsidR="000247A5" w:rsidRPr="00E678BE" w:rsidTr="00BD5911">
        <w:trPr>
          <w:trHeight w:val="418"/>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119,4</w:t>
            </w:r>
          </w:p>
        </w:tc>
      </w:tr>
      <w:tr w:rsidR="000247A5" w:rsidRPr="00E678BE" w:rsidTr="00BD5911">
        <w:trPr>
          <w:trHeight w:val="56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114,6</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113,9</w:t>
            </w:r>
          </w:p>
        </w:tc>
      </w:tr>
      <w:tr w:rsidR="000247A5" w:rsidRPr="00E678BE" w:rsidTr="00BD5911">
        <w:trPr>
          <w:trHeight w:val="535"/>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109,5</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111,7</w:t>
            </w:r>
          </w:p>
        </w:tc>
        <w:tc>
          <w:tcPr>
            <w:tcW w:w="303"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110,3</w:t>
            </w:r>
          </w:p>
        </w:tc>
      </w:tr>
    </w:tbl>
    <w:p w:rsidR="000247A5" w:rsidRPr="00E678BE" w:rsidRDefault="000247A5" w:rsidP="00F7045D">
      <w:pPr>
        <w:rPr>
          <w:rFonts w:asciiTheme="majorBidi" w:hAnsiTheme="majorBidi" w:cstheme="majorBidi"/>
          <w:sz w:val="16"/>
          <w:szCs w:val="16"/>
        </w:rPr>
      </w:pPr>
    </w:p>
    <w:p w:rsidR="008B74DA" w:rsidRDefault="008B74DA">
      <w: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861415" w:rsidRPr="00E678BE" w:rsidTr="00861415">
        <w:trPr>
          <w:trHeight w:val="390"/>
        </w:trPr>
        <w:tc>
          <w:tcPr>
            <w:tcW w:w="5000" w:type="pct"/>
            <w:gridSpan w:val="14"/>
            <w:tcBorders>
              <w:top w:val="nil"/>
              <w:left w:val="nil"/>
              <w:bottom w:val="single" w:sz="8" w:space="0" w:color="auto"/>
              <w:right w:val="nil"/>
            </w:tcBorders>
            <w:shd w:val="clear" w:color="auto" w:fill="auto"/>
            <w:vAlign w:val="center"/>
            <w:hideMark/>
          </w:tcPr>
          <w:p w:rsidR="00861415" w:rsidRPr="00E678BE" w:rsidRDefault="001F4DDA" w:rsidP="00BC2DF5">
            <w:pPr>
              <w:spacing w:after="0" w:line="240" w:lineRule="auto"/>
              <w:rPr>
                <w:rFonts w:asciiTheme="majorBidi" w:eastAsia="Times New Roman" w:hAnsiTheme="majorBidi" w:cstheme="majorBidi"/>
                <w:b/>
                <w:bCs/>
                <w:color w:val="548DD4" w:themeColor="text2" w:themeTint="99"/>
                <w:sz w:val="24"/>
                <w:szCs w:val="24"/>
                <w:lang w:eastAsia="fr-FR"/>
              </w:rPr>
            </w:pPr>
            <w:r>
              <w:lastRenderedPageBreak/>
              <w:br w:type="page"/>
            </w:r>
            <w:bookmarkStart w:id="53" w:name="_Toc515274120"/>
            <w:r w:rsidR="005405A4" w:rsidRPr="00E678BE">
              <w:rPr>
                <w:rFonts w:asciiTheme="majorBidi" w:hAnsiTheme="majorBidi" w:cstheme="majorBidi"/>
                <w:b/>
                <w:bCs/>
                <w:color w:val="4F81BD" w:themeColor="accent1"/>
              </w:rPr>
              <w:t xml:space="preserve">Tableau A </w:t>
            </w:r>
            <w:r w:rsidR="001022E9" w:rsidRPr="00E678BE">
              <w:rPr>
                <w:rFonts w:asciiTheme="majorBidi" w:hAnsiTheme="majorBidi" w:cstheme="majorBidi"/>
                <w:b/>
                <w:bCs/>
                <w:color w:val="4F81BD" w:themeColor="accent1"/>
              </w:rPr>
              <w:fldChar w:fldCharType="begin"/>
            </w:r>
            <w:r w:rsidR="005405A4" w:rsidRPr="00E678BE">
              <w:rPr>
                <w:rFonts w:asciiTheme="majorBidi" w:hAnsiTheme="majorBidi" w:cstheme="majorBidi"/>
                <w:b/>
                <w:bCs/>
                <w:color w:val="4F81BD" w:themeColor="accent1"/>
              </w:rPr>
              <w:instrText xml:space="preserve"> SEQ Tableau_A \* ARABIC </w:instrText>
            </w:r>
            <w:r w:rsidR="001022E9" w:rsidRPr="00E678BE">
              <w:rPr>
                <w:rFonts w:asciiTheme="majorBidi" w:hAnsiTheme="majorBidi" w:cstheme="majorBidi"/>
                <w:b/>
                <w:bCs/>
                <w:color w:val="4F81BD" w:themeColor="accent1"/>
              </w:rPr>
              <w:fldChar w:fldCharType="separate"/>
            </w:r>
            <w:r w:rsidR="00156FC8">
              <w:rPr>
                <w:rFonts w:asciiTheme="majorBidi" w:hAnsiTheme="majorBidi" w:cstheme="majorBidi"/>
                <w:b/>
                <w:bCs/>
                <w:noProof/>
                <w:color w:val="4F81BD" w:themeColor="accent1"/>
              </w:rPr>
              <w:t>8</w:t>
            </w:r>
            <w:r w:rsidR="001022E9" w:rsidRPr="00E678BE">
              <w:rPr>
                <w:rFonts w:asciiTheme="majorBidi" w:hAnsiTheme="majorBidi" w:cstheme="majorBidi"/>
                <w:b/>
                <w:bCs/>
                <w:color w:val="4F81BD" w:themeColor="accent1"/>
              </w:rPr>
              <w:fldChar w:fldCharType="end"/>
            </w:r>
            <w:r w:rsidR="005405A4" w:rsidRPr="00E678BE">
              <w:rPr>
                <w:rFonts w:asciiTheme="majorBidi" w:hAnsiTheme="majorBidi" w:cstheme="majorBidi"/>
                <w:b/>
                <w:bCs/>
                <w:color w:val="4F81BD" w:themeColor="accent1"/>
              </w:rPr>
              <w:t xml:space="preserve"> : </w:t>
            </w:r>
            <w:r w:rsidR="00861415" w:rsidRPr="00E678BE">
              <w:rPr>
                <w:rFonts w:asciiTheme="majorBidi" w:eastAsia="Times New Roman" w:hAnsiTheme="majorBidi" w:cstheme="majorBidi"/>
                <w:b/>
                <w:bCs/>
                <w:color w:val="4F81BD" w:themeColor="accent1"/>
                <w:lang w:eastAsia="fr-FR"/>
              </w:rPr>
              <w:t>IPC de la ville de Kénitra par division et par mois</w:t>
            </w:r>
            <w:r w:rsidR="00F67E78" w:rsidRPr="00E678BE">
              <w:rPr>
                <w:rFonts w:asciiTheme="majorBidi" w:eastAsia="Times New Roman" w:hAnsiTheme="majorBidi" w:cstheme="majorBidi"/>
                <w:b/>
                <w:bCs/>
                <w:color w:val="4F81BD" w:themeColor="accent1"/>
                <w:lang w:eastAsia="fr-FR"/>
              </w:rPr>
              <w:t xml:space="preserve"> </w:t>
            </w:r>
            <w:r w:rsidR="00861415" w:rsidRPr="00E678BE">
              <w:rPr>
                <w:rFonts w:asciiTheme="majorBidi" w:eastAsia="Times New Roman" w:hAnsiTheme="majorBidi" w:cstheme="majorBidi"/>
                <w:b/>
                <w:bCs/>
                <w:color w:val="4F81BD" w:themeColor="accent1"/>
                <w:lang w:eastAsia="fr-FR"/>
              </w:rPr>
              <w:t>- Année 2011</w:t>
            </w:r>
            <w:r w:rsidR="00861415" w:rsidRPr="00E678BE">
              <w:rPr>
                <w:rFonts w:asciiTheme="majorBidi" w:eastAsia="Times New Roman" w:hAnsiTheme="majorBidi" w:cstheme="majorBidi"/>
                <w:b/>
                <w:bCs/>
                <w:color w:val="548DD4" w:themeColor="text2" w:themeTint="99"/>
                <w:sz w:val="24"/>
                <w:szCs w:val="24"/>
                <w:lang w:eastAsia="fr-FR"/>
              </w:rPr>
              <w:t>-</w:t>
            </w:r>
            <w:bookmarkEnd w:id="53"/>
          </w:p>
        </w:tc>
      </w:tr>
      <w:tr w:rsidR="00861415" w:rsidRPr="00E678BE" w:rsidTr="00BD5911">
        <w:trPr>
          <w:trHeight w:val="330"/>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Fev</w:t>
            </w:r>
          </w:p>
        </w:tc>
        <w:tc>
          <w:tcPr>
            <w:tcW w:w="294"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Avr</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Jul</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Oct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Nov</w:t>
            </w:r>
          </w:p>
        </w:tc>
        <w:tc>
          <w:tcPr>
            <w:tcW w:w="291" w:type="pct"/>
            <w:tcBorders>
              <w:top w:val="nil"/>
              <w:left w:val="single" w:sz="8" w:space="0" w:color="auto"/>
              <w:bottom w:val="single" w:sz="8" w:space="0" w:color="auto"/>
              <w:right w:val="nil"/>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Dec</w:t>
            </w:r>
          </w:p>
        </w:tc>
        <w:tc>
          <w:tcPr>
            <w:tcW w:w="303" w:type="pct"/>
            <w:tcBorders>
              <w:top w:val="nil"/>
              <w:left w:val="single" w:sz="8"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Moy</w:t>
            </w:r>
          </w:p>
        </w:tc>
      </w:tr>
      <w:tr w:rsidR="00861415" w:rsidRPr="00E678BE" w:rsidTr="008B74DA">
        <w:trPr>
          <w:trHeight w:val="651"/>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117,9</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116,4</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117,2</w:t>
            </w:r>
          </w:p>
        </w:tc>
      </w:tr>
      <w:tr w:rsidR="00861415" w:rsidRPr="00E678BE" w:rsidTr="008B74DA">
        <w:trPr>
          <w:trHeight w:val="55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107,8</w:t>
            </w:r>
          </w:p>
        </w:tc>
      </w:tr>
      <w:tr w:rsidR="00861415" w:rsidRPr="00E678BE" w:rsidTr="00BD5911">
        <w:trPr>
          <w:trHeight w:val="56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105,5</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106,4</w:t>
            </w:r>
          </w:p>
        </w:tc>
      </w:tr>
      <w:tr w:rsidR="00861415" w:rsidRPr="00E678BE" w:rsidTr="008B74DA">
        <w:trPr>
          <w:trHeight w:val="68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101,2</w:t>
            </w:r>
          </w:p>
        </w:tc>
      </w:tr>
      <w:tr w:rsidR="00861415" w:rsidRPr="00E678BE" w:rsidTr="00BD5911">
        <w:trPr>
          <w:trHeight w:val="71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104,4</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104,2</w:t>
            </w:r>
          </w:p>
        </w:tc>
      </w:tr>
      <w:tr w:rsidR="00861415" w:rsidRPr="00E678BE" w:rsidTr="008B74DA">
        <w:trPr>
          <w:trHeight w:val="56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103,5</w:t>
            </w:r>
          </w:p>
        </w:tc>
      </w:tr>
      <w:tr w:rsidR="00861415" w:rsidRPr="00E678BE" w:rsidTr="00BD5911">
        <w:trPr>
          <w:trHeight w:val="41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102,7</w:t>
            </w:r>
          </w:p>
        </w:tc>
      </w:tr>
      <w:tr w:rsidR="00861415" w:rsidRPr="00E678BE" w:rsidTr="00BD5911">
        <w:trPr>
          <w:trHeight w:val="42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88,4</w:t>
            </w:r>
          </w:p>
        </w:tc>
      </w:tr>
      <w:tr w:rsidR="00861415" w:rsidRPr="00E678BE" w:rsidTr="00BD5911">
        <w:trPr>
          <w:trHeight w:val="42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97,9</w:t>
            </w:r>
          </w:p>
        </w:tc>
      </w:tr>
      <w:tr w:rsidR="00861415" w:rsidRPr="00E678BE" w:rsidTr="00BD5911">
        <w:trPr>
          <w:trHeight w:val="40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106,9</w:t>
            </w:r>
          </w:p>
        </w:tc>
      </w:tr>
      <w:tr w:rsidR="00861415" w:rsidRPr="00E678BE" w:rsidTr="00BD5911">
        <w:trPr>
          <w:trHeight w:val="55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114,6</w:t>
            </w:r>
          </w:p>
        </w:tc>
      </w:tr>
      <w:tr w:rsidR="00861415" w:rsidRPr="00E678BE" w:rsidTr="00BD5911">
        <w:trPr>
          <w:trHeight w:val="54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303" w:type="pct"/>
            <w:tcBorders>
              <w:top w:val="nil"/>
              <w:left w:val="nil"/>
              <w:bottom w:val="nil"/>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112,6</w:t>
            </w:r>
          </w:p>
        </w:tc>
      </w:tr>
      <w:tr w:rsidR="00861415" w:rsidRPr="00E678BE" w:rsidTr="00BD5911">
        <w:trPr>
          <w:trHeight w:val="545"/>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109,1</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108,5</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108,0</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109,5</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109,1</w:t>
            </w:r>
          </w:p>
        </w:tc>
        <w:tc>
          <w:tcPr>
            <w:tcW w:w="303" w:type="pct"/>
            <w:tcBorders>
              <w:top w:val="single" w:sz="8" w:space="0" w:color="auto"/>
              <w:left w:val="nil"/>
              <w:bottom w:val="single" w:sz="8" w:space="0" w:color="auto"/>
              <w:right w:val="single" w:sz="8" w:space="0" w:color="auto"/>
            </w:tcBorders>
            <w:shd w:val="clear" w:color="000000" w:fill="BFBFBF"/>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109,0</w:t>
            </w:r>
          </w:p>
        </w:tc>
      </w:tr>
    </w:tbl>
    <w:p w:rsidR="000247A5" w:rsidRPr="00E678BE" w:rsidRDefault="000247A5" w:rsidP="00F7045D">
      <w:pPr>
        <w:rPr>
          <w:rFonts w:asciiTheme="majorBidi" w:hAnsiTheme="majorBidi" w:cstheme="majorBidi"/>
          <w:sz w:val="16"/>
          <w:szCs w:val="16"/>
        </w:rPr>
      </w:pPr>
    </w:p>
    <w:p w:rsidR="001F4DDA" w:rsidRDefault="001F4DDA">
      <w: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861415" w:rsidRPr="00E678BE" w:rsidTr="00861415">
        <w:trPr>
          <w:trHeight w:val="390"/>
        </w:trPr>
        <w:tc>
          <w:tcPr>
            <w:tcW w:w="5000" w:type="pct"/>
            <w:gridSpan w:val="14"/>
            <w:tcBorders>
              <w:top w:val="nil"/>
              <w:left w:val="nil"/>
              <w:bottom w:val="single" w:sz="8" w:space="0" w:color="auto"/>
              <w:right w:val="nil"/>
            </w:tcBorders>
            <w:shd w:val="clear" w:color="auto" w:fill="auto"/>
            <w:vAlign w:val="center"/>
            <w:hideMark/>
          </w:tcPr>
          <w:p w:rsidR="00861415" w:rsidRPr="00E678BE" w:rsidRDefault="005405A4" w:rsidP="00BC2DF5">
            <w:pPr>
              <w:spacing w:after="0" w:line="240" w:lineRule="auto"/>
              <w:rPr>
                <w:rFonts w:asciiTheme="majorBidi" w:eastAsia="Times New Roman" w:hAnsiTheme="majorBidi" w:cstheme="majorBidi"/>
                <w:b/>
                <w:bCs/>
                <w:color w:val="4F81BD" w:themeColor="accent1"/>
                <w:lang w:eastAsia="fr-FR"/>
              </w:rPr>
            </w:pPr>
            <w:bookmarkStart w:id="54" w:name="_Toc515274121"/>
            <w:r w:rsidRPr="00E678BE">
              <w:rPr>
                <w:rFonts w:asciiTheme="majorBidi" w:hAnsiTheme="majorBidi" w:cstheme="majorBidi"/>
                <w:b/>
                <w:bCs/>
                <w:color w:val="4F81BD" w:themeColor="accent1"/>
              </w:rPr>
              <w:lastRenderedPageBreak/>
              <w:t xml:space="preserve">Tableau A </w:t>
            </w:r>
            <w:r w:rsidR="001022E9" w:rsidRPr="00E678BE">
              <w:rPr>
                <w:rFonts w:asciiTheme="majorBidi" w:hAnsiTheme="majorBidi" w:cstheme="majorBidi"/>
                <w:b/>
                <w:bCs/>
                <w:color w:val="4F81BD" w:themeColor="accent1"/>
              </w:rPr>
              <w:fldChar w:fldCharType="begin"/>
            </w:r>
            <w:r w:rsidRPr="00E678BE">
              <w:rPr>
                <w:rFonts w:asciiTheme="majorBidi" w:hAnsiTheme="majorBidi" w:cstheme="majorBidi"/>
                <w:b/>
                <w:bCs/>
                <w:color w:val="4F81BD" w:themeColor="accent1"/>
              </w:rPr>
              <w:instrText xml:space="preserve"> SEQ Tableau_A \* ARABIC </w:instrText>
            </w:r>
            <w:r w:rsidR="001022E9" w:rsidRPr="00E678BE">
              <w:rPr>
                <w:rFonts w:asciiTheme="majorBidi" w:hAnsiTheme="majorBidi" w:cstheme="majorBidi"/>
                <w:b/>
                <w:bCs/>
                <w:color w:val="4F81BD" w:themeColor="accent1"/>
              </w:rPr>
              <w:fldChar w:fldCharType="separate"/>
            </w:r>
            <w:r w:rsidR="00156FC8">
              <w:rPr>
                <w:rFonts w:asciiTheme="majorBidi" w:hAnsiTheme="majorBidi" w:cstheme="majorBidi"/>
                <w:b/>
                <w:bCs/>
                <w:noProof/>
                <w:color w:val="4F81BD" w:themeColor="accent1"/>
              </w:rPr>
              <w:t>9</w:t>
            </w:r>
            <w:r w:rsidR="001022E9" w:rsidRPr="00E678BE">
              <w:rPr>
                <w:rFonts w:asciiTheme="majorBidi" w:hAnsiTheme="majorBidi" w:cstheme="majorBidi"/>
                <w:b/>
                <w:bCs/>
                <w:color w:val="4F81BD" w:themeColor="accent1"/>
              </w:rPr>
              <w:fldChar w:fldCharType="end"/>
            </w:r>
            <w:r w:rsidRPr="00E678BE">
              <w:rPr>
                <w:rFonts w:asciiTheme="majorBidi" w:hAnsiTheme="majorBidi" w:cstheme="majorBidi"/>
                <w:b/>
                <w:bCs/>
                <w:color w:val="4F81BD" w:themeColor="accent1"/>
              </w:rPr>
              <w:t xml:space="preserve"> : </w:t>
            </w:r>
            <w:r w:rsidR="00861415" w:rsidRPr="00E678BE">
              <w:rPr>
                <w:rFonts w:asciiTheme="majorBidi" w:eastAsia="Times New Roman" w:hAnsiTheme="majorBidi" w:cstheme="majorBidi"/>
                <w:b/>
                <w:bCs/>
                <w:color w:val="4F81BD" w:themeColor="accent1"/>
                <w:lang w:eastAsia="fr-FR"/>
              </w:rPr>
              <w:t>IPC de la ville de Kénitra par division et par mois</w:t>
            </w:r>
            <w:r w:rsidR="00F67E78" w:rsidRPr="00E678BE">
              <w:rPr>
                <w:rFonts w:asciiTheme="majorBidi" w:eastAsia="Times New Roman" w:hAnsiTheme="majorBidi" w:cstheme="majorBidi"/>
                <w:b/>
                <w:bCs/>
                <w:color w:val="4F81BD" w:themeColor="accent1"/>
                <w:lang w:eastAsia="fr-FR"/>
              </w:rPr>
              <w:t xml:space="preserve"> </w:t>
            </w:r>
            <w:r w:rsidR="00861415" w:rsidRPr="00E678BE">
              <w:rPr>
                <w:rFonts w:asciiTheme="majorBidi" w:eastAsia="Times New Roman" w:hAnsiTheme="majorBidi" w:cstheme="majorBidi"/>
                <w:b/>
                <w:bCs/>
                <w:color w:val="4F81BD" w:themeColor="accent1"/>
                <w:lang w:eastAsia="fr-FR"/>
              </w:rPr>
              <w:t>- Année 2010</w:t>
            </w:r>
            <w:r w:rsidR="00F67E78" w:rsidRPr="00E678BE">
              <w:rPr>
                <w:rFonts w:asciiTheme="majorBidi" w:eastAsia="Times New Roman" w:hAnsiTheme="majorBidi" w:cstheme="majorBidi"/>
                <w:b/>
                <w:bCs/>
                <w:color w:val="4F81BD" w:themeColor="accent1"/>
                <w:lang w:eastAsia="fr-FR"/>
              </w:rPr>
              <w:t xml:space="preserve"> </w:t>
            </w:r>
            <w:r w:rsidR="00861415" w:rsidRPr="00E678BE">
              <w:rPr>
                <w:rFonts w:asciiTheme="majorBidi" w:eastAsia="Times New Roman" w:hAnsiTheme="majorBidi" w:cstheme="majorBidi"/>
                <w:b/>
                <w:bCs/>
                <w:color w:val="4F81BD" w:themeColor="accent1"/>
                <w:lang w:eastAsia="fr-FR"/>
              </w:rPr>
              <w:t>-</w:t>
            </w:r>
            <w:bookmarkEnd w:id="54"/>
          </w:p>
        </w:tc>
      </w:tr>
      <w:tr w:rsidR="00861415" w:rsidRPr="00E678BE" w:rsidTr="00CE722C">
        <w:trPr>
          <w:trHeight w:val="444"/>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Fev</w:t>
            </w:r>
          </w:p>
        </w:tc>
        <w:tc>
          <w:tcPr>
            <w:tcW w:w="294"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Avr</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Jul</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Oct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Nov</w:t>
            </w:r>
          </w:p>
        </w:tc>
        <w:tc>
          <w:tcPr>
            <w:tcW w:w="291" w:type="pct"/>
            <w:tcBorders>
              <w:top w:val="nil"/>
              <w:left w:val="single" w:sz="8" w:space="0" w:color="auto"/>
              <w:bottom w:val="single" w:sz="8" w:space="0" w:color="auto"/>
              <w:right w:val="nil"/>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Dec</w:t>
            </w:r>
          </w:p>
        </w:tc>
        <w:tc>
          <w:tcPr>
            <w:tcW w:w="299" w:type="pct"/>
            <w:tcBorders>
              <w:top w:val="nil"/>
              <w:left w:val="single" w:sz="8"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Moy</w:t>
            </w:r>
          </w:p>
        </w:tc>
      </w:tr>
      <w:tr w:rsidR="00861415" w:rsidRPr="00E678BE" w:rsidTr="008B74DA">
        <w:trPr>
          <w:trHeight w:val="553"/>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111,5</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114,6</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114,0</w:t>
            </w:r>
          </w:p>
        </w:tc>
      </w:tr>
      <w:tr w:rsidR="00861415" w:rsidRPr="00E678BE" w:rsidTr="008B74DA">
        <w:trPr>
          <w:trHeight w:val="54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107,8</w:t>
            </w:r>
          </w:p>
        </w:tc>
      </w:tr>
      <w:tr w:rsidR="00861415" w:rsidRPr="00E678BE" w:rsidTr="008B74DA">
        <w:trPr>
          <w:trHeight w:val="55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104,9</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105,4</w:t>
            </w:r>
          </w:p>
        </w:tc>
      </w:tr>
      <w:tr w:rsidR="00861415" w:rsidRPr="00E678BE" w:rsidTr="00BD5911">
        <w:trPr>
          <w:trHeight w:val="678"/>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101,1</w:t>
            </w:r>
          </w:p>
        </w:tc>
      </w:tr>
      <w:tr w:rsidR="00861415" w:rsidRPr="00E678BE" w:rsidTr="008B74DA">
        <w:trPr>
          <w:trHeight w:val="72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103,9</w:t>
            </w:r>
          </w:p>
        </w:tc>
      </w:tr>
      <w:tr w:rsidR="00861415" w:rsidRPr="00E678BE" w:rsidTr="00BD5911">
        <w:trPr>
          <w:trHeight w:val="41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103,2</w:t>
            </w:r>
          </w:p>
        </w:tc>
      </w:tr>
      <w:tr w:rsidR="00861415" w:rsidRPr="00E678BE" w:rsidTr="00BD5911">
        <w:trPr>
          <w:trHeight w:val="40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102,2</w:t>
            </w:r>
          </w:p>
        </w:tc>
      </w:tr>
      <w:tr w:rsidR="00861415" w:rsidRPr="00E678BE" w:rsidTr="00BD5911">
        <w:trPr>
          <w:trHeight w:val="41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92,5</w:t>
            </w:r>
          </w:p>
        </w:tc>
      </w:tr>
      <w:tr w:rsidR="00861415" w:rsidRPr="00E678BE" w:rsidTr="00BD5911">
        <w:trPr>
          <w:trHeight w:val="40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99,8</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99,1</w:t>
            </w:r>
          </w:p>
        </w:tc>
      </w:tr>
      <w:tr w:rsidR="00861415" w:rsidRPr="00E678BE" w:rsidTr="008B74DA">
        <w:trPr>
          <w:trHeight w:val="43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102,9</w:t>
            </w:r>
          </w:p>
        </w:tc>
      </w:tr>
      <w:tr w:rsidR="00861415" w:rsidRPr="00E678BE" w:rsidTr="00BD5911">
        <w:trPr>
          <w:trHeight w:val="43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113,2</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110,3</w:t>
            </w:r>
          </w:p>
        </w:tc>
      </w:tr>
      <w:tr w:rsidR="00861415" w:rsidRPr="00E678BE" w:rsidTr="00BD5911">
        <w:trPr>
          <w:trHeight w:val="55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107,2</w:t>
            </w:r>
          </w:p>
        </w:tc>
        <w:tc>
          <w:tcPr>
            <w:tcW w:w="299" w:type="pct"/>
            <w:tcBorders>
              <w:top w:val="nil"/>
              <w:left w:val="nil"/>
              <w:bottom w:val="nil"/>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106,6</w:t>
            </w:r>
          </w:p>
        </w:tc>
      </w:tr>
      <w:tr w:rsidR="00861415" w:rsidRPr="00E678BE" w:rsidTr="008B74DA">
        <w:trPr>
          <w:trHeight w:val="529"/>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106,0</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107,5</w:t>
            </w:r>
          </w:p>
        </w:tc>
        <w:tc>
          <w:tcPr>
            <w:tcW w:w="299" w:type="pct"/>
            <w:tcBorders>
              <w:top w:val="single" w:sz="8" w:space="0" w:color="auto"/>
              <w:left w:val="nil"/>
              <w:bottom w:val="single" w:sz="8" w:space="0" w:color="auto"/>
              <w:right w:val="single" w:sz="8" w:space="0" w:color="auto"/>
            </w:tcBorders>
            <w:shd w:val="clear" w:color="000000" w:fill="BFBFBF"/>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107,1</w:t>
            </w:r>
          </w:p>
        </w:tc>
      </w:tr>
    </w:tbl>
    <w:p w:rsidR="00861415" w:rsidRPr="00E678BE" w:rsidRDefault="00861415" w:rsidP="00F7045D">
      <w:pPr>
        <w:rPr>
          <w:rFonts w:asciiTheme="majorBidi" w:hAnsiTheme="majorBidi" w:cstheme="majorBidi"/>
          <w:sz w:val="16"/>
          <w:szCs w:val="16"/>
        </w:rPr>
      </w:pPr>
    </w:p>
    <w:p w:rsidR="001F4DDA" w:rsidRDefault="001F4DDA">
      <w: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861415" w:rsidRPr="00E678BE" w:rsidTr="00861415">
        <w:trPr>
          <w:trHeight w:val="390"/>
        </w:trPr>
        <w:tc>
          <w:tcPr>
            <w:tcW w:w="5000" w:type="pct"/>
            <w:gridSpan w:val="14"/>
            <w:tcBorders>
              <w:top w:val="nil"/>
              <w:left w:val="nil"/>
              <w:bottom w:val="single" w:sz="8" w:space="0" w:color="auto"/>
              <w:right w:val="nil"/>
            </w:tcBorders>
            <w:shd w:val="clear" w:color="auto" w:fill="auto"/>
            <w:vAlign w:val="center"/>
            <w:hideMark/>
          </w:tcPr>
          <w:p w:rsidR="00861415" w:rsidRPr="00E678BE" w:rsidRDefault="005405A4" w:rsidP="00BC2DF5">
            <w:pPr>
              <w:spacing w:after="0" w:line="240" w:lineRule="auto"/>
              <w:rPr>
                <w:rFonts w:asciiTheme="majorBidi" w:eastAsia="Times New Roman" w:hAnsiTheme="majorBidi" w:cstheme="majorBidi"/>
                <w:b/>
                <w:bCs/>
                <w:color w:val="4F81BD" w:themeColor="accent1"/>
                <w:szCs w:val="24"/>
                <w:lang w:eastAsia="fr-FR"/>
              </w:rPr>
            </w:pPr>
            <w:bookmarkStart w:id="55" w:name="_Toc515274122"/>
            <w:r w:rsidRPr="00E678BE">
              <w:rPr>
                <w:rFonts w:asciiTheme="majorBidi" w:hAnsiTheme="majorBidi" w:cstheme="majorBidi"/>
                <w:b/>
                <w:color w:val="4F81BD" w:themeColor="accent1"/>
              </w:rPr>
              <w:lastRenderedPageBreak/>
              <w:t xml:space="preserve">Tableau A </w:t>
            </w:r>
            <w:r w:rsidR="001022E9" w:rsidRPr="00E678BE">
              <w:rPr>
                <w:rFonts w:asciiTheme="majorBidi" w:hAnsiTheme="majorBidi" w:cstheme="majorBidi"/>
                <w:b/>
                <w:color w:val="4F81BD" w:themeColor="accent1"/>
              </w:rPr>
              <w:fldChar w:fldCharType="begin"/>
            </w:r>
            <w:r w:rsidRPr="00E678BE">
              <w:rPr>
                <w:rFonts w:asciiTheme="majorBidi" w:hAnsiTheme="majorBidi" w:cstheme="majorBidi"/>
                <w:b/>
                <w:color w:val="4F81BD" w:themeColor="accent1"/>
              </w:rPr>
              <w:instrText xml:space="preserve"> SEQ Tableau_A \* ARABIC </w:instrText>
            </w:r>
            <w:r w:rsidR="001022E9" w:rsidRPr="00E678BE">
              <w:rPr>
                <w:rFonts w:asciiTheme="majorBidi" w:hAnsiTheme="majorBidi" w:cstheme="majorBidi"/>
                <w:b/>
                <w:color w:val="4F81BD" w:themeColor="accent1"/>
              </w:rPr>
              <w:fldChar w:fldCharType="separate"/>
            </w:r>
            <w:r w:rsidR="00156FC8">
              <w:rPr>
                <w:rFonts w:asciiTheme="majorBidi" w:hAnsiTheme="majorBidi" w:cstheme="majorBidi"/>
                <w:b/>
                <w:noProof/>
                <w:color w:val="4F81BD" w:themeColor="accent1"/>
              </w:rPr>
              <w:t>10</w:t>
            </w:r>
            <w:r w:rsidR="001022E9" w:rsidRPr="00E678BE">
              <w:rPr>
                <w:rFonts w:asciiTheme="majorBidi" w:hAnsiTheme="majorBidi" w:cstheme="majorBidi"/>
                <w:b/>
                <w:color w:val="4F81BD" w:themeColor="accent1"/>
              </w:rPr>
              <w:fldChar w:fldCharType="end"/>
            </w:r>
            <w:r w:rsidRPr="00E678BE">
              <w:rPr>
                <w:rFonts w:asciiTheme="majorBidi" w:hAnsiTheme="majorBidi" w:cstheme="majorBidi"/>
                <w:b/>
                <w:color w:val="4F81BD" w:themeColor="accent1"/>
              </w:rPr>
              <w:t xml:space="preserve"> : </w:t>
            </w:r>
            <w:r w:rsidR="00861415" w:rsidRPr="00E678BE">
              <w:rPr>
                <w:rFonts w:asciiTheme="majorBidi" w:eastAsia="Times New Roman" w:hAnsiTheme="majorBidi" w:cstheme="majorBidi"/>
                <w:b/>
                <w:bCs/>
                <w:color w:val="4F81BD" w:themeColor="accent1"/>
                <w:szCs w:val="24"/>
                <w:lang w:eastAsia="fr-FR"/>
              </w:rPr>
              <w:t>IPC de la ville de Kénitra par division et par mois</w:t>
            </w:r>
            <w:r w:rsidR="00F67E78" w:rsidRPr="00E678BE">
              <w:rPr>
                <w:rFonts w:asciiTheme="majorBidi" w:eastAsia="Times New Roman" w:hAnsiTheme="majorBidi" w:cstheme="majorBidi"/>
                <w:b/>
                <w:bCs/>
                <w:color w:val="4F81BD" w:themeColor="accent1"/>
                <w:szCs w:val="24"/>
                <w:lang w:eastAsia="fr-FR"/>
              </w:rPr>
              <w:t xml:space="preserve"> </w:t>
            </w:r>
            <w:r w:rsidR="00861415" w:rsidRPr="00E678BE">
              <w:rPr>
                <w:rFonts w:asciiTheme="majorBidi" w:eastAsia="Times New Roman" w:hAnsiTheme="majorBidi" w:cstheme="majorBidi"/>
                <w:b/>
                <w:bCs/>
                <w:color w:val="4F81BD" w:themeColor="accent1"/>
                <w:szCs w:val="24"/>
                <w:lang w:eastAsia="fr-FR"/>
              </w:rPr>
              <w:t>- Année 2009</w:t>
            </w:r>
            <w:r w:rsidR="00F67E78" w:rsidRPr="00E678BE">
              <w:rPr>
                <w:rFonts w:asciiTheme="majorBidi" w:eastAsia="Times New Roman" w:hAnsiTheme="majorBidi" w:cstheme="majorBidi"/>
                <w:b/>
                <w:bCs/>
                <w:color w:val="4F81BD" w:themeColor="accent1"/>
                <w:szCs w:val="24"/>
                <w:lang w:eastAsia="fr-FR"/>
              </w:rPr>
              <w:t xml:space="preserve"> </w:t>
            </w:r>
            <w:r w:rsidR="00861415" w:rsidRPr="00E678BE">
              <w:rPr>
                <w:rFonts w:asciiTheme="majorBidi" w:eastAsia="Times New Roman" w:hAnsiTheme="majorBidi" w:cstheme="majorBidi"/>
                <w:b/>
                <w:bCs/>
                <w:color w:val="4F81BD" w:themeColor="accent1"/>
                <w:szCs w:val="24"/>
                <w:lang w:eastAsia="fr-FR"/>
              </w:rPr>
              <w:t>-</w:t>
            </w:r>
            <w:bookmarkEnd w:id="55"/>
          </w:p>
        </w:tc>
      </w:tr>
      <w:tr w:rsidR="00861415" w:rsidRPr="00E678BE" w:rsidTr="001F4DDA">
        <w:trPr>
          <w:trHeight w:val="330"/>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861415" w:rsidRPr="00E678BE" w:rsidRDefault="00CE722C" w:rsidP="00861415">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Fev</w:t>
            </w:r>
          </w:p>
        </w:tc>
        <w:tc>
          <w:tcPr>
            <w:tcW w:w="294"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Avr</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Jul</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Oct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Nov</w:t>
            </w:r>
          </w:p>
        </w:tc>
        <w:tc>
          <w:tcPr>
            <w:tcW w:w="291" w:type="pct"/>
            <w:tcBorders>
              <w:top w:val="nil"/>
              <w:left w:val="single" w:sz="8" w:space="0" w:color="auto"/>
              <w:bottom w:val="single" w:sz="8" w:space="0" w:color="auto"/>
              <w:right w:val="nil"/>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Dec</w:t>
            </w:r>
          </w:p>
        </w:tc>
        <w:tc>
          <w:tcPr>
            <w:tcW w:w="299" w:type="pct"/>
            <w:tcBorders>
              <w:top w:val="nil"/>
              <w:left w:val="single" w:sz="8"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Moy</w:t>
            </w:r>
          </w:p>
        </w:tc>
      </w:tr>
      <w:tr w:rsidR="00861415" w:rsidRPr="00E678BE" w:rsidTr="008B74DA">
        <w:trPr>
          <w:trHeight w:val="651"/>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109,3</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114,2</w:t>
            </w:r>
          </w:p>
        </w:tc>
      </w:tr>
      <w:tr w:rsidR="00861415" w:rsidRPr="00E678BE" w:rsidTr="008B74DA">
        <w:trPr>
          <w:trHeight w:val="55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107,7</w:t>
            </w:r>
          </w:p>
        </w:tc>
      </w:tr>
      <w:tr w:rsidR="00861415" w:rsidRPr="00E678BE" w:rsidTr="008B74DA">
        <w:trPr>
          <w:trHeight w:val="56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105,7</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105,3</w:t>
            </w:r>
          </w:p>
        </w:tc>
      </w:tr>
      <w:tr w:rsidR="00861415" w:rsidRPr="00E678BE" w:rsidTr="00BD5911">
        <w:trPr>
          <w:trHeight w:val="70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100,9</w:t>
            </w:r>
          </w:p>
        </w:tc>
      </w:tr>
      <w:tr w:rsidR="00861415" w:rsidRPr="00E678BE" w:rsidTr="008B74DA">
        <w:trPr>
          <w:trHeight w:val="69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105,8</w:t>
            </w:r>
          </w:p>
        </w:tc>
      </w:tr>
      <w:tr w:rsidR="00861415" w:rsidRPr="00E678BE" w:rsidTr="00BD5911">
        <w:trPr>
          <w:trHeight w:val="41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103,3</w:t>
            </w:r>
          </w:p>
        </w:tc>
      </w:tr>
      <w:tr w:rsidR="00861415" w:rsidRPr="00E678BE" w:rsidTr="00CE722C">
        <w:trPr>
          <w:trHeight w:val="41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101,9</w:t>
            </w:r>
          </w:p>
        </w:tc>
      </w:tr>
      <w:tr w:rsidR="00861415" w:rsidRPr="00E678BE" w:rsidTr="00CE722C">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93,6</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92,9</w:t>
            </w:r>
          </w:p>
        </w:tc>
      </w:tr>
      <w:tr w:rsidR="00861415" w:rsidRPr="00E678BE" w:rsidTr="00BD5911">
        <w:trPr>
          <w:trHeight w:val="418"/>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100,5</w:t>
            </w:r>
          </w:p>
        </w:tc>
      </w:tr>
      <w:tr w:rsidR="00861415" w:rsidRPr="00E678BE" w:rsidTr="00BD5911">
        <w:trPr>
          <w:trHeight w:val="410"/>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101,7</w:t>
            </w:r>
          </w:p>
        </w:tc>
      </w:tr>
      <w:tr w:rsidR="00861415" w:rsidRPr="00E678BE" w:rsidTr="00CE722C">
        <w:trPr>
          <w:trHeight w:val="55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104,6</w:t>
            </w:r>
          </w:p>
        </w:tc>
      </w:tr>
      <w:tr w:rsidR="00861415" w:rsidRPr="00E678BE" w:rsidTr="00BD5911">
        <w:trPr>
          <w:trHeight w:val="56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104,2</w:t>
            </w:r>
          </w:p>
        </w:tc>
      </w:tr>
      <w:tr w:rsidR="00861415" w:rsidRPr="00E678BE" w:rsidTr="008B74DA">
        <w:trPr>
          <w:trHeight w:val="545"/>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107,1</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107,0</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105,1</w:t>
            </w:r>
          </w:p>
        </w:tc>
        <w:tc>
          <w:tcPr>
            <w:tcW w:w="299"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106,9</w:t>
            </w:r>
          </w:p>
        </w:tc>
      </w:tr>
    </w:tbl>
    <w:p w:rsidR="00861415" w:rsidRPr="00E678BE" w:rsidRDefault="00861415" w:rsidP="00F7045D">
      <w:pPr>
        <w:rPr>
          <w:rFonts w:asciiTheme="majorBidi" w:hAnsiTheme="majorBidi" w:cstheme="majorBidi"/>
          <w:sz w:val="16"/>
          <w:szCs w:val="16"/>
        </w:rPr>
      </w:pPr>
    </w:p>
    <w:p w:rsidR="008B74DA" w:rsidRDefault="008B74DA">
      <w:pPr>
        <w:rPr>
          <w:rFonts w:asciiTheme="majorBidi" w:hAnsiTheme="majorBidi" w:cstheme="majorBidi"/>
          <w:sz w:val="16"/>
          <w:szCs w:val="16"/>
        </w:rPr>
      </w:pPr>
      <w:r>
        <w:rPr>
          <w:rFonts w:asciiTheme="majorBidi" w:hAnsiTheme="majorBidi" w:cstheme="majorBidi"/>
          <w:sz w:val="16"/>
          <w:szCs w:val="16"/>
        </w:rP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861415" w:rsidRPr="00E678BE" w:rsidTr="00861415">
        <w:trPr>
          <w:trHeight w:val="390"/>
        </w:trPr>
        <w:tc>
          <w:tcPr>
            <w:tcW w:w="5000" w:type="pct"/>
            <w:gridSpan w:val="14"/>
            <w:tcBorders>
              <w:top w:val="nil"/>
              <w:left w:val="nil"/>
              <w:bottom w:val="single" w:sz="8" w:space="0" w:color="auto"/>
              <w:right w:val="nil"/>
            </w:tcBorders>
            <w:shd w:val="clear" w:color="auto" w:fill="auto"/>
            <w:vAlign w:val="center"/>
            <w:hideMark/>
          </w:tcPr>
          <w:p w:rsidR="00861415" w:rsidRPr="00E678BE" w:rsidRDefault="001F4DDA" w:rsidP="00BC2DF5">
            <w:pPr>
              <w:spacing w:after="0" w:line="240" w:lineRule="auto"/>
              <w:rPr>
                <w:rFonts w:asciiTheme="majorBidi" w:eastAsia="Times New Roman" w:hAnsiTheme="majorBidi" w:cstheme="majorBidi"/>
                <w:b/>
                <w:bCs/>
                <w:color w:val="4F81BD" w:themeColor="accent1"/>
                <w:szCs w:val="24"/>
                <w:lang w:eastAsia="fr-FR"/>
              </w:rPr>
            </w:pPr>
            <w:r>
              <w:lastRenderedPageBreak/>
              <w:br w:type="page"/>
            </w:r>
            <w:bookmarkStart w:id="56" w:name="_Toc515274123"/>
            <w:r w:rsidR="005405A4" w:rsidRPr="00E678BE">
              <w:rPr>
                <w:rFonts w:asciiTheme="majorBidi" w:hAnsiTheme="majorBidi" w:cstheme="majorBidi"/>
                <w:b/>
                <w:color w:val="4F81BD" w:themeColor="accent1"/>
              </w:rPr>
              <w:t xml:space="preserve">Tableau A </w:t>
            </w:r>
            <w:r w:rsidR="001022E9" w:rsidRPr="00E678BE">
              <w:rPr>
                <w:rFonts w:asciiTheme="majorBidi" w:hAnsiTheme="majorBidi" w:cstheme="majorBidi"/>
                <w:b/>
                <w:color w:val="4F81BD" w:themeColor="accent1"/>
              </w:rPr>
              <w:fldChar w:fldCharType="begin"/>
            </w:r>
            <w:r w:rsidR="005405A4" w:rsidRPr="00E678BE">
              <w:rPr>
                <w:rFonts w:asciiTheme="majorBidi" w:hAnsiTheme="majorBidi" w:cstheme="majorBidi"/>
                <w:b/>
                <w:color w:val="4F81BD" w:themeColor="accent1"/>
              </w:rPr>
              <w:instrText xml:space="preserve"> SEQ Tableau_A \* ARABIC </w:instrText>
            </w:r>
            <w:r w:rsidR="001022E9" w:rsidRPr="00E678BE">
              <w:rPr>
                <w:rFonts w:asciiTheme="majorBidi" w:hAnsiTheme="majorBidi" w:cstheme="majorBidi"/>
                <w:b/>
                <w:color w:val="4F81BD" w:themeColor="accent1"/>
              </w:rPr>
              <w:fldChar w:fldCharType="separate"/>
            </w:r>
            <w:r w:rsidR="00156FC8">
              <w:rPr>
                <w:rFonts w:asciiTheme="majorBidi" w:hAnsiTheme="majorBidi" w:cstheme="majorBidi"/>
                <w:b/>
                <w:noProof/>
                <w:color w:val="4F81BD" w:themeColor="accent1"/>
              </w:rPr>
              <w:t>11</w:t>
            </w:r>
            <w:r w:rsidR="001022E9" w:rsidRPr="00E678BE">
              <w:rPr>
                <w:rFonts w:asciiTheme="majorBidi" w:hAnsiTheme="majorBidi" w:cstheme="majorBidi"/>
                <w:b/>
                <w:color w:val="4F81BD" w:themeColor="accent1"/>
              </w:rPr>
              <w:fldChar w:fldCharType="end"/>
            </w:r>
            <w:r w:rsidR="005405A4" w:rsidRPr="00E678BE">
              <w:rPr>
                <w:rFonts w:asciiTheme="majorBidi" w:hAnsiTheme="majorBidi" w:cstheme="majorBidi"/>
                <w:b/>
                <w:color w:val="4F81BD" w:themeColor="accent1"/>
              </w:rPr>
              <w:t xml:space="preserve"> : </w:t>
            </w:r>
            <w:r w:rsidR="00861415" w:rsidRPr="00E678BE">
              <w:rPr>
                <w:rFonts w:asciiTheme="majorBidi" w:eastAsia="Times New Roman" w:hAnsiTheme="majorBidi" w:cstheme="majorBidi"/>
                <w:b/>
                <w:bCs/>
                <w:color w:val="4F81BD" w:themeColor="accent1"/>
                <w:szCs w:val="24"/>
                <w:lang w:eastAsia="fr-FR"/>
              </w:rPr>
              <w:t>IPC de la ville de Kénitra par division et par mois</w:t>
            </w:r>
            <w:r w:rsidR="005405A4" w:rsidRPr="00E678BE">
              <w:rPr>
                <w:rFonts w:asciiTheme="majorBidi" w:eastAsia="Times New Roman" w:hAnsiTheme="majorBidi" w:cstheme="majorBidi"/>
                <w:b/>
                <w:bCs/>
                <w:color w:val="4F81BD" w:themeColor="accent1"/>
                <w:szCs w:val="24"/>
                <w:lang w:eastAsia="fr-FR"/>
              </w:rPr>
              <w:t xml:space="preserve"> </w:t>
            </w:r>
            <w:r w:rsidR="00861415" w:rsidRPr="00E678BE">
              <w:rPr>
                <w:rFonts w:asciiTheme="majorBidi" w:eastAsia="Times New Roman" w:hAnsiTheme="majorBidi" w:cstheme="majorBidi"/>
                <w:b/>
                <w:bCs/>
                <w:color w:val="4F81BD" w:themeColor="accent1"/>
                <w:szCs w:val="24"/>
                <w:lang w:eastAsia="fr-FR"/>
              </w:rPr>
              <w:t>- Année 2008</w:t>
            </w:r>
            <w:r w:rsidR="00F67E78" w:rsidRPr="00E678BE">
              <w:rPr>
                <w:rFonts w:asciiTheme="majorBidi" w:eastAsia="Times New Roman" w:hAnsiTheme="majorBidi" w:cstheme="majorBidi"/>
                <w:b/>
                <w:bCs/>
                <w:color w:val="4F81BD" w:themeColor="accent1"/>
                <w:szCs w:val="24"/>
                <w:lang w:eastAsia="fr-FR"/>
              </w:rPr>
              <w:t xml:space="preserve"> </w:t>
            </w:r>
            <w:r w:rsidR="00861415" w:rsidRPr="00E678BE">
              <w:rPr>
                <w:rFonts w:asciiTheme="majorBidi" w:eastAsia="Times New Roman" w:hAnsiTheme="majorBidi" w:cstheme="majorBidi"/>
                <w:b/>
                <w:bCs/>
                <w:color w:val="4F81BD" w:themeColor="accent1"/>
                <w:szCs w:val="24"/>
                <w:lang w:eastAsia="fr-FR"/>
              </w:rPr>
              <w:t>-</w:t>
            </w:r>
            <w:bookmarkEnd w:id="56"/>
          </w:p>
        </w:tc>
      </w:tr>
      <w:tr w:rsidR="00861415" w:rsidRPr="00E678BE" w:rsidTr="00BD5911">
        <w:trPr>
          <w:trHeight w:val="330"/>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861415" w:rsidRPr="00E678BE" w:rsidRDefault="00CE722C" w:rsidP="00861415">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Fev</w:t>
            </w:r>
          </w:p>
        </w:tc>
        <w:tc>
          <w:tcPr>
            <w:tcW w:w="294"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Avr</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Jul</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Oct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Nov</w:t>
            </w:r>
          </w:p>
        </w:tc>
        <w:tc>
          <w:tcPr>
            <w:tcW w:w="291" w:type="pct"/>
            <w:tcBorders>
              <w:top w:val="nil"/>
              <w:left w:val="single" w:sz="8" w:space="0" w:color="auto"/>
              <w:bottom w:val="single" w:sz="8" w:space="0" w:color="auto"/>
              <w:right w:val="nil"/>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Dec</w:t>
            </w:r>
          </w:p>
        </w:tc>
        <w:tc>
          <w:tcPr>
            <w:tcW w:w="303" w:type="pct"/>
            <w:tcBorders>
              <w:top w:val="nil"/>
              <w:left w:val="single" w:sz="8"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Moy</w:t>
            </w:r>
          </w:p>
        </w:tc>
      </w:tr>
      <w:tr w:rsidR="00861415" w:rsidRPr="00E678BE" w:rsidTr="008B74DA">
        <w:trPr>
          <w:trHeight w:val="651"/>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106,5</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115,1</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112,2</w:t>
            </w:r>
          </w:p>
        </w:tc>
      </w:tr>
      <w:tr w:rsidR="00861415" w:rsidRPr="00E678BE" w:rsidTr="008B74DA">
        <w:trPr>
          <w:trHeight w:val="55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104,4</w:t>
            </w:r>
          </w:p>
        </w:tc>
      </w:tr>
      <w:tr w:rsidR="00861415" w:rsidRPr="00E678BE" w:rsidTr="008B74DA">
        <w:trPr>
          <w:trHeight w:val="56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103,8</w:t>
            </w:r>
          </w:p>
        </w:tc>
      </w:tr>
      <w:tr w:rsidR="00861415" w:rsidRPr="00E678BE" w:rsidTr="00BD5911">
        <w:trPr>
          <w:trHeight w:val="70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100,5</w:t>
            </w:r>
          </w:p>
        </w:tc>
      </w:tr>
      <w:tr w:rsidR="00861415" w:rsidRPr="00E678BE" w:rsidTr="008B74DA">
        <w:trPr>
          <w:trHeight w:val="55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105,1</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104,0</w:t>
            </w:r>
          </w:p>
        </w:tc>
      </w:tr>
      <w:tr w:rsidR="00861415" w:rsidRPr="00E678BE" w:rsidTr="008B74DA">
        <w:trPr>
          <w:trHeight w:val="54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102,2</w:t>
            </w:r>
          </w:p>
        </w:tc>
      </w:tr>
      <w:tr w:rsidR="00861415" w:rsidRPr="00E678BE" w:rsidTr="00BD5911">
        <w:trPr>
          <w:trHeight w:val="43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101,2</w:t>
            </w:r>
          </w:p>
        </w:tc>
      </w:tr>
      <w:tr w:rsidR="00861415" w:rsidRPr="00E678BE" w:rsidTr="00BD5911">
        <w:trPr>
          <w:trHeight w:val="39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96,3</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96,7</w:t>
            </w:r>
          </w:p>
        </w:tc>
      </w:tr>
      <w:tr w:rsidR="00861415" w:rsidRPr="00E678BE" w:rsidTr="00BD5911">
        <w:trPr>
          <w:trHeight w:val="41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100,8</w:t>
            </w:r>
          </w:p>
        </w:tc>
      </w:tr>
      <w:tr w:rsidR="00861415" w:rsidRPr="00E678BE" w:rsidTr="00BD5911">
        <w:trPr>
          <w:trHeight w:val="42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100,9</w:t>
            </w:r>
          </w:p>
        </w:tc>
      </w:tr>
      <w:tr w:rsidR="00861415" w:rsidRPr="00E678BE" w:rsidTr="00BD5911">
        <w:trPr>
          <w:trHeight w:val="41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101,5</w:t>
            </w:r>
          </w:p>
        </w:tc>
      </w:tr>
      <w:tr w:rsidR="00861415" w:rsidRPr="00E678BE" w:rsidTr="00BD5911">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102,4</w:t>
            </w:r>
          </w:p>
        </w:tc>
      </w:tr>
      <w:tr w:rsidR="00861415" w:rsidRPr="00E678BE" w:rsidTr="00BD5911">
        <w:trPr>
          <w:trHeight w:val="541"/>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103,0</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103,1</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107,2</w:t>
            </w:r>
          </w:p>
        </w:tc>
        <w:tc>
          <w:tcPr>
            <w:tcW w:w="303"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105,7</w:t>
            </w:r>
          </w:p>
        </w:tc>
      </w:tr>
    </w:tbl>
    <w:p w:rsidR="00861415" w:rsidRPr="00E678BE" w:rsidRDefault="00861415" w:rsidP="00F7045D">
      <w:pPr>
        <w:rPr>
          <w:rFonts w:asciiTheme="majorBidi" w:hAnsiTheme="majorBidi" w:cstheme="majorBidi"/>
          <w:sz w:val="16"/>
          <w:szCs w:val="16"/>
        </w:rPr>
      </w:pPr>
    </w:p>
    <w:p w:rsidR="001F4DDA" w:rsidRDefault="001F4DDA">
      <w: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861415" w:rsidRPr="00E678BE" w:rsidTr="00861415">
        <w:trPr>
          <w:trHeight w:val="390"/>
        </w:trPr>
        <w:tc>
          <w:tcPr>
            <w:tcW w:w="5000" w:type="pct"/>
            <w:gridSpan w:val="14"/>
            <w:tcBorders>
              <w:top w:val="nil"/>
              <w:left w:val="nil"/>
              <w:bottom w:val="single" w:sz="8" w:space="0" w:color="auto"/>
              <w:right w:val="nil"/>
            </w:tcBorders>
            <w:shd w:val="clear" w:color="auto" w:fill="auto"/>
            <w:vAlign w:val="center"/>
            <w:hideMark/>
          </w:tcPr>
          <w:p w:rsidR="00861415" w:rsidRPr="00E678BE" w:rsidRDefault="00F67E78" w:rsidP="00BC2DF5">
            <w:pPr>
              <w:spacing w:after="0" w:line="240" w:lineRule="auto"/>
              <w:rPr>
                <w:rFonts w:asciiTheme="majorBidi" w:eastAsia="Times New Roman" w:hAnsiTheme="majorBidi" w:cstheme="majorBidi"/>
                <w:b/>
                <w:bCs/>
                <w:color w:val="4F81BD" w:themeColor="accent1"/>
                <w:szCs w:val="24"/>
                <w:lang w:eastAsia="fr-FR"/>
              </w:rPr>
            </w:pPr>
            <w:bookmarkStart w:id="57" w:name="_Toc515274124"/>
            <w:r w:rsidRPr="00E678BE">
              <w:rPr>
                <w:rFonts w:asciiTheme="majorBidi" w:hAnsiTheme="majorBidi" w:cstheme="majorBidi"/>
                <w:b/>
                <w:color w:val="4F81BD" w:themeColor="accent1"/>
              </w:rPr>
              <w:lastRenderedPageBreak/>
              <w:t xml:space="preserve">Tableau A </w:t>
            </w:r>
            <w:r w:rsidR="001022E9" w:rsidRPr="00E678BE">
              <w:rPr>
                <w:rFonts w:asciiTheme="majorBidi" w:hAnsiTheme="majorBidi" w:cstheme="majorBidi"/>
                <w:b/>
                <w:color w:val="4F81BD" w:themeColor="accent1"/>
              </w:rPr>
              <w:fldChar w:fldCharType="begin"/>
            </w:r>
            <w:r w:rsidRPr="00E678BE">
              <w:rPr>
                <w:rFonts w:asciiTheme="majorBidi" w:hAnsiTheme="majorBidi" w:cstheme="majorBidi"/>
                <w:b/>
                <w:color w:val="4F81BD" w:themeColor="accent1"/>
              </w:rPr>
              <w:instrText xml:space="preserve"> SEQ Tableau_A \* ARABIC </w:instrText>
            </w:r>
            <w:r w:rsidR="001022E9" w:rsidRPr="00E678BE">
              <w:rPr>
                <w:rFonts w:asciiTheme="majorBidi" w:hAnsiTheme="majorBidi" w:cstheme="majorBidi"/>
                <w:b/>
                <w:color w:val="4F81BD" w:themeColor="accent1"/>
              </w:rPr>
              <w:fldChar w:fldCharType="separate"/>
            </w:r>
            <w:r w:rsidR="00156FC8">
              <w:rPr>
                <w:rFonts w:asciiTheme="majorBidi" w:hAnsiTheme="majorBidi" w:cstheme="majorBidi"/>
                <w:b/>
                <w:noProof/>
                <w:color w:val="4F81BD" w:themeColor="accent1"/>
              </w:rPr>
              <w:t>12</w:t>
            </w:r>
            <w:r w:rsidR="001022E9" w:rsidRPr="00E678BE">
              <w:rPr>
                <w:rFonts w:asciiTheme="majorBidi" w:hAnsiTheme="majorBidi" w:cstheme="majorBidi"/>
                <w:b/>
                <w:color w:val="4F81BD" w:themeColor="accent1"/>
              </w:rPr>
              <w:fldChar w:fldCharType="end"/>
            </w:r>
            <w:r w:rsidRPr="00E678BE">
              <w:rPr>
                <w:rFonts w:asciiTheme="majorBidi" w:hAnsiTheme="majorBidi" w:cstheme="majorBidi"/>
                <w:b/>
                <w:color w:val="4F81BD" w:themeColor="accent1"/>
              </w:rPr>
              <w:t xml:space="preserve"> : </w:t>
            </w:r>
            <w:r w:rsidR="00861415" w:rsidRPr="00E678BE">
              <w:rPr>
                <w:rFonts w:asciiTheme="majorBidi" w:eastAsia="Times New Roman" w:hAnsiTheme="majorBidi" w:cstheme="majorBidi"/>
                <w:b/>
                <w:bCs/>
                <w:color w:val="4F81BD" w:themeColor="accent1"/>
                <w:szCs w:val="24"/>
                <w:lang w:eastAsia="fr-FR"/>
              </w:rPr>
              <w:t>IPC de la ville de Kénitra par division et par mois</w:t>
            </w:r>
            <w:r w:rsidRPr="00E678BE">
              <w:rPr>
                <w:rFonts w:asciiTheme="majorBidi" w:eastAsia="Times New Roman" w:hAnsiTheme="majorBidi" w:cstheme="majorBidi"/>
                <w:b/>
                <w:bCs/>
                <w:color w:val="4F81BD" w:themeColor="accent1"/>
                <w:szCs w:val="24"/>
                <w:lang w:eastAsia="fr-FR"/>
              </w:rPr>
              <w:t xml:space="preserve"> </w:t>
            </w:r>
            <w:r w:rsidR="00861415" w:rsidRPr="00E678BE">
              <w:rPr>
                <w:rFonts w:asciiTheme="majorBidi" w:eastAsia="Times New Roman" w:hAnsiTheme="majorBidi" w:cstheme="majorBidi"/>
                <w:b/>
                <w:bCs/>
                <w:color w:val="4F81BD" w:themeColor="accent1"/>
                <w:szCs w:val="24"/>
                <w:lang w:eastAsia="fr-FR"/>
              </w:rPr>
              <w:t>- Année 2007-</w:t>
            </w:r>
            <w:bookmarkEnd w:id="57"/>
          </w:p>
        </w:tc>
      </w:tr>
      <w:tr w:rsidR="00861415" w:rsidRPr="00E678BE" w:rsidTr="001F4DDA">
        <w:trPr>
          <w:trHeight w:val="330"/>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861415" w:rsidRPr="00E678BE" w:rsidRDefault="00CE722C" w:rsidP="00861415">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Fev</w:t>
            </w:r>
          </w:p>
        </w:tc>
        <w:tc>
          <w:tcPr>
            <w:tcW w:w="294"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Avr</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Jul</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Oct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Nov</w:t>
            </w:r>
          </w:p>
        </w:tc>
        <w:tc>
          <w:tcPr>
            <w:tcW w:w="291" w:type="pct"/>
            <w:tcBorders>
              <w:top w:val="nil"/>
              <w:left w:val="single" w:sz="8" w:space="0" w:color="auto"/>
              <w:bottom w:val="single" w:sz="8" w:space="0" w:color="auto"/>
              <w:right w:val="nil"/>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Dec</w:t>
            </w:r>
          </w:p>
        </w:tc>
        <w:tc>
          <w:tcPr>
            <w:tcW w:w="299" w:type="pct"/>
            <w:tcBorders>
              <w:top w:val="nil"/>
              <w:left w:val="single" w:sz="8"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Moy</w:t>
            </w:r>
          </w:p>
        </w:tc>
      </w:tr>
      <w:tr w:rsidR="00861415" w:rsidRPr="00E678BE" w:rsidTr="008B74DA">
        <w:trPr>
          <w:trHeight w:val="651"/>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105,9</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103,8</w:t>
            </w:r>
          </w:p>
        </w:tc>
      </w:tr>
      <w:tr w:rsidR="00861415" w:rsidRPr="00E678BE" w:rsidTr="008B74DA">
        <w:trPr>
          <w:trHeight w:val="55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102,1</w:t>
            </w:r>
          </w:p>
        </w:tc>
      </w:tr>
      <w:tr w:rsidR="00861415" w:rsidRPr="00E678BE" w:rsidTr="008B74DA">
        <w:trPr>
          <w:trHeight w:val="56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103,0</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101,1</w:t>
            </w:r>
          </w:p>
        </w:tc>
      </w:tr>
      <w:tr w:rsidR="00861415" w:rsidRPr="00E678BE" w:rsidTr="00BD5911">
        <w:trPr>
          <w:trHeight w:val="70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100,1</w:t>
            </w:r>
          </w:p>
        </w:tc>
      </w:tr>
      <w:tr w:rsidR="00861415" w:rsidRPr="00E678BE" w:rsidTr="00BD5911">
        <w:trPr>
          <w:trHeight w:val="686"/>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101,4</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102,1</w:t>
            </w:r>
          </w:p>
        </w:tc>
      </w:tr>
      <w:tr w:rsidR="00861415" w:rsidRPr="00E678BE" w:rsidTr="008B74DA">
        <w:trPr>
          <w:trHeight w:val="56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102,2</w:t>
            </w:r>
          </w:p>
        </w:tc>
      </w:tr>
      <w:tr w:rsidR="00861415" w:rsidRPr="00E678BE" w:rsidTr="00BD5911">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100,3</w:t>
            </w:r>
          </w:p>
        </w:tc>
      </w:tr>
      <w:tr w:rsidR="00861415" w:rsidRPr="00E678BE" w:rsidTr="00BD5911">
        <w:trPr>
          <w:trHeight w:val="41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97,8</w:t>
            </w:r>
          </w:p>
        </w:tc>
      </w:tr>
      <w:tr w:rsidR="00861415" w:rsidRPr="00E678BE" w:rsidTr="00CE722C">
        <w:trPr>
          <w:trHeight w:val="40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101,1</w:t>
            </w:r>
          </w:p>
        </w:tc>
      </w:tr>
      <w:tr w:rsidR="00861415" w:rsidRPr="00E678BE" w:rsidTr="00BD5911">
        <w:trPr>
          <w:trHeight w:val="43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100,2</w:t>
            </w:r>
          </w:p>
        </w:tc>
      </w:tr>
      <w:tr w:rsidR="00861415" w:rsidRPr="00E678BE" w:rsidTr="00BD5911">
        <w:trPr>
          <w:trHeight w:val="41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100,0</w:t>
            </w:r>
          </w:p>
        </w:tc>
      </w:tr>
      <w:tr w:rsidR="00861415" w:rsidRPr="00E678BE" w:rsidTr="00BD5911">
        <w:trPr>
          <w:trHeight w:val="54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9"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100,4</w:t>
            </w:r>
          </w:p>
        </w:tc>
      </w:tr>
      <w:tr w:rsidR="00861415" w:rsidRPr="00E678BE" w:rsidTr="008B74DA">
        <w:trPr>
          <w:trHeight w:val="542"/>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100,6</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100,5</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103,0</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102,9</w:t>
            </w:r>
          </w:p>
        </w:tc>
        <w:tc>
          <w:tcPr>
            <w:tcW w:w="299"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101,8</w:t>
            </w:r>
          </w:p>
        </w:tc>
      </w:tr>
    </w:tbl>
    <w:p w:rsidR="00BD5911" w:rsidRDefault="00BD5911" w:rsidP="00F7045D">
      <w:pPr>
        <w:rPr>
          <w:rFonts w:asciiTheme="majorBidi" w:hAnsiTheme="majorBidi" w:cstheme="majorBidi"/>
          <w:sz w:val="16"/>
          <w:szCs w:val="16"/>
        </w:rPr>
        <w:sectPr w:rsidR="00BD5911" w:rsidSect="00BD5911">
          <w:pgSz w:w="16838" w:h="11906" w:orient="landscape"/>
          <w:pgMar w:top="1418" w:right="1701" w:bottom="1276" w:left="1701" w:header="709" w:footer="709" w:gutter="0"/>
          <w:cols w:space="708"/>
          <w:titlePg/>
          <w:docGrid w:linePitch="360"/>
        </w:sectPr>
      </w:pPr>
    </w:p>
    <w:p w:rsidR="00E8089E" w:rsidRPr="00E678BE" w:rsidRDefault="00F67E78" w:rsidP="006A40CB">
      <w:pPr>
        <w:pStyle w:val="Lgende"/>
        <w:spacing w:after="0"/>
        <w:rPr>
          <w:rFonts w:asciiTheme="majorBidi" w:hAnsiTheme="majorBidi" w:cstheme="majorBidi"/>
          <w:bCs w:val="0"/>
          <w:sz w:val="22"/>
        </w:rPr>
      </w:pPr>
      <w:bookmarkStart w:id="58" w:name="_Toc515274125"/>
      <w:r w:rsidRPr="00E678BE">
        <w:rPr>
          <w:rFonts w:asciiTheme="majorBidi" w:hAnsiTheme="majorBidi" w:cstheme="majorBidi"/>
          <w:sz w:val="22"/>
        </w:rPr>
        <w:lastRenderedPageBreak/>
        <w:t xml:space="preserve">Tableau A </w:t>
      </w:r>
      <w:r w:rsidR="001022E9" w:rsidRPr="00E678BE">
        <w:rPr>
          <w:rFonts w:asciiTheme="majorBidi" w:hAnsiTheme="majorBidi" w:cstheme="majorBidi"/>
          <w:sz w:val="22"/>
        </w:rPr>
        <w:fldChar w:fldCharType="begin"/>
      </w:r>
      <w:r w:rsidRPr="00E678BE">
        <w:rPr>
          <w:rFonts w:asciiTheme="majorBidi" w:hAnsiTheme="majorBidi" w:cstheme="majorBidi"/>
          <w:sz w:val="22"/>
        </w:rPr>
        <w:instrText xml:space="preserve"> SEQ Tableau_A \* ARABIC </w:instrText>
      </w:r>
      <w:r w:rsidR="001022E9" w:rsidRPr="00E678BE">
        <w:rPr>
          <w:rFonts w:asciiTheme="majorBidi" w:hAnsiTheme="majorBidi" w:cstheme="majorBidi"/>
          <w:sz w:val="22"/>
        </w:rPr>
        <w:fldChar w:fldCharType="separate"/>
      </w:r>
      <w:r w:rsidR="00156FC8">
        <w:rPr>
          <w:rFonts w:asciiTheme="majorBidi" w:hAnsiTheme="majorBidi" w:cstheme="majorBidi"/>
          <w:noProof/>
          <w:sz w:val="22"/>
        </w:rPr>
        <w:t>13</w:t>
      </w:r>
      <w:r w:rsidR="001022E9" w:rsidRPr="00E678BE">
        <w:rPr>
          <w:rFonts w:asciiTheme="majorBidi" w:hAnsiTheme="majorBidi" w:cstheme="majorBidi"/>
          <w:sz w:val="22"/>
        </w:rPr>
        <w:fldChar w:fldCharType="end"/>
      </w:r>
      <w:r w:rsidRPr="00E678BE">
        <w:rPr>
          <w:rFonts w:asciiTheme="majorBidi" w:hAnsiTheme="majorBidi" w:cstheme="majorBidi"/>
          <w:sz w:val="22"/>
        </w:rPr>
        <w:t xml:space="preserve"> : </w:t>
      </w:r>
      <w:r w:rsidR="00E8089E" w:rsidRPr="00E678BE">
        <w:rPr>
          <w:rFonts w:asciiTheme="majorBidi" w:hAnsiTheme="majorBidi" w:cstheme="majorBidi"/>
          <w:bCs w:val="0"/>
          <w:sz w:val="22"/>
        </w:rPr>
        <w:t>Evolution de l'IPC  général de la ville de  kénitra et du Maroc entre 2007 et 2017</w:t>
      </w:r>
      <w:bookmarkEnd w:id="58"/>
    </w:p>
    <w:tbl>
      <w:tblPr>
        <w:tblW w:w="5000" w:type="pct"/>
        <w:tblCellMar>
          <w:left w:w="70" w:type="dxa"/>
          <w:right w:w="70" w:type="dxa"/>
        </w:tblCellMar>
        <w:tblLook w:val="04A0"/>
      </w:tblPr>
      <w:tblGrid>
        <w:gridCol w:w="1760"/>
        <w:gridCol w:w="691"/>
        <w:gridCol w:w="691"/>
        <w:gridCol w:w="691"/>
        <w:gridCol w:w="691"/>
        <w:gridCol w:w="691"/>
        <w:gridCol w:w="691"/>
        <w:gridCol w:w="691"/>
        <w:gridCol w:w="691"/>
        <w:gridCol w:w="691"/>
        <w:gridCol w:w="692"/>
        <w:gridCol w:w="683"/>
      </w:tblGrid>
      <w:tr w:rsidR="00E8089E" w:rsidRPr="00E678BE" w:rsidTr="000977A7">
        <w:trPr>
          <w:trHeight w:val="300"/>
        </w:trPr>
        <w:tc>
          <w:tcPr>
            <w:tcW w:w="605" w:type="pct"/>
            <w:tcBorders>
              <w:bottom w:val="single" w:sz="12" w:space="0" w:color="000000" w:themeColor="text1"/>
            </w:tcBorders>
            <w:shd w:val="clear" w:color="auto" w:fill="auto"/>
            <w:noWrap/>
            <w:vAlign w:val="bottom"/>
            <w:hideMark/>
          </w:tcPr>
          <w:p w:rsidR="00E8089E" w:rsidRPr="00E678BE" w:rsidRDefault="00E8089E" w:rsidP="000977A7">
            <w:pPr>
              <w:spacing w:after="0" w:line="240" w:lineRule="auto"/>
              <w:rPr>
                <w:rFonts w:asciiTheme="majorBidi" w:eastAsia="Times New Roman" w:hAnsiTheme="majorBidi" w:cstheme="majorBidi"/>
                <w:color w:val="000000"/>
                <w:lang w:eastAsia="fr-FR"/>
              </w:rPr>
            </w:pP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2007</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2008</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2009</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2010</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2011</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2012</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2013</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2014</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2015</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2016</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2017</w:t>
            </w:r>
          </w:p>
        </w:tc>
      </w:tr>
      <w:tr w:rsidR="00E8089E" w:rsidRPr="00E678BE" w:rsidTr="000977A7">
        <w:trPr>
          <w:trHeight w:val="300"/>
        </w:trPr>
        <w:tc>
          <w:tcPr>
            <w:tcW w:w="605"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IPC KENITRA</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101,8</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105,7</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106,9</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107,1</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109,0</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110,3</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112,3</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112,9</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114,6</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116,0</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116,5</w:t>
            </w:r>
          </w:p>
        </w:tc>
      </w:tr>
      <w:tr w:rsidR="00E8089E" w:rsidRPr="00E678BE" w:rsidTr="000977A7">
        <w:trPr>
          <w:trHeight w:val="300"/>
        </w:trPr>
        <w:tc>
          <w:tcPr>
            <w:tcW w:w="605"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0977A7">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IPC NATIONAL</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102,5</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106,3</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107,4</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108,4</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109,4</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110,8</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112,9</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113,4</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115,2</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117,1</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0977A7">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117,9</w:t>
            </w:r>
          </w:p>
        </w:tc>
      </w:tr>
    </w:tbl>
    <w:p w:rsidR="00E8089E" w:rsidRPr="00E678BE" w:rsidRDefault="00E8089E" w:rsidP="00F7045D">
      <w:pPr>
        <w:rPr>
          <w:rFonts w:asciiTheme="majorBidi" w:hAnsiTheme="majorBidi" w:cstheme="majorBidi"/>
          <w:sz w:val="16"/>
          <w:szCs w:val="16"/>
        </w:rPr>
      </w:pPr>
    </w:p>
    <w:p w:rsidR="00E8089E" w:rsidRPr="00E678BE" w:rsidRDefault="00E8089E" w:rsidP="00F7045D">
      <w:pPr>
        <w:rPr>
          <w:rFonts w:asciiTheme="majorBidi" w:hAnsiTheme="majorBidi" w:cstheme="majorBidi"/>
          <w:sz w:val="16"/>
          <w:szCs w:val="16"/>
        </w:rPr>
      </w:pPr>
    </w:p>
    <w:p w:rsidR="00E8089E" w:rsidRPr="00E678BE" w:rsidRDefault="00F67E78" w:rsidP="006A40CB">
      <w:pPr>
        <w:pStyle w:val="Lgende"/>
        <w:spacing w:after="0"/>
        <w:rPr>
          <w:rFonts w:asciiTheme="majorBidi" w:hAnsiTheme="majorBidi" w:cstheme="majorBidi"/>
          <w:bCs w:val="0"/>
          <w:sz w:val="22"/>
        </w:rPr>
      </w:pPr>
      <w:bookmarkStart w:id="59" w:name="_Toc515274126"/>
      <w:r w:rsidRPr="00E678BE">
        <w:rPr>
          <w:rFonts w:asciiTheme="majorBidi" w:hAnsiTheme="majorBidi" w:cstheme="majorBidi"/>
          <w:sz w:val="22"/>
        </w:rPr>
        <w:t xml:space="preserve">Tableau A </w:t>
      </w:r>
      <w:r w:rsidR="001022E9" w:rsidRPr="00E678BE">
        <w:rPr>
          <w:rFonts w:asciiTheme="majorBidi" w:hAnsiTheme="majorBidi" w:cstheme="majorBidi"/>
          <w:sz w:val="22"/>
        </w:rPr>
        <w:fldChar w:fldCharType="begin"/>
      </w:r>
      <w:r w:rsidRPr="00E678BE">
        <w:rPr>
          <w:rFonts w:asciiTheme="majorBidi" w:hAnsiTheme="majorBidi" w:cstheme="majorBidi"/>
          <w:sz w:val="22"/>
        </w:rPr>
        <w:instrText xml:space="preserve"> SEQ Tableau_A \* ARABIC </w:instrText>
      </w:r>
      <w:r w:rsidR="001022E9" w:rsidRPr="00E678BE">
        <w:rPr>
          <w:rFonts w:asciiTheme="majorBidi" w:hAnsiTheme="majorBidi" w:cstheme="majorBidi"/>
          <w:sz w:val="22"/>
        </w:rPr>
        <w:fldChar w:fldCharType="separate"/>
      </w:r>
      <w:r w:rsidR="00156FC8">
        <w:rPr>
          <w:rFonts w:asciiTheme="majorBidi" w:hAnsiTheme="majorBidi" w:cstheme="majorBidi"/>
          <w:noProof/>
          <w:sz w:val="22"/>
        </w:rPr>
        <w:t>14</w:t>
      </w:r>
      <w:r w:rsidR="001022E9" w:rsidRPr="00E678BE">
        <w:rPr>
          <w:rFonts w:asciiTheme="majorBidi" w:hAnsiTheme="majorBidi" w:cstheme="majorBidi"/>
          <w:sz w:val="22"/>
        </w:rPr>
        <w:fldChar w:fldCharType="end"/>
      </w:r>
      <w:r w:rsidRPr="00E678BE">
        <w:rPr>
          <w:rFonts w:asciiTheme="majorBidi" w:hAnsiTheme="majorBidi" w:cstheme="majorBidi"/>
          <w:sz w:val="22"/>
        </w:rPr>
        <w:t xml:space="preserve"> : </w:t>
      </w:r>
      <w:r w:rsidR="00E8089E" w:rsidRPr="00E678BE">
        <w:rPr>
          <w:rFonts w:asciiTheme="majorBidi" w:hAnsiTheme="majorBidi" w:cstheme="majorBidi"/>
          <w:bCs w:val="0"/>
          <w:sz w:val="22"/>
        </w:rPr>
        <w:t>Evolution de l'IPC de la ville de kénitra entre 2007 et 2017 par grande division</w:t>
      </w:r>
      <w:bookmarkEnd w:id="59"/>
    </w:p>
    <w:tbl>
      <w:tblPr>
        <w:tblW w:w="5000" w:type="pct"/>
        <w:tblCellMar>
          <w:left w:w="70" w:type="dxa"/>
          <w:right w:w="70" w:type="dxa"/>
        </w:tblCellMar>
        <w:tblLook w:val="04A0"/>
      </w:tblPr>
      <w:tblGrid>
        <w:gridCol w:w="1133"/>
        <w:gridCol w:w="749"/>
        <w:gridCol w:w="749"/>
        <w:gridCol w:w="748"/>
        <w:gridCol w:w="748"/>
        <w:gridCol w:w="748"/>
        <w:gridCol w:w="748"/>
        <w:gridCol w:w="748"/>
        <w:gridCol w:w="748"/>
        <w:gridCol w:w="748"/>
        <w:gridCol w:w="748"/>
        <w:gridCol w:w="739"/>
      </w:tblGrid>
      <w:tr w:rsidR="00E8089E" w:rsidRPr="00E678BE" w:rsidTr="00E8089E">
        <w:trPr>
          <w:trHeight w:val="300"/>
        </w:trPr>
        <w:tc>
          <w:tcPr>
            <w:tcW w:w="605" w:type="pct"/>
            <w:tcBorders>
              <w:bottom w:val="single" w:sz="12" w:space="0" w:color="000000" w:themeColor="text1"/>
            </w:tcBorders>
            <w:shd w:val="clear" w:color="auto" w:fill="auto"/>
            <w:noWrap/>
            <w:vAlign w:val="bottom"/>
            <w:hideMark/>
          </w:tcPr>
          <w:p w:rsidR="00E8089E" w:rsidRPr="00E678BE" w:rsidRDefault="00E8089E" w:rsidP="00E8089E">
            <w:pPr>
              <w:spacing w:after="0" w:line="240" w:lineRule="auto"/>
              <w:rPr>
                <w:rFonts w:asciiTheme="majorBidi" w:eastAsia="Times New Roman" w:hAnsiTheme="majorBidi" w:cstheme="majorBidi"/>
                <w:color w:val="000000"/>
                <w:lang w:eastAsia="fr-FR"/>
              </w:rPr>
            </w:pP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2007</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2008</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2009</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2010</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2011</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2012</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2013</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2014</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2015</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2016</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2017</w:t>
            </w:r>
          </w:p>
        </w:tc>
      </w:tr>
      <w:tr w:rsidR="00E8089E" w:rsidRPr="00E678BE" w:rsidTr="00E8089E">
        <w:trPr>
          <w:trHeight w:val="300"/>
        </w:trPr>
        <w:tc>
          <w:tcPr>
            <w:tcW w:w="605" w:type="pct"/>
            <w:tcBorders>
              <w:top w:val="single" w:sz="12" w:space="0" w:color="000000" w:themeColor="text1"/>
              <w:bottom w:val="single" w:sz="12" w:space="0" w:color="000000" w:themeColor="text1"/>
            </w:tcBorders>
            <w:shd w:val="clear" w:color="auto" w:fill="FFFFFF" w:themeFill="background1"/>
            <w:noWrap/>
            <w:vAlign w:val="bottom"/>
            <w:hideMark/>
          </w:tcPr>
          <w:p w:rsidR="00E8089E" w:rsidRPr="00E678BE" w:rsidRDefault="00E8089E" w:rsidP="00E8089E">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IAK</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lang w:eastAsia="fr-FR"/>
              </w:rPr>
            </w:pPr>
            <w:r w:rsidRPr="00E678BE">
              <w:rPr>
                <w:rFonts w:asciiTheme="majorBidi" w:eastAsia="Times New Roman" w:hAnsiTheme="majorBidi" w:cstheme="majorBidi"/>
                <w:lang w:eastAsia="fr-FR"/>
              </w:rPr>
              <w:t>103,7</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111,8</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113,8</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113,7</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116,7</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118,5</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121,3</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120,6</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123,5</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125,7</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124,8</w:t>
            </w:r>
          </w:p>
        </w:tc>
      </w:tr>
      <w:tr w:rsidR="00E8089E" w:rsidRPr="00E678BE" w:rsidTr="00E8089E">
        <w:trPr>
          <w:trHeight w:val="300"/>
        </w:trPr>
        <w:tc>
          <w:tcPr>
            <w:tcW w:w="605" w:type="pct"/>
            <w:tcBorders>
              <w:top w:val="single" w:sz="12" w:space="0" w:color="000000" w:themeColor="text1"/>
              <w:bottom w:val="single" w:sz="12" w:space="0" w:color="000000" w:themeColor="text1"/>
            </w:tcBorders>
            <w:shd w:val="clear" w:color="auto" w:fill="FFFFFF" w:themeFill="background1"/>
            <w:noWrap/>
            <w:vAlign w:val="bottom"/>
            <w:hideMark/>
          </w:tcPr>
          <w:p w:rsidR="00E8089E" w:rsidRPr="00E678BE" w:rsidRDefault="00E8089E" w:rsidP="00E8089E">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INAK</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100,5</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101,4</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102,0</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102,4</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103,5</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104,5</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105,9</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107,5</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108,3</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109,1</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110,6</w:t>
            </w:r>
          </w:p>
        </w:tc>
      </w:tr>
      <w:tr w:rsidR="00E8089E" w:rsidRPr="00E678BE" w:rsidTr="00E8089E">
        <w:trPr>
          <w:trHeight w:val="300"/>
        </w:trPr>
        <w:tc>
          <w:tcPr>
            <w:tcW w:w="605"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IGK</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101,8</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105,7</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106,9</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107,1</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109,0</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110,3</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112,3</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112,9</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114,6</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116,0</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116,5</w:t>
            </w:r>
          </w:p>
        </w:tc>
      </w:tr>
    </w:tbl>
    <w:p w:rsidR="00E8089E" w:rsidRPr="00E678BE" w:rsidRDefault="00E8089E" w:rsidP="00F7045D">
      <w:pPr>
        <w:rPr>
          <w:rFonts w:asciiTheme="majorBidi" w:hAnsiTheme="majorBidi" w:cstheme="majorBidi"/>
          <w:sz w:val="16"/>
          <w:szCs w:val="16"/>
        </w:rPr>
      </w:pPr>
    </w:p>
    <w:p w:rsidR="00E8089E" w:rsidRPr="00E678BE" w:rsidRDefault="00F67E78" w:rsidP="006A40CB">
      <w:pPr>
        <w:pStyle w:val="Lgende"/>
        <w:spacing w:after="0"/>
        <w:rPr>
          <w:rFonts w:asciiTheme="majorBidi" w:hAnsiTheme="majorBidi" w:cstheme="majorBidi"/>
          <w:bCs w:val="0"/>
          <w:sz w:val="22"/>
        </w:rPr>
      </w:pPr>
      <w:bookmarkStart w:id="60" w:name="_Toc515274127"/>
      <w:r w:rsidRPr="00E678BE">
        <w:rPr>
          <w:rFonts w:asciiTheme="majorBidi" w:hAnsiTheme="majorBidi" w:cstheme="majorBidi"/>
          <w:sz w:val="22"/>
        </w:rPr>
        <w:t xml:space="preserve">Tableau A </w:t>
      </w:r>
      <w:r w:rsidR="001022E9" w:rsidRPr="00E678BE">
        <w:rPr>
          <w:rFonts w:asciiTheme="majorBidi" w:hAnsiTheme="majorBidi" w:cstheme="majorBidi"/>
          <w:sz w:val="22"/>
        </w:rPr>
        <w:fldChar w:fldCharType="begin"/>
      </w:r>
      <w:r w:rsidRPr="00E678BE">
        <w:rPr>
          <w:rFonts w:asciiTheme="majorBidi" w:hAnsiTheme="majorBidi" w:cstheme="majorBidi"/>
          <w:sz w:val="22"/>
        </w:rPr>
        <w:instrText xml:space="preserve"> SEQ Tableau_A \* ARABIC </w:instrText>
      </w:r>
      <w:r w:rsidR="001022E9" w:rsidRPr="00E678BE">
        <w:rPr>
          <w:rFonts w:asciiTheme="majorBidi" w:hAnsiTheme="majorBidi" w:cstheme="majorBidi"/>
          <w:sz w:val="22"/>
        </w:rPr>
        <w:fldChar w:fldCharType="separate"/>
      </w:r>
      <w:r w:rsidR="00156FC8">
        <w:rPr>
          <w:rFonts w:asciiTheme="majorBidi" w:hAnsiTheme="majorBidi" w:cstheme="majorBidi"/>
          <w:noProof/>
          <w:sz w:val="22"/>
        </w:rPr>
        <w:t>15</w:t>
      </w:r>
      <w:r w:rsidR="001022E9" w:rsidRPr="00E678BE">
        <w:rPr>
          <w:rFonts w:asciiTheme="majorBidi" w:hAnsiTheme="majorBidi" w:cstheme="majorBidi"/>
          <w:sz w:val="22"/>
        </w:rPr>
        <w:fldChar w:fldCharType="end"/>
      </w:r>
      <w:r w:rsidRPr="00E678BE">
        <w:rPr>
          <w:rFonts w:asciiTheme="majorBidi" w:hAnsiTheme="majorBidi" w:cstheme="majorBidi"/>
          <w:sz w:val="22"/>
        </w:rPr>
        <w:t xml:space="preserve"> : </w:t>
      </w:r>
      <w:r w:rsidR="00E8089E" w:rsidRPr="00E678BE">
        <w:rPr>
          <w:rFonts w:asciiTheme="majorBidi" w:hAnsiTheme="majorBidi" w:cstheme="majorBidi"/>
          <w:bCs w:val="0"/>
          <w:sz w:val="22"/>
        </w:rPr>
        <w:t>Evolution de l'inflation générale entre 2007 et 2017</w:t>
      </w:r>
      <w:bookmarkEnd w:id="60"/>
    </w:p>
    <w:tbl>
      <w:tblPr>
        <w:tblW w:w="5000" w:type="pct"/>
        <w:tblCellMar>
          <w:left w:w="70" w:type="dxa"/>
          <w:right w:w="70" w:type="dxa"/>
        </w:tblCellMar>
        <w:tblLook w:val="04A0"/>
      </w:tblPr>
      <w:tblGrid>
        <w:gridCol w:w="1760"/>
        <w:gridCol w:w="691"/>
        <w:gridCol w:w="691"/>
        <w:gridCol w:w="691"/>
        <w:gridCol w:w="691"/>
        <w:gridCol w:w="691"/>
        <w:gridCol w:w="691"/>
        <w:gridCol w:w="691"/>
        <w:gridCol w:w="691"/>
        <w:gridCol w:w="691"/>
        <w:gridCol w:w="692"/>
        <w:gridCol w:w="683"/>
      </w:tblGrid>
      <w:tr w:rsidR="00E8089E" w:rsidRPr="00E678BE" w:rsidTr="00E8089E">
        <w:trPr>
          <w:trHeight w:val="300"/>
        </w:trPr>
        <w:tc>
          <w:tcPr>
            <w:tcW w:w="605" w:type="pct"/>
            <w:tcBorders>
              <w:bottom w:val="single" w:sz="12" w:space="0" w:color="000000" w:themeColor="text1"/>
            </w:tcBorders>
            <w:shd w:val="clear" w:color="auto" w:fill="auto"/>
            <w:noWrap/>
            <w:vAlign w:val="bottom"/>
            <w:hideMark/>
          </w:tcPr>
          <w:p w:rsidR="00E8089E" w:rsidRPr="00E678BE" w:rsidRDefault="00E8089E" w:rsidP="00E8089E">
            <w:pPr>
              <w:spacing w:after="0" w:line="240" w:lineRule="auto"/>
              <w:rPr>
                <w:rFonts w:asciiTheme="majorBidi" w:eastAsia="Times New Roman" w:hAnsiTheme="majorBidi" w:cstheme="majorBidi"/>
                <w:color w:val="000000"/>
                <w:lang w:eastAsia="fr-FR"/>
              </w:rPr>
            </w:pP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2007</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2008</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2009</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2010</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2011</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2012</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2013</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2014</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2015</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2016</w:t>
            </w:r>
          </w:p>
        </w:tc>
        <w:tc>
          <w:tcPr>
            <w:tcW w:w="400"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jc w:val="right"/>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2017</w:t>
            </w:r>
          </w:p>
        </w:tc>
      </w:tr>
      <w:tr w:rsidR="00E8089E" w:rsidRPr="00E678BE" w:rsidTr="00E8089E">
        <w:trPr>
          <w:trHeight w:val="300"/>
        </w:trPr>
        <w:tc>
          <w:tcPr>
            <w:tcW w:w="605"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IPC KENITRA</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1,8</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3,8</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0,2</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1,7</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1,8</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0,5</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1,5</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0,4</w:t>
            </w:r>
          </w:p>
        </w:tc>
      </w:tr>
      <w:tr w:rsidR="00E8089E" w:rsidRPr="00E678BE" w:rsidTr="00E8089E">
        <w:trPr>
          <w:trHeight w:val="300"/>
        </w:trPr>
        <w:tc>
          <w:tcPr>
            <w:tcW w:w="605" w:type="pct"/>
            <w:tcBorders>
              <w:top w:val="single" w:sz="12" w:space="0" w:color="000000" w:themeColor="text1"/>
              <w:bottom w:val="single" w:sz="12" w:space="0" w:color="000000" w:themeColor="text1"/>
            </w:tcBorders>
            <w:shd w:val="clear" w:color="auto" w:fill="BFBFBF" w:themeFill="background1" w:themeFillShade="BF"/>
            <w:noWrap/>
            <w:vAlign w:val="bottom"/>
            <w:hideMark/>
          </w:tcPr>
          <w:p w:rsidR="00E8089E" w:rsidRPr="00E678BE" w:rsidRDefault="00E8089E" w:rsidP="00E8089E">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IPC NATIONAL</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2,5</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3,7</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0,9</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1,3</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1,9</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0,4</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1,6</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1,6</w:t>
            </w:r>
          </w:p>
        </w:tc>
        <w:tc>
          <w:tcPr>
            <w:tcW w:w="400" w:type="pct"/>
            <w:tcBorders>
              <w:top w:val="single" w:sz="12" w:space="0" w:color="000000" w:themeColor="text1"/>
              <w:bottom w:val="single" w:sz="12" w:space="0" w:color="000000" w:themeColor="text1"/>
            </w:tcBorders>
            <w:shd w:val="clear" w:color="auto" w:fill="auto"/>
            <w:noWrap/>
            <w:vAlign w:val="bottom"/>
            <w:hideMark/>
          </w:tcPr>
          <w:p w:rsidR="00E8089E" w:rsidRPr="00E678BE" w:rsidRDefault="00E8089E" w:rsidP="00E8089E">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0,8</w:t>
            </w:r>
          </w:p>
        </w:tc>
      </w:tr>
    </w:tbl>
    <w:p w:rsidR="00E8089E" w:rsidRPr="00E678BE" w:rsidRDefault="00E8089E" w:rsidP="00F7045D">
      <w:pPr>
        <w:rPr>
          <w:rFonts w:asciiTheme="majorBidi" w:hAnsiTheme="majorBidi" w:cstheme="majorBidi"/>
          <w:sz w:val="16"/>
          <w:szCs w:val="16"/>
        </w:rPr>
      </w:pPr>
    </w:p>
    <w:tbl>
      <w:tblPr>
        <w:tblW w:w="5000" w:type="pct"/>
        <w:tblCellMar>
          <w:left w:w="70" w:type="dxa"/>
          <w:right w:w="70" w:type="dxa"/>
        </w:tblCellMar>
        <w:tblLook w:val="04A0"/>
      </w:tblPr>
      <w:tblGrid>
        <w:gridCol w:w="1544"/>
        <w:gridCol w:w="600"/>
        <w:gridCol w:w="600"/>
        <w:gridCol w:w="600"/>
        <w:gridCol w:w="600"/>
        <w:gridCol w:w="601"/>
        <w:gridCol w:w="601"/>
        <w:gridCol w:w="601"/>
        <w:gridCol w:w="601"/>
        <w:gridCol w:w="601"/>
        <w:gridCol w:w="601"/>
        <w:gridCol w:w="601"/>
        <w:gridCol w:w="601"/>
        <w:gridCol w:w="602"/>
      </w:tblGrid>
      <w:tr w:rsidR="00CF570A" w:rsidRPr="00E678BE" w:rsidTr="00993861">
        <w:trPr>
          <w:trHeight w:val="315"/>
        </w:trPr>
        <w:tc>
          <w:tcPr>
            <w:tcW w:w="5000" w:type="pct"/>
            <w:gridSpan w:val="14"/>
            <w:tcBorders>
              <w:top w:val="nil"/>
              <w:left w:val="nil"/>
              <w:bottom w:val="single" w:sz="12" w:space="0" w:color="auto"/>
              <w:right w:val="nil"/>
            </w:tcBorders>
            <w:shd w:val="clear" w:color="auto" w:fill="auto"/>
            <w:noWrap/>
            <w:vAlign w:val="center"/>
            <w:hideMark/>
          </w:tcPr>
          <w:p w:rsidR="00CF570A" w:rsidRPr="00E678BE" w:rsidRDefault="00F67E78" w:rsidP="00CF570A">
            <w:pPr>
              <w:spacing w:after="0" w:line="240" w:lineRule="auto"/>
              <w:rPr>
                <w:rFonts w:asciiTheme="majorBidi" w:eastAsia="Times New Roman" w:hAnsiTheme="majorBidi" w:cstheme="majorBidi"/>
                <w:b/>
                <w:bCs/>
                <w:color w:val="4F81BD" w:themeColor="accent1"/>
                <w:szCs w:val="24"/>
                <w:lang w:eastAsia="fr-FR"/>
              </w:rPr>
            </w:pPr>
            <w:bookmarkStart w:id="61" w:name="_Toc515274128"/>
            <w:r w:rsidRPr="00E678BE">
              <w:rPr>
                <w:rFonts w:asciiTheme="majorBidi" w:hAnsiTheme="majorBidi" w:cstheme="majorBidi"/>
                <w:b/>
                <w:color w:val="4F81BD" w:themeColor="accent1"/>
              </w:rPr>
              <w:t xml:space="preserve">Tableau A </w:t>
            </w:r>
            <w:r w:rsidR="001022E9" w:rsidRPr="00E678BE">
              <w:rPr>
                <w:rFonts w:asciiTheme="majorBidi" w:hAnsiTheme="majorBidi" w:cstheme="majorBidi"/>
                <w:b/>
                <w:color w:val="4F81BD" w:themeColor="accent1"/>
              </w:rPr>
              <w:fldChar w:fldCharType="begin"/>
            </w:r>
            <w:r w:rsidRPr="00E678BE">
              <w:rPr>
                <w:rFonts w:asciiTheme="majorBidi" w:hAnsiTheme="majorBidi" w:cstheme="majorBidi"/>
                <w:b/>
                <w:color w:val="4F81BD" w:themeColor="accent1"/>
              </w:rPr>
              <w:instrText xml:space="preserve"> SEQ Tableau_A \* ARABIC </w:instrText>
            </w:r>
            <w:r w:rsidR="001022E9" w:rsidRPr="00E678BE">
              <w:rPr>
                <w:rFonts w:asciiTheme="majorBidi" w:hAnsiTheme="majorBidi" w:cstheme="majorBidi"/>
                <w:b/>
                <w:color w:val="4F81BD" w:themeColor="accent1"/>
              </w:rPr>
              <w:fldChar w:fldCharType="separate"/>
            </w:r>
            <w:r w:rsidR="00156FC8">
              <w:rPr>
                <w:rFonts w:asciiTheme="majorBidi" w:hAnsiTheme="majorBidi" w:cstheme="majorBidi"/>
                <w:b/>
                <w:noProof/>
                <w:color w:val="4F81BD" w:themeColor="accent1"/>
              </w:rPr>
              <w:t>16</w:t>
            </w:r>
            <w:r w:rsidR="001022E9" w:rsidRPr="00E678BE">
              <w:rPr>
                <w:rFonts w:asciiTheme="majorBidi" w:hAnsiTheme="majorBidi" w:cstheme="majorBidi"/>
                <w:b/>
                <w:color w:val="4F81BD" w:themeColor="accent1"/>
              </w:rPr>
              <w:fldChar w:fldCharType="end"/>
            </w:r>
            <w:r w:rsidRPr="00E678BE">
              <w:rPr>
                <w:rFonts w:asciiTheme="majorBidi" w:hAnsiTheme="majorBidi" w:cstheme="majorBidi"/>
                <w:b/>
                <w:color w:val="4F81BD" w:themeColor="accent1"/>
              </w:rPr>
              <w:t xml:space="preserve"> : </w:t>
            </w:r>
            <w:r w:rsidR="00CF570A" w:rsidRPr="00E678BE">
              <w:rPr>
                <w:rFonts w:asciiTheme="majorBidi" w:eastAsia="Times New Roman" w:hAnsiTheme="majorBidi" w:cstheme="majorBidi"/>
                <w:b/>
                <w:bCs/>
                <w:color w:val="4F81BD" w:themeColor="accent1"/>
                <w:szCs w:val="24"/>
                <w:lang w:eastAsia="fr-FR"/>
              </w:rPr>
              <w:t>IPC général par mois et par ville -Année 2017-</w:t>
            </w:r>
            <w:bookmarkEnd w:id="61"/>
          </w:p>
        </w:tc>
      </w:tr>
      <w:tr w:rsidR="00CF570A" w:rsidRPr="00E678BE" w:rsidTr="00993861">
        <w:trPr>
          <w:trHeight w:val="330"/>
        </w:trPr>
        <w:tc>
          <w:tcPr>
            <w:tcW w:w="826"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NOM VILLE</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janv</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fév</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mars</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avr</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mai</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juin</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juil</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août</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sep</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oct</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nov</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déc</w:t>
            </w:r>
          </w:p>
        </w:tc>
        <w:tc>
          <w:tcPr>
            <w:tcW w:w="321" w:type="pct"/>
            <w:tcBorders>
              <w:top w:val="single" w:sz="12" w:space="0" w:color="auto"/>
              <w:left w:val="nil"/>
              <w:bottom w:val="single" w:sz="12" w:space="0" w:color="auto"/>
              <w:right w:val="nil"/>
            </w:tcBorders>
            <w:shd w:val="clear" w:color="000000" w:fill="C0C0C0"/>
            <w:noWrap/>
            <w:vAlign w:val="bottom"/>
            <w:hideMark/>
          </w:tcPr>
          <w:p w:rsidR="00CF570A" w:rsidRPr="00E678BE" w:rsidRDefault="00CF570A" w:rsidP="00CF570A">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moy</w:t>
            </w:r>
          </w:p>
        </w:tc>
      </w:tr>
      <w:tr w:rsidR="00CF570A" w:rsidRPr="00E678BE" w:rsidTr="00993861">
        <w:trPr>
          <w:trHeight w:val="315"/>
        </w:trPr>
        <w:tc>
          <w:tcPr>
            <w:tcW w:w="826"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Agadir</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115,6</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115,1</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114,4</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114,8</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115,4</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115,3</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115,2</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115,9</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2060"/>
                <w:sz w:val="20"/>
                <w:szCs w:val="20"/>
                <w:lang w:eastAsia="fr-FR"/>
              </w:rPr>
            </w:pPr>
            <w:r w:rsidRPr="00E678BE">
              <w:rPr>
                <w:rFonts w:asciiTheme="majorBidi" w:eastAsia="Times New Roman" w:hAnsiTheme="majorBidi" w:cstheme="majorBidi"/>
                <w:color w:val="002060"/>
                <w:sz w:val="20"/>
                <w:szCs w:val="20"/>
                <w:lang w:eastAsia="fr-FR"/>
              </w:rPr>
              <w:t>116,9</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116,4</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117,4</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117,7</w:t>
            </w:r>
          </w:p>
        </w:tc>
        <w:tc>
          <w:tcPr>
            <w:tcW w:w="321" w:type="pct"/>
            <w:tcBorders>
              <w:top w:val="single" w:sz="12" w:space="0" w:color="auto"/>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115,8</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Casa</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119,4</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121,0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121,5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121,0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121,6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122,1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120,6</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Fes</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118,3</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Kenitra</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116,4</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116,5</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Marrakech</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118,4</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118,4</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118,3</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Oujda</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115,4</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114,6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114,6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114,5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116,1</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Rabat</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114,8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114,8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116,4</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115,7</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Tétouan</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117,9</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Meknes</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122,1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120,0</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Tanger</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121,3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121,8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120,2</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Laayoune</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121,1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118,9</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Dakhla</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120,6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121,7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118,3</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Guelmim</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115,4</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118,4</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116,8</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Settat</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117,0</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Safi</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112,8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111,1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110,2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110,8</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112,2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112,2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112,0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113,1</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114,2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114,6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114,6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112,8</w:t>
            </w:r>
          </w:p>
        </w:tc>
      </w:tr>
      <w:tr w:rsidR="00CF570A" w:rsidRPr="00E678BE" w:rsidTr="00F67E78">
        <w:trPr>
          <w:trHeight w:val="315"/>
        </w:trPr>
        <w:tc>
          <w:tcPr>
            <w:tcW w:w="826"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Beni mellal</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116,9</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115,4</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116,4</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115,7</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115,6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116,3</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117,6</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117,2</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118,5</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119,0</w:t>
            </w:r>
          </w:p>
        </w:tc>
        <w:tc>
          <w:tcPr>
            <w:tcW w:w="321" w:type="pct"/>
            <w:tcBorders>
              <w:top w:val="nil"/>
              <w:left w:val="nil"/>
              <w:bottom w:val="nil"/>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116,8</w:t>
            </w:r>
          </w:p>
        </w:tc>
      </w:tr>
      <w:tr w:rsidR="00CF570A" w:rsidRPr="00E678BE" w:rsidTr="00993861">
        <w:trPr>
          <w:trHeight w:val="330"/>
        </w:trPr>
        <w:tc>
          <w:tcPr>
            <w:tcW w:w="826"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El houceima</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117,8</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117,0</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116,1</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117,6</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118,2</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119,1</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118,2</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119,8</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118,8</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118,2</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119,9</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119,9</w:t>
            </w:r>
          </w:p>
        </w:tc>
        <w:tc>
          <w:tcPr>
            <w:tcW w:w="321" w:type="pct"/>
            <w:tcBorders>
              <w:top w:val="nil"/>
              <w:left w:val="nil"/>
              <w:bottom w:val="single" w:sz="12" w:space="0" w:color="auto"/>
              <w:right w:val="nil"/>
            </w:tcBorders>
            <w:shd w:val="clear" w:color="auto" w:fill="auto"/>
            <w:noWrap/>
            <w:vAlign w:val="center"/>
            <w:hideMark/>
          </w:tcPr>
          <w:p w:rsidR="00CF570A" w:rsidRPr="00E678BE" w:rsidRDefault="00CF570A" w:rsidP="00CF570A">
            <w:pPr>
              <w:spacing w:after="0" w:line="240" w:lineRule="auto"/>
              <w:jc w:val="right"/>
              <w:rPr>
                <w:rFonts w:asciiTheme="majorBidi" w:eastAsia="Times New Roman" w:hAnsiTheme="majorBidi" w:cstheme="majorBidi"/>
                <w:color w:val="000000"/>
                <w:sz w:val="20"/>
                <w:szCs w:val="20"/>
                <w:lang w:eastAsia="fr-FR"/>
              </w:rPr>
            </w:pPr>
            <w:r w:rsidRPr="00E678BE">
              <w:rPr>
                <w:rFonts w:asciiTheme="majorBidi" w:eastAsia="Times New Roman" w:hAnsiTheme="majorBidi" w:cstheme="majorBidi"/>
                <w:color w:val="000000"/>
                <w:sz w:val="20"/>
                <w:szCs w:val="20"/>
                <w:lang w:eastAsia="fr-FR"/>
              </w:rPr>
              <w:t>118,4</w:t>
            </w:r>
          </w:p>
        </w:tc>
      </w:tr>
      <w:tr w:rsidR="00CF570A" w:rsidRPr="00E678BE" w:rsidTr="00CE722C">
        <w:trPr>
          <w:trHeight w:val="390"/>
        </w:trPr>
        <w:tc>
          <w:tcPr>
            <w:tcW w:w="826"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Ensemble</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117,7</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117,4</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116,7</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116,9</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117,5</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117,9</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117,3</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117,7</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118,7</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118,6</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119,1</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119,7</w:t>
            </w:r>
          </w:p>
        </w:tc>
        <w:tc>
          <w:tcPr>
            <w:tcW w:w="321" w:type="pct"/>
            <w:tcBorders>
              <w:top w:val="single" w:sz="12" w:space="0" w:color="auto"/>
              <w:left w:val="nil"/>
              <w:bottom w:val="single" w:sz="12" w:space="0" w:color="auto"/>
              <w:right w:val="nil"/>
            </w:tcBorders>
            <w:shd w:val="clear" w:color="auto" w:fill="BFBFBF" w:themeFill="background1" w:themeFillShade="BF"/>
            <w:noWrap/>
            <w:vAlign w:val="center"/>
            <w:hideMark/>
          </w:tcPr>
          <w:p w:rsidR="00CF570A" w:rsidRPr="00E678BE" w:rsidRDefault="00CF570A" w:rsidP="00CF570A">
            <w:pPr>
              <w:spacing w:after="0" w:line="240" w:lineRule="auto"/>
              <w:jc w:val="right"/>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117,9</w:t>
            </w:r>
          </w:p>
        </w:tc>
      </w:tr>
    </w:tbl>
    <w:p w:rsidR="00CF570A" w:rsidRPr="00E678BE" w:rsidRDefault="00CF570A" w:rsidP="00F7045D">
      <w:pPr>
        <w:rPr>
          <w:rFonts w:asciiTheme="majorBidi" w:hAnsiTheme="majorBidi" w:cstheme="majorBidi"/>
          <w:sz w:val="16"/>
          <w:szCs w:val="16"/>
        </w:rPr>
      </w:pPr>
    </w:p>
    <w:p w:rsidR="003A1EC8" w:rsidRPr="00E678BE" w:rsidRDefault="003A1EC8" w:rsidP="00993861">
      <w:pPr>
        <w:rPr>
          <w:rFonts w:asciiTheme="majorBidi" w:hAnsiTheme="majorBidi" w:cstheme="majorBidi"/>
          <w:sz w:val="16"/>
          <w:szCs w:val="16"/>
        </w:rPr>
      </w:pPr>
    </w:p>
    <w:sectPr w:rsidR="003A1EC8" w:rsidRPr="00E678BE" w:rsidSect="007B49E0">
      <w:pgSz w:w="11906" w:h="16838"/>
      <w:pgMar w:top="1701" w:right="1274"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C43" w:rsidRDefault="00426C43" w:rsidP="009E2412">
      <w:pPr>
        <w:spacing w:after="0" w:line="240" w:lineRule="auto"/>
      </w:pPr>
      <w:r>
        <w:separator/>
      </w:r>
    </w:p>
  </w:endnote>
  <w:endnote w:type="continuationSeparator" w:id="1">
    <w:p w:rsidR="00426C43" w:rsidRDefault="00426C43" w:rsidP="009E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3688"/>
      <w:docPartObj>
        <w:docPartGallery w:val="Page Numbers (Bottom of Page)"/>
        <w:docPartUnique/>
      </w:docPartObj>
    </w:sdtPr>
    <w:sdtContent>
      <w:p w:rsidR="00A905C6" w:rsidRDefault="00A905C6">
        <w:pPr>
          <w:pStyle w:val="Pieddepage"/>
          <w:jc w:val="center"/>
        </w:pPr>
        <w:fldSimple w:instr=" PAGE   \* MERGEFORMAT ">
          <w:r w:rsidR="00156FC8">
            <w:rPr>
              <w:noProof/>
            </w:rPr>
            <w:t>3</w:t>
          </w:r>
        </w:fldSimple>
      </w:p>
    </w:sdtContent>
  </w:sdt>
  <w:p w:rsidR="00A905C6" w:rsidRDefault="00A905C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C43" w:rsidRDefault="00426C43" w:rsidP="009E2412">
      <w:pPr>
        <w:spacing w:after="0" w:line="240" w:lineRule="auto"/>
      </w:pPr>
      <w:r>
        <w:separator/>
      </w:r>
    </w:p>
  </w:footnote>
  <w:footnote w:type="continuationSeparator" w:id="1">
    <w:p w:rsidR="00426C43" w:rsidRDefault="00426C43" w:rsidP="009E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1E8"/>
    <w:multiLevelType w:val="hybridMultilevel"/>
    <w:tmpl w:val="48FC642C"/>
    <w:lvl w:ilvl="0" w:tplc="54163708">
      <w:start w:val="1"/>
      <w:numFmt w:val="bullet"/>
      <w:lvlText w:val="•"/>
      <w:lvlJc w:val="left"/>
      <w:pPr>
        <w:tabs>
          <w:tab w:val="num" w:pos="720"/>
        </w:tabs>
        <w:ind w:left="720" w:hanging="360"/>
      </w:pPr>
      <w:rPr>
        <w:rFonts w:ascii="Times New Roman" w:hAnsi="Times New Roman" w:hint="default"/>
      </w:rPr>
    </w:lvl>
    <w:lvl w:ilvl="1" w:tplc="9ED6199C" w:tentative="1">
      <w:start w:val="1"/>
      <w:numFmt w:val="bullet"/>
      <w:lvlText w:val="•"/>
      <w:lvlJc w:val="left"/>
      <w:pPr>
        <w:tabs>
          <w:tab w:val="num" w:pos="1440"/>
        </w:tabs>
        <w:ind w:left="1440" w:hanging="360"/>
      </w:pPr>
      <w:rPr>
        <w:rFonts w:ascii="Times New Roman" w:hAnsi="Times New Roman" w:hint="default"/>
      </w:rPr>
    </w:lvl>
    <w:lvl w:ilvl="2" w:tplc="EA9617E4" w:tentative="1">
      <w:start w:val="1"/>
      <w:numFmt w:val="bullet"/>
      <w:lvlText w:val="•"/>
      <w:lvlJc w:val="left"/>
      <w:pPr>
        <w:tabs>
          <w:tab w:val="num" w:pos="2160"/>
        </w:tabs>
        <w:ind w:left="2160" w:hanging="360"/>
      </w:pPr>
      <w:rPr>
        <w:rFonts w:ascii="Times New Roman" w:hAnsi="Times New Roman" w:hint="default"/>
      </w:rPr>
    </w:lvl>
    <w:lvl w:ilvl="3" w:tplc="DEF64512" w:tentative="1">
      <w:start w:val="1"/>
      <w:numFmt w:val="bullet"/>
      <w:lvlText w:val="•"/>
      <w:lvlJc w:val="left"/>
      <w:pPr>
        <w:tabs>
          <w:tab w:val="num" w:pos="2880"/>
        </w:tabs>
        <w:ind w:left="2880" w:hanging="360"/>
      </w:pPr>
      <w:rPr>
        <w:rFonts w:ascii="Times New Roman" w:hAnsi="Times New Roman" w:hint="default"/>
      </w:rPr>
    </w:lvl>
    <w:lvl w:ilvl="4" w:tplc="3B92BB68" w:tentative="1">
      <w:start w:val="1"/>
      <w:numFmt w:val="bullet"/>
      <w:lvlText w:val="•"/>
      <w:lvlJc w:val="left"/>
      <w:pPr>
        <w:tabs>
          <w:tab w:val="num" w:pos="3600"/>
        </w:tabs>
        <w:ind w:left="3600" w:hanging="360"/>
      </w:pPr>
      <w:rPr>
        <w:rFonts w:ascii="Times New Roman" w:hAnsi="Times New Roman" w:hint="default"/>
      </w:rPr>
    </w:lvl>
    <w:lvl w:ilvl="5" w:tplc="1A047BFC" w:tentative="1">
      <w:start w:val="1"/>
      <w:numFmt w:val="bullet"/>
      <w:lvlText w:val="•"/>
      <w:lvlJc w:val="left"/>
      <w:pPr>
        <w:tabs>
          <w:tab w:val="num" w:pos="4320"/>
        </w:tabs>
        <w:ind w:left="4320" w:hanging="360"/>
      </w:pPr>
      <w:rPr>
        <w:rFonts w:ascii="Times New Roman" w:hAnsi="Times New Roman" w:hint="default"/>
      </w:rPr>
    </w:lvl>
    <w:lvl w:ilvl="6" w:tplc="FD4AC50A" w:tentative="1">
      <w:start w:val="1"/>
      <w:numFmt w:val="bullet"/>
      <w:lvlText w:val="•"/>
      <w:lvlJc w:val="left"/>
      <w:pPr>
        <w:tabs>
          <w:tab w:val="num" w:pos="5040"/>
        </w:tabs>
        <w:ind w:left="5040" w:hanging="360"/>
      </w:pPr>
      <w:rPr>
        <w:rFonts w:ascii="Times New Roman" w:hAnsi="Times New Roman" w:hint="default"/>
      </w:rPr>
    </w:lvl>
    <w:lvl w:ilvl="7" w:tplc="907EAB4C" w:tentative="1">
      <w:start w:val="1"/>
      <w:numFmt w:val="bullet"/>
      <w:lvlText w:val="•"/>
      <w:lvlJc w:val="left"/>
      <w:pPr>
        <w:tabs>
          <w:tab w:val="num" w:pos="5760"/>
        </w:tabs>
        <w:ind w:left="5760" w:hanging="360"/>
      </w:pPr>
      <w:rPr>
        <w:rFonts w:ascii="Times New Roman" w:hAnsi="Times New Roman" w:hint="default"/>
      </w:rPr>
    </w:lvl>
    <w:lvl w:ilvl="8" w:tplc="29D0882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5B238D"/>
    <w:multiLevelType w:val="hybridMultilevel"/>
    <w:tmpl w:val="3A565988"/>
    <w:lvl w:ilvl="0" w:tplc="040C000F">
      <w:start w:val="1"/>
      <w:numFmt w:val="decimal"/>
      <w:lvlText w:val="%1."/>
      <w:lvlJc w:val="left"/>
      <w:pPr>
        <w:ind w:left="2844" w:hanging="360"/>
      </w:p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2">
    <w:nsid w:val="06B32696"/>
    <w:multiLevelType w:val="hybridMultilevel"/>
    <w:tmpl w:val="D07CE020"/>
    <w:lvl w:ilvl="0" w:tplc="D90090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B7224D"/>
    <w:multiLevelType w:val="hybridMultilevel"/>
    <w:tmpl w:val="54EE8FEC"/>
    <w:lvl w:ilvl="0" w:tplc="E44E3FA0">
      <w:start w:val="1"/>
      <w:numFmt w:val="bullet"/>
      <w:lvlText w:val="•"/>
      <w:lvlJc w:val="left"/>
      <w:pPr>
        <w:tabs>
          <w:tab w:val="num" w:pos="720"/>
        </w:tabs>
        <w:ind w:left="720" w:hanging="360"/>
      </w:pPr>
      <w:rPr>
        <w:rFonts w:ascii="Times New Roman" w:hAnsi="Times New Roman" w:hint="default"/>
      </w:rPr>
    </w:lvl>
    <w:lvl w:ilvl="1" w:tplc="5ADC051E" w:tentative="1">
      <w:start w:val="1"/>
      <w:numFmt w:val="bullet"/>
      <w:lvlText w:val="•"/>
      <w:lvlJc w:val="left"/>
      <w:pPr>
        <w:tabs>
          <w:tab w:val="num" w:pos="1440"/>
        </w:tabs>
        <w:ind w:left="1440" w:hanging="360"/>
      </w:pPr>
      <w:rPr>
        <w:rFonts w:ascii="Times New Roman" w:hAnsi="Times New Roman" w:hint="default"/>
      </w:rPr>
    </w:lvl>
    <w:lvl w:ilvl="2" w:tplc="C94C0DCE" w:tentative="1">
      <w:start w:val="1"/>
      <w:numFmt w:val="bullet"/>
      <w:lvlText w:val="•"/>
      <w:lvlJc w:val="left"/>
      <w:pPr>
        <w:tabs>
          <w:tab w:val="num" w:pos="2160"/>
        </w:tabs>
        <w:ind w:left="2160" w:hanging="360"/>
      </w:pPr>
      <w:rPr>
        <w:rFonts w:ascii="Times New Roman" w:hAnsi="Times New Roman" w:hint="default"/>
      </w:rPr>
    </w:lvl>
    <w:lvl w:ilvl="3" w:tplc="12385568" w:tentative="1">
      <w:start w:val="1"/>
      <w:numFmt w:val="bullet"/>
      <w:lvlText w:val="•"/>
      <w:lvlJc w:val="left"/>
      <w:pPr>
        <w:tabs>
          <w:tab w:val="num" w:pos="2880"/>
        </w:tabs>
        <w:ind w:left="2880" w:hanging="360"/>
      </w:pPr>
      <w:rPr>
        <w:rFonts w:ascii="Times New Roman" w:hAnsi="Times New Roman" w:hint="default"/>
      </w:rPr>
    </w:lvl>
    <w:lvl w:ilvl="4" w:tplc="07F824D2" w:tentative="1">
      <w:start w:val="1"/>
      <w:numFmt w:val="bullet"/>
      <w:lvlText w:val="•"/>
      <w:lvlJc w:val="left"/>
      <w:pPr>
        <w:tabs>
          <w:tab w:val="num" w:pos="3600"/>
        </w:tabs>
        <w:ind w:left="3600" w:hanging="360"/>
      </w:pPr>
      <w:rPr>
        <w:rFonts w:ascii="Times New Roman" w:hAnsi="Times New Roman" w:hint="default"/>
      </w:rPr>
    </w:lvl>
    <w:lvl w:ilvl="5" w:tplc="ED8239AC" w:tentative="1">
      <w:start w:val="1"/>
      <w:numFmt w:val="bullet"/>
      <w:lvlText w:val="•"/>
      <w:lvlJc w:val="left"/>
      <w:pPr>
        <w:tabs>
          <w:tab w:val="num" w:pos="4320"/>
        </w:tabs>
        <w:ind w:left="4320" w:hanging="360"/>
      </w:pPr>
      <w:rPr>
        <w:rFonts w:ascii="Times New Roman" w:hAnsi="Times New Roman" w:hint="default"/>
      </w:rPr>
    </w:lvl>
    <w:lvl w:ilvl="6" w:tplc="E86E4654" w:tentative="1">
      <w:start w:val="1"/>
      <w:numFmt w:val="bullet"/>
      <w:lvlText w:val="•"/>
      <w:lvlJc w:val="left"/>
      <w:pPr>
        <w:tabs>
          <w:tab w:val="num" w:pos="5040"/>
        </w:tabs>
        <w:ind w:left="5040" w:hanging="360"/>
      </w:pPr>
      <w:rPr>
        <w:rFonts w:ascii="Times New Roman" w:hAnsi="Times New Roman" w:hint="default"/>
      </w:rPr>
    </w:lvl>
    <w:lvl w:ilvl="7" w:tplc="5A140352" w:tentative="1">
      <w:start w:val="1"/>
      <w:numFmt w:val="bullet"/>
      <w:lvlText w:val="•"/>
      <w:lvlJc w:val="left"/>
      <w:pPr>
        <w:tabs>
          <w:tab w:val="num" w:pos="5760"/>
        </w:tabs>
        <w:ind w:left="5760" w:hanging="360"/>
      </w:pPr>
      <w:rPr>
        <w:rFonts w:ascii="Times New Roman" w:hAnsi="Times New Roman" w:hint="default"/>
      </w:rPr>
    </w:lvl>
    <w:lvl w:ilvl="8" w:tplc="DBFE4DF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4A1294"/>
    <w:multiLevelType w:val="hybridMultilevel"/>
    <w:tmpl w:val="DDE08B82"/>
    <w:lvl w:ilvl="0" w:tplc="6290CE8C">
      <w:start w:val="1"/>
      <w:numFmt w:val="bullet"/>
      <w:lvlText w:val="•"/>
      <w:lvlJc w:val="left"/>
      <w:pPr>
        <w:tabs>
          <w:tab w:val="num" w:pos="720"/>
        </w:tabs>
        <w:ind w:left="720" w:hanging="360"/>
      </w:pPr>
      <w:rPr>
        <w:rFonts w:ascii="Times New Roman" w:hAnsi="Times New Roman" w:hint="default"/>
      </w:rPr>
    </w:lvl>
    <w:lvl w:ilvl="1" w:tplc="59767266" w:tentative="1">
      <w:start w:val="1"/>
      <w:numFmt w:val="bullet"/>
      <w:lvlText w:val="•"/>
      <w:lvlJc w:val="left"/>
      <w:pPr>
        <w:tabs>
          <w:tab w:val="num" w:pos="1440"/>
        </w:tabs>
        <w:ind w:left="1440" w:hanging="360"/>
      </w:pPr>
      <w:rPr>
        <w:rFonts w:ascii="Times New Roman" w:hAnsi="Times New Roman" w:hint="default"/>
      </w:rPr>
    </w:lvl>
    <w:lvl w:ilvl="2" w:tplc="15E07180" w:tentative="1">
      <w:start w:val="1"/>
      <w:numFmt w:val="bullet"/>
      <w:lvlText w:val="•"/>
      <w:lvlJc w:val="left"/>
      <w:pPr>
        <w:tabs>
          <w:tab w:val="num" w:pos="2160"/>
        </w:tabs>
        <w:ind w:left="2160" w:hanging="360"/>
      </w:pPr>
      <w:rPr>
        <w:rFonts w:ascii="Times New Roman" w:hAnsi="Times New Roman" w:hint="default"/>
      </w:rPr>
    </w:lvl>
    <w:lvl w:ilvl="3" w:tplc="D64CA070" w:tentative="1">
      <w:start w:val="1"/>
      <w:numFmt w:val="bullet"/>
      <w:lvlText w:val="•"/>
      <w:lvlJc w:val="left"/>
      <w:pPr>
        <w:tabs>
          <w:tab w:val="num" w:pos="2880"/>
        </w:tabs>
        <w:ind w:left="2880" w:hanging="360"/>
      </w:pPr>
      <w:rPr>
        <w:rFonts w:ascii="Times New Roman" w:hAnsi="Times New Roman" w:hint="default"/>
      </w:rPr>
    </w:lvl>
    <w:lvl w:ilvl="4" w:tplc="61C65402" w:tentative="1">
      <w:start w:val="1"/>
      <w:numFmt w:val="bullet"/>
      <w:lvlText w:val="•"/>
      <w:lvlJc w:val="left"/>
      <w:pPr>
        <w:tabs>
          <w:tab w:val="num" w:pos="3600"/>
        </w:tabs>
        <w:ind w:left="3600" w:hanging="360"/>
      </w:pPr>
      <w:rPr>
        <w:rFonts w:ascii="Times New Roman" w:hAnsi="Times New Roman" w:hint="default"/>
      </w:rPr>
    </w:lvl>
    <w:lvl w:ilvl="5" w:tplc="3F6214C2" w:tentative="1">
      <w:start w:val="1"/>
      <w:numFmt w:val="bullet"/>
      <w:lvlText w:val="•"/>
      <w:lvlJc w:val="left"/>
      <w:pPr>
        <w:tabs>
          <w:tab w:val="num" w:pos="4320"/>
        </w:tabs>
        <w:ind w:left="4320" w:hanging="360"/>
      </w:pPr>
      <w:rPr>
        <w:rFonts w:ascii="Times New Roman" w:hAnsi="Times New Roman" w:hint="default"/>
      </w:rPr>
    </w:lvl>
    <w:lvl w:ilvl="6" w:tplc="99C23408" w:tentative="1">
      <w:start w:val="1"/>
      <w:numFmt w:val="bullet"/>
      <w:lvlText w:val="•"/>
      <w:lvlJc w:val="left"/>
      <w:pPr>
        <w:tabs>
          <w:tab w:val="num" w:pos="5040"/>
        </w:tabs>
        <w:ind w:left="5040" w:hanging="360"/>
      </w:pPr>
      <w:rPr>
        <w:rFonts w:ascii="Times New Roman" w:hAnsi="Times New Roman" w:hint="default"/>
      </w:rPr>
    </w:lvl>
    <w:lvl w:ilvl="7" w:tplc="6CC2DD84" w:tentative="1">
      <w:start w:val="1"/>
      <w:numFmt w:val="bullet"/>
      <w:lvlText w:val="•"/>
      <w:lvlJc w:val="left"/>
      <w:pPr>
        <w:tabs>
          <w:tab w:val="num" w:pos="5760"/>
        </w:tabs>
        <w:ind w:left="5760" w:hanging="360"/>
      </w:pPr>
      <w:rPr>
        <w:rFonts w:ascii="Times New Roman" w:hAnsi="Times New Roman" w:hint="default"/>
      </w:rPr>
    </w:lvl>
    <w:lvl w:ilvl="8" w:tplc="B3C400E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075140"/>
    <w:multiLevelType w:val="hybridMultilevel"/>
    <w:tmpl w:val="7398FB8A"/>
    <w:lvl w:ilvl="0" w:tplc="9ECED240">
      <w:start w:val="1"/>
      <w:numFmt w:val="bullet"/>
      <w:lvlText w:val="•"/>
      <w:lvlJc w:val="left"/>
      <w:pPr>
        <w:tabs>
          <w:tab w:val="num" w:pos="720"/>
        </w:tabs>
        <w:ind w:left="720" w:hanging="360"/>
      </w:pPr>
      <w:rPr>
        <w:rFonts w:ascii="Times New Roman" w:hAnsi="Times New Roman" w:hint="default"/>
      </w:rPr>
    </w:lvl>
    <w:lvl w:ilvl="1" w:tplc="804A1BE4" w:tentative="1">
      <w:start w:val="1"/>
      <w:numFmt w:val="bullet"/>
      <w:lvlText w:val="•"/>
      <w:lvlJc w:val="left"/>
      <w:pPr>
        <w:tabs>
          <w:tab w:val="num" w:pos="1440"/>
        </w:tabs>
        <w:ind w:left="1440" w:hanging="360"/>
      </w:pPr>
      <w:rPr>
        <w:rFonts w:ascii="Times New Roman" w:hAnsi="Times New Roman" w:hint="default"/>
      </w:rPr>
    </w:lvl>
    <w:lvl w:ilvl="2" w:tplc="4E22D4D4" w:tentative="1">
      <w:start w:val="1"/>
      <w:numFmt w:val="bullet"/>
      <w:lvlText w:val="•"/>
      <w:lvlJc w:val="left"/>
      <w:pPr>
        <w:tabs>
          <w:tab w:val="num" w:pos="2160"/>
        </w:tabs>
        <w:ind w:left="2160" w:hanging="360"/>
      </w:pPr>
      <w:rPr>
        <w:rFonts w:ascii="Times New Roman" w:hAnsi="Times New Roman" w:hint="default"/>
      </w:rPr>
    </w:lvl>
    <w:lvl w:ilvl="3" w:tplc="81A8A4E0" w:tentative="1">
      <w:start w:val="1"/>
      <w:numFmt w:val="bullet"/>
      <w:lvlText w:val="•"/>
      <w:lvlJc w:val="left"/>
      <w:pPr>
        <w:tabs>
          <w:tab w:val="num" w:pos="2880"/>
        </w:tabs>
        <w:ind w:left="2880" w:hanging="360"/>
      </w:pPr>
      <w:rPr>
        <w:rFonts w:ascii="Times New Roman" w:hAnsi="Times New Roman" w:hint="default"/>
      </w:rPr>
    </w:lvl>
    <w:lvl w:ilvl="4" w:tplc="C06A42AC" w:tentative="1">
      <w:start w:val="1"/>
      <w:numFmt w:val="bullet"/>
      <w:lvlText w:val="•"/>
      <w:lvlJc w:val="left"/>
      <w:pPr>
        <w:tabs>
          <w:tab w:val="num" w:pos="3600"/>
        </w:tabs>
        <w:ind w:left="3600" w:hanging="360"/>
      </w:pPr>
      <w:rPr>
        <w:rFonts w:ascii="Times New Roman" w:hAnsi="Times New Roman" w:hint="default"/>
      </w:rPr>
    </w:lvl>
    <w:lvl w:ilvl="5" w:tplc="2F8A2E68" w:tentative="1">
      <w:start w:val="1"/>
      <w:numFmt w:val="bullet"/>
      <w:lvlText w:val="•"/>
      <w:lvlJc w:val="left"/>
      <w:pPr>
        <w:tabs>
          <w:tab w:val="num" w:pos="4320"/>
        </w:tabs>
        <w:ind w:left="4320" w:hanging="360"/>
      </w:pPr>
      <w:rPr>
        <w:rFonts w:ascii="Times New Roman" w:hAnsi="Times New Roman" w:hint="default"/>
      </w:rPr>
    </w:lvl>
    <w:lvl w:ilvl="6" w:tplc="CDE43400" w:tentative="1">
      <w:start w:val="1"/>
      <w:numFmt w:val="bullet"/>
      <w:lvlText w:val="•"/>
      <w:lvlJc w:val="left"/>
      <w:pPr>
        <w:tabs>
          <w:tab w:val="num" w:pos="5040"/>
        </w:tabs>
        <w:ind w:left="5040" w:hanging="360"/>
      </w:pPr>
      <w:rPr>
        <w:rFonts w:ascii="Times New Roman" w:hAnsi="Times New Roman" w:hint="default"/>
      </w:rPr>
    </w:lvl>
    <w:lvl w:ilvl="7" w:tplc="2D86FDFC" w:tentative="1">
      <w:start w:val="1"/>
      <w:numFmt w:val="bullet"/>
      <w:lvlText w:val="•"/>
      <w:lvlJc w:val="left"/>
      <w:pPr>
        <w:tabs>
          <w:tab w:val="num" w:pos="5760"/>
        </w:tabs>
        <w:ind w:left="5760" w:hanging="360"/>
      </w:pPr>
      <w:rPr>
        <w:rFonts w:ascii="Times New Roman" w:hAnsi="Times New Roman" w:hint="default"/>
      </w:rPr>
    </w:lvl>
    <w:lvl w:ilvl="8" w:tplc="4CD8610E"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324A5F"/>
    <w:multiLevelType w:val="hybridMultilevel"/>
    <w:tmpl w:val="D244189C"/>
    <w:lvl w:ilvl="0" w:tplc="86E8E5C6">
      <w:start w:val="1"/>
      <w:numFmt w:val="bullet"/>
      <w:lvlText w:val="•"/>
      <w:lvlJc w:val="left"/>
      <w:pPr>
        <w:tabs>
          <w:tab w:val="num" w:pos="720"/>
        </w:tabs>
        <w:ind w:left="720" w:hanging="360"/>
      </w:pPr>
      <w:rPr>
        <w:rFonts w:ascii="Times New Roman" w:hAnsi="Times New Roman" w:hint="default"/>
      </w:rPr>
    </w:lvl>
    <w:lvl w:ilvl="1" w:tplc="79180C5E" w:tentative="1">
      <w:start w:val="1"/>
      <w:numFmt w:val="bullet"/>
      <w:lvlText w:val="•"/>
      <w:lvlJc w:val="left"/>
      <w:pPr>
        <w:tabs>
          <w:tab w:val="num" w:pos="1440"/>
        </w:tabs>
        <w:ind w:left="1440" w:hanging="360"/>
      </w:pPr>
      <w:rPr>
        <w:rFonts w:ascii="Times New Roman" w:hAnsi="Times New Roman" w:hint="default"/>
      </w:rPr>
    </w:lvl>
    <w:lvl w:ilvl="2" w:tplc="DE38CB02" w:tentative="1">
      <w:start w:val="1"/>
      <w:numFmt w:val="bullet"/>
      <w:lvlText w:val="•"/>
      <w:lvlJc w:val="left"/>
      <w:pPr>
        <w:tabs>
          <w:tab w:val="num" w:pos="2160"/>
        </w:tabs>
        <w:ind w:left="2160" w:hanging="360"/>
      </w:pPr>
      <w:rPr>
        <w:rFonts w:ascii="Times New Roman" w:hAnsi="Times New Roman" w:hint="default"/>
      </w:rPr>
    </w:lvl>
    <w:lvl w:ilvl="3" w:tplc="8A546018" w:tentative="1">
      <w:start w:val="1"/>
      <w:numFmt w:val="bullet"/>
      <w:lvlText w:val="•"/>
      <w:lvlJc w:val="left"/>
      <w:pPr>
        <w:tabs>
          <w:tab w:val="num" w:pos="2880"/>
        </w:tabs>
        <w:ind w:left="2880" w:hanging="360"/>
      </w:pPr>
      <w:rPr>
        <w:rFonts w:ascii="Times New Roman" w:hAnsi="Times New Roman" w:hint="default"/>
      </w:rPr>
    </w:lvl>
    <w:lvl w:ilvl="4" w:tplc="012EA23E" w:tentative="1">
      <w:start w:val="1"/>
      <w:numFmt w:val="bullet"/>
      <w:lvlText w:val="•"/>
      <w:lvlJc w:val="left"/>
      <w:pPr>
        <w:tabs>
          <w:tab w:val="num" w:pos="3600"/>
        </w:tabs>
        <w:ind w:left="3600" w:hanging="360"/>
      </w:pPr>
      <w:rPr>
        <w:rFonts w:ascii="Times New Roman" w:hAnsi="Times New Roman" w:hint="default"/>
      </w:rPr>
    </w:lvl>
    <w:lvl w:ilvl="5" w:tplc="B7E2EFD0" w:tentative="1">
      <w:start w:val="1"/>
      <w:numFmt w:val="bullet"/>
      <w:lvlText w:val="•"/>
      <w:lvlJc w:val="left"/>
      <w:pPr>
        <w:tabs>
          <w:tab w:val="num" w:pos="4320"/>
        </w:tabs>
        <w:ind w:left="4320" w:hanging="360"/>
      </w:pPr>
      <w:rPr>
        <w:rFonts w:ascii="Times New Roman" w:hAnsi="Times New Roman" w:hint="default"/>
      </w:rPr>
    </w:lvl>
    <w:lvl w:ilvl="6" w:tplc="838AE8F6" w:tentative="1">
      <w:start w:val="1"/>
      <w:numFmt w:val="bullet"/>
      <w:lvlText w:val="•"/>
      <w:lvlJc w:val="left"/>
      <w:pPr>
        <w:tabs>
          <w:tab w:val="num" w:pos="5040"/>
        </w:tabs>
        <w:ind w:left="5040" w:hanging="360"/>
      </w:pPr>
      <w:rPr>
        <w:rFonts w:ascii="Times New Roman" w:hAnsi="Times New Roman" w:hint="default"/>
      </w:rPr>
    </w:lvl>
    <w:lvl w:ilvl="7" w:tplc="C49E958E" w:tentative="1">
      <w:start w:val="1"/>
      <w:numFmt w:val="bullet"/>
      <w:lvlText w:val="•"/>
      <w:lvlJc w:val="left"/>
      <w:pPr>
        <w:tabs>
          <w:tab w:val="num" w:pos="5760"/>
        </w:tabs>
        <w:ind w:left="5760" w:hanging="360"/>
      </w:pPr>
      <w:rPr>
        <w:rFonts w:ascii="Times New Roman" w:hAnsi="Times New Roman" w:hint="default"/>
      </w:rPr>
    </w:lvl>
    <w:lvl w:ilvl="8" w:tplc="FD2E549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E968BD"/>
    <w:multiLevelType w:val="hybridMultilevel"/>
    <w:tmpl w:val="B324F09A"/>
    <w:lvl w:ilvl="0" w:tplc="CD68A0AE">
      <w:start w:val="1"/>
      <w:numFmt w:val="bullet"/>
      <w:lvlText w:val="•"/>
      <w:lvlJc w:val="left"/>
      <w:pPr>
        <w:tabs>
          <w:tab w:val="num" w:pos="720"/>
        </w:tabs>
        <w:ind w:left="720" w:hanging="360"/>
      </w:pPr>
      <w:rPr>
        <w:rFonts w:ascii="Times New Roman" w:hAnsi="Times New Roman" w:hint="default"/>
      </w:rPr>
    </w:lvl>
    <w:lvl w:ilvl="1" w:tplc="A6F0DD9A" w:tentative="1">
      <w:start w:val="1"/>
      <w:numFmt w:val="bullet"/>
      <w:lvlText w:val="•"/>
      <w:lvlJc w:val="left"/>
      <w:pPr>
        <w:tabs>
          <w:tab w:val="num" w:pos="1440"/>
        </w:tabs>
        <w:ind w:left="1440" w:hanging="360"/>
      </w:pPr>
      <w:rPr>
        <w:rFonts w:ascii="Times New Roman" w:hAnsi="Times New Roman" w:hint="default"/>
      </w:rPr>
    </w:lvl>
    <w:lvl w:ilvl="2" w:tplc="D62E4654" w:tentative="1">
      <w:start w:val="1"/>
      <w:numFmt w:val="bullet"/>
      <w:lvlText w:val="•"/>
      <w:lvlJc w:val="left"/>
      <w:pPr>
        <w:tabs>
          <w:tab w:val="num" w:pos="2160"/>
        </w:tabs>
        <w:ind w:left="2160" w:hanging="360"/>
      </w:pPr>
      <w:rPr>
        <w:rFonts w:ascii="Times New Roman" w:hAnsi="Times New Roman" w:hint="default"/>
      </w:rPr>
    </w:lvl>
    <w:lvl w:ilvl="3" w:tplc="648A6B74" w:tentative="1">
      <w:start w:val="1"/>
      <w:numFmt w:val="bullet"/>
      <w:lvlText w:val="•"/>
      <w:lvlJc w:val="left"/>
      <w:pPr>
        <w:tabs>
          <w:tab w:val="num" w:pos="2880"/>
        </w:tabs>
        <w:ind w:left="2880" w:hanging="360"/>
      </w:pPr>
      <w:rPr>
        <w:rFonts w:ascii="Times New Roman" w:hAnsi="Times New Roman" w:hint="default"/>
      </w:rPr>
    </w:lvl>
    <w:lvl w:ilvl="4" w:tplc="D8A6D514" w:tentative="1">
      <w:start w:val="1"/>
      <w:numFmt w:val="bullet"/>
      <w:lvlText w:val="•"/>
      <w:lvlJc w:val="left"/>
      <w:pPr>
        <w:tabs>
          <w:tab w:val="num" w:pos="3600"/>
        </w:tabs>
        <w:ind w:left="3600" w:hanging="360"/>
      </w:pPr>
      <w:rPr>
        <w:rFonts w:ascii="Times New Roman" w:hAnsi="Times New Roman" w:hint="default"/>
      </w:rPr>
    </w:lvl>
    <w:lvl w:ilvl="5" w:tplc="0E4E1DE6" w:tentative="1">
      <w:start w:val="1"/>
      <w:numFmt w:val="bullet"/>
      <w:lvlText w:val="•"/>
      <w:lvlJc w:val="left"/>
      <w:pPr>
        <w:tabs>
          <w:tab w:val="num" w:pos="4320"/>
        </w:tabs>
        <w:ind w:left="4320" w:hanging="360"/>
      </w:pPr>
      <w:rPr>
        <w:rFonts w:ascii="Times New Roman" w:hAnsi="Times New Roman" w:hint="default"/>
      </w:rPr>
    </w:lvl>
    <w:lvl w:ilvl="6" w:tplc="53CE93B6" w:tentative="1">
      <w:start w:val="1"/>
      <w:numFmt w:val="bullet"/>
      <w:lvlText w:val="•"/>
      <w:lvlJc w:val="left"/>
      <w:pPr>
        <w:tabs>
          <w:tab w:val="num" w:pos="5040"/>
        </w:tabs>
        <w:ind w:left="5040" w:hanging="360"/>
      </w:pPr>
      <w:rPr>
        <w:rFonts w:ascii="Times New Roman" w:hAnsi="Times New Roman" w:hint="default"/>
      </w:rPr>
    </w:lvl>
    <w:lvl w:ilvl="7" w:tplc="18E8C376" w:tentative="1">
      <w:start w:val="1"/>
      <w:numFmt w:val="bullet"/>
      <w:lvlText w:val="•"/>
      <w:lvlJc w:val="left"/>
      <w:pPr>
        <w:tabs>
          <w:tab w:val="num" w:pos="5760"/>
        </w:tabs>
        <w:ind w:left="5760" w:hanging="360"/>
      </w:pPr>
      <w:rPr>
        <w:rFonts w:ascii="Times New Roman" w:hAnsi="Times New Roman" w:hint="default"/>
      </w:rPr>
    </w:lvl>
    <w:lvl w:ilvl="8" w:tplc="3D86B0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7461C22"/>
    <w:multiLevelType w:val="hybridMultilevel"/>
    <w:tmpl w:val="EF0C62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92358"/>
    <w:multiLevelType w:val="hybridMultilevel"/>
    <w:tmpl w:val="29A05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3D42BD"/>
    <w:multiLevelType w:val="hybridMultilevel"/>
    <w:tmpl w:val="265C18FA"/>
    <w:lvl w:ilvl="0" w:tplc="7B226320">
      <w:start w:val="1"/>
      <w:numFmt w:val="bullet"/>
      <w:lvlText w:val="•"/>
      <w:lvlJc w:val="left"/>
      <w:pPr>
        <w:tabs>
          <w:tab w:val="num" w:pos="720"/>
        </w:tabs>
        <w:ind w:left="720" w:hanging="360"/>
      </w:pPr>
      <w:rPr>
        <w:rFonts w:ascii="Times New Roman" w:hAnsi="Times New Roman" w:hint="default"/>
      </w:rPr>
    </w:lvl>
    <w:lvl w:ilvl="1" w:tplc="5E100384" w:tentative="1">
      <w:start w:val="1"/>
      <w:numFmt w:val="bullet"/>
      <w:lvlText w:val="•"/>
      <w:lvlJc w:val="left"/>
      <w:pPr>
        <w:tabs>
          <w:tab w:val="num" w:pos="1440"/>
        </w:tabs>
        <w:ind w:left="1440" w:hanging="360"/>
      </w:pPr>
      <w:rPr>
        <w:rFonts w:ascii="Times New Roman" w:hAnsi="Times New Roman" w:hint="default"/>
      </w:rPr>
    </w:lvl>
    <w:lvl w:ilvl="2" w:tplc="61E889F4" w:tentative="1">
      <w:start w:val="1"/>
      <w:numFmt w:val="bullet"/>
      <w:lvlText w:val="•"/>
      <w:lvlJc w:val="left"/>
      <w:pPr>
        <w:tabs>
          <w:tab w:val="num" w:pos="2160"/>
        </w:tabs>
        <w:ind w:left="2160" w:hanging="360"/>
      </w:pPr>
      <w:rPr>
        <w:rFonts w:ascii="Times New Roman" w:hAnsi="Times New Roman" w:hint="default"/>
      </w:rPr>
    </w:lvl>
    <w:lvl w:ilvl="3" w:tplc="BCCA485A" w:tentative="1">
      <w:start w:val="1"/>
      <w:numFmt w:val="bullet"/>
      <w:lvlText w:val="•"/>
      <w:lvlJc w:val="left"/>
      <w:pPr>
        <w:tabs>
          <w:tab w:val="num" w:pos="2880"/>
        </w:tabs>
        <w:ind w:left="2880" w:hanging="360"/>
      </w:pPr>
      <w:rPr>
        <w:rFonts w:ascii="Times New Roman" w:hAnsi="Times New Roman" w:hint="default"/>
      </w:rPr>
    </w:lvl>
    <w:lvl w:ilvl="4" w:tplc="176C09B2" w:tentative="1">
      <w:start w:val="1"/>
      <w:numFmt w:val="bullet"/>
      <w:lvlText w:val="•"/>
      <w:lvlJc w:val="left"/>
      <w:pPr>
        <w:tabs>
          <w:tab w:val="num" w:pos="3600"/>
        </w:tabs>
        <w:ind w:left="3600" w:hanging="360"/>
      </w:pPr>
      <w:rPr>
        <w:rFonts w:ascii="Times New Roman" w:hAnsi="Times New Roman" w:hint="default"/>
      </w:rPr>
    </w:lvl>
    <w:lvl w:ilvl="5" w:tplc="6A0A7342" w:tentative="1">
      <w:start w:val="1"/>
      <w:numFmt w:val="bullet"/>
      <w:lvlText w:val="•"/>
      <w:lvlJc w:val="left"/>
      <w:pPr>
        <w:tabs>
          <w:tab w:val="num" w:pos="4320"/>
        </w:tabs>
        <w:ind w:left="4320" w:hanging="360"/>
      </w:pPr>
      <w:rPr>
        <w:rFonts w:ascii="Times New Roman" w:hAnsi="Times New Roman" w:hint="default"/>
      </w:rPr>
    </w:lvl>
    <w:lvl w:ilvl="6" w:tplc="30220956" w:tentative="1">
      <w:start w:val="1"/>
      <w:numFmt w:val="bullet"/>
      <w:lvlText w:val="•"/>
      <w:lvlJc w:val="left"/>
      <w:pPr>
        <w:tabs>
          <w:tab w:val="num" w:pos="5040"/>
        </w:tabs>
        <w:ind w:left="5040" w:hanging="360"/>
      </w:pPr>
      <w:rPr>
        <w:rFonts w:ascii="Times New Roman" w:hAnsi="Times New Roman" w:hint="default"/>
      </w:rPr>
    </w:lvl>
    <w:lvl w:ilvl="7" w:tplc="948E8CBA" w:tentative="1">
      <w:start w:val="1"/>
      <w:numFmt w:val="bullet"/>
      <w:lvlText w:val="•"/>
      <w:lvlJc w:val="left"/>
      <w:pPr>
        <w:tabs>
          <w:tab w:val="num" w:pos="5760"/>
        </w:tabs>
        <w:ind w:left="5760" w:hanging="360"/>
      </w:pPr>
      <w:rPr>
        <w:rFonts w:ascii="Times New Roman" w:hAnsi="Times New Roman" w:hint="default"/>
      </w:rPr>
    </w:lvl>
    <w:lvl w:ilvl="8" w:tplc="4776D62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26D5890"/>
    <w:multiLevelType w:val="hybridMultilevel"/>
    <w:tmpl w:val="9C34DCE8"/>
    <w:lvl w:ilvl="0" w:tplc="C4186F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3A2436"/>
    <w:multiLevelType w:val="hybridMultilevel"/>
    <w:tmpl w:val="E93EA35C"/>
    <w:lvl w:ilvl="0" w:tplc="73EEE5F0">
      <w:start w:val="1"/>
      <w:numFmt w:val="bullet"/>
      <w:lvlText w:val="•"/>
      <w:lvlJc w:val="left"/>
      <w:pPr>
        <w:tabs>
          <w:tab w:val="num" w:pos="720"/>
        </w:tabs>
        <w:ind w:left="720" w:hanging="360"/>
      </w:pPr>
      <w:rPr>
        <w:rFonts w:ascii="Times New Roman" w:hAnsi="Times New Roman" w:hint="default"/>
      </w:rPr>
    </w:lvl>
    <w:lvl w:ilvl="1" w:tplc="B5784D38" w:tentative="1">
      <w:start w:val="1"/>
      <w:numFmt w:val="bullet"/>
      <w:lvlText w:val="•"/>
      <w:lvlJc w:val="left"/>
      <w:pPr>
        <w:tabs>
          <w:tab w:val="num" w:pos="1440"/>
        </w:tabs>
        <w:ind w:left="1440" w:hanging="360"/>
      </w:pPr>
      <w:rPr>
        <w:rFonts w:ascii="Times New Roman" w:hAnsi="Times New Roman" w:hint="default"/>
      </w:rPr>
    </w:lvl>
    <w:lvl w:ilvl="2" w:tplc="EF1ED054" w:tentative="1">
      <w:start w:val="1"/>
      <w:numFmt w:val="bullet"/>
      <w:lvlText w:val="•"/>
      <w:lvlJc w:val="left"/>
      <w:pPr>
        <w:tabs>
          <w:tab w:val="num" w:pos="2160"/>
        </w:tabs>
        <w:ind w:left="2160" w:hanging="360"/>
      </w:pPr>
      <w:rPr>
        <w:rFonts w:ascii="Times New Roman" w:hAnsi="Times New Roman" w:hint="default"/>
      </w:rPr>
    </w:lvl>
    <w:lvl w:ilvl="3" w:tplc="BEF09DAA" w:tentative="1">
      <w:start w:val="1"/>
      <w:numFmt w:val="bullet"/>
      <w:lvlText w:val="•"/>
      <w:lvlJc w:val="left"/>
      <w:pPr>
        <w:tabs>
          <w:tab w:val="num" w:pos="2880"/>
        </w:tabs>
        <w:ind w:left="2880" w:hanging="360"/>
      </w:pPr>
      <w:rPr>
        <w:rFonts w:ascii="Times New Roman" w:hAnsi="Times New Roman" w:hint="default"/>
      </w:rPr>
    </w:lvl>
    <w:lvl w:ilvl="4" w:tplc="1E0879F2" w:tentative="1">
      <w:start w:val="1"/>
      <w:numFmt w:val="bullet"/>
      <w:lvlText w:val="•"/>
      <w:lvlJc w:val="left"/>
      <w:pPr>
        <w:tabs>
          <w:tab w:val="num" w:pos="3600"/>
        </w:tabs>
        <w:ind w:left="3600" w:hanging="360"/>
      </w:pPr>
      <w:rPr>
        <w:rFonts w:ascii="Times New Roman" w:hAnsi="Times New Roman" w:hint="default"/>
      </w:rPr>
    </w:lvl>
    <w:lvl w:ilvl="5" w:tplc="95F42478" w:tentative="1">
      <w:start w:val="1"/>
      <w:numFmt w:val="bullet"/>
      <w:lvlText w:val="•"/>
      <w:lvlJc w:val="left"/>
      <w:pPr>
        <w:tabs>
          <w:tab w:val="num" w:pos="4320"/>
        </w:tabs>
        <w:ind w:left="4320" w:hanging="360"/>
      </w:pPr>
      <w:rPr>
        <w:rFonts w:ascii="Times New Roman" w:hAnsi="Times New Roman" w:hint="default"/>
      </w:rPr>
    </w:lvl>
    <w:lvl w:ilvl="6" w:tplc="9CD8A958" w:tentative="1">
      <w:start w:val="1"/>
      <w:numFmt w:val="bullet"/>
      <w:lvlText w:val="•"/>
      <w:lvlJc w:val="left"/>
      <w:pPr>
        <w:tabs>
          <w:tab w:val="num" w:pos="5040"/>
        </w:tabs>
        <w:ind w:left="5040" w:hanging="360"/>
      </w:pPr>
      <w:rPr>
        <w:rFonts w:ascii="Times New Roman" w:hAnsi="Times New Roman" w:hint="default"/>
      </w:rPr>
    </w:lvl>
    <w:lvl w:ilvl="7" w:tplc="06C4EF2A" w:tentative="1">
      <w:start w:val="1"/>
      <w:numFmt w:val="bullet"/>
      <w:lvlText w:val="•"/>
      <w:lvlJc w:val="left"/>
      <w:pPr>
        <w:tabs>
          <w:tab w:val="num" w:pos="5760"/>
        </w:tabs>
        <w:ind w:left="5760" w:hanging="360"/>
      </w:pPr>
      <w:rPr>
        <w:rFonts w:ascii="Times New Roman" w:hAnsi="Times New Roman" w:hint="default"/>
      </w:rPr>
    </w:lvl>
    <w:lvl w:ilvl="8" w:tplc="A498003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5D469F9"/>
    <w:multiLevelType w:val="hybridMultilevel"/>
    <w:tmpl w:val="F81CE536"/>
    <w:lvl w:ilvl="0" w:tplc="40A422E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1A6D21"/>
    <w:multiLevelType w:val="hybridMultilevel"/>
    <w:tmpl w:val="A9F49E7C"/>
    <w:lvl w:ilvl="0" w:tplc="9878E414">
      <w:start w:val="1"/>
      <w:numFmt w:val="bullet"/>
      <w:lvlText w:val="•"/>
      <w:lvlJc w:val="left"/>
      <w:pPr>
        <w:tabs>
          <w:tab w:val="num" w:pos="720"/>
        </w:tabs>
        <w:ind w:left="720" w:hanging="360"/>
      </w:pPr>
      <w:rPr>
        <w:rFonts w:ascii="Times New Roman" w:hAnsi="Times New Roman" w:hint="default"/>
      </w:rPr>
    </w:lvl>
    <w:lvl w:ilvl="1" w:tplc="652CABA8" w:tentative="1">
      <w:start w:val="1"/>
      <w:numFmt w:val="bullet"/>
      <w:lvlText w:val="•"/>
      <w:lvlJc w:val="left"/>
      <w:pPr>
        <w:tabs>
          <w:tab w:val="num" w:pos="1440"/>
        </w:tabs>
        <w:ind w:left="1440" w:hanging="360"/>
      </w:pPr>
      <w:rPr>
        <w:rFonts w:ascii="Times New Roman" w:hAnsi="Times New Roman" w:hint="default"/>
      </w:rPr>
    </w:lvl>
    <w:lvl w:ilvl="2" w:tplc="C09802B4" w:tentative="1">
      <w:start w:val="1"/>
      <w:numFmt w:val="bullet"/>
      <w:lvlText w:val="•"/>
      <w:lvlJc w:val="left"/>
      <w:pPr>
        <w:tabs>
          <w:tab w:val="num" w:pos="2160"/>
        </w:tabs>
        <w:ind w:left="2160" w:hanging="360"/>
      </w:pPr>
      <w:rPr>
        <w:rFonts w:ascii="Times New Roman" w:hAnsi="Times New Roman" w:hint="default"/>
      </w:rPr>
    </w:lvl>
    <w:lvl w:ilvl="3" w:tplc="2A46360E" w:tentative="1">
      <w:start w:val="1"/>
      <w:numFmt w:val="bullet"/>
      <w:lvlText w:val="•"/>
      <w:lvlJc w:val="left"/>
      <w:pPr>
        <w:tabs>
          <w:tab w:val="num" w:pos="2880"/>
        </w:tabs>
        <w:ind w:left="2880" w:hanging="360"/>
      </w:pPr>
      <w:rPr>
        <w:rFonts w:ascii="Times New Roman" w:hAnsi="Times New Roman" w:hint="default"/>
      </w:rPr>
    </w:lvl>
    <w:lvl w:ilvl="4" w:tplc="40487D1C" w:tentative="1">
      <w:start w:val="1"/>
      <w:numFmt w:val="bullet"/>
      <w:lvlText w:val="•"/>
      <w:lvlJc w:val="left"/>
      <w:pPr>
        <w:tabs>
          <w:tab w:val="num" w:pos="3600"/>
        </w:tabs>
        <w:ind w:left="3600" w:hanging="360"/>
      </w:pPr>
      <w:rPr>
        <w:rFonts w:ascii="Times New Roman" w:hAnsi="Times New Roman" w:hint="default"/>
      </w:rPr>
    </w:lvl>
    <w:lvl w:ilvl="5" w:tplc="F7425EA6" w:tentative="1">
      <w:start w:val="1"/>
      <w:numFmt w:val="bullet"/>
      <w:lvlText w:val="•"/>
      <w:lvlJc w:val="left"/>
      <w:pPr>
        <w:tabs>
          <w:tab w:val="num" w:pos="4320"/>
        </w:tabs>
        <w:ind w:left="4320" w:hanging="360"/>
      </w:pPr>
      <w:rPr>
        <w:rFonts w:ascii="Times New Roman" w:hAnsi="Times New Roman" w:hint="default"/>
      </w:rPr>
    </w:lvl>
    <w:lvl w:ilvl="6" w:tplc="82B24B3A" w:tentative="1">
      <w:start w:val="1"/>
      <w:numFmt w:val="bullet"/>
      <w:lvlText w:val="•"/>
      <w:lvlJc w:val="left"/>
      <w:pPr>
        <w:tabs>
          <w:tab w:val="num" w:pos="5040"/>
        </w:tabs>
        <w:ind w:left="5040" w:hanging="360"/>
      </w:pPr>
      <w:rPr>
        <w:rFonts w:ascii="Times New Roman" w:hAnsi="Times New Roman" w:hint="default"/>
      </w:rPr>
    </w:lvl>
    <w:lvl w:ilvl="7" w:tplc="88F6C9D2" w:tentative="1">
      <w:start w:val="1"/>
      <w:numFmt w:val="bullet"/>
      <w:lvlText w:val="•"/>
      <w:lvlJc w:val="left"/>
      <w:pPr>
        <w:tabs>
          <w:tab w:val="num" w:pos="5760"/>
        </w:tabs>
        <w:ind w:left="5760" w:hanging="360"/>
      </w:pPr>
      <w:rPr>
        <w:rFonts w:ascii="Times New Roman" w:hAnsi="Times New Roman" w:hint="default"/>
      </w:rPr>
    </w:lvl>
    <w:lvl w:ilvl="8" w:tplc="F79E33C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FB4665"/>
    <w:multiLevelType w:val="hybridMultilevel"/>
    <w:tmpl w:val="865039F0"/>
    <w:lvl w:ilvl="0" w:tplc="FF0AF0B8">
      <w:start w:val="1"/>
      <w:numFmt w:val="bullet"/>
      <w:lvlText w:val="•"/>
      <w:lvlJc w:val="left"/>
      <w:pPr>
        <w:tabs>
          <w:tab w:val="num" w:pos="720"/>
        </w:tabs>
        <w:ind w:left="720" w:hanging="360"/>
      </w:pPr>
      <w:rPr>
        <w:rFonts w:ascii="Times New Roman" w:hAnsi="Times New Roman" w:hint="default"/>
      </w:rPr>
    </w:lvl>
    <w:lvl w:ilvl="1" w:tplc="77FEA722" w:tentative="1">
      <w:start w:val="1"/>
      <w:numFmt w:val="bullet"/>
      <w:lvlText w:val="•"/>
      <w:lvlJc w:val="left"/>
      <w:pPr>
        <w:tabs>
          <w:tab w:val="num" w:pos="1440"/>
        </w:tabs>
        <w:ind w:left="1440" w:hanging="360"/>
      </w:pPr>
      <w:rPr>
        <w:rFonts w:ascii="Times New Roman" w:hAnsi="Times New Roman" w:hint="default"/>
      </w:rPr>
    </w:lvl>
    <w:lvl w:ilvl="2" w:tplc="63286524" w:tentative="1">
      <w:start w:val="1"/>
      <w:numFmt w:val="bullet"/>
      <w:lvlText w:val="•"/>
      <w:lvlJc w:val="left"/>
      <w:pPr>
        <w:tabs>
          <w:tab w:val="num" w:pos="2160"/>
        </w:tabs>
        <w:ind w:left="2160" w:hanging="360"/>
      </w:pPr>
      <w:rPr>
        <w:rFonts w:ascii="Times New Roman" w:hAnsi="Times New Roman" w:hint="default"/>
      </w:rPr>
    </w:lvl>
    <w:lvl w:ilvl="3" w:tplc="70D04A38" w:tentative="1">
      <w:start w:val="1"/>
      <w:numFmt w:val="bullet"/>
      <w:lvlText w:val="•"/>
      <w:lvlJc w:val="left"/>
      <w:pPr>
        <w:tabs>
          <w:tab w:val="num" w:pos="2880"/>
        </w:tabs>
        <w:ind w:left="2880" w:hanging="360"/>
      </w:pPr>
      <w:rPr>
        <w:rFonts w:ascii="Times New Roman" w:hAnsi="Times New Roman" w:hint="default"/>
      </w:rPr>
    </w:lvl>
    <w:lvl w:ilvl="4" w:tplc="B7C82082" w:tentative="1">
      <w:start w:val="1"/>
      <w:numFmt w:val="bullet"/>
      <w:lvlText w:val="•"/>
      <w:lvlJc w:val="left"/>
      <w:pPr>
        <w:tabs>
          <w:tab w:val="num" w:pos="3600"/>
        </w:tabs>
        <w:ind w:left="3600" w:hanging="360"/>
      </w:pPr>
      <w:rPr>
        <w:rFonts w:ascii="Times New Roman" w:hAnsi="Times New Roman" w:hint="default"/>
      </w:rPr>
    </w:lvl>
    <w:lvl w:ilvl="5" w:tplc="6EA2D894" w:tentative="1">
      <w:start w:val="1"/>
      <w:numFmt w:val="bullet"/>
      <w:lvlText w:val="•"/>
      <w:lvlJc w:val="left"/>
      <w:pPr>
        <w:tabs>
          <w:tab w:val="num" w:pos="4320"/>
        </w:tabs>
        <w:ind w:left="4320" w:hanging="360"/>
      </w:pPr>
      <w:rPr>
        <w:rFonts w:ascii="Times New Roman" w:hAnsi="Times New Roman" w:hint="default"/>
      </w:rPr>
    </w:lvl>
    <w:lvl w:ilvl="6" w:tplc="3B3E3A0E" w:tentative="1">
      <w:start w:val="1"/>
      <w:numFmt w:val="bullet"/>
      <w:lvlText w:val="•"/>
      <w:lvlJc w:val="left"/>
      <w:pPr>
        <w:tabs>
          <w:tab w:val="num" w:pos="5040"/>
        </w:tabs>
        <w:ind w:left="5040" w:hanging="360"/>
      </w:pPr>
      <w:rPr>
        <w:rFonts w:ascii="Times New Roman" w:hAnsi="Times New Roman" w:hint="default"/>
      </w:rPr>
    </w:lvl>
    <w:lvl w:ilvl="7" w:tplc="A35CAEB8" w:tentative="1">
      <w:start w:val="1"/>
      <w:numFmt w:val="bullet"/>
      <w:lvlText w:val="•"/>
      <w:lvlJc w:val="left"/>
      <w:pPr>
        <w:tabs>
          <w:tab w:val="num" w:pos="5760"/>
        </w:tabs>
        <w:ind w:left="5760" w:hanging="360"/>
      </w:pPr>
      <w:rPr>
        <w:rFonts w:ascii="Times New Roman" w:hAnsi="Times New Roman" w:hint="default"/>
      </w:rPr>
    </w:lvl>
    <w:lvl w:ilvl="8" w:tplc="66CAB6A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E8E2942"/>
    <w:multiLevelType w:val="hybridMultilevel"/>
    <w:tmpl w:val="E1DA01D4"/>
    <w:lvl w:ilvl="0" w:tplc="89006AFC">
      <w:start w:val="1"/>
      <w:numFmt w:val="bullet"/>
      <w:lvlText w:val="•"/>
      <w:lvlJc w:val="left"/>
      <w:pPr>
        <w:tabs>
          <w:tab w:val="num" w:pos="720"/>
        </w:tabs>
        <w:ind w:left="720" w:hanging="360"/>
      </w:pPr>
      <w:rPr>
        <w:rFonts w:ascii="Times New Roman" w:hAnsi="Times New Roman" w:hint="default"/>
      </w:rPr>
    </w:lvl>
    <w:lvl w:ilvl="1" w:tplc="A552D9B2" w:tentative="1">
      <w:start w:val="1"/>
      <w:numFmt w:val="bullet"/>
      <w:lvlText w:val="•"/>
      <w:lvlJc w:val="left"/>
      <w:pPr>
        <w:tabs>
          <w:tab w:val="num" w:pos="1440"/>
        </w:tabs>
        <w:ind w:left="1440" w:hanging="360"/>
      </w:pPr>
      <w:rPr>
        <w:rFonts w:ascii="Times New Roman" w:hAnsi="Times New Roman" w:hint="default"/>
      </w:rPr>
    </w:lvl>
    <w:lvl w:ilvl="2" w:tplc="24CAC3E2" w:tentative="1">
      <w:start w:val="1"/>
      <w:numFmt w:val="bullet"/>
      <w:lvlText w:val="•"/>
      <w:lvlJc w:val="left"/>
      <w:pPr>
        <w:tabs>
          <w:tab w:val="num" w:pos="2160"/>
        </w:tabs>
        <w:ind w:left="2160" w:hanging="360"/>
      </w:pPr>
      <w:rPr>
        <w:rFonts w:ascii="Times New Roman" w:hAnsi="Times New Roman" w:hint="default"/>
      </w:rPr>
    </w:lvl>
    <w:lvl w:ilvl="3" w:tplc="61AEE224" w:tentative="1">
      <w:start w:val="1"/>
      <w:numFmt w:val="bullet"/>
      <w:lvlText w:val="•"/>
      <w:lvlJc w:val="left"/>
      <w:pPr>
        <w:tabs>
          <w:tab w:val="num" w:pos="2880"/>
        </w:tabs>
        <w:ind w:left="2880" w:hanging="360"/>
      </w:pPr>
      <w:rPr>
        <w:rFonts w:ascii="Times New Roman" w:hAnsi="Times New Roman" w:hint="default"/>
      </w:rPr>
    </w:lvl>
    <w:lvl w:ilvl="4" w:tplc="FE4A2262" w:tentative="1">
      <w:start w:val="1"/>
      <w:numFmt w:val="bullet"/>
      <w:lvlText w:val="•"/>
      <w:lvlJc w:val="left"/>
      <w:pPr>
        <w:tabs>
          <w:tab w:val="num" w:pos="3600"/>
        </w:tabs>
        <w:ind w:left="3600" w:hanging="360"/>
      </w:pPr>
      <w:rPr>
        <w:rFonts w:ascii="Times New Roman" w:hAnsi="Times New Roman" w:hint="default"/>
      </w:rPr>
    </w:lvl>
    <w:lvl w:ilvl="5" w:tplc="5E3822D8" w:tentative="1">
      <w:start w:val="1"/>
      <w:numFmt w:val="bullet"/>
      <w:lvlText w:val="•"/>
      <w:lvlJc w:val="left"/>
      <w:pPr>
        <w:tabs>
          <w:tab w:val="num" w:pos="4320"/>
        </w:tabs>
        <w:ind w:left="4320" w:hanging="360"/>
      </w:pPr>
      <w:rPr>
        <w:rFonts w:ascii="Times New Roman" w:hAnsi="Times New Roman" w:hint="default"/>
      </w:rPr>
    </w:lvl>
    <w:lvl w:ilvl="6" w:tplc="FAF65C3A" w:tentative="1">
      <w:start w:val="1"/>
      <w:numFmt w:val="bullet"/>
      <w:lvlText w:val="•"/>
      <w:lvlJc w:val="left"/>
      <w:pPr>
        <w:tabs>
          <w:tab w:val="num" w:pos="5040"/>
        </w:tabs>
        <w:ind w:left="5040" w:hanging="360"/>
      </w:pPr>
      <w:rPr>
        <w:rFonts w:ascii="Times New Roman" w:hAnsi="Times New Roman" w:hint="default"/>
      </w:rPr>
    </w:lvl>
    <w:lvl w:ilvl="7" w:tplc="8DAEE754" w:tentative="1">
      <w:start w:val="1"/>
      <w:numFmt w:val="bullet"/>
      <w:lvlText w:val="•"/>
      <w:lvlJc w:val="left"/>
      <w:pPr>
        <w:tabs>
          <w:tab w:val="num" w:pos="5760"/>
        </w:tabs>
        <w:ind w:left="5760" w:hanging="360"/>
      </w:pPr>
      <w:rPr>
        <w:rFonts w:ascii="Times New Roman" w:hAnsi="Times New Roman" w:hint="default"/>
      </w:rPr>
    </w:lvl>
    <w:lvl w:ilvl="8" w:tplc="201076E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0155731"/>
    <w:multiLevelType w:val="hybridMultilevel"/>
    <w:tmpl w:val="5590FF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1670836"/>
    <w:multiLevelType w:val="hybridMultilevel"/>
    <w:tmpl w:val="D9CCF9D6"/>
    <w:lvl w:ilvl="0" w:tplc="C4186F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B646B0"/>
    <w:multiLevelType w:val="hybridMultilevel"/>
    <w:tmpl w:val="1826DF80"/>
    <w:lvl w:ilvl="0" w:tplc="DDEAEE0A">
      <w:start w:val="1"/>
      <w:numFmt w:val="bullet"/>
      <w:lvlText w:val="•"/>
      <w:lvlJc w:val="left"/>
      <w:pPr>
        <w:tabs>
          <w:tab w:val="num" w:pos="720"/>
        </w:tabs>
        <w:ind w:left="720" w:hanging="360"/>
      </w:pPr>
      <w:rPr>
        <w:rFonts w:ascii="Times New Roman" w:hAnsi="Times New Roman" w:hint="default"/>
      </w:rPr>
    </w:lvl>
    <w:lvl w:ilvl="1" w:tplc="7A86D266" w:tentative="1">
      <w:start w:val="1"/>
      <w:numFmt w:val="bullet"/>
      <w:lvlText w:val="•"/>
      <w:lvlJc w:val="left"/>
      <w:pPr>
        <w:tabs>
          <w:tab w:val="num" w:pos="1440"/>
        </w:tabs>
        <w:ind w:left="1440" w:hanging="360"/>
      </w:pPr>
      <w:rPr>
        <w:rFonts w:ascii="Times New Roman" w:hAnsi="Times New Roman" w:hint="default"/>
      </w:rPr>
    </w:lvl>
    <w:lvl w:ilvl="2" w:tplc="4EF69742" w:tentative="1">
      <w:start w:val="1"/>
      <w:numFmt w:val="bullet"/>
      <w:lvlText w:val="•"/>
      <w:lvlJc w:val="left"/>
      <w:pPr>
        <w:tabs>
          <w:tab w:val="num" w:pos="2160"/>
        </w:tabs>
        <w:ind w:left="2160" w:hanging="360"/>
      </w:pPr>
      <w:rPr>
        <w:rFonts w:ascii="Times New Roman" w:hAnsi="Times New Roman" w:hint="default"/>
      </w:rPr>
    </w:lvl>
    <w:lvl w:ilvl="3" w:tplc="6EBEF700" w:tentative="1">
      <w:start w:val="1"/>
      <w:numFmt w:val="bullet"/>
      <w:lvlText w:val="•"/>
      <w:lvlJc w:val="left"/>
      <w:pPr>
        <w:tabs>
          <w:tab w:val="num" w:pos="2880"/>
        </w:tabs>
        <w:ind w:left="2880" w:hanging="360"/>
      </w:pPr>
      <w:rPr>
        <w:rFonts w:ascii="Times New Roman" w:hAnsi="Times New Roman" w:hint="default"/>
      </w:rPr>
    </w:lvl>
    <w:lvl w:ilvl="4" w:tplc="751E92FC" w:tentative="1">
      <w:start w:val="1"/>
      <w:numFmt w:val="bullet"/>
      <w:lvlText w:val="•"/>
      <w:lvlJc w:val="left"/>
      <w:pPr>
        <w:tabs>
          <w:tab w:val="num" w:pos="3600"/>
        </w:tabs>
        <w:ind w:left="3600" w:hanging="360"/>
      </w:pPr>
      <w:rPr>
        <w:rFonts w:ascii="Times New Roman" w:hAnsi="Times New Roman" w:hint="default"/>
      </w:rPr>
    </w:lvl>
    <w:lvl w:ilvl="5" w:tplc="65AC02DA" w:tentative="1">
      <w:start w:val="1"/>
      <w:numFmt w:val="bullet"/>
      <w:lvlText w:val="•"/>
      <w:lvlJc w:val="left"/>
      <w:pPr>
        <w:tabs>
          <w:tab w:val="num" w:pos="4320"/>
        </w:tabs>
        <w:ind w:left="4320" w:hanging="360"/>
      </w:pPr>
      <w:rPr>
        <w:rFonts w:ascii="Times New Roman" w:hAnsi="Times New Roman" w:hint="default"/>
      </w:rPr>
    </w:lvl>
    <w:lvl w:ilvl="6" w:tplc="D5547DBE" w:tentative="1">
      <w:start w:val="1"/>
      <w:numFmt w:val="bullet"/>
      <w:lvlText w:val="•"/>
      <w:lvlJc w:val="left"/>
      <w:pPr>
        <w:tabs>
          <w:tab w:val="num" w:pos="5040"/>
        </w:tabs>
        <w:ind w:left="5040" w:hanging="360"/>
      </w:pPr>
      <w:rPr>
        <w:rFonts w:ascii="Times New Roman" w:hAnsi="Times New Roman" w:hint="default"/>
      </w:rPr>
    </w:lvl>
    <w:lvl w:ilvl="7" w:tplc="643CDF28" w:tentative="1">
      <w:start w:val="1"/>
      <w:numFmt w:val="bullet"/>
      <w:lvlText w:val="•"/>
      <w:lvlJc w:val="left"/>
      <w:pPr>
        <w:tabs>
          <w:tab w:val="num" w:pos="5760"/>
        </w:tabs>
        <w:ind w:left="5760" w:hanging="360"/>
      </w:pPr>
      <w:rPr>
        <w:rFonts w:ascii="Times New Roman" w:hAnsi="Times New Roman" w:hint="default"/>
      </w:rPr>
    </w:lvl>
    <w:lvl w:ilvl="8" w:tplc="AAF8956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7266C34"/>
    <w:multiLevelType w:val="hybridMultilevel"/>
    <w:tmpl w:val="ACA6CB86"/>
    <w:lvl w:ilvl="0" w:tplc="8E92168A">
      <w:start w:val="1"/>
      <w:numFmt w:val="bullet"/>
      <w:lvlText w:val="•"/>
      <w:lvlJc w:val="left"/>
      <w:pPr>
        <w:tabs>
          <w:tab w:val="num" w:pos="720"/>
        </w:tabs>
        <w:ind w:left="720" w:hanging="360"/>
      </w:pPr>
      <w:rPr>
        <w:rFonts w:ascii="Times New Roman" w:hAnsi="Times New Roman" w:hint="default"/>
      </w:rPr>
    </w:lvl>
    <w:lvl w:ilvl="1" w:tplc="12244282" w:tentative="1">
      <w:start w:val="1"/>
      <w:numFmt w:val="bullet"/>
      <w:lvlText w:val="•"/>
      <w:lvlJc w:val="left"/>
      <w:pPr>
        <w:tabs>
          <w:tab w:val="num" w:pos="1440"/>
        </w:tabs>
        <w:ind w:left="1440" w:hanging="360"/>
      </w:pPr>
      <w:rPr>
        <w:rFonts w:ascii="Times New Roman" w:hAnsi="Times New Roman" w:hint="default"/>
      </w:rPr>
    </w:lvl>
    <w:lvl w:ilvl="2" w:tplc="F9F01224" w:tentative="1">
      <w:start w:val="1"/>
      <w:numFmt w:val="bullet"/>
      <w:lvlText w:val="•"/>
      <w:lvlJc w:val="left"/>
      <w:pPr>
        <w:tabs>
          <w:tab w:val="num" w:pos="2160"/>
        </w:tabs>
        <w:ind w:left="2160" w:hanging="360"/>
      </w:pPr>
      <w:rPr>
        <w:rFonts w:ascii="Times New Roman" w:hAnsi="Times New Roman" w:hint="default"/>
      </w:rPr>
    </w:lvl>
    <w:lvl w:ilvl="3" w:tplc="5F3C0240" w:tentative="1">
      <w:start w:val="1"/>
      <w:numFmt w:val="bullet"/>
      <w:lvlText w:val="•"/>
      <w:lvlJc w:val="left"/>
      <w:pPr>
        <w:tabs>
          <w:tab w:val="num" w:pos="2880"/>
        </w:tabs>
        <w:ind w:left="2880" w:hanging="360"/>
      </w:pPr>
      <w:rPr>
        <w:rFonts w:ascii="Times New Roman" w:hAnsi="Times New Roman" w:hint="default"/>
      </w:rPr>
    </w:lvl>
    <w:lvl w:ilvl="4" w:tplc="9E1ABB2C" w:tentative="1">
      <w:start w:val="1"/>
      <w:numFmt w:val="bullet"/>
      <w:lvlText w:val="•"/>
      <w:lvlJc w:val="left"/>
      <w:pPr>
        <w:tabs>
          <w:tab w:val="num" w:pos="3600"/>
        </w:tabs>
        <w:ind w:left="3600" w:hanging="360"/>
      </w:pPr>
      <w:rPr>
        <w:rFonts w:ascii="Times New Roman" w:hAnsi="Times New Roman" w:hint="default"/>
      </w:rPr>
    </w:lvl>
    <w:lvl w:ilvl="5" w:tplc="1A8A6890" w:tentative="1">
      <w:start w:val="1"/>
      <w:numFmt w:val="bullet"/>
      <w:lvlText w:val="•"/>
      <w:lvlJc w:val="left"/>
      <w:pPr>
        <w:tabs>
          <w:tab w:val="num" w:pos="4320"/>
        </w:tabs>
        <w:ind w:left="4320" w:hanging="360"/>
      </w:pPr>
      <w:rPr>
        <w:rFonts w:ascii="Times New Roman" w:hAnsi="Times New Roman" w:hint="default"/>
      </w:rPr>
    </w:lvl>
    <w:lvl w:ilvl="6" w:tplc="B66E38FA" w:tentative="1">
      <w:start w:val="1"/>
      <w:numFmt w:val="bullet"/>
      <w:lvlText w:val="•"/>
      <w:lvlJc w:val="left"/>
      <w:pPr>
        <w:tabs>
          <w:tab w:val="num" w:pos="5040"/>
        </w:tabs>
        <w:ind w:left="5040" w:hanging="360"/>
      </w:pPr>
      <w:rPr>
        <w:rFonts w:ascii="Times New Roman" w:hAnsi="Times New Roman" w:hint="default"/>
      </w:rPr>
    </w:lvl>
    <w:lvl w:ilvl="7" w:tplc="417A3700" w:tentative="1">
      <w:start w:val="1"/>
      <w:numFmt w:val="bullet"/>
      <w:lvlText w:val="•"/>
      <w:lvlJc w:val="left"/>
      <w:pPr>
        <w:tabs>
          <w:tab w:val="num" w:pos="5760"/>
        </w:tabs>
        <w:ind w:left="5760" w:hanging="360"/>
      </w:pPr>
      <w:rPr>
        <w:rFonts w:ascii="Times New Roman" w:hAnsi="Times New Roman" w:hint="default"/>
      </w:rPr>
    </w:lvl>
    <w:lvl w:ilvl="8" w:tplc="784671C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E451FDF"/>
    <w:multiLevelType w:val="hybridMultilevel"/>
    <w:tmpl w:val="4EB04DC8"/>
    <w:lvl w:ilvl="0" w:tplc="609C95F4">
      <w:start w:val="1"/>
      <w:numFmt w:val="lowerLetter"/>
      <w:lvlText w:val="%1-"/>
      <w:lvlJc w:val="left"/>
      <w:pPr>
        <w:ind w:left="1068" w:hanging="360"/>
      </w:pPr>
      <w:rPr>
        <w:rFonts w:hint="default"/>
        <w:b/>
        <w:bCs/>
        <w:i/>
        <w:i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42CC524A"/>
    <w:multiLevelType w:val="hybridMultilevel"/>
    <w:tmpl w:val="47805E2E"/>
    <w:lvl w:ilvl="0" w:tplc="BB38DDA0">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5B15118"/>
    <w:multiLevelType w:val="hybridMultilevel"/>
    <w:tmpl w:val="9500B914"/>
    <w:lvl w:ilvl="0" w:tplc="ABA200A2">
      <w:start w:val="1"/>
      <w:numFmt w:val="bullet"/>
      <w:lvlText w:val="•"/>
      <w:lvlJc w:val="left"/>
      <w:pPr>
        <w:tabs>
          <w:tab w:val="num" w:pos="720"/>
        </w:tabs>
        <w:ind w:left="720" w:hanging="360"/>
      </w:pPr>
      <w:rPr>
        <w:rFonts w:ascii="Times New Roman" w:hAnsi="Times New Roman" w:hint="default"/>
      </w:rPr>
    </w:lvl>
    <w:lvl w:ilvl="1" w:tplc="9A588BDA" w:tentative="1">
      <w:start w:val="1"/>
      <w:numFmt w:val="bullet"/>
      <w:lvlText w:val="•"/>
      <w:lvlJc w:val="left"/>
      <w:pPr>
        <w:tabs>
          <w:tab w:val="num" w:pos="1440"/>
        </w:tabs>
        <w:ind w:left="1440" w:hanging="360"/>
      </w:pPr>
      <w:rPr>
        <w:rFonts w:ascii="Times New Roman" w:hAnsi="Times New Roman" w:hint="default"/>
      </w:rPr>
    </w:lvl>
    <w:lvl w:ilvl="2" w:tplc="AD4845D4" w:tentative="1">
      <w:start w:val="1"/>
      <w:numFmt w:val="bullet"/>
      <w:lvlText w:val="•"/>
      <w:lvlJc w:val="left"/>
      <w:pPr>
        <w:tabs>
          <w:tab w:val="num" w:pos="2160"/>
        </w:tabs>
        <w:ind w:left="2160" w:hanging="360"/>
      </w:pPr>
      <w:rPr>
        <w:rFonts w:ascii="Times New Roman" w:hAnsi="Times New Roman" w:hint="default"/>
      </w:rPr>
    </w:lvl>
    <w:lvl w:ilvl="3" w:tplc="42CA906A" w:tentative="1">
      <w:start w:val="1"/>
      <w:numFmt w:val="bullet"/>
      <w:lvlText w:val="•"/>
      <w:lvlJc w:val="left"/>
      <w:pPr>
        <w:tabs>
          <w:tab w:val="num" w:pos="2880"/>
        </w:tabs>
        <w:ind w:left="2880" w:hanging="360"/>
      </w:pPr>
      <w:rPr>
        <w:rFonts w:ascii="Times New Roman" w:hAnsi="Times New Roman" w:hint="default"/>
      </w:rPr>
    </w:lvl>
    <w:lvl w:ilvl="4" w:tplc="A184B0E4" w:tentative="1">
      <w:start w:val="1"/>
      <w:numFmt w:val="bullet"/>
      <w:lvlText w:val="•"/>
      <w:lvlJc w:val="left"/>
      <w:pPr>
        <w:tabs>
          <w:tab w:val="num" w:pos="3600"/>
        </w:tabs>
        <w:ind w:left="3600" w:hanging="360"/>
      </w:pPr>
      <w:rPr>
        <w:rFonts w:ascii="Times New Roman" w:hAnsi="Times New Roman" w:hint="default"/>
      </w:rPr>
    </w:lvl>
    <w:lvl w:ilvl="5" w:tplc="B0F662E2" w:tentative="1">
      <w:start w:val="1"/>
      <w:numFmt w:val="bullet"/>
      <w:lvlText w:val="•"/>
      <w:lvlJc w:val="left"/>
      <w:pPr>
        <w:tabs>
          <w:tab w:val="num" w:pos="4320"/>
        </w:tabs>
        <w:ind w:left="4320" w:hanging="360"/>
      </w:pPr>
      <w:rPr>
        <w:rFonts w:ascii="Times New Roman" w:hAnsi="Times New Roman" w:hint="default"/>
      </w:rPr>
    </w:lvl>
    <w:lvl w:ilvl="6" w:tplc="108E5C9C" w:tentative="1">
      <w:start w:val="1"/>
      <w:numFmt w:val="bullet"/>
      <w:lvlText w:val="•"/>
      <w:lvlJc w:val="left"/>
      <w:pPr>
        <w:tabs>
          <w:tab w:val="num" w:pos="5040"/>
        </w:tabs>
        <w:ind w:left="5040" w:hanging="360"/>
      </w:pPr>
      <w:rPr>
        <w:rFonts w:ascii="Times New Roman" w:hAnsi="Times New Roman" w:hint="default"/>
      </w:rPr>
    </w:lvl>
    <w:lvl w:ilvl="7" w:tplc="608675CA" w:tentative="1">
      <w:start w:val="1"/>
      <w:numFmt w:val="bullet"/>
      <w:lvlText w:val="•"/>
      <w:lvlJc w:val="left"/>
      <w:pPr>
        <w:tabs>
          <w:tab w:val="num" w:pos="5760"/>
        </w:tabs>
        <w:ind w:left="5760" w:hanging="360"/>
      </w:pPr>
      <w:rPr>
        <w:rFonts w:ascii="Times New Roman" w:hAnsi="Times New Roman" w:hint="default"/>
      </w:rPr>
    </w:lvl>
    <w:lvl w:ilvl="8" w:tplc="5AF8652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8A10CD7"/>
    <w:multiLevelType w:val="hybridMultilevel"/>
    <w:tmpl w:val="8B388EC0"/>
    <w:lvl w:ilvl="0" w:tplc="DAF23418">
      <w:start w:val="1"/>
      <w:numFmt w:val="bullet"/>
      <w:lvlText w:val="•"/>
      <w:lvlJc w:val="left"/>
      <w:pPr>
        <w:tabs>
          <w:tab w:val="num" w:pos="720"/>
        </w:tabs>
        <w:ind w:left="720" w:hanging="360"/>
      </w:pPr>
      <w:rPr>
        <w:rFonts w:ascii="Times New Roman" w:hAnsi="Times New Roman" w:hint="default"/>
      </w:rPr>
    </w:lvl>
    <w:lvl w:ilvl="1" w:tplc="F70E5C00" w:tentative="1">
      <w:start w:val="1"/>
      <w:numFmt w:val="bullet"/>
      <w:lvlText w:val="•"/>
      <w:lvlJc w:val="left"/>
      <w:pPr>
        <w:tabs>
          <w:tab w:val="num" w:pos="1440"/>
        </w:tabs>
        <w:ind w:left="1440" w:hanging="360"/>
      </w:pPr>
      <w:rPr>
        <w:rFonts w:ascii="Times New Roman" w:hAnsi="Times New Roman" w:hint="default"/>
      </w:rPr>
    </w:lvl>
    <w:lvl w:ilvl="2" w:tplc="C308A976" w:tentative="1">
      <w:start w:val="1"/>
      <w:numFmt w:val="bullet"/>
      <w:lvlText w:val="•"/>
      <w:lvlJc w:val="left"/>
      <w:pPr>
        <w:tabs>
          <w:tab w:val="num" w:pos="2160"/>
        </w:tabs>
        <w:ind w:left="2160" w:hanging="360"/>
      </w:pPr>
      <w:rPr>
        <w:rFonts w:ascii="Times New Roman" w:hAnsi="Times New Roman" w:hint="default"/>
      </w:rPr>
    </w:lvl>
    <w:lvl w:ilvl="3" w:tplc="A3C06B1C" w:tentative="1">
      <w:start w:val="1"/>
      <w:numFmt w:val="bullet"/>
      <w:lvlText w:val="•"/>
      <w:lvlJc w:val="left"/>
      <w:pPr>
        <w:tabs>
          <w:tab w:val="num" w:pos="2880"/>
        </w:tabs>
        <w:ind w:left="2880" w:hanging="360"/>
      </w:pPr>
      <w:rPr>
        <w:rFonts w:ascii="Times New Roman" w:hAnsi="Times New Roman" w:hint="default"/>
      </w:rPr>
    </w:lvl>
    <w:lvl w:ilvl="4" w:tplc="90D85314" w:tentative="1">
      <w:start w:val="1"/>
      <w:numFmt w:val="bullet"/>
      <w:lvlText w:val="•"/>
      <w:lvlJc w:val="left"/>
      <w:pPr>
        <w:tabs>
          <w:tab w:val="num" w:pos="3600"/>
        </w:tabs>
        <w:ind w:left="3600" w:hanging="360"/>
      </w:pPr>
      <w:rPr>
        <w:rFonts w:ascii="Times New Roman" w:hAnsi="Times New Roman" w:hint="default"/>
      </w:rPr>
    </w:lvl>
    <w:lvl w:ilvl="5" w:tplc="A3A2FB5C" w:tentative="1">
      <w:start w:val="1"/>
      <w:numFmt w:val="bullet"/>
      <w:lvlText w:val="•"/>
      <w:lvlJc w:val="left"/>
      <w:pPr>
        <w:tabs>
          <w:tab w:val="num" w:pos="4320"/>
        </w:tabs>
        <w:ind w:left="4320" w:hanging="360"/>
      </w:pPr>
      <w:rPr>
        <w:rFonts w:ascii="Times New Roman" w:hAnsi="Times New Roman" w:hint="default"/>
      </w:rPr>
    </w:lvl>
    <w:lvl w:ilvl="6" w:tplc="B3066916" w:tentative="1">
      <w:start w:val="1"/>
      <w:numFmt w:val="bullet"/>
      <w:lvlText w:val="•"/>
      <w:lvlJc w:val="left"/>
      <w:pPr>
        <w:tabs>
          <w:tab w:val="num" w:pos="5040"/>
        </w:tabs>
        <w:ind w:left="5040" w:hanging="360"/>
      </w:pPr>
      <w:rPr>
        <w:rFonts w:ascii="Times New Roman" w:hAnsi="Times New Roman" w:hint="default"/>
      </w:rPr>
    </w:lvl>
    <w:lvl w:ilvl="7" w:tplc="00423414" w:tentative="1">
      <w:start w:val="1"/>
      <w:numFmt w:val="bullet"/>
      <w:lvlText w:val="•"/>
      <w:lvlJc w:val="left"/>
      <w:pPr>
        <w:tabs>
          <w:tab w:val="num" w:pos="5760"/>
        </w:tabs>
        <w:ind w:left="5760" w:hanging="360"/>
      </w:pPr>
      <w:rPr>
        <w:rFonts w:ascii="Times New Roman" w:hAnsi="Times New Roman" w:hint="default"/>
      </w:rPr>
    </w:lvl>
    <w:lvl w:ilvl="8" w:tplc="35A0C6B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AF862A3"/>
    <w:multiLevelType w:val="hybridMultilevel"/>
    <w:tmpl w:val="A210DD7C"/>
    <w:lvl w:ilvl="0" w:tplc="6416130E">
      <w:start w:val="1"/>
      <w:numFmt w:val="bullet"/>
      <w:lvlText w:val="•"/>
      <w:lvlJc w:val="left"/>
      <w:pPr>
        <w:tabs>
          <w:tab w:val="num" w:pos="720"/>
        </w:tabs>
        <w:ind w:left="720" w:hanging="360"/>
      </w:pPr>
      <w:rPr>
        <w:rFonts w:ascii="Times New Roman" w:hAnsi="Times New Roman" w:hint="default"/>
      </w:rPr>
    </w:lvl>
    <w:lvl w:ilvl="1" w:tplc="81982520" w:tentative="1">
      <w:start w:val="1"/>
      <w:numFmt w:val="bullet"/>
      <w:lvlText w:val="•"/>
      <w:lvlJc w:val="left"/>
      <w:pPr>
        <w:tabs>
          <w:tab w:val="num" w:pos="1440"/>
        </w:tabs>
        <w:ind w:left="1440" w:hanging="360"/>
      </w:pPr>
      <w:rPr>
        <w:rFonts w:ascii="Times New Roman" w:hAnsi="Times New Roman" w:hint="default"/>
      </w:rPr>
    </w:lvl>
    <w:lvl w:ilvl="2" w:tplc="85C65BA0" w:tentative="1">
      <w:start w:val="1"/>
      <w:numFmt w:val="bullet"/>
      <w:lvlText w:val="•"/>
      <w:lvlJc w:val="left"/>
      <w:pPr>
        <w:tabs>
          <w:tab w:val="num" w:pos="2160"/>
        </w:tabs>
        <w:ind w:left="2160" w:hanging="360"/>
      </w:pPr>
      <w:rPr>
        <w:rFonts w:ascii="Times New Roman" w:hAnsi="Times New Roman" w:hint="default"/>
      </w:rPr>
    </w:lvl>
    <w:lvl w:ilvl="3" w:tplc="9376948E" w:tentative="1">
      <w:start w:val="1"/>
      <w:numFmt w:val="bullet"/>
      <w:lvlText w:val="•"/>
      <w:lvlJc w:val="left"/>
      <w:pPr>
        <w:tabs>
          <w:tab w:val="num" w:pos="2880"/>
        </w:tabs>
        <w:ind w:left="2880" w:hanging="360"/>
      </w:pPr>
      <w:rPr>
        <w:rFonts w:ascii="Times New Roman" w:hAnsi="Times New Roman" w:hint="default"/>
      </w:rPr>
    </w:lvl>
    <w:lvl w:ilvl="4" w:tplc="AEE2A506" w:tentative="1">
      <w:start w:val="1"/>
      <w:numFmt w:val="bullet"/>
      <w:lvlText w:val="•"/>
      <w:lvlJc w:val="left"/>
      <w:pPr>
        <w:tabs>
          <w:tab w:val="num" w:pos="3600"/>
        </w:tabs>
        <w:ind w:left="3600" w:hanging="360"/>
      </w:pPr>
      <w:rPr>
        <w:rFonts w:ascii="Times New Roman" w:hAnsi="Times New Roman" w:hint="default"/>
      </w:rPr>
    </w:lvl>
    <w:lvl w:ilvl="5" w:tplc="69F8C508" w:tentative="1">
      <w:start w:val="1"/>
      <w:numFmt w:val="bullet"/>
      <w:lvlText w:val="•"/>
      <w:lvlJc w:val="left"/>
      <w:pPr>
        <w:tabs>
          <w:tab w:val="num" w:pos="4320"/>
        </w:tabs>
        <w:ind w:left="4320" w:hanging="360"/>
      </w:pPr>
      <w:rPr>
        <w:rFonts w:ascii="Times New Roman" w:hAnsi="Times New Roman" w:hint="default"/>
      </w:rPr>
    </w:lvl>
    <w:lvl w:ilvl="6" w:tplc="743ECB64" w:tentative="1">
      <w:start w:val="1"/>
      <w:numFmt w:val="bullet"/>
      <w:lvlText w:val="•"/>
      <w:lvlJc w:val="left"/>
      <w:pPr>
        <w:tabs>
          <w:tab w:val="num" w:pos="5040"/>
        </w:tabs>
        <w:ind w:left="5040" w:hanging="360"/>
      </w:pPr>
      <w:rPr>
        <w:rFonts w:ascii="Times New Roman" w:hAnsi="Times New Roman" w:hint="default"/>
      </w:rPr>
    </w:lvl>
    <w:lvl w:ilvl="7" w:tplc="4CF495C4" w:tentative="1">
      <w:start w:val="1"/>
      <w:numFmt w:val="bullet"/>
      <w:lvlText w:val="•"/>
      <w:lvlJc w:val="left"/>
      <w:pPr>
        <w:tabs>
          <w:tab w:val="num" w:pos="5760"/>
        </w:tabs>
        <w:ind w:left="5760" w:hanging="360"/>
      </w:pPr>
      <w:rPr>
        <w:rFonts w:ascii="Times New Roman" w:hAnsi="Times New Roman" w:hint="default"/>
      </w:rPr>
    </w:lvl>
    <w:lvl w:ilvl="8" w:tplc="2D963F9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FC91C5C"/>
    <w:multiLevelType w:val="hybridMultilevel"/>
    <w:tmpl w:val="5FA836E6"/>
    <w:lvl w:ilvl="0" w:tplc="7A30F144">
      <w:start w:val="1"/>
      <w:numFmt w:val="bullet"/>
      <w:lvlText w:val="•"/>
      <w:lvlJc w:val="left"/>
      <w:pPr>
        <w:tabs>
          <w:tab w:val="num" w:pos="720"/>
        </w:tabs>
        <w:ind w:left="720" w:hanging="360"/>
      </w:pPr>
      <w:rPr>
        <w:rFonts w:ascii="Times New Roman" w:hAnsi="Times New Roman" w:hint="default"/>
      </w:rPr>
    </w:lvl>
    <w:lvl w:ilvl="1" w:tplc="6382E7A4" w:tentative="1">
      <w:start w:val="1"/>
      <w:numFmt w:val="bullet"/>
      <w:lvlText w:val="•"/>
      <w:lvlJc w:val="left"/>
      <w:pPr>
        <w:tabs>
          <w:tab w:val="num" w:pos="1440"/>
        </w:tabs>
        <w:ind w:left="1440" w:hanging="360"/>
      </w:pPr>
      <w:rPr>
        <w:rFonts w:ascii="Times New Roman" w:hAnsi="Times New Roman" w:hint="default"/>
      </w:rPr>
    </w:lvl>
    <w:lvl w:ilvl="2" w:tplc="3D6CE078" w:tentative="1">
      <w:start w:val="1"/>
      <w:numFmt w:val="bullet"/>
      <w:lvlText w:val="•"/>
      <w:lvlJc w:val="left"/>
      <w:pPr>
        <w:tabs>
          <w:tab w:val="num" w:pos="2160"/>
        </w:tabs>
        <w:ind w:left="2160" w:hanging="360"/>
      </w:pPr>
      <w:rPr>
        <w:rFonts w:ascii="Times New Roman" w:hAnsi="Times New Roman" w:hint="default"/>
      </w:rPr>
    </w:lvl>
    <w:lvl w:ilvl="3" w:tplc="F50442D8" w:tentative="1">
      <w:start w:val="1"/>
      <w:numFmt w:val="bullet"/>
      <w:lvlText w:val="•"/>
      <w:lvlJc w:val="left"/>
      <w:pPr>
        <w:tabs>
          <w:tab w:val="num" w:pos="2880"/>
        </w:tabs>
        <w:ind w:left="2880" w:hanging="360"/>
      </w:pPr>
      <w:rPr>
        <w:rFonts w:ascii="Times New Roman" w:hAnsi="Times New Roman" w:hint="default"/>
      </w:rPr>
    </w:lvl>
    <w:lvl w:ilvl="4" w:tplc="BBC0386E" w:tentative="1">
      <w:start w:val="1"/>
      <w:numFmt w:val="bullet"/>
      <w:lvlText w:val="•"/>
      <w:lvlJc w:val="left"/>
      <w:pPr>
        <w:tabs>
          <w:tab w:val="num" w:pos="3600"/>
        </w:tabs>
        <w:ind w:left="3600" w:hanging="360"/>
      </w:pPr>
      <w:rPr>
        <w:rFonts w:ascii="Times New Roman" w:hAnsi="Times New Roman" w:hint="default"/>
      </w:rPr>
    </w:lvl>
    <w:lvl w:ilvl="5" w:tplc="51EC4C9E" w:tentative="1">
      <w:start w:val="1"/>
      <w:numFmt w:val="bullet"/>
      <w:lvlText w:val="•"/>
      <w:lvlJc w:val="left"/>
      <w:pPr>
        <w:tabs>
          <w:tab w:val="num" w:pos="4320"/>
        </w:tabs>
        <w:ind w:left="4320" w:hanging="360"/>
      </w:pPr>
      <w:rPr>
        <w:rFonts w:ascii="Times New Roman" w:hAnsi="Times New Roman" w:hint="default"/>
      </w:rPr>
    </w:lvl>
    <w:lvl w:ilvl="6" w:tplc="A2426B16" w:tentative="1">
      <w:start w:val="1"/>
      <w:numFmt w:val="bullet"/>
      <w:lvlText w:val="•"/>
      <w:lvlJc w:val="left"/>
      <w:pPr>
        <w:tabs>
          <w:tab w:val="num" w:pos="5040"/>
        </w:tabs>
        <w:ind w:left="5040" w:hanging="360"/>
      </w:pPr>
      <w:rPr>
        <w:rFonts w:ascii="Times New Roman" w:hAnsi="Times New Roman" w:hint="default"/>
      </w:rPr>
    </w:lvl>
    <w:lvl w:ilvl="7" w:tplc="AC76D0A4" w:tentative="1">
      <w:start w:val="1"/>
      <w:numFmt w:val="bullet"/>
      <w:lvlText w:val="•"/>
      <w:lvlJc w:val="left"/>
      <w:pPr>
        <w:tabs>
          <w:tab w:val="num" w:pos="5760"/>
        </w:tabs>
        <w:ind w:left="5760" w:hanging="360"/>
      </w:pPr>
      <w:rPr>
        <w:rFonts w:ascii="Times New Roman" w:hAnsi="Times New Roman" w:hint="default"/>
      </w:rPr>
    </w:lvl>
    <w:lvl w:ilvl="8" w:tplc="B3BA964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1131157"/>
    <w:multiLevelType w:val="hybridMultilevel"/>
    <w:tmpl w:val="E1CCE7DA"/>
    <w:lvl w:ilvl="0" w:tplc="BB38DDA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AD0E19"/>
    <w:multiLevelType w:val="hybridMultilevel"/>
    <w:tmpl w:val="9BC8ED7E"/>
    <w:lvl w:ilvl="0" w:tplc="DA8E3B7E">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67D53C5"/>
    <w:multiLevelType w:val="hybridMultilevel"/>
    <w:tmpl w:val="FD88D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435B4C"/>
    <w:multiLevelType w:val="hybridMultilevel"/>
    <w:tmpl w:val="9378C5AA"/>
    <w:lvl w:ilvl="0" w:tplc="ABD0EA5C">
      <w:start w:val="1"/>
      <w:numFmt w:val="bullet"/>
      <w:lvlText w:val="•"/>
      <w:lvlJc w:val="left"/>
      <w:pPr>
        <w:tabs>
          <w:tab w:val="num" w:pos="720"/>
        </w:tabs>
        <w:ind w:left="720" w:hanging="360"/>
      </w:pPr>
      <w:rPr>
        <w:rFonts w:ascii="Times New Roman" w:hAnsi="Times New Roman" w:hint="default"/>
      </w:rPr>
    </w:lvl>
    <w:lvl w:ilvl="1" w:tplc="4D0895AE" w:tentative="1">
      <w:start w:val="1"/>
      <w:numFmt w:val="bullet"/>
      <w:lvlText w:val="•"/>
      <w:lvlJc w:val="left"/>
      <w:pPr>
        <w:tabs>
          <w:tab w:val="num" w:pos="1440"/>
        </w:tabs>
        <w:ind w:left="1440" w:hanging="360"/>
      </w:pPr>
      <w:rPr>
        <w:rFonts w:ascii="Times New Roman" w:hAnsi="Times New Roman" w:hint="default"/>
      </w:rPr>
    </w:lvl>
    <w:lvl w:ilvl="2" w:tplc="BD366AF0" w:tentative="1">
      <w:start w:val="1"/>
      <w:numFmt w:val="bullet"/>
      <w:lvlText w:val="•"/>
      <w:lvlJc w:val="left"/>
      <w:pPr>
        <w:tabs>
          <w:tab w:val="num" w:pos="2160"/>
        </w:tabs>
        <w:ind w:left="2160" w:hanging="360"/>
      </w:pPr>
      <w:rPr>
        <w:rFonts w:ascii="Times New Roman" w:hAnsi="Times New Roman" w:hint="default"/>
      </w:rPr>
    </w:lvl>
    <w:lvl w:ilvl="3" w:tplc="DC5400FC" w:tentative="1">
      <w:start w:val="1"/>
      <w:numFmt w:val="bullet"/>
      <w:lvlText w:val="•"/>
      <w:lvlJc w:val="left"/>
      <w:pPr>
        <w:tabs>
          <w:tab w:val="num" w:pos="2880"/>
        </w:tabs>
        <w:ind w:left="2880" w:hanging="360"/>
      </w:pPr>
      <w:rPr>
        <w:rFonts w:ascii="Times New Roman" w:hAnsi="Times New Roman" w:hint="default"/>
      </w:rPr>
    </w:lvl>
    <w:lvl w:ilvl="4" w:tplc="1FC41A5C" w:tentative="1">
      <w:start w:val="1"/>
      <w:numFmt w:val="bullet"/>
      <w:lvlText w:val="•"/>
      <w:lvlJc w:val="left"/>
      <w:pPr>
        <w:tabs>
          <w:tab w:val="num" w:pos="3600"/>
        </w:tabs>
        <w:ind w:left="3600" w:hanging="360"/>
      </w:pPr>
      <w:rPr>
        <w:rFonts w:ascii="Times New Roman" w:hAnsi="Times New Roman" w:hint="default"/>
      </w:rPr>
    </w:lvl>
    <w:lvl w:ilvl="5" w:tplc="978E898A" w:tentative="1">
      <w:start w:val="1"/>
      <w:numFmt w:val="bullet"/>
      <w:lvlText w:val="•"/>
      <w:lvlJc w:val="left"/>
      <w:pPr>
        <w:tabs>
          <w:tab w:val="num" w:pos="4320"/>
        </w:tabs>
        <w:ind w:left="4320" w:hanging="360"/>
      </w:pPr>
      <w:rPr>
        <w:rFonts w:ascii="Times New Roman" w:hAnsi="Times New Roman" w:hint="default"/>
      </w:rPr>
    </w:lvl>
    <w:lvl w:ilvl="6" w:tplc="F0AA432C" w:tentative="1">
      <w:start w:val="1"/>
      <w:numFmt w:val="bullet"/>
      <w:lvlText w:val="•"/>
      <w:lvlJc w:val="left"/>
      <w:pPr>
        <w:tabs>
          <w:tab w:val="num" w:pos="5040"/>
        </w:tabs>
        <w:ind w:left="5040" w:hanging="360"/>
      </w:pPr>
      <w:rPr>
        <w:rFonts w:ascii="Times New Roman" w:hAnsi="Times New Roman" w:hint="default"/>
      </w:rPr>
    </w:lvl>
    <w:lvl w:ilvl="7" w:tplc="70281082" w:tentative="1">
      <w:start w:val="1"/>
      <w:numFmt w:val="bullet"/>
      <w:lvlText w:val="•"/>
      <w:lvlJc w:val="left"/>
      <w:pPr>
        <w:tabs>
          <w:tab w:val="num" w:pos="5760"/>
        </w:tabs>
        <w:ind w:left="5760" w:hanging="360"/>
      </w:pPr>
      <w:rPr>
        <w:rFonts w:ascii="Times New Roman" w:hAnsi="Times New Roman" w:hint="default"/>
      </w:rPr>
    </w:lvl>
    <w:lvl w:ilvl="8" w:tplc="AA82C96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96B396F"/>
    <w:multiLevelType w:val="hybridMultilevel"/>
    <w:tmpl w:val="20DC0D28"/>
    <w:lvl w:ilvl="0" w:tplc="31805396">
      <w:start w:val="1"/>
      <w:numFmt w:val="bullet"/>
      <w:lvlText w:val="•"/>
      <w:lvlJc w:val="left"/>
      <w:pPr>
        <w:tabs>
          <w:tab w:val="num" w:pos="786"/>
        </w:tabs>
        <w:ind w:left="786" w:hanging="360"/>
      </w:pPr>
      <w:rPr>
        <w:rFonts w:ascii="Times New Roman" w:hAnsi="Times New Roman" w:hint="default"/>
      </w:rPr>
    </w:lvl>
    <w:lvl w:ilvl="1" w:tplc="F482DC2A" w:tentative="1">
      <w:start w:val="1"/>
      <w:numFmt w:val="bullet"/>
      <w:lvlText w:val="•"/>
      <w:lvlJc w:val="left"/>
      <w:pPr>
        <w:tabs>
          <w:tab w:val="num" w:pos="1506"/>
        </w:tabs>
        <w:ind w:left="1506" w:hanging="360"/>
      </w:pPr>
      <w:rPr>
        <w:rFonts w:ascii="Times New Roman" w:hAnsi="Times New Roman" w:hint="default"/>
      </w:rPr>
    </w:lvl>
    <w:lvl w:ilvl="2" w:tplc="ED8A68C4" w:tentative="1">
      <w:start w:val="1"/>
      <w:numFmt w:val="bullet"/>
      <w:lvlText w:val="•"/>
      <w:lvlJc w:val="left"/>
      <w:pPr>
        <w:tabs>
          <w:tab w:val="num" w:pos="2226"/>
        </w:tabs>
        <w:ind w:left="2226" w:hanging="360"/>
      </w:pPr>
      <w:rPr>
        <w:rFonts w:ascii="Times New Roman" w:hAnsi="Times New Roman" w:hint="default"/>
      </w:rPr>
    </w:lvl>
    <w:lvl w:ilvl="3" w:tplc="C0306414" w:tentative="1">
      <w:start w:val="1"/>
      <w:numFmt w:val="bullet"/>
      <w:lvlText w:val="•"/>
      <w:lvlJc w:val="left"/>
      <w:pPr>
        <w:tabs>
          <w:tab w:val="num" w:pos="2946"/>
        </w:tabs>
        <w:ind w:left="2946" w:hanging="360"/>
      </w:pPr>
      <w:rPr>
        <w:rFonts w:ascii="Times New Roman" w:hAnsi="Times New Roman" w:hint="default"/>
      </w:rPr>
    </w:lvl>
    <w:lvl w:ilvl="4" w:tplc="C8E6CE2A" w:tentative="1">
      <w:start w:val="1"/>
      <w:numFmt w:val="bullet"/>
      <w:lvlText w:val="•"/>
      <w:lvlJc w:val="left"/>
      <w:pPr>
        <w:tabs>
          <w:tab w:val="num" w:pos="3666"/>
        </w:tabs>
        <w:ind w:left="3666" w:hanging="360"/>
      </w:pPr>
      <w:rPr>
        <w:rFonts w:ascii="Times New Roman" w:hAnsi="Times New Roman" w:hint="default"/>
      </w:rPr>
    </w:lvl>
    <w:lvl w:ilvl="5" w:tplc="BF887A5C" w:tentative="1">
      <w:start w:val="1"/>
      <w:numFmt w:val="bullet"/>
      <w:lvlText w:val="•"/>
      <w:lvlJc w:val="left"/>
      <w:pPr>
        <w:tabs>
          <w:tab w:val="num" w:pos="4386"/>
        </w:tabs>
        <w:ind w:left="4386" w:hanging="360"/>
      </w:pPr>
      <w:rPr>
        <w:rFonts w:ascii="Times New Roman" w:hAnsi="Times New Roman" w:hint="default"/>
      </w:rPr>
    </w:lvl>
    <w:lvl w:ilvl="6" w:tplc="B66A8788" w:tentative="1">
      <w:start w:val="1"/>
      <w:numFmt w:val="bullet"/>
      <w:lvlText w:val="•"/>
      <w:lvlJc w:val="left"/>
      <w:pPr>
        <w:tabs>
          <w:tab w:val="num" w:pos="5106"/>
        </w:tabs>
        <w:ind w:left="5106" w:hanging="360"/>
      </w:pPr>
      <w:rPr>
        <w:rFonts w:ascii="Times New Roman" w:hAnsi="Times New Roman" w:hint="default"/>
      </w:rPr>
    </w:lvl>
    <w:lvl w:ilvl="7" w:tplc="F2345172" w:tentative="1">
      <w:start w:val="1"/>
      <w:numFmt w:val="bullet"/>
      <w:lvlText w:val="•"/>
      <w:lvlJc w:val="left"/>
      <w:pPr>
        <w:tabs>
          <w:tab w:val="num" w:pos="5826"/>
        </w:tabs>
        <w:ind w:left="5826" w:hanging="360"/>
      </w:pPr>
      <w:rPr>
        <w:rFonts w:ascii="Times New Roman" w:hAnsi="Times New Roman" w:hint="default"/>
      </w:rPr>
    </w:lvl>
    <w:lvl w:ilvl="8" w:tplc="FFD8A55E" w:tentative="1">
      <w:start w:val="1"/>
      <w:numFmt w:val="bullet"/>
      <w:lvlText w:val="•"/>
      <w:lvlJc w:val="left"/>
      <w:pPr>
        <w:tabs>
          <w:tab w:val="num" w:pos="6546"/>
        </w:tabs>
        <w:ind w:left="6546" w:hanging="360"/>
      </w:pPr>
      <w:rPr>
        <w:rFonts w:ascii="Times New Roman" w:hAnsi="Times New Roman" w:hint="default"/>
      </w:rPr>
    </w:lvl>
  </w:abstractNum>
  <w:abstractNum w:abstractNumId="32">
    <w:nsid w:val="5CB96A59"/>
    <w:multiLevelType w:val="hybridMultilevel"/>
    <w:tmpl w:val="6DA4CD2E"/>
    <w:lvl w:ilvl="0" w:tplc="E65882FE">
      <w:start w:val="1"/>
      <w:numFmt w:val="bullet"/>
      <w:lvlText w:val=""/>
      <w:lvlJc w:val="left"/>
      <w:pPr>
        <w:tabs>
          <w:tab w:val="num" w:pos="720"/>
        </w:tabs>
        <w:ind w:left="720" w:hanging="360"/>
      </w:pPr>
      <w:rPr>
        <w:rFonts w:ascii="Wingdings" w:hAnsi="Wingdings" w:hint="default"/>
        <w:color w:val="auto"/>
      </w:rPr>
    </w:lvl>
    <w:lvl w:ilvl="1" w:tplc="7688BB02" w:tentative="1">
      <w:start w:val="1"/>
      <w:numFmt w:val="bullet"/>
      <w:lvlText w:val="•"/>
      <w:lvlJc w:val="left"/>
      <w:pPr>
        <w:tabs>
          <w:tab w:val="num" w:pos="1440"/>
        </w:tabs>
        <w:ind w:left="1440" w:hanging="360"/>
      </w:pPr>
      <w:rPr>
        <w:rFonts w:ascii="Times New Roman" w:hAnsi="Times New Roman" w:hint="default"/>
      </w:rPr>
    </w:lvl>
    <w:lvl w:ilvl="2" w:tplc="AB9AB484" w:tentative="1">
      <w:start w:val="1"/>
      <w:numFmt w:val="bullet"/>
      <w:lvlText w:val="•"/>
      <w:lvlJc w:val="left"/>
      <w:pPr>
        <w:tabs>
          <w:tab w:val="num" w:pos="2160"/>
        </w:tabs>
        <w:ind w:left="2160" w:hanging="360"/>
      </w:pPr>
      <w:rPr>
        <w:rFonts w:ascii="Times New Roman" w:hAnsi="Times New Roman" w:hint="default"/>
      </w:rPr>
    </w:lvl>
    <w:lvl w:ilvl="3" w:tplc="CFBCDAE0" w:tentative="1">
      <w:start w:val="1"/>
      <w:numFmt w:val="bullet"/>
      <w:lvlText w:val="•"/>
      <w:lvlJc w:val="left"/>
      <w:pPr>
        <w:tabs>
          <w:tab w:val="num" w:pos="2880"/>
        </w:tabs>
        <w:ind w:left="2880" w:hanging="360"/>
      </w:pPr>
      <w:rPr>
        <w:rFonts w:ascii="Times New Roman" w:hAnsi="Times New Roman" w:hint="default"/>
      </w:rPr>
    </w:lvl>
    <w:lvl w:ilvl="4" w:tplc="83B06E6C" w:tentative="1">
      <w:start w:val="1"/>
      <w:numFmt w:val="bullet"/>
      <w:lvlText w:val="•"/>
      <w:lvlJc w:val="left"/>
      <w:pPr>
        <w:tabs>
          <w:tab w:val="num" w:pos="3600"/>
        </w:tabs>
        <w:ind w:left="3600" w:hanging="360"/>
      </w:pPr>
      <w:rPr>
        <w:rFonts w:ascii="Times New Roman" w:hAnsi="Times New Roman" w:hint="default"/>
      </w:rPr>
    </w:lvl>
    <w:lvl w:ilvl="5" w:tplc="BFC231C0" w:tentative="1">
      <w:start w:val="1"/>
      <w:numFmt w:val="bullet"/>
      <w:lvlText w:val="•"/>
      <w:lvlJc w:val="left"/>
      <w:pPr>
        <w:tabs>
          <w:tab w:val="num" w:pos="4320"/>
        </w:tabs>
        <w:ind w:left="4320" w:hanging="360"/>
      </w:pPr>
      <w:rPr>
        <w:rFonts w:ascii="Times New Roman" w:hAnsi="Times New Roman" w:hint="default"/>
      </w:rPr>
    </w:lvl>
    <w:lvl w:ilvl="6" w:tplc="F12E17FA" w:tentative="1">
      <w:start w:val="1"/>
      <w:numFmt w:val="bullet"/>
      <w:lvlText w:val="•"/>
      <w:lvlJc w:val="left"/>
      <w:pPr>
        <w:tabs>
          <w:tab w:val="num" w:pos="5040"/>
        </w:tabs>
        <w:ind w:left="5040" w:hanging="360"/>
      </w:pPr>
      <w:rPr>
        <w:rFonts w:ascii="Times New Roman" w:hAnsi="Times New Roman" w:hint="default"/>
      </w:rPr>
    </w:lvl>
    <w:lvl w:ilvl="7" w:tplc="11A69262" w:tentative="1">
      <w:start w:val="1"/>
      <w:numFmt w:val="bullet"/>
      <w:lvlText w:val="•"/>
      <w:lvlJc w:val="left"/>
      <w:pPr>
        <w:tabs>
          <w:tab w:val="num" w:pos="5760"/>
        </w:tabs>
        <w:ind w:left="5760" w:hanging="360"/>
      </w:pPr>
      <w:rPr>
        <w:rFonts w:ascii="Times New Roman" w:hAnsi="Times New Roman" w:hint="default"/>
      </w:rPr>
    </w:lvl>
    <w:lvl w:ilvl="8" w:tplc="4D72A7A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F870A8C"/>
    <w:multiLevelType w:val="hybridMultilevel"/>
    <w:tmpl w:val="AA0C2A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00513B"/>
    <w:multiLevelType w:val="hybridMultilevel"/>
    <w:tmpl w:val="CB249C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19413A8"/>
    <w:multiLevelType w:val="hybridMultilevel"/>
    <w:tmpl w:val="AC3ACCAA"/>
    <w:lvl w:ilvl="0" w:tplc="33000DE0">
      <w:start w:val="1"/>
      <w:numFmt w:val="bullet"/>
      <w:lvlText w:val="•"/>
      <w:lvlJc w:val="left"/>
      <w:pPr>
        <w:tabs>
          <w:tab w:val="num" w:pos="720"/>
        </w:tabs>
        <w:ind w:left="720" w:hanging="360"/>
      </w:pPr>
      <w:rPr>
        <w:rFonts w:ascii="Times New Roman" w:hAnsi="Times New Roman" w:hint="default"/>
      </w:rPr>
    </w:lvl>
    <w:lvl w:ilvl="1" w:tplc="90405C0E" w:tentative="1">
      <w:start w:val="1"/>
      <w:numFmt w:val="bullet"/>
      <w:lvlText w:val="•"/>
      <w:lvlJc w:val="left"/>
      <w:pPr>
        <w:tabs>
          <w:tab w:val="num" w:pos="1440"/>
        </w:tabs>
        <w:ind w:left="1440" w:hanging="360"/>
      </w:pPr>
      <w:rPr>
        <w:rFonts w:ascii="Times New Roman" w:hAnsi="Times New Roman" w:hint="default"/>
      </w:rPr>
    </w:lvl>
    <w:lvl w:ilvl="2" w:tplc="14C63052" w:tentative="1">
      <w:start w:val="1"/>
      <w:numFmt w:val="bullet"/>
      <w:lvlText w:val="•"/>
      <w:lvlJc w:val="left"/>
      <w:pPr>
        <w:tabs>
          <w:tab w:val="num" w:pos="2160"/>
        </w:tabs>
        <w:ind w:left="2160" w:hanging="360"/>
      </w:pPr>
      <w:rPr>
        <w:rFonts w:ascii="Times New Roman" w:hAnsi="Times New Roman" w:hint="default"/>
      </w:rPr>
    </w:lvl>
    <w:lvl w:ilvl="3" w:tplc="3466B48A" w:tentative="1">
      <w:start w:val="1"/>
      <w:numFmt w:val="bullet"/>
      <w:lvlText w:val="•"/>
      <w:lvlJc w:val="left"/>
      <w:pPr>
        <w:tabs>
          <w:tab w:val="num" w:pos="2880"/>
        </w:tabs>
        <w:ind w:left="2880" w:hanging="360"/>
      </w:pPr>
      <w:rPr>
        <w:rFonts w:ascii="Times New Roman" w:hAnsi="Times New Roman" w:hint="default"/>
      </w:rPr>
    </w:lvl>
    <w:lvl w:ilvl="4" w:tplc="84009958" w:tentative="1">
      <w:start w:val="1"/>
      <w:numFmt w:val="bullet"/>
      <w:lvlText w:val="•"/>
      <w:lvlJc w:val="left"/>
      <w:pPr>
        <w:tabs>
          <w:tab w:val="num" w:pos="3600"/>
        </w:tabs>
        <w:ind w:left="3600" w:hanging="360"/>
      </w:pPr>
      <w:rPr>
        <w:rFonts w:ascii="Times New Roman" w:hAnsi="Times New Roman" w:hint="default"/>
      </w:rPr>
    </w:lvl>
    <w:lvl w:ilvl="5" w:tplc="5AACDFAC" w:tentative="1">
      <w:start w:val="1"/>
      <w:numFmt w:val="bullet"/>
      <w:lvlText w:val="•"/>
      <w:lvlJc w:val="left"/>
      <w:pPr>
        <w:tabs>
          <w:tab w:val="num" w:pos="4320"/>
        </w:tabs>
        <w:ind w:left="4320" w:hanging="360"/>
      </w:pPr>
      <w:rPr>
        <w:rFonts w:ascii="Times New Roman" w:hAnsi="Times New Roman" w:hint="default"/>
      </w:rPr>
    </w:lvl>
    <w:lvl w:ilvl="6" w:tplc="5FC8D014" w:tentative="1">
      <w:start w:val="1"/>
      <w:numFmt w:val="bullet"/>
      <w:lvlText w:val="•"/>
      <w:lvlJc w:val="left"/>
      <w:pPr>
        <w:tabs>
          <w:tab w:val="num" w:pos="5040"/>
        </w:tabs>
        <w:ind w:left="5040" w:hanging="360"/>
      </w:pPr>
      <w:rPr>
        <w:rFonts w:ascii="Times New Roman" w:hAnsi="Times New Roman" w:hint="default"/>
      </w:rPr>
    </w:lvl>
    <w:lvl w:ilvl="7" w:tplc="2550E6A4" w:tentative="1">
      <w:start w:val="1"/>
      <w:numFmt w:val="bullet"/>
      <w:lvlText w:val="•"/>
      <w:lvlJc w:val="left"/>
      <w:pPr>
        <w:tabs>
          <w:tab w:val="num" w:pos="5760"/>
        </w:tabs>
        <w:ind w:left="5760" w:hanging="360"/>
      </w:pPr>
      <w:rPr>
        <w:rFonts w:ascii="Times New Roman" w:hAnsi="Times New Roman" w:hint="default"/>
      </w:rPr>
    </w:lvl>
    <w:lvl w:ilvl="8" w:tplc="E14A9200"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1C55EF8"/>
    <w:multiLevelType w:val="hybridMultilevel"/>
    <w:tmpl w:val="400EB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30E33AE"/>
    <w:multiLevelType w:val="hybridMultilevel"/>
    <w:tmpl w:val="AF3AC0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4AD6D3A"/>
    <w:multiLevelType w:val="hybridMultilevel"/>
    <w:tmpl w:val="213AF646"/>
    <w:lvl w:ilvl="0" w:tplc="5C409D24">
      <w:start w:val="1"/>
      <w:numFmt w:val="bullet"/>
      <w:lvlText w:val="•"/>
      <w:lvlJc w:val="left"/>
      <w:pPr>
        <w:tabs>
          <w:tab w:val="num" w:pos="720"/>
        </w:tabs>
        <w:ind w:left="720" w:hanging="360"/>
      </w:pPr>
      <w:rPr>
        <w:rFonts w:ascii="Times New Roman" w:hAnsi="Times New Roman" w:hint="default"/>
      </w:rPr>
    </w:lvl>
    <w:lvl w:ilvl="1" w:tplc="F698D7A6" w:tentative="1">
      <w:start w:val="1"/>
      <w:numFmt w:val="bullet"/>
      <w:lvlText w:val="•"/>
      <w:lvlJc w:val="left"/>
      <w:pPr>
        <w:tabs>
          <w:tab w:val="num" w:pos="1440"/>
        </w:tabs>
        <w:ind w:left="1440" w:hanging="360"/>
      </w:pPr>
      <w:rPr>
        <w:rFonts w:ascii="Times New Roman" w:hAnsi="Times New Roman" w:hint="default"/>
      </w:rPr>
    </w:lvl>
    <w:lvl w:ilvl="2" w:tplc="77B4CDA0" w:tentative="1">
      <w:start w:val="1"/>
      <w:numFmt w:val="bullet"/>
      <w:lvlText w:val="•"/>
      <w:lvlJc w:val="left"/>
      <w:pPr>
        <w:tabs>
          <w:tab w:val="num" w:pos="2160"/>
        </w:tabs>
        <w:ind w:left="2160" w:hanging="360"/>
      </w:pPr>
      <w:rPr>
        <w:rFonts w:ascii="Times New Roman" w:hAnsi="Times New Roman" w:hint="default"/>
      </w:rPr>
    </w:lvl>
    <w:lvl w:ilvl="3" w:tplc="FFB2E6A8" w:tentative="1">
      <w:start w:val="1"/>
      <w:numFmt w:val="bullet"/>
      <w:lvlText w:val="•"/>
      <w:lvlJc w:val="left"/>
      <w:pPr>
        <w:tabs>
          <w:tab w:val="num" w:pos="2880"/>
        </w:tabs>
        <w:ind w:left="2880" w:hanging="360"/>
      </w:pPr>
      <w:rPr>
        <w:rFonts w:ascii="Times New Roman" w:hAnsi="Times New Roman" w:hint="default"/>
      </w:rPr>
    </w:lvl>
    <w:lvl w:ilvl="4" w:tplc="63982D6C" w:tentative="1">
      <w:start w:val="1"/>
      <w:numFmt w:val="bullet"/>
      <w:lvlText w:val="•"/>
      <w:lvlJc w:val="left"/>
      <w:pPr>
        <w:tabs>
          <w:tab w:val="num" w:pos="3600"/>
        </w:tabs>
        <w:ind w:left="3600" w:hanging="360"/>
      </w:pPr>
      <w:rPr>
        <w:rFonts w:ascii="Times New Roman" w:hAnsi="Times New Roman" w:hint="default"/>
      </w:rPr>
    </w:lvl>
    <w:lvl w:ilvl="5" w:tplc="F97EFE94" w:tentative="1">
      <w:start w:val="1"/>
      <w:numFmt w:val="bullet"/>
      <w:lvlText w:val="•"/>
      <w:lvlJc w:val="left"/>
      <w:pPr>
        <w:tabs>
          <w:tab w:val="num" w:pos="4320"/>
        </w:tabs>
        <w:ind w:left="4320" w:hanging="360"/>
      </w:pPr>
      <w:rPr>
        <w:rFonts w:ascii="Times New Roman" w:hAnsi="Times New Roman" w:hint="default"/>
      </w:rPr>
    </w:lvl>
    <w:lvl w:ilvl="6" w:tplc="3EF6B61C" w:tentative="1">
      <w:start w:val="1"/>
      <w:numFmt w:val="bullet"/>
      <w:lvlText w:val="•"/>
      <w:lvlJc w:val="left"/>
      <w:pPr>
        <w:tabs>
          <w:tab w:val="num" w:pos="5040"/>
        </w:tabs>
        <w:ind w:left="5040" w:hanging="360"/>
      </w:pPr>
      <w:rPr>
        <w:rFonts w:ascii="Times New Roman" w:hAnsi="Times New Roman" w:hint="default"/>
      </w:rPr>
    </w:lvl>
    <w:lvl w:ilvl="7" w:tplc="C5803DD8" w:tentative="1">
      <w:start w:val="1"/>
      <w:numFmt w:val="bullet"/>
      <w:lvlText w:val="•"/>
      <w:lvlJc w:val="left"/>
      <w:pPr>
        <w:tabs>
          <w:tab w:val="num" w:pos="5760"/>
        </w:tabs>
        <w:ind w:left="5760" w:hanging="360"/>
      </w:pPr>
      <w:rPr>
        <w:rFonts w:ascii="Times New Roman" w:hAnsi="Times New Roman" w:hint="default"/>
      </w:rPr>
    </w:lvl>
    <w:lvl w:ilvl="8" w:tplc="DAEAF98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5674DE3"/>
    <w:multiLevelType w:val="hybridMultilevel"/>
    <w:tmpl w:val="6A1652D4"/>
    <w:lvl w:ilvl="0" w:tplc="0A00E058">
      <w:start w:val="1"/>
      <w:numFmt w:val="bullet"/>
      <w:lvlText w:val="•"/>
      <w:lvlJc w:val="left"/>
      <w:pPr>
        <w:tabs>
          <w:tab w:val="num" w:pos="720"/>
        </w:tabs>
        <w:ind w:left="720" w:hanging="360"/>
      </w:pPr>
      <w:rPr>
        <w:rFonts w:ascii="Times New Roman" w:hAnsi="Times New Roman" w:hint="default"/>
      </w:rPr>
    </w:lvl>
    <w:lvl w:ilvl="1" w:tplc="18ACC448" w:tentative="1">
      <w:start w:val="1"/>
      <w:numFmt w:val="bullet"/>
      <w:lvlText w:val="•"/>
      <w:lvlJc w:val="left"/>
      <w:pPr>
        <w:tabs>
          <w:tab w:val="num" w:pos="1440"/>
        </w:tabs>
        <w:ind w:left="1440" w:hanging="360"/>
      </w:pPr>
      <w:rPr>
        <w:rFonts w:ascii="Times New Roman" w:hAnsi="Times New Roman" w:hint="default"/>
      </w:rPr>
    </w:lvl>
    <w:lvl w:ilvl="2" w:tplc="72849CCE" w:tentative="1">
      <w:start w:val="1"/>
      <w:numFmt w:val="bullet"/>
      <w:lvlText w:val="•"/>
      <w:lvlJc w:val="left"/>
      <w:pPr>
        <w:tabs>
          <w:tab w:val="num" w:pos="2160"/>
        </w:tabs>
        <w:ind w:left="2160" w:hanging="360"/>
      </w:pPr>
      <w:rPr>
        <w:rFonts w:ascii="Times New Roman" w:hAnsi="Times New Roman" w:hint="default"/>
      </w:rPr>
    </w:lvl>
    <w:lvl w:ilvl="3" w:tplc="3B42BE12" w:tentative="1">
      <w:start w:val="1"/>
      <w:numFmt w:val="bullet"/>
      <w:lvlText w:val="•"/>
      <w:lvlJc w:val="left"/>
      <w:pPr>
        <w:tabs>
          <w:tab w:val="num" w:pos="2880"/>
        </w:tabs>
        <w:ind w:left="2880" w:hanging="360"/>
      </w:pPr>
      <w:rPr>
        <w:rFonts w:ascii="Times New Roman" w:hAnsi="Times New Roman" w:hint="default"/>
      </w:rPr>
    </w:lvl>
    <w:lvl w:ilvl="4" w:tplc="32B018B6" w:tentative="1">
      <w:start w:val="1"/>
      <w:numFmt w:val="bullet"/>
      <w:lvlText w:val="•"/>
      <w:lvlJc w:val="left"/>
      <w:pPr>
        <w:tabs>
          <w:tab w:val="num" w:pos="3600"/>
        </w:tabs>
        <w:ind w:left="3600" w:hanging="360"/>
      </w:pPr>
      <w:rPr>
        <w:rFonts w:ascii="Times New Roman" w:hAnsi="Times New Roman" w:hint="default"/>
      </w:rPr>
    </w:lvl>
    <w:lvl w:ilvl="5" w:tplc="4D10F558" w:tentative="1">
      <w:start w:val="1"/>
      <w:numFmt w:val="bullet"/>
      <w:lvlText w:val="•"/>
      <w:lvlJc w:val="left"/>
      <w:pPr>
        <w:tabs>
          <w:tab w:val="num" w:pos="4320"/>
        </w:tabs>
        <w:ind w:left="4320" w:hanging="360"/>
      </w:pPr>
      <w:rPr>
        <w:rFonts w:ascii="Times New Roman" w:hAnsi="Times New Roman" w:hint="default"/>
      </w:rPr>
    </w:lvl>
    <w:lvl w:ilvl="6" w:tplc="E5E8B56A" w:tentative="1">
      <w:start w:val="1"/>
      <w:numFmt w:val="bullet"/>
      <w:lvlText w:val="•"/>
      <w:lvlJc w:val="left"/>
      <w:pPr>
        <w:tabs>
          <w:tab w:val="num" w:pos="5040"/>
        </w:tabs>
        <w:ind w:left="5040" w:hanging="360"/>
      </w:pPr>
      <w:rPr>
        <w:rFonts w:ascii="Times New Roman" w:hAnsi="Times New Roman" w:hint="default"/>
      </w:rPr>
    </w:lvl>
    <w:lvl w:ilvl="7" w:tplc="544E8E52" w:tentative="1">
      <w:start w:val="1"/>
      <w:numFmt w:val="bullet"/>
      <w:lvlText w:val="•"/>
      <w:lvlJc w:val="left"/>
      <w:pPr>
        <w:tabs>
          <w:tab w:val="num" w:pos="5760"/>
        </w:tabs>
        <w:ind w:left="5760" w:hanging="360"/>
      </w:pPr>
      <w:rPr>
        <w:rFonts w:ascii="Times New Roman" w:hAnsi="Times New Roman" w:hint="default"/>
      </w:rPr>
    </w:lvl>
    <w:lvl w:ilvl="8" w:tplc="6660EE6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A265A9F"/>
    <w:multiLevelType w:val="hybridMultilevel"/>
    <w:tmpl w:val="ACAEFD0A"/>
    <w:lvl w:ilvl="0" w:tplc="2878D5AE">
      <w:start w:val="1"/>
      <w:numFmt w:val="bullet"/>
      <w:lvlText w:val="•"/>
      <w:lvlJc w:val="left"/>
      <w:pPr>
        <w:tabs>
          <w:tab w:val="num" w:pos="720"/>
        </w:tabs>
        <w:ind w:left="720" w:hanging="360"/>
      </w:pPr>
      <w:rPr>
        <w:rFonts w:ascii="Times New Roman" w:hAnsi="Times New Roman" w:hint="default"/>
      </w:rPr>
    </w:lvl>
    <w:lvl w:ilvl="1" w:tplc="0550080A" w:tentative="1">
      <w:start w:val="1"/>
      <w:numFmt w:val="bullet"/>
      <w:lvlText w:val="•"/>
      <w:lvlJc w:val="left"/>
      <w:pPr>
        <w:tabs>
          <w:tab w:val="num" w:pos="1440"/>
        </w:tabs>
        <w:ind w:left="1440" w:hanging="360"/>
      </w:pPr>
      <w:rPr>
        <w:rFonts w:ascii="Times New Roman" w:hAnsi="Times New Roman" w:hint="default"/>
      </w:rPr>
    </w:lvl>
    <w:lvl w:ilvl="2" w:tplc="D7DCCC52" w:tentative="1">
      <w:start w:val="1"/>
      <w:numFmt w:val="bullet"/>
      <w:lvlText w:val="•"/>
      <w:lvlJc w:val="left"/>
      <w:pPr>
        <w:tabs>
          <w:tab w:val="num" w:pos="2160"/>
        </w:tabs>
        <w:ind w:left="2160" w:hanging="360"/>
      </w:pPr>
      <w:rPr>
        <w:rFonts w:ascii="Times New Roman" w:hAnsi="Times New Roman" w:hint="default"/>
      </w:rPr>
    </w:lvl>
    <w:lvl w:ilvl="3" w:tplc="0C94E780" w:tentative="1">
      <w:start w:val="1"/>
      <w:numFmt w:val="bullet"/>
      <w:lvlText w:val="•"/>
      <w:lvlJc w:val="left"/>
      <w:pPr>
        <w:tabs>
          <w:tab w:val="num" w:pos="2880"/>
        </w:tabs>
        <w:ind w:left="2880" w:hanging="360"/>
      </w:pPr>
      <w:rPr>
        <w:rFonts w:ascii="Times New Roman" w:hAnsi="Times New Roman" w:hint="default"/>
      </w:rPr>
    </w:lvl>
    <w:lvl w:ilvl="4" w:tplc="ACCA6436" w:tentative="1">
      <w:start w:val="1"/>
      <w:numFmt w:val="bullet"/>
      <w:lvlText w:val="•"/>
      <w:lvlJc w:val="left"/>
      <w:pPr>
        <w:tabs>
          <w:tab w:val="num" w:pos="3600"/>
        </w:tabs>
        <w:ind w:left="3600" w:hanging="360"/>
      </w:pPr>
      <w:rPr>
        <w:rFonts w:ascii="Times New Roman" w:hAnsi="Times New Roman" w:hint="default"/>
      </w:rPr>
    </w:lvl>
    <w:lvl w:ilvl="5" w:tplc="C7B2A71A" w:tentative="1">
      <w:start w:val="1"/>
      <w:numFmt w:val="bullet"/>
      <w:lvlText w:val="•"/>
      <w:lvlJc w:val="left"/>
      <w:pPr>
        <w:tabs>
          <w:tab w:val="num" w:pos="4320"/>
        </w:tabs>
        <w:ind w:left="4320" w:hanging="360"/>
      </w:pPr>
      <w:rPr>
        <w:rFonts w:ascii="Times New Roman" w:hAnsi="Times New Roman" w:hint="default"/>
      </w:rPr>
    </w:lvl>
    <w:lvl w:ilvl="6" w:tplc="0F0CB2BA" w:tentative="1">
      <w:start w:val="1"/>
      <w:numFmt w:val="bullet"/>
      <w:lvlText w:val="•"/>
      <w:lvlJc w:val="left"/>
      <w:pPr>
        <w:tabs>
          <w:tab w:val="num" w:pos="5040"/>
        </w:tabs>
        <w:ind w:left="5040" w:hanging="360"/>
      </w:pPr>
      <w:rPr>
        <w:rFonts w:ascii="Times New Roman" w:hAnsi="Times New Roman" w:hint="default"/>
      </w:rPr>
    </w:lvl>
    <w:lvl w:ilvl="7" w:tplc="02A611AE" w:tentative="1">
      <w:start w:val="1"/>
      <w:numFmt w:val="bullet"/>
      <w:lvlText w:val="•"/>
      <w:lvlJc w:val="left"/>
      <w:pPr>
        <w:tabs>
          <w:tab w:val="num" w:pos="5760"/>
        </w:tabs>
        <w:ind w:left="5760" w:hanging="360"/>
      </w:pPr>
      <w:rPr>
        <w:rFonts w:ascii="Times New Roman" w:hAnsi="Times New Roman" w:hint="default"/>
      </w:rPr>
    </w:lvl>
    <w:lvl w:ilvl="8" w:tplc="B492DCAC"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C8A181C"/>
    <w:multiLevelType w:val="hybridMultilevel"/>
    <w:tmpl w:val="51F6CF38"/>
    <w:lvl w:ilvl="0" w:tplc="2050ED50">
      <w:start w:val="1"/>
      <w:numFmt w:val="bullet"/>
      <w:lvlText w:val="•"/>
      <w:lvlJc w:val="left"/>
      <w:pPr>
        <w:tabs>
          <w:tab w:val="num" w:pos="720"/>
        </w:tabs>
        <w:ind w:left="720" w:hanging="360"/>
      </w:pPr>
      <w:rPr>
        <w:rFonts w:ascii="Times New Roman" w:hAnsi="Times New Roman" w:hint="default"/>
      </w:rPr>
    </w:lvl>
    <w:lvl w:ilvl="1" w:tplc="A3CA07AA" w:tentative="1">
      <w:start w:val="1"/>
      <w:numFmt w:val="bullet"/>
      <w:lvlText w:val="•"/>
      <w:lvlJc w:val="left"/>
      <w:pPr>
        <w:tabs>
          <w:tab w:val="num" w:pos="1440"/>
        </w:tabs>
        <w:ind w:left="1440" w:hanging="360"/>
      </w:pPr>
      <w:rPr>
        <w:rFonts w:ascii="Times New Roman" w:hAnsi="Times New Roman" w:hint="default"/>
      </w:rPr>
    </w:lvl>
    <w:lvl w:ilvl="2" w:tplc="5C1C3AE8" w:tentative="1">
      <w:start w:val="1"/>
      <w:numFmt w:val="bullet"/>
      <w:lvlText w:val="•"/>
      <w:lvlJc w:val="left"/>
      <w:pPr>
        <w:tabs>
          <w:tab w:val="num" w:pos="2160"/>
        </w:tabs>
        <w:ind w:left="2160" w:hanging="360"/>
      </w:pPr>
      <w:rPr>
        <w:rFonts w:ascii="Times New Roman" w:hAnsi="Times New Roman" w:hint="default"/>
      </w:rPr>
    </w:lvl>
    <w:lvl w:ilvl="3" w:tplc="603A19BC" w:tentative="1">
      <w:start w:val="1"/>
      <w:numFmt w:val="bullet"/>
      <w:lvlText w:val="•"/>
      <w:lvlJc w:val="left"/>
      <w:pPr>
        <w:tabs>
          <w:tab w:val="num" w:pos="2880"/>
        </w:tabs>
        <w:ind w:left="2880" w:hanging="360"/>
      </w:pPr>
      <w:rPr>
        <w:rFonts w:ascii="Times New Roman" w:hAnsi="Times New Roman" w:hint="default"/>
      </w:rPr>
    </w:lvl>
    <w:lvl w:ilvl="4" w:tplc="B0D6AB14" w:tentative="1">
      <w:start w:val="1"/>
      <w:numFmt w:val="bullet"/>
      <w:lvlText w:val="•"/>
      <w:lvlJc w:val="left"/>
      <w:pPr>
        <w:tabs>
          <w:tab w:val="num" w:pos="3600"/>
        </w:tabs>
        <w:ind w:left="3600" w:hanging="360"/>
      </w:pPr>
      <w:rPr>
        <w:rFonts w:ascii="Times New Roman" w:hAnsi="Times New Roman" w:hint="default"/>
      </w:rPr>
    </w:lvl>
    <w:lvl w:ilvl="5" w:tplc="D14036D4" w:tentative="1">
      <w:start w:val="1"/>
      <w:numFmt w:val="bullet"/>
      <w:lvlText w:val="•"/>
      <w:lvlJc w:val="left"/>
      <w:pPr>
        <w:tabs>
          <w:tab w:val="num" w:pos="4320"/>
        </w:tabs>
        <w:ind w:left="4320" w:hanging="360"/>
      </w:pPr>
      <w:rPr>
        <w:rFonts w:ascii="Times New Roman" w:hAnsi="Times New Roman" w:hint="default"/>
      </w:rPr>
    </w:lvl>
    <w:lvl w:ilvl="6" w:tplc="CB2CE966" w:tentative="1">
      <w:start w:val="1"/>
      <w:numFmt w:val="bullet"/>
      <w:lvlText w:val="•"/>
      <w:lvlJc w:val="left"/>
      <w:pPr>
        <w:tabs>
          <w:tab w:val="num" w:pos="5040"/>
        </w:tabs>
        <w:ind w:left="5040" w:hanging="360"/>
      </w:pPr>
      <w:rPr>
        <w:rFonts w:ascii="Times New Roman" w:hAnsi="Times New Roman" w:hint="default"/>
      </w:rPr>
    </w:lvl>
    <w:lvl w:ilvl="7" w:tplc="A746AF48" w:tentative="1">
      <w:start w:val="1"/>
      <w:numFmt w:val="bullet"/>
      <w:lvlText w:val="•"/>
      <w:lvlJc w:val="left"/>
      <w:pPr>
        <w:tabs>
          <w:tab w:val="num" w:pos="5760"/>
        </w:tabs>
        <w:ind w:left="5760" w:hanging="360"/>
      </w:pPr>
      <w:rPr>
        <w:rFonts w:ascii="Times New Roman" w:hAnsi="Times New Roman" w:hint="default"/>
      </w:rPr>
    </w:lvl>
    <w:lvl w:ilvl="8" w:tplc="D00254B2"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CC13A91"/>
    <w:multiLevelType w:val="hybridMultilevel"/>
    <w:tmpl w:val="30FA5AA4"/>
    <w:lvl w:ilvl="0" w:tplc="AB9E3F9A">
      <w:start w:val="1"/>
      <w:numFmt w:val="bullet"/>
      <w:lvlText w:val="•"/>
      <w:lvlJc w:val="left"/>
      <w:pPr>
        <w:tabs>
          <w:tab w:val="num" w:pos="720"/>
        </w:tabs>
        <w:ind w:left="720" w:hanging="360"/>
      </w:pPr>
      <w:rPr>
        <w:rFonts w:ascii="Times New Roman" w:hAnsi="Times New Roman" w:hint="default"/>
      </w:rPr>
    </w:lvl>
    <w:lvl w:ilvl="1" w:tplc="429CB69E" w:tentative="1">
      <w:start w:val="1"/>
      <w:numFmt w:val="bullet"/>
      <w:lvlText w:val="•"/>
      <w:lvlJc w:val="left"/>
      <w:pPr>
        <w:tabs>
          <w:tab w:val="num" w:pos="1440"/>
        </w:tabs>
        <w:ind w:left="1440" w:hanging="360"/>
      </w:pPr>
      <w:rPr>
        <w:rFonts w:ascii="Times New Roman" w:hAnsi="Times New Roman" w:hint="default"/>
      </w:rPr>
    </w:lvl>
    <w:lvl w:ilvl="2" w:tplc="75ACE938" w:tentative="1">
      <w:start w:val="1"/>
      <w:numFmt w:val="bullet"/>
      <w:lvlText w:val="•"/>
      <w:lvlJc w:val="left"/>
      <w:pPr>
        <w:tabs>
          <w:tab w:val="num" w:pos="2160"/>
        </w:tabs>
        <w:ind w:left="2160" w:hanging="360"/>
      </w:pPr>
      <w:rPr>
        <w:rFonts w:ascii="Times New Roman" w:hAnsi="Times New Roman" w:hint="default"/>
      </w:rPr>
    </w:lvl>
    <w:lvl w:ilvl="3" w:tplc="D08635D2" w:tentative="1">
      <w:start w:val="1"/>
      <w:numFmt w:val="bullet"/>
      <w:lvlText w:val="•"/>
      <w:lvlJc w:val="left"/>
      <w:pPr>
        <w:tabs>
          <w:tab w:val="num" w:pos="2880"/>
        </w:tabs>
        <w:ind w:left="2880" w:hanging="360"/>
      </w:pPr>
      <w:rPr>
        <w:rFonts w:ascii="Times New Roman" w:hAnsi="Times New Roman" w:hint="default"/>
      </w:rPr>
    </w:lvl>
    <w:lvl w:ilvl="4" w:tplc="2F3A2C4C" w:tentative="1">
      <w:start w:val="1"/>
      <w:numFmt w:val="bullet"/>
      <w:lvlText w:val="•"/>
      <w:lvlJc w:val="left"/>
      <w:pPr>
        <w:tabs>
          <w:tab w:val="num" w:pos="3600"/>
        </w:tabs>
        <w:ind w:left="3600" w:hanging="360"/>
      </w:pPr>
      <w:rPr>
        <w:rFonts w:ascii="Times New Roman" w:hAnsi="Times New Roman" w:hint="default"/>
      </w:rPr>
    </w:lvl>
    <w:lvl w:ilvl="5" w:tplc="BC42B388" w:tentative="1">
      <w:start w:val="1"/>
      <w:numFmt w:val="bullet"/>
      <w:lvlText w:val="•"/>
      <w:lvlJc w:val="left"/>
      <w:pPr>
        <w:tabs>
          <w:tab w:val="num" w:pos="4320"/>
        </w:tabs>
        <w:ind w:left="4320" w:hanging="360"/>
      </w:pPr>
      <w:rPr>
        <w:rFonts w:ascii="Times New Roman" w:hAnsi="Times New Roman" w:hint="default"/>
      </w:rPr>
    </w:lvl>
    <w:lvl w:ilvl="6" w:tplc="1FBE008E" w:tentative="1">
      <w:start w:val="1"/>
      <w:numFmt w:val="bullet"/>
      <w:lvlText w:val="•"/>
      <w:lvlJc w:val="left"/>
      <w:pPr>
        <w:tabs>
          <w:tab w:val="num" w:pos="5040"/>
        </w:tabs>
        <w:ind w:left="5040" w:hanging="360"/>
      </w:pPr>
      <w:rPr>
        <w:rFonts w:ascii="Times New Roman" w:hAnsi="Times New Roman" w:hint="default"/>
      </w:rPr>
    </w:lvl>
    <w:lvl w:ilvl="7" w:tplc="A3F0DE2E" w:tentative="1">
      <w:start w:val="1"/>
      <w:numFmt w:val="bullet"/>
      <w:lvlText w:val="•"/>
      <w:lvlJc w:val="left"/>
      <w:pPr>
        <w:tabs>
          <w:tab w:val="num" w:pos="5760"/>
        </w:tabs>
        <w:ind w:left="5760" w:hanging="360"/>
      </w:pPr>
      <w:rPr>
        <w:rFonts w:ascii="Times New Roman" w:hAnsi="Times New Roman" w:hint="default"/>
      </w:rPr>
    </w:lvl>
    <w:lvl w:ilvl="8" w:tplc="48CE93B0"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F775737"/>
    <w:multiLevelType w:val="hybridMultilevel"/>
    <w:tmpl w:val="54582E8E"/>
    <w:lvl w:ilvl="0" w:tplc="6F4E787A">
      <w:start w:val="1"/>
      <w:numFmt w:val="bullet"/>
      <w:lvlText w:val=""/>
      <w:lvlJc w:val="left"/>
      <w:pPr>
        <w:tabs>
          <w:tab w:val="num" w:pos="720"/>
        </w:tabs>
        <w:ind w:left="720" w:hanging="360"/>
      </w:pPr>
      <w:rPr>
        <w:rFonts w:ascii="Marlett" w:hAnsi="Marlett" w:hint="default"/>
      </w:rPr>
    </w:lvl>
    <w:lvl w:ilvl="1" w:tplc="598226BE" w:tentative="1">
      <w:start w:val="1"/>
      <w:numFmt w:val="bullet"/>
      <w:lvlText w:val=""/>
      <w:lvlJc w:val="left"/>
      <w:pPr>
        <w:tabs>
          <w:tab w:val="num" w:pos="1440"/>
        </w:tabs>
        <w:ind w:left="1440" w:hanging="360"/>
      </w:pPr>
      <w:rPr>
        <w:rFonts w:ascii="Marlett" w:hAnsi="Marlett" w:hint="default"/>
      </w:rPr>
    </w:lvl>
    <w:lvl w:ilvl="2" w:tplc="91365184" w:tentative="1">
      <w:start w:val="1"/>
      <w:numFmt w:val="bullet"/>
      <w:lvlText w:val=""/>
      <w:lvlJc w:val="left"/>
      <w:pPr>
        <w:tabs>
          <w:tab w:val="num" w:pos="2160"/>
        </w:tabs>
        <w:ind w:left="2160" w:hanging="360"/>
      </w:pPr>
      <w:rPr>
        <w:rFonts w:ascii="Marlett" w:hAnsi="Marlett" w:hint="default"/>
      </w:rPr>
    </w:lvl>
    <w:lvl w:ilvl="3" w:tplc="87ECEDE2" w:tentative="1">
      <w:start w:val="1"/>
      <w:numFmt w:val="bullet"/>
      <w:lvlText w:val=""/>
      <w:lvlJc w:val="left"/>
      <w:pPr>
        <w:tabs>
          <w:tab w:val="num" w:pos="2880"/>
        </w:tabs>
        <w:ind w:left="2880" w:hanging="360"/>
      </w:pPr>
      <w:rPr>
        <w:rFonts w:ascii="Marlett" w:hAnsi="Marlett" w:hint="default"/>
      </w:rPr>
    </w:lvl>
    <w:lvl w:ilvl="4" w:tplc="8F8A4306" w:tentative="1">
      <w:start w:val="1"/>
      <w:numFmt w:val="bullet"/>
      <w:lvlText w:val=""/>
      <w:lvlJc w:val="left"/>
      <w:pPr>
        <w:tabs>
          <w:tab w:val="num" w:pos="3600"/>
        </w:tabs>
        <w:ind w:left="3600" w:hanging="360"/>
      </w:pPr>
      <w:rPr>
        <w:rFonts w:ascii="Marlett" w:hAnsi="Marlett" w:hint="default"/>
      </w:rPr>
    </w:lvl>
    <w:lvl w:ilvl="5" w:tplc="B35C48CE" w:tentative="1">
      <w:start w:val="1"/>
      <w:numFmt w:val="bullet"/>
      <w:lvlText w:val=""/>
      <w:lvlJc w:val="left"/>
      <w:pPr>
        <w:tabs>
          <w:tab w:val="num" w:pos="4320"/>
        </w:tabs>
        <w:ind w:left="4320" w:hanging="360"/>
      </w:pPr>
      <w:rPr>
        <w:rFonts w:ascii="Marlett" w:hAnsi="Marlett" w:hint="default"/>
      </w:rPr>
    </w:lvl>
    <w:lvl w:ilvl="6" w:tplc="5A56F9EC" w:tentative="1">
      <w:start w:val="1"/>
      <w:numFmt w:val="bullet"/>
      <w:lvlText w:val=""/>
      <w:lvlJc w:val="left"/>
      <w:pPr>
        <w:tabs>
          <w:tab w:val="num" w:pos="5040"/>
        </w:tabs>
        <w:ind w:left="5040" w:hanging="360"/>
      </w:pPr>
      <w:rPr>
        <w:rFonts w:ascii="Marlett" w:hAnsi="Marlett" w:hint="default"/>
      </w:rPr>
    </w:lvl>
    <w:lvl w:ilvl="7" w:tplc="6A3CF252" w:tentative="1">
      <w:start w:val="1"/>
      <w:numFmt w:val="bullet"/>
      <w:lvlText w:val=""/>
      <w:lvlJc w:val="left"/>
      <w:pPr>
        <w:tabs>
          <w:tab w:val="num" w:pos="5760"/>
        </w:tabs>
        <w:ind w:left="5760" w:hanging="360"/>
      </w:pPr>
      <w:rPr>
        <w:rFonts w:ascii="Marlett" w:hAnsi="Marlett" w:hint="default"/>
      </w:rPr>
    </w:lvl>
    <w:lvl w:ilvl="8" w:tplc="E814EACA" w:tentative="1">
      <w:start w:val="1"/>
      <w:numFmt w:val="bullet"/>
      <w:lvlText w:val=""/>
      <w:lvlJc w:val="left"/>
      <w:pPr>
        <w:tabs>
          <w:tab w:val="num" w:pos="6480"/>
        </w:tabs>
        <w:ind w:left="6480" w:hanging="360"/>
      </w:pPr>
      <w:rPr>
        <w:rFonts w:ascii="Marlett" w:hAnsi="Marlett" w:hint="default"/>
      </w:rPr>
    </w:lvl>
  </w:abstractNum>
  <w:num w:numId="1">
    <w:abstractNumId w:val="6"/>
  </w:num>
  <w:num w:numId="2">
    <w:abstractNumId w:val="42"/>
  </w:num>
  <w:num w:numId="3">
    <w:abstractNumId w:val="10"/>
  </w:num>
  <w:num w:numId="4">
    <w:abstractNumId w:val="30"/>
  </w:num>
  <w:num w:numId="5">
    <w:abstractNumId w:val="41"/>
  </w:num>
  <w:num w:numId="6">
    <w:abstractNumId w:val="7"/>
  </w:num>
  <w:num w:numId="7">
    <w:abstractNumId w:val="0"/>
  </w:num>
  <w:num w:numId="8">
    <w:abstractNumId w:val="35"/>
  </w:num>
  <w:num w:numId="9">
    <w:abstractNumId w:val="25"/>
  </w:num>
  <w:num w:numId="10">
    <w:abstractNumId w:val="43"/>
  </w:num>
  <w:num w:numId="11">
    <w:abstractNumId w:val="5"/>
  </w:num>
  <w:num w:numId="12">
    <w:abstractNumId w:val="15"/>
  </w:num>
  <w:num w:numId="13">
    <w:abstractNumId w:val="20"/>
  </w:num>
  <w:num w:numId="14">
    <w:abstractNumId w:val="19"/>
  </w:num>
  <w:num w:numId="15">
    <w:abstractNumId w:val="39"/>
  </w:num>
  <w:num w:numId="16">
    <w:abstractNumId w:val="3"/>
  </w:num>
  <w:num w:numId="17">
    <w:abstractNumId w:val="4"/>
  </w:num>
  <w:num w:numId="18">
    <w:abstractNumId w:val="23"/>
  </w:num>
  <w:num w:numId="19">
    <w:abstractNumId w:val="26"/>
  </w:num>
  <w:num w:numId="20">
    <w:abstractNumId w:val="24"/>
  </w:num>
  <w:num w:numId="21">
    <w:abstractNumId w:val="12"/>
  </w:num>
  <w:num w:numId="22">
    <w:abstractNumId w:val="31"/>
  </w:num>
  <w:num w:numId="23">
    <w:abstractNumId w:val="40"/>
  </w:num>
  <w:num w:numId="24">
    <w:abstractNumId w:val="16"/>
  </w:num>
  <w:num w:numId="25">
    <w:abstractNumId w:val="14"/>
  </w:num>
  <w:num w:numId="26">
    <w:abstractNumId w:val="32"/>
  </w:num>
  <w:num w:numId="27">
    <w:abstractNumId w:val="38"/>
  </w:num>
  <w:num w:numId="28">
    <w:abstractNumId w:val="34"/>
  </w:num>
  <w:num w:numId="29">
    <w:abstractNumId w:val="2"/>
  </w:num>
  <w:num w:numId="30">
    <w:abstractNumId w:val="9"/>
  </w:num>
  <w:num w:numId="31">
    <w:abstractNumId w:val="21"/>
  </w:num>
  <w:num w:numId="32">
    <w:abstractNumId w:val="18"/>
  </w:num>
  <w:num w:numId="33">
    <w:abstractNumId w:val="11"/>
  </w:num>
  <w:num w:numId="34">
    <w:abstractNumId w:val="33"/>
  </w:num>
  <w:num w:numId="35">
    <w:abstractNumId w:val="37"/>
  </w:num>
  <w:num w:numId="36">
    <w:abstractNumId w:val="8"/>
  </w:num>
  <w:num w:numId="37">
    <w:abstractNumId w:val="36"/>
  </w:num>
  <w:num w:numId="38">
    <w:abstractNumId w:val="27"/>
  </w:num>
  <w:num w:numId="39">
    <w:abstractNumId w:val="1"/>
  </w:num>
  <w:num w:numId="40">
    <w:abstractNumId w:val="17"/>
  </w:num>
  <w:num w:numId="41">
    <w:abstractNumId w:val="28"/>
  </w:num>
  <w:num w:numId="42">
    <w:abstractNumId w:val="29"/>
  </w:num>
  <w:num w:numId="43">
    <w:abstractNumId w:val="22"/>
  </w:num>
  <w:num w:numId="44">
    <w:abstractNumId w:val="1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activeWritingStyle w:appName="MSWord" w:lang="fr-MA" w:vendorID="64" w:dllVersion="131078" w:nlCheck="1" w:checkStyle="1"/>
  <w:defaultTabStop w:val="708"/>
  <w:hyphenationZone w:val="425"/>
  <w:drawingGridHorizontalSpacing w:val="110"/>
  <w:displayHorizontalDrawingGridEvery w:val="2"/>
  <w:characterSpacingControl w:val="doNotCompress"/>
  <w:hdrShapeDefaults>
    <o:shapedefaults v:ext="edit" spidmax="179202"/>
  </w:hdrShapeDefaults>
  <w:footnotePr>
    <w:footnote w:id="0"/>
    <w:footnote w:id="1"/>
  </w:footnotePr>
  <w:endnotePr>
    <w:endnote w:id="0"/>
    <w:endnote w:id="1"/>
  </w:endnotePr>
  <w:compat/>
  <w:rsids>
    <w:rsidRoot w:val="00A976B6"/>
    <w:rsid w:val="00000178"/>
    <w:rsid w:val="00002361"/>
    <w:rsid w:val="00005466"/>
    <w:rsid w:val="00007386"/>
    <w:rsid w:val="000105FF"/>
    <w:rsid w:val="000145D6"/>
    <w:rsid w:val="00017FA6"/>
    <w:rsid w:val="0002091A"/>
    <w:rsid w:val="000247A5"/>
    <w:rsid w:val="000310F5"/>
    <w:rsid w:val="00047638"/>
    <w:rsid w:val="0005094B"/>
    <w:rsid w:val="00051067"/>
    <w:rsid w:val="00061A6B"/>
    <w:rsid w:val="000665DB"/>
    <w:rsid w:val="00083CBA"/>
    <w:rsid w:val="00086B20"/>
    <w:rsid w:val="000937FE"/>
    <w:rsid w:val="000977A7"/>
    <w:rsid w:val="000A1F70"/>
    <w:rsid w:val="000A76AE"/>
    <w:rsid w:val="000C7807"/>
    <w:rsid w:val="000C7C67"/>
    <w:rsid w:val="000E1F3F"/>
    <w:rsid w:val="000E1F79"/>
    <w:rsid w:val="000E36AD"/>
    <w:rsid w:val="000E3DA5"/>
    <w:rsid w:val="000F16C3"/>
    <w:rsid w:val="000F2E4F"/>
    <w:rsid w:val="001022E9"/>
    <w:rsid w:val="00105F6E"/>
    <w:rsid w:val="001133B9"/>
    <w:rsid w:val="00120BDC"/>
    <w:rsid w:val="001241B7"/>
    <w:rsid w:val="001301A8"/>
    <w:rsid w:val="00132051"/>
    <w:rsid w:val="00132F7B"/>
    <w:rsid w:val="00145995"/>
    <w:rsid w:val="0015021F"/>
    <w:rsid w:val="00156FC8"/>
    <w:rsid w:val="00157295"/>
    <w:rsid w:val="00164EE6"/>
    <w:rsid w:val="00166FC7"/>
    <w:rsid w:val="00170E99"/>
    <w:rsid w:val="001763A7"/>
    <w:rsid w:val="00181E8D"/>
    <w:rsid w:val="001832D5"/>
    <w:rsid w:val="00183627"/>
    <w:rsid w:val="001848E9"/>
    <w:rsid w:val="00184920"/>
    <w:rsid w:val="0018502C"/>
    <w:rsid w:val="00196B9E"/>
    <w:rsid w:val="001A2CBC"/>
    <w:rsid w:val="001A6445"/>
    <w:rsid w:val="001B06AF"/>
    <w:rsid w:val="001B51D3"/>
    <w:rsid w:val="001B7DCD"/>
    <w:rsid w:val="001D187B"/>
    <w:rsid w:val="001D6339"/>
    <w:rsid w:val="001D68BF"/>
    <w:rsid w:val="001E7FDE"/>
    <w:rsid w:val="001F1549"/>
    <w:rsid w:val="001F2DA4"/>
    <w:rsid w:val="001F4C9E"/>
    <w:rsid w:val="001F4DDA"/>
    <w:rsid w:val="00200E66"/>
    <w:rsid w:val="00210E4B"/>
    <w:rsid w:val="0021250C"/>
    <w:rsid w:val="002517EE"/>
    <w:rsid w:val="002519A6"/>
    <w:rsid w:val="00252B2A"/>
    <w:rsid w:val="00253EF6"/>
    <w:rsid w:val="00255B85"/>
    <w:rsid w:val="00257737"/>
    <w:rsid w:val="0028731E"/>
    <w:rsid w:val="002B024D"/>
    <w:rsid w:val="002B0CD0"/>
    <w:rsid w:val="002B6F2A"/>
    <w:rsid w:val="002C0F59"/>
    <w:rsid w:val="002C2ACF"/>
    <w:rsid w:val="002D3D25"/>
    <w:rsid w:val="002D58AC"/>
    <w:rsid w:val="002E37CC"/>
    <w:rsid w:val="002F1959"/>
    <w:rsid w:val="002F1A8B"/>
    <w:rsid w:val="002F61D4"/>
    <w:rsid w:val="00302B06"/>
    <w:rsid w:val="003042FE"/>
    <w:rsid w:val="00304496"/>
    <w:rsid w:val="00306250"/>
    <w:rsid w:val="003146FA"/>
    <w:rsid w:val="0031503A"/>
    <w:rsid w:val="00315D32"/>
    <w:rsid w:val="00316A31"/>
    <w:rsid w:val="00331369"/>
    <w:rsid w:val="00331969"/>
    <w:rsid w:val="00333B2A"/>
    <w:rsid w:val="00334A33"/>
    <w:rsid w:val="00340701"/>
    <w:rsid w:val="0034283F"/>
    <w:rsid w:val="00342BBE"/>
    <w:rsid w:val="003456E8"/>
    <w:rsid w:val="00363237"/>
    <w:rsid w:val="00364F79"/>
    <w:rsid w:val="0036690E"/>
    <w:rsid w:val="0037461F"/>
    <w:rsid w:val="00380377"/>
    <w:rsid w:val="00383E31"/>
    <w:rsid w:val="0039510C"/>
    <w:rsid w:val="003A1EC8"/>
    <w:rsid w:val="003A533C"/>
    <w:rsid w:val="003A5708"/>
    <w:rsid w:val="003A5AA4"/>
    <w:rsid w:val="003A778E"/>
    <w:rsid w:val="003B26D7"/>
    <w:rsid w:val="003C05C9"/>
    <w:rsid w:val="003C424B"/>
    <w:rsid w:val="003C6FAB"/>
    <w:rsid w:val="003C7E79"/>
    <w:rsid w:val="003D21FB"/>
    <w:rsid w:val="003D61A2"/>
    <w:rsid w:val="003D66B4"/>
    <w:rsid w:val="003E24FF"/>
    <w:rsid w:val="003F5F7D"/>
    <w:rsid w:val="003F7D9C"/>
    <w:rsid w:val="00401D11"/>
    <w:rsid w:val="00405E66"/>
    <w:rsid w:val="004119FD"/>
    <w:rsid w:val="00412CB7"/>
    <w:rsid w:val="004201B8"/>
    <w:rsid w:val="00425F0E"/>
    <w:rsid w:val="00426C43"/>
    <w:rsid w:val="004349E2"/>
    <w:rsid w:val="004507EB"/>
    <w:rsid w:val="004545AB"/>
    <w:rsid w:val="00455F18"/>
    <w:rsid w:val="00456B00"/>
    <w:rsid w:val="00462F63"/>
    <w:rsid w:val="00466917"/>
    <w:rsid w:val="00471C13"/>
    <w:rsid w:val="00473DF5"/>
    <w:rsid w:val="004747C1"/>
    <w:rsid w:val="004766B3"/>
    <w:rsid w:val="00477D9E"/>
    <w:rsid w:val="00480BB6"/>
    <w:rsid w:val="00486BC8"/>
    <w:rsid w:val="00490BAB"/>
    <w:rsid w:val="00490E4F"/>
    <w:rsid w:val="004A53FE"/>
    <w:rsid w:val="004B1065"/>
    <w:rsid w:val="004B1AD1"/>
    <w:rsid w:val="004B71F7"/>
    <w:rsid w:val="004D1E59"/>
    <w:rsid w:val="004D244E"/>
    <w:rsid w:val="004D65AF"/>
    <w:rsid w:val="004D7A6B"/>
    <w:rsid w:val="004E5AE2"/>
    <w:rsid w:val="004F39E8"/>
    <w:rsid w:val="004F7C81"/>
    <w:rsid w:val="00510322"/>
    <w:rsid w:val="00511678"/>
    <w:rsid w:val="005117CA"/>
    <w:rsid w:val="005131BA"/>
    <w:rsid w:val="0051719B"/>
    <w:rsid w:val="005209B4"/>
    <w:rsid w:val="00522B41"/>
    <w:rsid w:val="005266EA"/>
    <w:rsid w:val="00527B38"/>
    <w:rsid w:val="00530B4A"/>
    <w:rsid w:val="005405A4"/>
    <w:rsid w:val="0054185E"/>
    <w:rsid w:val="00543B0F"/>
    <w:rsid w:val="0054446B"/>
    <w:rsid w:val="00545AB8"/>
    <w:rsid w:val="00552826"/>
    <w:rsid w:val="0055527A"/>
    <w:rsid w:val="00556109"/>
    <w:rsid w:val="0056229E"/>
    <w:rsid w:val="005664EF"/>
    <w:rsid w:val="005677DF"/>
    <w:rsid w:val="00567B9C"/>
    <w:rsid w:val="00572D21"/>
    <w:rsid w:val="00575A91"/>
    <w:rsid w:val="005803EF"/>
    <w:rsid w:val="005824DB"/>
    <w:rsid w:val="00586B08"/>
    <w:rsid w:val="00596625"/>
    <w:rsid w:val="005A2857"/>
    <w:rsid w:val="005B044B"/>
    <w:rsid w:val="005B19E9"/>
    <w:rsid w:val="005B3ABC"/>
    <w:rsid w:val="005B3CB9"/>
    <w:rsid w:val="005B507B"/>
    <w:rsid w:val="005B5C23"/>
    <w:rsid w:val="005C2C54"/>
    <w:rsid w:val="005C33ED"/>
    <w:rsid w:val="005C67A0"/>
    <w:rsid w:val="005D2FD6"/>
    <w:rsid w:val="005E1D2E"/>
    <w:rsid w:val="005E2393"/>
    <w:rsid w:val="005F24BA"/>
    <w:rsid w:val="005F4D1E"/>
    <w:rsid w:val="0060561D"/>
    <w:rsid w:val="00612B9A"/>
    <w:rsid w:val="00613CDE"/>
    <w:rsid w:val="0062383C"/>
    <w:rsid w:val="0062641C"/>
    <w:rsid w:val="00631841"/>
    <w:rsid w:val="00635FC5"/>
    <w:rsid w:val="00641564"/>
    <w:rsid w:val="006536C2"/>
    <w:rsid w:val="00654B5D"/>
    <w:rsid w:val="00662B97"/>
    <w:rsid w:val="00667392"/>
    <w:rsid w:val="006749E7"/>
    <w:rsid w:val="00681AB0"/>
    <w:rsid w:val="0068776B"/>
    <w:rsid w:val="00695E72"/>
    <w:rsid w:val="0069696C"/>
    <w:rsid w:val="006A0596"/>
    <w:rsid w:val="006A180B"/>
    <w:rsid w:val="006A1838"/>
    <w:rsid w:val="006A3751"/>
    <w:rsid w:val="006A40CB"/>
    <w:rsid w:val="006A6D2B"/>
    <w:rsid w:val="006B1064"/>
    <w:rsid w:val="006B2FBA"/>
    <w:rsid w:val="006C41F1"/>
    <w:rsid w:val="006D44FA"/>
    <w:rsid w:val="006E1AC8"/>
    <w:rsid w:val="006E2789"/>
    <w:rsid w:val="006E3866"/>
    <w:rsid w:val="006E71A6"/>
    <w:rsid w:val="006E78B7"/>
    <w:rsid w:val="006F17CD"/>
    <w:rsid w:val="006F1A2C"/>
    <w:rsid w:val="006F4290"/>
    <w:rsid w:val="006F61F8"/>
    <w:rsid w:val="00713A3A"/>
    <w:rsid w:val="007156BC"/>
    <w:rsid w:val="0072135F"/>
    <w:rsid w:val="007235ED"/>
    <w:rsid w:val="00723A2E"/>
    <w:rsid w:val="00725E87"/>
    <w:rsid w:val="00727CBF"/>
    <w:rsid w:val="00730661"/>
    <w:rsid w:val="007310F4"/>
    <w:rsid w:val="00731117"/>
    <w:rsid w:val="0073372C"/>
    <w:rsid w:val="00744204"/>
    <w:rsid w:val="00753183"/>
    <w:rsid w:val="00754997"/>
    <w:rsid w:val="00754C35"/>
    <w:rsid w:val="0075655F"/>
    <w:rsid w:val="00756AA5"/>
    <w:rsid w:val="007577EB"/>
    <w:rsid w:val="00761596"/>
    <w:rsid w:val="00767BA0"/>
    <w:rsid w:val="00770F15"/>
    <w:rsid w:val="007748EF"/>
    <w:rsid w:val="00777338"/>
    <w:rsid w:val="00777D90"/>
    <w:rsid w:val="00781029"/>
    <w:rsid w:val="007914BB"/>
    <w:rsid w:val="00792CEF"/>
    <w:rsid w:val="00793797"/>
    <w:rsid w:val="007B49E0"/>
    <w:rsid w:val="007B7828"/>
    <w:rsid w:val="007C0158"/>
    <w:rsid w:val="007C2DE3"/>
    <w:rsid w:val="007C5E15"/>
    <w:rsid w:val="007D1684"/>
    <w:rsid w:val="007D21C9"/>
    <w:rsid w:val="007D4DCA"/>
    <w:rsid w:val="007E04CF"/>
    <w:rsid w:val="007E2973"/>
    <w:rsid w:val="007E3684"/>
    <w:rsid w:val="007E7EF9"/>
    <w:rsid w:val="00800B7B"/>
    <w:rsid w:val="008109F5"/>
    <w:rsid w:val="00813316"/>
    <w:rsid w:val="0081657F"/>
    <w:rsid w:val="00816B0B"/>
    <w:rsid w:val="00832702"/>
    <w:rsid w:val="00850485"/>
    <w:rsid w:val="00851A82"/>
    <w:rsid w:val="00853AE6"/>
    <w:rsid w:val="0085673B"/>
    <w:rsid w:val="008578CB"/>
    <w:rsid w:val="00861415"/>
    <w:rsid w:val="00861B6B"/>
    <w:rsid w:val="0086253C"/>
    <w:rsid w:val="00862AC8"/>
    <w:rsid w:val="00864523"/>
    <w:rsid w:val="00864A16"/>
    <w:rsid w:val="00866276"/>
    <w:rsid w:val="00867AE9"/>
    <w:rsid w:val="0088341C"/>
    <w:rsid w:val="008862EF"/>
    <w:rsid w:val="0088739E"/>
    <w:rsid w:val="008A5292"/>
    <w:rsid w:val="008A77DA"/>
    <w:rsid w:val="008B1B4C"/>
    <w:rsid w:val="008B52D0"/>
    <w:rsid w:val="008B74DA"/>
    <w:rsid w:val="008C4EB6"/>
    <w:rsid w:val="008D45BD"/>
    <w:rsid w:val="008E4BB9"/>
    <w:rsid w:val="008E7393"/>
    <w:rsid w:val="00905A5F"/>
    <w:rsid w:val="00905A63"/>
    <w:rsid w:val="00905C64"/>
    <w:rsid w:val="0091059D"/>
    <w:rsid w:val="00916C5F"/>
    <w:rsid w:val="00925A91"/>
    <w:rsid w:val="00925F8A"/>
    <w:rsid w:val="0093096C"/>
    <w:rsid w:val="0093306C"/>
    <w:rsid w:val="00942C73"/>
    <w:rsid w:val="00951E73"/>
    <w:rsid w:val="0095221C"/>
    <w:rsid w:val="00957500"/>
    <w:rsid w:val="009620B3"/>
    <w:rsid w:val="0096274A"/>
    <w:rsid w:val="0097310B"/>
    <w:rsid w:val="00974B0E"/>
    <w:rsid w:val="00985540"/>
    <w:rsid w:val="009868EB"/>
    <w:rsid w:val="00993861"/>
    <w:rsid w:val="0099742C"/>
    <w:rsid w:val="009A2747"/>
    <w:rsid w:val="009A505A"/>
    <w:rsid w:val="009A58F8"/>
    <w:rsid w:val="009B04CF"/>
    <w:rsid w:val="009C0A81"/>
    <w:rsid w:val="009C15D0"/>
    <w:rsid w:val="009C25F6"/>
    <w:rsid w:val="009C2EF3"/>
    <w:rsid w:val="009C5A88"/>
    <w:rsid w:val="009D2F34"/>
    <w:rsid w:val="009D56C4"/>
    <w:rsid w:val="009D68D5"/>
    <w:rsid w:val="009D7830"/>
    <w:rsid w:val="009E2412"/>
    <w:rsid w:val="009F04B8"/>
    <w:rsid w:val="009F2287"/>
    <w:rsid w:val="009F6A38"/>
    <w:rsid w:val="009F7A57"/>
    <w:rsid w:val="00A0555F"/>
    <w:rsid w:val="00A05B69"/>
    <w:rsid w:val="00A10391"/>
    <w:rsid w:val="00A14C8D"/>
    <w:rsid w:val="00A15D45"/>
    <w:rsid w:val="00A230E8"/>
    <w:rsid w:val="00A37B89"/>
    <w:rsid w:val="00A41048"/>
    <w:rsid w:val="00A520A3"/>
    <w:rsid w:val="00A52866"/>
    <w:rsid w:val="00A56E40"/>
    <w:rsid w:val="00A574D2"/>
    <w:rsid w:val="00A60052"/>
    <w:rsid w:val="00A62422"/>
    <w:rsid w:val="00A6546A"/>
    <w:rsid w:val="00A81AE7"/>
    <w:rsid w:val="00A85F3F"/>
    <w:rsid w:val="00A86F7B"/>
    <w:rsid w:val="00A905C6"/>
    <w:rsid w:val="00A90DFB"/>
    <w:rsid w:val="00A92F9E"/>
    <w:rsid w:val="00A976B6"/>
    <w:rsid w:val="00A97818"/>
    <w:rsid w:val="00AA0990"/>
    <w:rsid w:val="00AA33EC"/>
    <w:rsid w:val="00AA55BA"/>
    <w:rsid w:val="00AA777D"/>
    <w:rsid w:val="00AB0027"/>
    <w:rsid w:val="00AB1BE9"/>
    <w:rsid w:val="00AB23EE"/>
    <w:rsid w:val="00AB553C"/>
    <w:rsid w:val="00AE02FA"/>
    <w:rsid w:val="00AE10DA"/>
    <w:rsid w:val="00AE1AFA"/>
    <w:rsid w:val="00AE27AC"/>
    <w:rsid w:val="00AF5C86"/>
    <w:rsid w:val="00AF6D2F"/>
    <w:rsid w:val="00B00A00"/>
    <w:rsid w:val="00B01FBA"/>
    <w:rsid w:val="00B035D3"/>
    <w:rsid w:val="00B0574E"/>
    <w:rsid w:val="00B12328"/>
    <w:rsid w:val="00B12946"/>
    <w:rsid w:val="00B13B3F"/>
    <w:rsid w:val="00B20315"/>
    <w:rsid w:val="00B20F5C"/>
    <w:rsid w:val="00B21BDB"/>
    <w:rsid w:val="00B30F0E"/>
    <w:rsid w:val="00B35B37"/>
    <w:rsid w:val="00B40311"/>
    <w:rsid w:val="00B5106E"/>
    <w:rsid w:val="00B57256"/>
    <w:rsid w:val="00B714E3"/>
    <w:rsid w:val="00B71871"/>
    <w:rsid w:val="00B73CF7"/>
    <w:rsid w:val="00B76CC0"/>
    <w:rsid w:val="00B77F31"/>
    <w:rsid w:val="00B84604"/>
    <w:rsid w:val="00B933BF"/>
    <w:rsid w:val="00B9509A"/>
    <w:rsid w:val="00BA4A1B"/>
    <w:rsid w:val="00BA650D"/>
    <w:rsid w:val="00BA65B3"/>
    <w:rsid w:val="00BB71C1"/>
    <w:rsid w:val="00BC220A"/>
    <w:rsid w:val="00BC2DF5"/>
    <w:rsid w:val="00BC2F08"/>
    <w:rsid w:val="00BC3C48"/>
    <w:rsid w:val="00BC7C44"/>
    <w:rsid w:val="00BD279E"/>
    <w:rsid w:val="00BD574E"/>
    <w:rsid w:val="00BD5911"/>
    <w:rsid w:val="00BD6612"/>
    <w:rsid w:val="00BE2444"/>
    <w:rsid w:val="00BE4E39"/>
    <w:rsid w:val="00BE5B1B"/>
    <w:rsid w:val="00BF1CF4"/>
    <w:rsid w:val="00BF5636"/>
    <w:rsid w:val="00BF575C"/>
    <w:rsid w:val="00C07512"/>
    <w:rsid w:val="00C173BC"/>
    <w:rsid w:val="00C21E98"/>
    <w:rsid w:val="00C23A8E"/>
    <w:rsid w:val="00C2411B"/>
    <w:rsid w:val="00C25EE4"/>
    <w:rsid w:val="00C275AB"/>
    <w:rsid w:val="00C27FD7"/>
    <w:rsid w:val="00C31139"/>
    <w:rsid w:val="00C32B41"/>
    <w:rsid w:val="00C372E4"/>
    <w:rsid w:val="00C37B5D"/>
    <w:rsid w:val="00C4189C"/>
    <w:rsid w:val="00C4568C"/>
    <w:rsid w:val="00C51F59"/>
    <w:rsid w:val="00C52886"/>
    <w:rsid w:val="00C76BFB"/>
    <w:rsid w:val="00C815CD"/>
    <w:rsid w:val="00C81710"/>
    <w:rsid w:val="00C817AD"/>
    <w:rsid w:val="00C84305"/>
    <w:rsid w:val="00C84D24"/>
    <w:rsid w:val="00C9629F"/>
    <w:rsid w:val="00CA6B51"/>
    <w:rsid w:val="00CB3B7B"/>
    <w:rsid w:val="00CC4351"/>
    <w:rsid w:val="00CC4C41"/>
    <w:rsid w:val="00CD04F0"/>
    <w:rsid w:val="00CE1BC8"/>
    <w:rsid w:val="00CE722C"/>
    <w:rsid w:val="00CF0904"/>
    <w:rsid w:val="00CF3FEF"/>
    <w:rsid w:val="00CF570A"/>
    <w:rsid w:val="00CF75CB"/>
    <w:rsid w:val="00D02F59"/>
    <w:rsid w:val="00D14C3B"/>
    <w:rsid w:val="00D23B05"/>
    <w:rsid w:val="00D24CD7"/>
    <w:rsid w:val="00D31780"/>
    <w:rsid w:val="00D33759"/>
    <w:rsid w:val="00D34483"/>
    <w:rsid w:val="00D3631D"/>
    <w:rsid w:val="00D4044E"/>
    <w:rsid w:val="00D44CAB"/>
    <w:rsid w:val="00D55F5A"/>
    <w:rsid w:val="00D562EA"/>
    <w:rsid w:val="00D616C5"/>
    <w:rsid w:val="00D637B7"/>
    <w:rsid w:val="00D81889"/>
    <w:rsid w:val="00D81F10"/>
    <w:rsid w:val="00D84C7A"/>
    <w:rsid w:val="00D91721"/>
    <w:rsid w:val="00D9369D"/>
    <w:rsid w:val="00D95EBD"/>
    <w:rsid w:val="00D97AE9"/>
    <w:rsid w:val="00D97E85"/>
    <w:rsid w:val="00DA0416"/>
    <w:rsid w:val="00DA14BE"/>
    <w:rsid w:val="00DC674B"/>
    <w:rsid w:val="00DD194C"/>
    <w:rsid w:val="00DD418E"/>
    <w:rsid w:val="00DF65E2"/>
    <w:rsid w:val="00DF6E09"/>
    <w:rsid w:val="00E024E0"/>
    <w:rsid w:val="00E029F3"/>
    <w:rsid w:val="00E16A41"/>
    <w:rsid w:val="00E17784"/>
    <w:rsid w:val="00E2154A"/>
    <w:rsid w:val="00E25D71"/>
    <w:rsid w:val="00E30AD8"/>
    <w:rsid w:val="00E4492A"/>
    <w:rsid w:val="00E44F68"/>
    <w:rsid w:val="00E527E3"/>
    <w:rsid w:val="00E550EA"/>
    <w:rsid w:val="00E678BE"/>
    <w:rsid w:val="00E8089E"/>
    <w:rsid w:val="00E82E8A"/>
    <w:rsid w:val="00E867C5"/>
    <w:rsid w:val="00E87DD0"/>
    <w:rsid w:val="00E91048"/>
    <w:rsid w:val="00E954D3"/>
    <w:rsid w:val="00E9562F"/>
    <w:rsid w:val="00EA124A"/>
    <w:rsid w:val="00EA2340"/>
    <w:rsid w:val="00EA32BD"/>
    <w:rsid w:val="00EB07BD"/>
    <w:rsid w:val="00EB34D5"/>
    <w:rsid w:val="00EB40CB"/>
    <w:rsid w:val="00EB69BD"/>
    <w:rsid w:val="00EC15A6"/>
    <w:rsid w:val="00EC5DAC"/>
    <w:rsid w:val="00ED3500"/>
    <w:rsid w:val="00ED779D"/>
    <w:rsid w:val="00EE3275"/>
    <w:rsid w:val="00EE632C"/>
    <w:rsid w:val="00EF1296"/>
    <w:rsid w:val="00EF315C"/>
    <w:rsid w:val="00F14818"/>
    <w:rsid w:val="00F24C82"/>
    <w:rsid w:val="00F255F4"/>
    <w:rsid w:val="00F26E24"/>
    <w:rsid w:val="00F3295D"/>
    <w:rsid w:val="00F32B3F"/>
    <w:rsid w:val="00F467F1"/>
    <w:rsid w:val="00F468CD"/>
    <w:rsid w:val="00F46CAF"/>
    <w:rsid w:val="00F52154"/>
    <w:rsid w:val="00F52873"/>
    <w:rsid w:val="00F67555"/>
    <w:rsid w:val="00F67B0C"/>
    <w:rsid w:val="00F67E78"/>
    <w:rsid w:val="00F7045D"/>
    <w:rsid w:val="00F70C3D"/>
    <w:rsid w:val="00F7495D"/>
    <w:rsid w:val="00F857C6"/>
    <w:rsid w:val="00F85862"/>
    <w:rsid w:val="00F91653"/>
    <w:rsid w:val="00F93525"/>
    <w:rsid w:val="00FA2772"/>
    <w:rsid w:val="00FA3A2C"/>
    <w:rsid w:val="00FB3E9B"/>
    <w:rsid w:val="00FC191A"/>
    <w:rsid w:val="00FC2FEF"/>
    <w:rsid w:val="00FC4512"/>
    <w:rsid w:val="00FC5811"/>
    <w:rsid w:val="00FD10A2"/>
    <w:rsid w:val="00FD6E70"/>
    <w:rsid w:val="00FE0D44"/>
    <w:rsid w:val="00FE3C0E"/>
    <w:rsid w:val="00FE7C18"/>
    <w:rsid w:val="00FE7F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11"/>
  </w:style>
  <w:style w:type="paragraph" w:styleId="Titre1">
    <w:name w:val="heading 1"/>
    <w:basedOn w:val="Normal"/>
    <w:next w:val="Normal"/>
    <w:link w:val="Titre1Car"/>
    <w:uiPriority w:val="9"/>
    <w:qFormat/>
    <w:rsid w:val="00832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86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86B0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586B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5D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DAC"/>
    <w:rPr>
      <w:rFonts w:ascii="Tahoma" w:hAnsi="Tahoma" w:cs="Tahoma"/>
      <w:sz w:val="16"/>
      <w:szCs w:val="16"/>
    </w:rPr>
  </w:style>
  <w:style w:type="paragraph" w:styleId="NormalWeb">
    <w:name w:val="Normal (Web)"/>
    <w:basedOn w:val="Normal"/>
    <w:uiPriority w:val="99"/>
    <w:semiHidden/>
    <w:unhideWhenUsed/>
    <w:rsid w:val="00490B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51A82"/>
    <w:pPr>
      <w:ind w:left="720"/>
      <w:contextualSpacing/>
    </w:pPr>
  </w:style>
  <w:style w:type="table" w:styleId="Grilledutableau">
    <w:name w:val="Table Grid"/>
    <w:basedOn w:val="TableauNormal"/>
    <w:uiPriority w:val="59"/>
    <w:rsid w:val="0096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9E2412"/>
    <w:pPr>
      <w:tabs>
        <w:tab w:val="center" w:pos="4536"/>
        <w:tab w:val="right" w:pos="9072"/>
      </w:tabs>
      <w:spacing w:after="0" w:line="240" w:lineRule="auto"/>
    </w:pPr>
  </w:style>
  <w:style w:type="character" w:customStyle="1" w:styleId="En-tteCar">
    <w:name w:val="En-tête Car"/>
    <w:basedOn w:val="Policepardfaut"/>
    <w:link w:val="En-tte"/>
    <w:uiPriority w:val="99"/>
    <w:rsid w:val="009E2412"/>
  </w:style>
  <w:style w:type="paragraph" w:styleId="Pieddepage">
    <w:name w:val="footer"/>
    <w:basedOn w:val="Normal"/>
    <w:link w:val="PieddepageCar"/>
    <w:uiPriority w:val="99"/>
    <w:unhideWhenUsed/>
    <w:rsid w:val="009E24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2412"/>
  </w:style>
  <w:style w:type="character" w:styleId="Lienhypertexte">
    <w:name w:val="Hyperlink"/>
    <w:basedOn w:val="Policepardfaut"/>
    <w:uiPriority w:val="99"/>
    <w:rsid w:val="00A05B69"/>
    <w:rPr>
      <w:color w:val="0000FF"/>
      <w:u w:val="single"/>
    </w:rPr>
  </w:style>
  <w:style w:type="character" w:customStyle="1" w:styleId="Titre1Car">
    <w:name w:val="Titre 1 Car"/>
    <w:basedOn w:val="Policepardfaut"/>
    <w:link w:val="Titre1"/>
    <w:uiPriority w:val="9"/>
    <w:rsid w:val="0083270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832702"/>
    <w:pPr>
      <w:outlineLvl w:val="9"/>
    </w:pPr>
  </w:style>
  <w:style w:type="paragraph" w:styleId="TM1">
    <w:name w:val="toc 1"/>
    <w:basedOn w:val="Normal"/>
    <w:next w:val="Normal"/>
    <w:autoRedefine/>
    <w:uiPriority w:val="39"/>
    <w:unhideWhenUsed/>
    <w:rsid w:val="00832702"/>
    <w:pPr>
      <w:spacing w:after="100"/>
    </w:pPr>
  </w:style>
  <w:style w:type="paragraph" w:styleId="Lgende">
    <w:name w:val="caption"/>
    <w:basedOn w:val="Normal"/>
    <w:next w:val="Normal"/>
    <w:uiPriority w:val="35"/>
    <w:unhideWhenUsed/>
    <w:qFormat/>
    <w:rsid w:val="00832702"/>
    <w:pPr>
      <w:spacing w:line="240" w:lineRule="auto"/>
    </w:pPr>
    <w:rPr>
      <w:b/>
      <w:bCs/>
      <w:color w:val="4F81BD" w:themeColor="accent1"/>
      <w:sz w:val="18"/>
      <w:szCs w:val="18"/>
    </w:rPr>
  </w:style>
  <w:style w:type="paragraph" w:styleId="Tabledesillustrations">
    <w:name w:val="table of figures"/>
    <w:basedOn w:val="Normal"/>
    <w:next w:val="Normal"/>
    <w:uiPriority w:val="99"/>
    <w:unhideWhenUsed/>
    <w:rsid w:val="00832702"/>
    <w:pPr>
      <w:spacing w:after="0"/>
    </w:pPr>
  </w:style>
  <w:style w:type="character" w:customStyle="1" w:styleId="Titre2Car">
    <w:name w:val="Titre 2 Car"/>
    <w:basedOn w:val="Policepardfaut"/>
    <w:link w:val="Titre2"/>
    <w:uiPriority w:val="9"/>
    <w:semiHidden/>
    <w:rsid w:val="00586B0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86B08"/>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586B08"/>
    <w:pPr>
      <w:spacing w:after="100"/>
      <w:ind w:left="220"/>
    </w:pPr>
  </w:style>
  <w:style w:type="paragraph" w:styleId="TM3">
    <w:name w:val="toc 3"/>
    <w:basedOn w:val="Normal"/>
    <w:next w:val="Normal"/>
    <w:autoRedefine/>
    <w:uiPriority w:val="39"/>
    <w:unhideWhenUsed/>
    <w:rsid w:val="00586B08"/>
    <w:pPr>
      <w:spacing w:after="100"/>
      <w:ind w:left="440"/>
    </w:pPr>
  </w:style>
  <w:style w:type="character" w:customStyle="1" w:styleId="Titre4Car">
    <w:name w:val="Titre 4 Car"/>
    <w:basedOn w:val="Policepardfaut"/>
    <w:link w:val="Titre4"/>
    <w:uiPriority w:val="9"/>
    <w:semiHidden/>
    <w:rsid w:val="00586B08"/>
    <w:rPr>
      <w:rFonts w:asciiTheme="majorHAnsi" w:eastAsiaTheme="majorEastAsia" w:hAnsiTheme="majorHAnsi" w:cstheme="majorBidi"/>
      <w:b/>
      <w:bCs/>
      <w:i/>
      <w:iCs/>
      <w:color w:val="4F81BD" w:themeColor="accent1"/>
    </w:rPr>
  </w:style>
  <w:style w:type="paragraph" w:styleId="TM4">
    <w:name w:val="toc 4"/>
    <w:basedOn w:val="Normal"/>
    <w:next w:val="Normal"/>
    <w:autoRedefine/>
    <w:uiPriority w:val="39"/>
    <w:unhideWhenUsed/>
    <w:rsid w:val="003D21FB"/>
    <w:pPr>
      <w:spacing w:after="100"/>
      <w:ind w:left="660"/>
    </w:pPr>
  </w:style>
  <w:style w:type="paragraph" w:styleId="Sansinterligne">
    <w:name w:val="No Spacing"/>
    <w:link w:val="SansinterligneCar"/>
    <w:uiPriority w:val="1"/>
    <w:qFormat/>
    <w:rsid w:val="007B49E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B49E0"/>
    <w:rPr>
      <w:rFonts w:eastAsiaTheme="minorEastAsia"/>
    </w:rPr>
  </w:style>
</w:styles>
</file>

<file path=word/webSettings.xml><?xml version="1.0" encoding="utf-8"?>
<w:webSettings xmlns:r="http://schemas.openxmlformats.org/officeDocument/2006/relationships" xmlns:w="http://schemas.openxmlformats.org/wordprocessingml/2006/main">
  <w:divs>
    <w:div w:id="26029463">
      <w:bodyDiv w:val="1"/>
      <w:marLeft w:val="0"/>
      <w:marRight w:val="0"/>
      <w:marTop w:val="0"/>
      <w:marBottom w:val="0"/>
      <w:divBdr>
        <w:top w:val="none" w:sz="0" w:space="0" w:color="auto"/>
        <w:left w:val="none" w:sz="0" w:space="0" w:color="auto"/>
        <w:bottom w:val="none" w:sz="0" w:space="0" w:color="auto"/>
        <w:right w:val="none" w:sz="0" w:space="0" w:color="auto"/>
      </w:divBdr>
      <w:divsChild>
        <w:div w:id="839083687">
          <w:marLeft w:val="547"/>
          <w:marRight w:val="0"/>
          <w:marTop w:val="134"/>
          <w:marBottom w:val="0"/>
          <w:divBdr>
            <w:top w:val="none" w:sz="0" w:space="0" w:color="auto"/>
            <w:left w:val="none" w:sz="0" w:space="0" w:color="auto"/>
            <w:bottom w:val="none" w:sz="0" w:space="0" w:color="auto"/>
            <w:right w:val="none" w:sz="0" w:space="0" w:color="auto"/>
          </w:divBdr>
        </w:div>
        <w:div w:id="1210722717">
          <w:marLeft w:val="547"/>
          <w:marRight w:val="0"/>
          <w:marTop w:val="134"/>
          <w:marBottom w:val="0"/>
          <w:divBdr>
            <w:top w:val="none" w:sz="0" w:space="0" w:color="auto"/>
            <w:left w:val="none" w:sz="0" w:space="0" w:color="auto"/>
            <w:bottom w:val="none" w:sz="0" w:space="0" w:color="auto"/>
            <w:right w:val="none" w:sz="0" w:space="0" w:color="auto"/>
          </w:divBdr>
        </w:div>
        <w:div w:id="1447963939">
          <w:marLeft w:val="547"/>
          <w:marRight w:val="0"/>
          <w:marTop w:val="134"/>
          <w:marBottom w:val="0"/>
          <w:divBdr>
            <w:top w:val="none" w:sz="0" w:space="0" w:color="auto"/>
            <w:left w:val="none" w:sz="0" w:space="0" w:color="auto"/>
            <w:bottom w:val="none" w:sz="0" w:space="0" w:color="auto"/>
            <w:right w:val="none" w:sz="0" w:space="0" w:color="auto"/>
          </w:divBdr>
        </w:div>
        <w:div w:id="2004701582">
          <w:marLeft w:val="547"/>
          <w:marRight w:val="0"/>
          <w:marTop w:val="134"/>
          <w:marBottom w:val="0"/>
          <w:divBdr>
            <w:top w:val="none" w:sz="0" w:space="0" w:color="auto"/>
            <w:left w:val="none" w:sz="0" w:space="0" w:color="auto"/>
            <w:bottom w:val="none" w:sz="0" w:space="0" w:color="auto"/>
            <w:right w:val="none" w:sz="0" w:space="0" w:color="auto"/>
          </w:divBdr>
        </w:div>
      </w:divsChild>
    </w:div>
    <w:div w:id="33114974">
      <w:bodyDiv w:val="1"/>
      <w:marLeft w:val="0"/>
      <w:marRight w:val="0"/>
      <w:marTop w:val="0"/>
      <w:marBottom w:val="0"/>
      <w:divBdr>
        <w:top w:val="none" w:sz="0" w:space="0" w:color="auto"/>
        <w:left w:val="none" w:sz="0" w:space="0" w:color="auto"/>
        <w:bottom w:val="none" w:sz="0" w:space="0" w:color="auto"/>
        <w:right w:val="none" w:sz="0" w:space="0" w:color="auto"/>
      </w:divBdr>
      <w:divsChild>
        <w:div w:id="1963993911">
          <w:marLeft w:val="547"/>
          <w:marRight w:val="0"/>
          <w:marTop w:val="154"/>
          <w:marBottom w:val="0"/>
          <w:divBdr>
            <w:top w:val="none" w:sz="0" w:space="0" w:color="auto"/>
            <w:left w:val="none" w:sz="0" w:space="0" w:color="auto"/>
            <w:bottom w:val="none" w:sz="0" w:space="0" w:color="auto"/>
            <w:right w:val="none" w:sz="0" w:space="0" w:color="auto"/>
          </w:divBdr>
        </w:div>
      </w:divsChild>
    </w:div>
    <w:div w:id="37125654">
      <w:bodyDiv w:val="1"/>
      <w:marLeft w:val="0"/>
      <w:marRight w:val="0"/>
      <w:marTop w:val="0"/>
      <w:marBottom w:val="0"/>
      <w:divBdr>
        <w:top w:val="none" w:sz="0" w:space="0" w:color="auto"/>
        <w:left w:val="none" w:sz="0" w:space="0" w:color="auto"/>
        <w:bottom w:val="none" w:sz="0" w:space="0" w:color="auto"/>
        <w:right w:val="none" w:sz="0" w:space="0" w:color="auto"/>
      </w:divBdr>
    </w:div>
    <w:div w:id="44303051">
      <w:bodyDiv w:val="1"/>
      <w:marLeft w:val="0"/>
      <w:marRight w:val="0"/>
      <w:marTop w:val="0"/>
      <w:marBottom w:val="0"/>
      <w:divBdr>
        <w:top w:val="none" w:sz="0" w:space="0" w:color="auto"/>
        <w:left w:val="none" w:sz="0" w:space="0" w:color="auto"/>
        <w:bottom w:val="none" w:sz="0" w:space="0" w:color="auto"/>
        <w:right w:val="none" w:sz="0" w:space="0" w:color="auto"/>
      </w:divBdr>
    </w:div>
    <w:div w:id="73742884">
      <w:bodyDiv w:val="1"/>
      <w:marLeft w:val="0"/>
      <w:marRight w:val="0"/>
      <w:marTop w:val="0"/>
      <w:marBottom w:val="0"/>
      <w:divBdr>
        <w:top w:val="none" w:sz="0" w:space="0" w:color="auto"/>
        <w:left w:val="none" w:sz="0" w:space="0" w:color="auto"/>
        <w:bottom w:val="none" w:sz="0" w:space="0" w:color="auto"/>
        <w:right w:val="none" w:sz="0" w:space="0" w:color="auto"/>
      </w:divBdr>
    </w:div>
    <w:div w:id="106044462">
      <w:bodyDiv w:val="1"/>
      <w:marLeft w:val="0"/>
      <w:marRight w:val="0"/>
      <w:marTop w:val="0"/>
      <w:marBottom w:val="0"/>
      <w:divBdr>
        <w:top w:val="none" w:sz="0" w:space="0" w:color="auto"/>
        <w:left w:val="none" w:sz="0" w:space="0" w:color="auto"/>
        <w:bottom w:val="none" w:sz="0" w:space="0" w:color="auto"/>
        <w:right w:val="none" w:sz="0" w:space="0" w:color="auto"/>
      </w:divBdr>
      <w:divsChild>
        <w:div w:id="1949893556">
          <w:marLeft w:val="547"/>
          <w:marRight w:val="0"/>
          <w:marTop w:val="134"/>
          <w:marBottom w:val="0"/>
          <w:divBdr>
            <w:top w:val="none" w:sz="0" w:space="0" w:color="auto"/>
            <w:left w:val="none" w:sz="0" w:space="0" w:color="auto"/>
            <w:bottom w:val="none" w:sz="0" w:space="0" w:color="auto"/>
            <w:right w:val="none" w:sz="0" w:space="0" w:color="auto"/>
          </w:divBdr>
        </w:div>
      </w:divsChild>
    </w:div>
    <w:div w:id="118187059">
      <w:bodyDiv w:val="1"/>
      <w:marLeft w:val="0"/>
      <w:marRight w:val="0"/>
      <w:marTop w:val="0"/>
      <w:marBottom w:val="0"/>
      <w:divBdr>
        <w:top w:val="none" w:sz="0" w:space="0" w:color="auto"/>
        <w:left w:val="none" w:sz="0" w:space="0" w:color="auto"/>
        <w:bottom w:val="none" w:sz="0" w:space="0" w:color="auto"/>
        <w:right w:val="none" w:sz="0" w:space="0" w:color="auto"/>
      </w:divBdr>
      <w:divsChild>
        <w:div w:id="6446397">
          <w:marLeft w:val="547"/>
          <w:marRight w:val="0"/>
          <w:marTop w:val="134"/>
          <w:marBottom w:val="0"/>
          <w:divBdr>
            <w:top w:val="none" w:sz="0" w:space="0" w:color="auto"/>
            <w:left w:val="none" w:sz="0" w:space="0" w:color="auto"/>
            <w:bottom w:val="none" w:sz="0" w:space="0" w:color="auto"/>
            <w:right w:val="none" w:sz="0" w:space="0" w:color="auto"/>
          </w:divBdr>
        </w:div>
        <w:div w:id="856650515">
          <w:marLeft w:val="547"/>
          <w:marRight w:val="0"/>
          <w:marTop w:val="134"/>
          <w:marBottom w:val="0"/>
          <w:divBdr>
            <w:top w:val="none" w:sz="0" w:space="0" w:color="auto"/>
            <w:left w:val="none" w:sz="0" w:space="0" w:color="auto"/>
            <w:bottom w:val="none" w:sz="0" w:space="0" w:color="auto"/>
            <w:right w:val="none" w:sz="0" w:space="0" w:color="auto"/>
          </w:divBdr>
        </w:div>
        <w:div w:id="1126118347">
          <w:marLeft w:val="547"/>
          <w:marRight w:val="0"/>
          <w:marTop w:val="134"/>
          <w:marBottom w:val="0"/>
          <w:divBdr>
            <w:top w:val="none" w:sz="0" w:space="0" w:color="auto"/>
            <w:left w:val="none" w:sz="0" w:space="0" w:color="auto"/>
            <w:bottom w:val="none" w:sz="0" w:space="0" w:color="auto"/>
            <w:right w:val="none" w:sz="0" w:space="0" w:color="auto"/>
          </w:divBdr>
        </w:div>
        <w:div w:id="1765414286">
          <w:marLeft w:val="547"/>
          <w:marRight w:val="0"/>
          <w:marTop w:val="134"/>
          <w:marBottom w:val="0"/>
          <w:divBdr>
            <w:top w:val="none" w:sz="0" w:space="0" w:color="auto"/>
            <w:left w:val="none" w:sz="0" w:space="0" w:color="auto"/>
            <w:bottom w:val="none" w:sz="0" w:space="0" w:color="auto"/>
            <w:right w:val="none" w:sz="0" w:space="0" w:color="auto"/>
          </w:divBdr>
        </w:div>
        <w:div w:id="2048095752">
          <w:marLeft w:val="547"/>
          <w:marRight w:val="0"/>
          <w:marTop w:val="134"/>
          <w:marBottom w:val="0"/>
          <w:divBdr>
            <w:top w:val="none" w:sz="0" w:space="0" w:color="auto"/>
            <w:left w:val="none" w:sz="0" w:space="0" w:color="auto"/>
            <w:bottom w:val="none" w:sz="0" w:space="0" w:color="auto"/>
            <w:right w:val="none" w:sz="0" w:space="0" w:color="auto"/>
          </w:divBdr>
        </w:div>
        <w:div w:id="2098791254">
          <w:marLeft w:val="547"/>
          <w:marRight w:val="0"/>
          <w:marTop w:val="134"/>
          <w:marBottom w:val="0"/>
          <w:divBdr>
            <w:top w:val="none" w:sz="0" w:space="0" w:color="auto"/>
            <w:left w:val="none" w:sz="0" w:space="0" w:color="auto"/>
            <w:bottom w:val="none" w:sz="0" w:space="0" w:color="auto"/>
            <w:right w:val="none" w:sz="0" w:space="0" w:color="auto"/>
          </w:divBdr>
        </w:div>
      </w:divsChild>
    </w:div>
    <w:div w:id="130484021">
      <w:bodyDiv w:val="1"/>
      <w:marLeft w:val="0"/>
      <w:marRight w:val="0"/>
      <w:marTop w:val="0"/>
      <w:marBottom w:val="0"/>
      <w:divBdr>
        <w:top w:val="none" w:sz="0" w:space="0" w:color="auto"/>
        <w:left w:val="none" w:sz="0" w:space="0" w:color="auto"/>
        <w:bottom w:val="none" w:sz="0" w:space="0" w:color="auto"/>
        <w:right w:val="none" w:sz="0" w:space="0" w:color="auto"/>
      </w:divBdr>
    </w:div>
    <w:div w:id="144900222">
      <w:bodyDiv w:val="1"/>
      <w:marLeft w:val="0"/>
      <w:marRight w:val="0"/>
      <w:marTop w:val="0"/>
      <w:marBottom w:val="0"/>
      <w:divBdr>
        <w:top w:val="none" w:sz="0" w:space="0" w:color="auto"/>
        <w:left w:val="none" w:sz="0" w:space="0" w:color="auto"/>
        <w:bottom w:val="none" w:sz="0" w:space="0" w:color="auto"/>
        <w:right w:val="none" w:sz="0" w:space="0" w:color="auto"/>
      </w:divBdr>
      <w:divsChild>
        <w:div w:id="1239513866">
          <w:marLeft w:val="547"/>
          <w:marRight w:val="0"/>
          <w:marTop w:val="134"/>
          <w:marBottom w:val="0"/>
          <w:divBdr>
            <w:top w:val="none" w:sz="0" w:space="0" w:color="auto"/>
            <w:left w:val="none" w:sz="0" w:space="0" w:color="auto"/>
            <w:bottom w:val="none" w:sz="0" w:space="0" w:color="auto"/>
            <w:right w:val="none" w:sz="0" w:space="0" w:color="auto"/>
          </w:divBdr>
        </w:div>
        <w:div w:id="1529101566">
          <w:marLeft w:val="547"/>
          <w:marRight w:val="0"/>
          <w:marTop w:val="134"/>
          <w:marBottom w:val="0"/>
          <w:divBdr>
            <w:top w:val="none" w:sz="0" w:space="0" w:color="auto"/>
            <w:left w:val="none" w:sz="0" w:space="0" w:color="auto"/>
            <w:bottom w:val="none" w:sz="0" w:space="0" w:color="auto"/>
            <w:right w:val="none" w:sz="0" w:space="0" w:color="auto"/>
          </w:divBdr>
        </w:div>
      </w:divsChild>
    </w:div>
    <w:div w:id="145826941">
      <w:bodyDiv w:val="1"/>
      <w:marLeft w:val="0"/>
      <w:marRight w:val="0"/>
      <w:marTop w:val="0"/>
      <w:marBottom w:val="0"/>
      <w:divBdr>
        <w:top w:val="none" w:sz="0" w:space="0" w:color="auto"/>
        <w:left w:val="none" w:sz="0" w:space="0" w:color="auto"/>
        <w:bottom w:val="none" w:sz="0" w:space="0" w:color="auto"/>
        <w:right w:val="none" w:sz="0" w:space="0" w:color="auto"/>
      </w:divBdr>
    </w:div>
    <w:div w:id="146669953">
      <w:bodyDiv w:val="1"/>
      <w:marLeft w:val="0"/>
      <w:marRight w:val="0"/>
      <w:marTop w:val="0"/>
      <w:marBottom w:val="0"/>
      <w:divBdr>
        <w:top w:val="none" w:sz="0" w:space="0" w:color="auto"/>
        <w:left w:val="none" w:sz="0" w:space="0" w:color="auto"/>
        <w:bottom w:val="none" w:sz="0" w:space="0" w:color="auto"/>
        <w:right w:val="none" w:sz="0" w:space="0" w:color="auto"/>
      </w:divBdr>
    </w:div>
    <w:div w:id="158078861">
      <w:bodyDiv w:val="1"/>
      <w:marLeft w:val="0"/>
      <w:marRight w:val="0"/>
      <w:marTop w:val="0"/>
      <w:marBottom w:val="0"/>
      <w:divBdr>
        <w:top w:val="none" w:sz="0" w:space="0" w:color="auto"/>
        <w:left w:val="none" w:sz="0" w:space="0" w:color="auto"/>
        <w:bottom w:val="none" w:sz="0" w:space="0" w:color="auto"/>
        <w:right w:val="none" w:sz="0" w:space="0" w:color="auto"/>
      </w:divBdr>
      <w:divsChild>
        <w:div w:id="98181230">
          <w:marLeft w:val="547"/>
          <w:marRight w:val="0"/>
          <w:marTop w:val="134"/>
          <w:marBottom w:val="0"/>
          <w:divBdr>
            <w:top w:val="none" w:sz="0" w:space="0" w:color="auto"/>
            <w:left w:val="none" w:sz="0" w:space="0" w:color="auto"/>
            <w:bottom w:val="none" w:sz="0" w:space="0" w:color="auto"/>
            <w:right w:val="none" w:sz="0" w:space="0" w:color="auto"/>
          </w:divBdr>
        </w:div>
        <w:div w:id="673725710">
          <w:marLeft w:val="547"/>
          <w:marRight w:val="0"/>
          <w:marTop w:val="134"/>
          <w:marBottom w:val="0"/>
          <w:divBdr>
            <w:top w:val="none" w:sz="0" w:space="0" w:color="auto"/>
            <w:left w:val="none" w:sz="0" w:space="0" w:color="auto"/>
            <w:bottom w:val="none" w:sz="0" w:space="0" w:color="auto"/>
            <w:right w:val="none" w:sz="0" w:space="0" w:color="auto"/>
          </w:divBdr>
        </w:div>
        <w:div w:id="1303346527">
          <w:marLeft w:val="547"/>
          <w:marRight w:val="0"/>
          <w:marTop w:val="134"/>
          <w:marBottom w:val="0"/>
          <w:divBdr>
            <w:top w:val="none" w:sz="0" w:space="0" w:color="auto"/>
            <w:left w:val="none" w:sz="0" w:space="0" w:color="auto"/>
            <w:bottom w:val="none" w:sz="0" w:space="0" w:color="auto"/>
            <w:right w:val="none" w:sz="0" w:space="0" w:color="auto"/>
          </w:divBdr>
        </w:div>
        <w:div w:id="1316837479">
          <w:marLeft w:val="547"/>
          <w:marRight w:val="0"/>
          <w:marTop w:val="134"/>
          <w:marBottom w:val="0"/>
          <w:divBdr>
            <w:top w:val="none" w:sz="0" w:space="0" w:color="auto"/>
            <w:left w:val="none" w:sz="0" w:space="0" w:color="auto"/>
            <w:bottom w:val="none" w:sz="0" w:space="0" w:color="auto"/>
            <w:right w:val="none" w:sz="0" w:space="0" w:color="auto"/>
          </w:divBdr>
        </w:div>
        <w:div w:id="1698967415">
          <w:marLeft w:val="547"/>
          <w:marRight w:val="0"/>
          <w:marTop w:val="134"/>
          <w:marBottom w:val="0"/>
          <w:divBdr>
            <w:top w:val="none" w:sz="0" w:space="0" w:color="auto"/>
            <w:left w:val="none" w:sz="0" w:space="0" w:color="auto"/>
            <w:bottom w:val="none" w:sz="0" w:space="0" w:color="auto"/>
            <w:right w:val="none" w:sz="0" w:space="0" w:color="auto"/>
          </w:divBdr>
        </w:div>
      </w:divsChild>
    </w:div>
    <w:div w:id="166134574">
      <w:bodyDiv w:val="1"/>
      <w:marLeft w:val="0"/>
      <w:marRight w:val="0"/>
      <w:marTop w:val="0"/>
      <w:marBottom w:val="0"/>
      <w:divBdr>
        <w:top w:val="none" w:sz="0" w:space="0" w:color="auto"/>
        <w:left w:val="none" w:sz="0" w:space="0" w:color="auto"/>
        <w:bottom w:val="none" w:sz="0" w:space="0" w:color="auto"/>
        <w:right w:val="none" w:sz="0" w:space="0" w:color="auto"/>
      </w:divBdr>
    </w:div>
    <w:div w:id="170265215">
      <w:bodyDiv w:val="1"/>
      <w:marLeft w:val="0"/>
      <w:marRight w:val="0"/>
      <w:marTop w:val="0"/>
      <w:marBottom w:val="0"/>
      <w:divBdr>
        <w:top w:val="none" w:sz="0" w:space="0" w:color="auto"/>
        <w:left w:val="none" w:sz="0" w:space="0" w:color="auto"/>
        <w:bottom w:val="none" w:sz="0" w:space="0" w:color="auto"/>
        <w:right w:val="none" w:sz="0" w:space="0" w:color="auto"/>
      </w:divBdr>
      <w:divsChild>
        <w:div w:id="1003899536">
          <w:marLeft w:val="547"/>
          <w:marRight w:val="0"/>
          <w:marTop w:val="134"/>
          <w:marBottom w:val="0"/>
          <w:divBdr>
            <w:top w:val="none" w:sz="0" w:space="0" w:color="auto"/>
            <w:left w:val="none" w:sz="0" w:space="0" w:color="auto"/>
            <w:bottom w:val="none" w:sz="0" w:space="0" w:color="auto"/>
            <w:right w:val="none" w:sz="0" w:space="0" w:color="auto"/>
          </w:divBdr>
        </w:div>
      </w:divsChild>
    </w:div>
    <w:div w:id="170682281">
      <w:bodyDiv w:val="1"/>
      <w:marLeft w:val="0"/>
      <w:marRight w:val="0"/>
      <w:marTop w:val="0"/>
      <w:marBottom w:val="0"/>
      <w:divBdr>
        <w:top w:val="none" w:sz="0" w:space="0" w:color="auto"/>
        <w:left w:val="none" w:sz="0" w:space="0" w:color="auto"/>
        <w:bottom w:val="none" w:sz="0" w:space="0" w:color="auto"/>
        <w:right w:val="none" w:sz="0" w:space="0" w:color="auto"/>
      </w:divBdr>
      <w:divsChild>
        <w:div w:id="611012876">
          <w:marLeft w:val="1800"/>
          <w:marRight w:val="0"/>
          <w:marTop w:val="134"/>
          <w:marBottom w:val="0"/>
          <w:divBdr>
            <w:top w:val="none" w:sz="0" w:space="0" w:color="auto"/>
            <w:left w:val="none" w:sz="0" w:space="0" w:color="auto"/>
            <w:bottom w:val="none" w:sz="0" w:space="0" w:color="auto"/>
            <w:right w:val="none" w:sz="0" w:space="0" w:color="auto"/>
          </w:divBdr>
        </w:div>
        <w:div w:id="1189367917">
          <w:marLeft w:val="1800"/>
          <w:marRight w:val="0"/>
          <w:marTop w:val="134"/>
          <w:marBottom w:val="0"/>
          <w:divBdr>
            <w:top w:val="none" w:sz="0" w:space="0" w:color="auto"/>
            <w:left w:val="none" w:sz="0" w:space="0" w:color="auto"/>
            <w:bottom w:val="none" w:sz="0" w:space="0" w:color="auto"/>
            <w:right w:val="none" w:sz="0" w:space="0" w:color="auto"/>
          </w:divBdr>
        </w:div>
      </w:divsChild>
    </w:div>
    <w:div w:id="197089020">
      <w:bodyDiv w:val="1"/>
      <w:marLeft w:val="0"/>
      <w:marRight w:val="0"/>
      <w:marTop w:val="0"/>
      <w:marBottom w:val="0"/>
      <w:divBdr>
        <w:top w:val="none" w:sz="0" w:space="0" w:color="auto"/>
        <w:left w:val="none" w:sz="0" w:space="0" w:color="auto"/>
        <w:bottom w:val="none" w:sz="0" w:space="0" w:color="auto"/>
        <w:right w:val="none" w:sz="0" w:space="0" w:color="auto"/>
      </w:divBdr>
      <w:divsChild>
        <w:div w:id="433477555">
          <w:marLeft w:val="547"/>
          <w:marRight w:val="0"/>
          <w:marTop w:val="154"/>
          <w:marBottom w:val="0"/>
          <w:divBdr>
            <w:top w:val="none" w:sz="0" w:space="0" w:color="auto"/>
            <w:left w:val="none" w:sz="0" w:space="0" w:color="auto"/>
            <w:bottom w:val="none" w:sz="0" w:space="0" w:color="auto"/>
            <w:right w:val="none" w:sz="0" w:space="0" w:color="auto"/>
          </w:divBdr>
        </w:div>
        <w:div w:id="450251811">
          <w:marLeft w:val="547"/>
          <w:marRight w:val="0"/>
          <w:marTop w:val="154"/>
          <w:marBottom w:val="0"/>
          <w:divBdr>
            <w:top w:val="none" w:sz="0" w:space="0" w:color="auto"/>
            <w:left w:val="none" w:sz="0" w:space="0" w:color="auto"/>
            <w:bottom w:val="none" w:sz="0" w:space="0" w:color="auto"/>
            <w:right w:val="none" w:sz="0" w:space="0" w:color="auto"/>
          </w:divBdr>
        </w:div>
      </w:divsChild>
    </w:div>
    <w:div w:id="201601049">
      <w:bodyDiv w:val="1"/>
      <w:marLeft w:val="0"/>
      <w:marRight w:val="0"/>
      <w:marTop w:val="0"/>
      <w:marBottom w:val="0"/>
      <w:divBdr>
        <w:top w:val="none" w:sz="0" w:space="0" w:color="auto"/>
        <w:left w:val="none" w:sz="0" w:space="0" w:color="auto"/>
        <w:bottom w:val="none" w:sz="0" w:space="0" w:color="auto"/>
        <w:right w:val="none" w:sz="0" w:space="0" w:color="auto"/>
      </w:divBdr>
    </w:div>
    <w:div w:id="212888169">
      <w:bodyDiv w:val="1"/>
      <w:marLeft w:val="0"/>
      <w:marRight w:val="0"/>
      <w:marTop w:val="0"/>
      <w:marBottom w:val="0"/>
      <w:divBdr>
        <w:top w:val="none" w:sz="0" w:space="0" w:color="auto"/>
        <w:left w:val="none" w:sz="0" w:space="0" w:color="auto"/>
        <w:bottom w:val="none" w:sz="0" w:space="0" w:color="auto"/>
        <w:right w:val="none" w:sz="0" w:space="0" w:color="auto"/>
      </w:divBdr>
      <w:divsChild>
        <w:div w:id="299773702">
          <w:marLeft w:val="547"/>
          <w:marRight w:val="0"/>
          <w:marTop w:val="154"/>
          <w:marBottom w:val="0"/>
          <w:divBdr>
            <w:top w:val="none" w:sz="0" w:space="0" w:color="auto"/>
            <w:left w:val="none" w:sz="0" w:space="0" w:color="auto"/>
            <w:bottom w:val="none" w:sz="0" w:space="0" w:color="auto"/>
            <w:right w:val="none" w:sz="0" w:space="0" w:color="auto"/>
          </w:divBdr>
        </w:div>
        <w:div w:id="1032264276">
          <w:marLeft w:val="547"/>
          <w:marRight w:val="0"/>
          <w:marTop w:val="154"/>
          <w:marBottom w:val="0"/>
          <w:divBdr>
            <w:top w:val="none" w:sz="0" w:space="0" w:color="auto"/>
            <w:left w:val="none" w:sz="0" w:space="0" w:color="auto"/>
            <w:bottom w:val="none" w:sz="0" w:space="0" w:color="auto"/>
            <w:right w:val="none" w:sz="0" w:space="0" w:color="auto"/>
          </w:divBdr>
        </w:div>
      </w:divsChild>
    </w:div>
    <w:div w:id="225266068">
      <w:bodyDiv w:val="1"/>
      <w:marLeft w:val="0"/>
      <w:marRight w:val="0"/>
      <w:marTop w:val="0"/>
      <w:marBottom w:val="0"/>
      <w:divBdr>
        <w:top w:val="none" w:sz="0" w:space="0" w:color="auto"/>
        <w:left w:val="none" w:sz="0" w:space="0" w:color="auto"/>
        <w:bottom w:val="none" w:sz="0" w:space="0" w:color="auto"/>
        <w:right w:val="none" w:sz="0" w:space="0" w:color="auto"/>
      </w:divBdr>
    </w:div>
    <w:div w:id="231697808">
      <w:bodyDiv w:val="1"/>
      <w:marLeft w:val="0"/>
      <w:marRight w:val="0"/>
      <w:marTop w:val="0"/>
      <w:marBottom w:val="0"/>
      <w:divBdr>
        <w:top w:val="none" w:sz="0" w:space="0" w:color="auto"/>
        <w:left w:val="none" w:sz="0" w:space="0" w:color="auto"/>
        <w:bottom w:val="none" w:sz="0" w:space="0" w:color="auto"/>
        <w:right w:val="none" w:sz="0" w:space="0" w:color="auto"/>
      </w:divBdr>
      <w:divsChild>
        <w:div w:id="1594776175">
          <w:marLeft w:val="547"/>
          <w:marRight w:val="0"/>
          <w:marTop w:val="154"/>
          <w:marBottom w:val="0"/>
          <w:divBdr>
            <w:top w:val="none" w:sz="0" w:space="0" w:color="auto"/>
            <w:left w:val="none" w:sz="0" w:space="0" w:color="auto"/>
            <w:bottom w:val="none" w:sz="0" w:space="0" w:color="auto"/>
            <w:right w:val="none" w:sz="0" w:space="0" w:color="auto"/>
          </w:divBdr>
        </w:div>
        <w:div w:id="1984921102">
          <w:marLeft w:val="547"/>
          <w:marRight w:val="0"/>
          <w:marTop w:val="154"/>
          <w:marBottom w:val="0"/>
          <w:divBdr>
            <w:top w:val="none" w:sz="0" w:space="0" w:color="auto"/>
            <w:left w:val="none" w:sz="0" w:space="0" w:color="auto"/>
            <w:bottom w:val="none" w:sz="0" w:space="0" w:color="auto"/>
            <w:right w:val="none" w:sz="0" w:space="0" w:color="auto"/>
          </w:divBdr>
        </w:div>
      </w:divsChild>
    </w:div>
    <w:div w:id="238058885">
      <w:bodyDiv w:val="1"/>
      <w:marLeft w:val="0"/>
      <w:marRight w:val="0"/>
      <w:marTop w:val="0"/>
      <w:marBottom w:val="0"/>
      <w:divBdr>
        <w:top w:val="none" w:sz="0" w:space="0" w:color="auto"/>
        <w:left w:val="none" w:sz="0" w:space="0" w:color="auto"/>
        <w:bottom w:val="none" w:sz="0" w:space="0" w:color="auto"/>
        <w:right w:val="none" w:sz="0" w:space="0" w:color="auto"/>
      </w:divBdr>
    </w:div>
    <w:div w:id="257252097">
      <w:bodyDiv w:val="1"/>
      <w:marLeft w:val="0"/>
      <w:marRight w:val="0"/>
      <w:marTop w:val="0"/>
      <w:marBottom w:val="0"/>
      <w:divBdr>
        <w:top w:val="none" w:sz="0" w:space="0" w:color="auto"/>
        <w:left w:val="none" w:sz="0" w:space="0" w:color="auto"/>
        <w:bottom w:val="none" w:sz="0" w:space="0" w:color="auto"/>
        <w:right w:val="none" w:sz="0" w:space="0" w:color="auto"/>
      </w:divBdr>
      <w:divsChild>
        <w:div w:id="355428296">
          <w:marLeft w:val="547"/>
          <w:marRight w:val="0"/>
          <w:marTop w:val="115"/>
          <w:marBottom w:val="0"/>
          <w:divBdr>
            <w:top w:val="none" w:sz="0" w:space="0" w:color="auto"/>
            <w:left w:val="none" w:sz="0" w:space="0" w:color="auto"/>
            <w:bottom w:val="none" w:sz="0" w:space="0" w:color="auto"/>
            <w:right w:val="none" w:sz="0" w:space="0" w:color="auto"/>
          </w:divBdr>
        </w:div>
      </w:divsChild>
    </w:div>
    <w:div w:id="284308582">
      <w:bodyDiv w:val="1"/>
      <w:marLeft w:val="0"/>
      <w:marRight w:val="0"/>
      <w:marTop w:val="0"/>
      <w:marBottom w:val="0"/>
      <w:divBdr>
        <w:top w:val="none" w:sz="0" w:space="0" w:color="auto"/>
        <w:left w:val="none" w:sz="0" w:space="0" w:color="auto"/>
        <w:bottom w:val="none" w:sz="0" w:space="0" w:color="auto"/>
        <w:right w:val="none" w:sz="0" w:space="0" w:color="auto"/>
      </w:divBdr>
    </w:div>
    <w:div w:id="340355818">
      <w:bodyDiv w:val="1"/>
      <w:marLeft w:val="0"/>
      <w:marRight w:val="0"/>
      <w:marTop w:val="0"/>
      <w:marBottom w:val="0"/>
      <w:divBdr>
        <w:top w:val="none" w:sz="0" w:space="0" w:color="auto"/>
        <w:left w:val="none" w:sz="0" w:space="0" w:color="auto"/>
        <w:bottom w:val="none" w:sz="0" w:space="0" w:color="auto"/>
        <w:right w:val="none" w:sz="0" w:space="0" w:color="auto"/>
      </w:divBdr>
    </w:div>
    <w:div w:id="357858371">
      <w:bodyDiv w:val="1"/>
      <w:marLeft w:val="0"/>
      <w:marRight w:val="0"/>
      <w:marTop w:val="0"/>
      <w:marBottom w:val="0"/>
      <w:divBdr>
        <w:top w:val="none" w:sz="0" w:space="0" w:color="auto"/>
        <w:left w:val="none" w:sz="0" w:space="0" w:color="auto"/>
        <w:bottom w:val="none" w:sz="0" w:space="0" w:color="auto"/>
        <w:right w:val="none" w:sz="0" w:space="0" w:color="auto"/>
      </w:divBdr>
    </w:div>
    <w:div w:id="380979196">
      <w:bodyDiv w:val="1"/>
      <w:marLeft w:val="0"/>
      <w:marRight w:val="0"/>
      <w:marTop w:val="0"/>
      <w:marBottom w:val="0"/>
      <w:divBdr>
        <w:top w:val="none" w:sz="0" w:space="0" w:color="auto"/>
        <w:left w:val="none" w:sz="0" w:space="0" w:color="auto"/>
        <w:bottom w:val="none" w:sz="0" w:space="0" w:color="auto"/>
        <w:right w:val="none" w:sz="0" w:space="0" w:color="auto"/>
      </w:divBdr>
    </w:div>
    <w:div w:id="397558289">
      <w:bodyDiv w:val="1"/>
      <w:marLeft w:val="0"/>
      <w:marRight w:val="0"/>
      <w:marTop w:val="0"/>
      <w:marBottom w:val="0"/>
      <w:divBdr>
        <w:top w:val="none" w:sz="0" w:space="0" w:color="auto"/>
        <w:left w:val="none" w:sz="0" w:space="0" w:color="auto"/>
        <w:bottom w:val="none" w:sz="0" w:space="0" w:color="auto"/>
        <w:right w:val="none" w:sz="0" w:space="0" w:color="auto"/>
      </w:divBdr>
    </w:div>
    <w:div w:id="405497600">
      <w:bodyDiv w:val="1"/>
      <w:marLeft w:val="0"/>
      <w:marRight w:val="0"/>
      <w:marTop w:val="0"/>
      <w:marBottom w:val="0"/>
      <w:divBdr>
        <w:top w:val="none" w:sz="0" w:space="0" w:color="auto"/>
        <w:left w:val="none" w:sz="0" w:space="0" w:color="auto"/>
        <w:bottom w:val="none" w:sz="0" w:space="0" w:color="auto"/>
        <w:right w:val="none" w:sz="0" w:space="0" w:color="auto"/>
      </w:divBdr>
      <w:divsChild>
        <w:div w:id="574825827">
          <w:marLeft w:val="547"/>
          <w:marRight w:val="0"/>
          <w:marTop w:val="154"/>
          <w:marBottom w:val="0"/>
          <w:divBdr>
            <w:top w:val="none" w:sz="0" w:space="0" w:color="auto"/>
            <w:left w:val="none" w:sz="0" w:space="0" w:color="auto"/>
            <w:bottom w:val="none" w:sz="0" w:space="0" w:color="auto"/>
            <w:right w:val="none" w:sz="0" w:space="0" w:color="auto"/>
          </w:divBdr>
        </w:div>
        <w:div w:id="765467601">
          <w:marLeft w:val="547"/>
          <w:marRight w:val="0"/>
          <w:marTop w:val="154"/>
          <w:marBottom w:val="0"/>
          <w:divBdr>
            <w:top w:val="none" w:sz="0" w:space="0" w:color="auto"/>
            <w:left w:val="none" w:sz="0" w:space="0" w:color="auto"/>
            <w:bottom w:val="none" w:sz="0" w:space="0" w:color="auto"/>
            <w:right w:val="none" w:sz="0" w:space="0" w:color="auto"/>
          </w:divBdr>
        </w:div>
        <w:div w:id="1326205137">
          <w:marLeft w:val="547"/>
          <w:marRight w:val="0"/>
          <w:marTop w:val="154"/>
          <w:marBottom w:val="0"/>
          <w:divBdr>
            <w:top w:val="none" w:sz="0" w:space="0" w:color="auto"/>
            <w:left w:val="none" w:sz="0" w:space="0" w:color="auto"/>
            <w:bottom w:val="none" w:sz="0" w:space="0" w:color="auto"/>
            <w:right w:val="none" w:sz="0" w:space="0" w:color="auto"/>
          </w:divBdr>
        </w:div>
      </w:divsChild>
    </w:div>
    <w:div w:id="414669387">
      <w:bodyDiv w:val="1"/>
      <w:marLeft w:val="0"/>
      <w:marRight w:val="0"/>
      <w:marTop w:val="0"/>
      <w:marBottom w:val="0"/>
      <w:divBdr>
        <w:top w:val="none" w:sz="0" w:space="0" w:color="auto"/>
        <w:left w:val="none" w:sz="0" w:space="0" w:color="auto"/>
        <w:bottom w:val="none" w:sz="0" w:space="0" w:color="auto"/>
        <w:right w:val="none" w:sz="0" w:space="0" w:color="auto"/>
      </w:divBdr>
    </w:div>
    <w:div w:id="429280367">
      <w:bodyDiv w:val="1"/>
      <w:marLeft w:val="0"/>
      <w:marRight w:val="0"/>
      <w:marTop w:val="0"/>
      <w:marBottom w:val="0"/>
      <w:divBdr>
        <w:top w:val="none" w:sz="0" w:space="0" w:color="auto"/>
        <w:left w:val="none" w:sz="0" w:space="0" w:color="auto"/>
        <w:bottom w:val="none" w:sz="0" w:space="0" w:color="auto"/>
        <w:right w:val="none" w:sz="0" w:space="0" w:color="auto"/>
      </w:divBdr>
    </w:div>
    <w:div w:id="572814940">
      <w:bodyDiv w:val="1"/>
      <w:marLeft w:val="0"/>
      <w:marRight w:val="0"/>
      <w:marTop w:val="0"/>
      <w:marBottom w:val="0"/>
      <w:divBdr>
        <w:top w:val="none" w:sz="0" w:space="0" w:color="auto"/>
        <w:left w:val="none" w:sz="0" w:space="0" w:color="auto"/>
        <w:bottom w:val="none" w:sz="0" w:space="0" w:color="auto"/>
        <w:right w:val="none" w:sz="0" w:space="0" w:color="auto"/>
      </w:divBdr>
    </w:div>
    <w:div w:id="583608556">
      <w:bodyDiv w:val="1"/>
      <w:marLeft w:val="0"/>
      <w:marRight w:val="0"/>
      <w:marTop w:val="0"/>
      <w:marBottom w:val="0"/>
      <w:divBdr>
        <w:top w:val="none" w:sz="0" w:space="0" w:color="auto"/>
        <w:left w:val="none" w:sz="0" w:space="0" w:color="auto"/>
        <w:bottom w:val="none" w:sz="0" w:space="0" w:color="auto"/>
        <w:right w:val="none" w:sz="0" w:space="0" w:color="auto"/>
      </w:divBdr>
    </w:div>
    <w:div w:id="585111864">
      <w:bodyDiv w:val="1"/>
      <w:marLeft w:val="0"/>
      <w:marRight w:val="0"/>
      <w:marTop w:val="0"/>
      <w:marBottom w:val="0"/>
      <w:divBdr>
        <w:top w:val="none" w:sz="0" w:space="0" w:color="auto"/>
        <w:left w:val="none" w:sz="0" w:space="0" w:color="auto"/>
        <w:bottom w:val="none" w:sz="0" w:space="0" w:color="auto"/>
        <w:right w:val="none" w:sz="0" w:space="0" w:color="auto"/>
      </w:divBdr>
    </w:div>
    <w:div w:id="611865909">
      <w:bodyDiv w:val="1"/>
      <w:marLeft w:val="0"/>
      <w:marRight w:val="0"/>
      <w:marTop w:val="0"/>
      <w:marBottom w:val="0"/>
      <w:divBdr>
        <w:top w:val="none" w:sz="0" w:space="0" w:color="auto"/>
        <w:left w:val="none" w:sz="0" w:space="0" w:color="auto"/>
        <w:bottom w:val="none" w:sz="0" w:space="0" w:color="auto"/>
        <w:right w:val="none" w:sz="0" w:space="0" w:color="auto"/>
      </w:divBdr>
    </w:div>
    <w:div w:id="615795293">
      <w:bodyDiv w:val="1"/>
      <w:marLeft w:val="0"/>
      <w:marRight w:val="0"/>
      <w:marTop w:val="0"/>
      <w:marBottom w:val="0"/>
      <w:divBdr>
        <w:top w:val="none" w:sz="0" w:space="0" w:color="auto"/>
        <w:left w:val="none" w:sz="0" w:space="0" w:color="auto"/>
        <w:bottom w:val="none" w:sz="0" w:space="0" w:color="auto"/>
        <w:right w:val="none" w:sz="0" w:space="0" w:color="auto"/>
      </w:divBdr>
      <w:divsChild>
        <w:div w:id="1014457872">
          <w:marLeft w:val="547"/>
          <w:marRight w:val="0"/>
          <w:marTop w:val="154"/>
          <w:marBottom w:val="0"/>
          <w:divBdr>
            <w:top w:val="none" w:sz="0" w:space="0" w:color="auto"/>
            <w:left w:val="none" w:sz="0" w:space="0" w:color="auto"/>
            <w:bottom w:val="none" w:sz="0" w:space="0" w:color="auto"/>
            <w:right w:val="none" w:sz="0" w:space="0" w:color="auto"/>
          </w:divBdr>
        </w:div>
      </w:divsChild>
    </w:div>
    <w:div w:id="629439892">
      <w:bodyDiv w:val="1"/>
      <w:marLeft w:val="0"/>
      <w:marRight w:val="0"/>
      <w:marTop w:val="0"/>
      <w:marBottom w:val="0"/>
      <w:divBdr>
        <w:top w:val="none" w:sz="0" w:space="0" w:color="auto"/>
        <w:left w:val="none" w:sz="0" w:space="0" w:color="auto"/>
        <w:bottom w:val="none" w:sz="0" w:space="0" w:color="auto"/>
        <w:right w:val="none" w:sz="0" w:space="0" w:color="auto"/>
      </w:divBdr>
    </w:div>
    <w:div w:id="649403428">
      <w:bodyDiv w:val="1"/>
      <w:marLeft w:val="0"/>
      <w:marRight w:val="0"/>
      <w:marTop w:val="0"/>
      <w:marBottom w:val="0"/>
      <w:divBdr>
        <w:top w:val="none" w:sz="0" w:space="0" w:color="auto"/>
        <w:left w:val="none" w:sz="0" w:space="0" w:color="auto"/>
        <w:bottom w:val="none" w:sz="0" w:space="0" w:color="auto"/>
        <w:right w:val="none" w:sz="0" w:space="0" w:color="auto"/>
      </w:divBdr>
    </w:div>
    <w:div w:id="663977767">
      <w:bodyDiv w:val="1"/>
      <w:marLeft w:val="0"/>
      <w:marRight w:val="0"/>
      <w:marTop w:val="0"/>
      <w:marBottom w:val="0"/>
      <w:divBdr>
        <w:top w:val="none" w:sz="0" w:space="0" w:color="auto"/>
        <w:left w:val="none" w:sz="0" w:space="0" w:color="auto"/>
        <w:bottom w:val="none" w:sz="0" w:space="0" w:color="auto"/>
        <w:right w:val="none" w:sz="0" w:space="0" w:color="auto"/>
      </w:divBdr>
    </w:div>
    <w:div w:id="671645624">
      <w:bodyDiv w:val="1"/>
      <w:marLeft w:val="0"/>
      <w:marRight w:val="0"/>
      <w:marTop w:val="0"/>
      <w:marBottom w:val="0"/>
      <w:divBdr>
        <w:top w:val="none" w:sz="0" w:space="0" w:color="auto"/>
        <w:left w:val="none" w:sz="0" w:space="0" w:color="auto"/>
        <w:bottom w:val="none" w:sz="0" w:space="0" w:color="auto"/>
        <w:right w:val="none" w:sz="0" w:space="0" w:color="auto"/>
      </w:divBdr>
      <w:divsChild>
        <w:div w:id="867373709">
          <w:marLeft w:val="547"/>
          <w:marRight w:val="0"/>
          <w:marTop w:val="154"/>
          <w:marBottom w:val="0"/>
          <w:divBdr>
            <w:top w:val="none" w:sz="0" w:space="0" w:color="auto"/>
            <w:left w:val="none" w:sz="0" w:space="0" w:color="auto"/>
            <w:bottom w:val="none" w:sz="0" w:space="0" w:color="auto"/>
            <w:right w:val="none" w:sz="0" w:space="0" w:color="auto"/>
          </w:divBdr>
        </w:div>
      </w:divsChild>
    </w:div>
    <w:div w:id="701516994">
      <w:bodyDiv w:val="1"/>
      <w:marLeft w:val="0"/>
      <w:marRight w:val="0"/>
      <w:marTop w:val="0"/>
      <w:marBottom w:val="0"/>
      <w:divBdr>
        <w:top w:val="none" w:sz="0" w:space="0" w:color="auto"/>
        <w:left w:val="none" w:sz="0" w:space="0" w:color="auto"/>
        <w:bottom w:val="none" w:sz="0" w:space="0" w:color="auto"/>
        <w:right w:val="none" w:sz="0" w:space="0" w:color="auto"/>
      </w:divBdr>
    </w:div>
    <w:div w:id="735126915">
      <w:bodyDiv w:val="1"/>
      <w:marLeft w:val="0"/>
      <w:marRight w:val="0"/>
      <w:marTop w:val="0"/>
      <w:marBottom w:val="0"/>
      <w:divBdr>
        <w:top w:val="none" w:sz="0" w:space="0" w:color="auto"/>
        <w:left w:val="none" w:sz="0" w:space="0" w:color="auto"/>
        <w:bottom w:val="none" w:sz="0" w:space="0" w:color="auto"/>
        <w:right w:val="none" w:sz="0" w:space="0" w:color="auto"/>
      </w:divBdr>
      <w:divsChild>
        <w:div w:id="109252440">
          <w:marLeft w:val="547"/>
          <w:marRight w:val="0"/>
          <w:marTop w:val="134"/>
          <w:marBottom w:val="0"/>
          <w:divBdr>
            <w:top w:val="none" w:sz="0" w:space="0" w:color="auto"/>
            <w:left w:val="none" w:sz="0" w:space="0" w:color="auto"/>
            <w:bottom w:val="none" w:sz="0" w:space="0" w:color="auto"/>
            <w:right w:val="none" w:sz="0" w:space="0" w:color="auto"/>
          </w:divBdr>
        </w:div>
        <w:div w:id="170486093">
          <w:marLeft w:val="547"/>
          <w:marRight w:val="0"/>
          <w:marTop w:val="134"/>
          <w:marBottom w:val="0"/>
          <w:divBdr>
            <w:top w:val="none" w:sz="0" w:space="0" w:color="auto"/>
            <w:left w:val="none" w:sz="0" w:space="0" w:color="auto"/>
            <w:bottom w:val="none" w:sz="0" w:space="0" w:color="auto"/>
            <w:right w:val="none" w:sz="0" w:space="0" w:color="auto"/>
          </w:divBdr>
        </w:div>
        <w:div w:id="1100877969">
          <w:marLeft w:val="547"/>
          <w:marRight w:val="0"/>
          <w:marTop w:val="134"/>
          <w:marBottom w:val="0"/>
          <w:divBdr>
            <w:top w:val="none" w:sz="0" w:space="0" w:color="auto"/>
            <w:left w:val="none" w:sz="0" w:space="0" w:color="auto"/>
            <w:bottom w:val="none" w:sz="0" w:space="0" w:color="auto"/>
            <w:right w:val="none" w:sz="0" w:space="0" w:color="auto"/>
          </w:divBdr>
        </w:div>
        <w:div w:id="1647854488">
          <w:marLeft w:val="547"/>
          <w:marRight w:val="0"/>
          <w:marTop w:val="134"/>
          <w:marBottom w:val="0"/>
          <w:divBdr>
            <w:top w:val="none" w:sz="0" w:space="0" w:color="auto"/>
            <w:left w:val="none" w:sz="0" w:space="0" w:color="auto"/>
            <w:bottom w:val="none" w:sz="0" w:space="0" w:color="auto"/>
            <w:right w:val="none" w:sz="0" w:space="0" w:color="auto"/>
          </w:divBdr>
        </w:div>
      </w:divsChild>
    </w:div>
    <w:div w:id="741609296">
      <w:bodyDiv w:val="1"/>
      <w:marLeft w:val="0"/>
      <w:marRight w:val="0"/>
      <w:marTop w:val="0"/>
      <w:marBottom w:val="0"/>
      <w:divBdr>
        <w:top w:val="none" w:sz="0" w:space="0" w:color="auto"/>
        <w:left w:val="none" w:sz="0" w:space="0" w:color="auto"/>
        <w:bottom w:val="none" w:sz="0" w:space="0" w:color="auto"/>
        <w:right w:val="none" w:sz="0" w:space="0" w:color="auto"/>
      </w:divBdr>
    </w:div>
    <w:div w:id="751856468">
      <w:bodyDiv w:val="1"/>
      <w:marLeft w:val="0"/>
      <w:marRight w:val="0"/>
      <w:marTop w:val="0"/>
      <w:marBottom w:val="0"/>
      <w:divBdr>
        <w:top w:val="none" w:sz="0" w:space="0" w:color="auto"/>
        <w:left w:val="none" w:sz="0" w:space="0" w:color="auto"/>
        <w:bottom w:val="none" w:sz="0" w:space="0" w:color="auto"/>
        <w:right w:val="none" w:sz="0" w:space="0" w:color="auto"/>
      </w:divBdr>
    </w:div>
    <w:div w:id="758982446">
      <w:bodyDiv w:val="1"/>
      <w:marLeft w:val="0"/>
      <w:marRight w:val="0"/>
      <w:marTop w:val="0"/>
      <w:marBottom w:val="0"/>
      <w:divBdr>
        <w:top w:val="none" w:sz="0" w:space="0" w:color="auto"/>
        <w:left w:val="none" w:sz="0" w:space="0" w:color="auto"/>
        <w:bottom w:val="none" w:sz="0" w:space="0" w:color="auto"/>
        <w:right w:val="none" w:sz="0" w:space="0" w:color="auto"/>
      </w:divBdr>
    </w:div>
    <w:div w:id="763694551">
      <w:bodyDiv w:val="1"/>
      <w:marLeft w:val="0"/>
      <w:marRight w:val="0"/>
      <w:marTop w:val="0"/>
      <w:marBottom w:val="0"/>
      <w:divBdr>
        <w:top w:val="none" w:sz="0" w:space="0" w:color="auto"/>
        <w:left w:val="none" w:sz="0" w:space="0" w:color="auto"/>
        <w:bottom w:val="none" w:sz="0" w:space="0" w:color="auto"/>
        <w:right w:val="none" w:sz="0" w:space="0" w:color="auto"/>
      </w:divBdr>
    </w:div>
    <w:div w:id="776945870">
      <w:bodyDiv w:val="1"/>
      <w:marLeft w:val="0"/>
      <w:marRight w:val="0"/>
      <w:marTop w:val="0"/>
      <w:marBottom w:val="0"/>
      <w:divBdr>
        <w:top w:val="none" w:sz="0" w:space="0" w:color="auto"/>
        <w:left w:val="none" w:sz="0" w:space="0" w:color="auto"/>
        <w:bottom w:val="none" w:sz="0" w:space="0" w:color="auto"/>
        <w:right w:val="none" w:sz="0" w:space="0" w:color="auto"/>
      </w:divBdr>
      <w:divsChild>
        <w:div w:id="17783310">
          <w:marLeft w:val="1800"/>
          <w:marRight w:val="0"/>
          <w:marTop w:val="115"/>
          <w:marBottom w:val="0"/>
          <w:divBdr>
            <w:top w:val="none" w:sz="0" w:space="0" w:color="auto"/>
            <w:left w:val="none" w:sz="0" w:space="0" w:color="auto"/>
            <w:bottom w:val="none" w:sz="0" w:space="0" w:color="auto"/>
            <w:right w:val="none" w:sz="0" w:space="0" w:color="auto"/>
          </w:divBdr>
        </w:div>
        <w:div w:id="1616597427">
          <w:marLeft w:val="1800"/>
          <w:marRight w:val="0"/>
          <w:marTop w:val="115"/>
          <w:marBottom w:val="0"/>
          <w:divBdr>
            <w:top w:val="none" w:sz="0" w:space="0" w:color="auto"/>
            <w:left w:val="none" w:sz="0" w:space="0" w:color="auto"/>
            <w:bottom w:val="none" w:sz="0" w:space="0" w:color="auto"/>
            <w:right w:val="none" w:sz="0" w:space="0" w:color="auto"/>
          </w:divBdr>
        </w:div>
        <w:div w:id="1806969067">
          <w:marLeft w:val="1800"/>
          <w:marRight w:val="0"/>
          <w:marTop w:val="115"/>
          <w:marBottom w:val="0"/>
          <w:divBdr>
            <w:top w:val="none" w:sz="0" w:space="0" w:color="auto"/>
            <w:left w:val="none" w:sz="0" w:space="0" w:color="auto"/>
            <w:bottom w:val="none" w:sz="0" w:space="0" w:color="auto"/>
            <w:right w:val="none" w:sz="0" w:space="0" w:color="auto"/>
          </w:divBdr>
        </w:div>
        <w:div w:id="1852910613">
          <w:marLeft w:val="1800"/>
          <w:marRight w:val="0"/>
          <w:marTop w:val="115"/>
          <w:marBottom w:val="0"/>
          <w:divBdr>
            <w:top w:val="none" w:sz="0" w:space="0" w:color="auto"/>
            <w:left w:val="none" w:sz="0" w:space="0" w:color="auto"/>
            <w:bottom w:val="none" w:sz="0" w:space="0" w:color="auto"/>
            <w:right w:val="none" w:sz="0" w:space="0" w:color="auto"/>
          </w:divBdr>
        </w:div>
        <w:div w:id="1959749545">
          <w:marLeft w:val="1800"/>
          <w:marRight w:val="0"/>
          <w:marTop w:val="115"/>
          <w:marBottom w:val="0"/>
          <w:divBdr>
            <w:top w:val="none" w:sz="0" w:space="0" w:color="auto"/>
            <w:left w:val="none" w:sz="0" w:space="0" w:color="auto"/>
            <w:bottom w:val="none" w:sz="0" w:space="0" w:color="auto"/>
            <w:right w:val="none" w:sz="0" w:space="0" w:color="auto"/>
          </w:divBdr>
        </w:div>
      </w:divsChild>
    </w:div>
    <w:div w:id="796293966">
      <w:bodyDiv w:val="1"/>
      <w:marLeft w:val="0"/>
      <w:marRight w:val="0"/>
      <w:marTop w:val="0"/>
      <w:marBottom w:val="0"/>
      <w:divBdr>
        <w:top w:val="none" w:sz="0" w:space="0" w:color="auto"/>
        <w:left w:val="none" w:sz="0" w:space="0" w:color="auto"/>
        <w:bottom w:val="none" w:sz="0" w:space="0" w:color="auto"/>
        <w:right w:val="none" w:sz="0" w:space="0" w:color="auto"/>
      </w:divBdr>
      <w:divsChild>
        <w:div w:id="1339892072">
          <w:marLeft w:val="547"/>
          <w:marRight w:val="0"/>
          <w:marTop w:val="154"/>
          <w:marBottom w:val="0"/>
          <w:divBdr>
            <w:top w:val="none" w:sz="0" w:space="0" w:color="auto"/>
            <w:left w:val="none" w:sz="0" w:space="0" w:color="auto"/>
            <w:bottom w:val="none" w:sz="0" w:space="0" w:color="auto"/>
            <w:right w:val="none" w:sz="0" w:space="0" w:color="auto"/>
          </w:divBdr>
        </w:div>
      </w:divsChild>
    </w:div>
    <w:div w:id="822086550">
      <w:bodyDiv w:val="1"/>
      <w:marLeft w:val="0"/>
      <w:marRight w:val="0"/>
      <w:marTop w:val="0"/>
      <w:marBottom w:val="0"/>
      <w:divBdr>
        <w:top w:val="none" w:sz="0" w:space="0" w:color="auto"/>
        <w:left w:val="none" w:sz="0" w:space="0" w:color="auto"/>
        <w:bottom w:val="none" w:sz="0" w:space="0" w:color="auto"/>
        <w:right w:val="none" w:sz="0" w:space="0" w:color="auto"/>
      </w:divBdr>
    </w:div>
    <w:div w:id="862280274">
      <w:bodyDiv w:val="1"/>
      <w:marLeft w:val="0"/>
      <w:marRight w:val="0"/>
      <w:marTop w:val="0"/>
      <w:marBottom w:val="0"/>
      <w:divBdr>
        <w:top w:val="none" w:sz="0" w:space="0" w:color="auto"/>
        <w:left w:val="none" w:sz="0" w:space="0" w:color="auto"/>
        <w:bottom w:val="none" w:sz="0" w:space="0" w:color="auto"/>
        <w:right w:val="none" w:sz="0" w:space="0" w:color="auto"/>
      </w:divBdr>
    </w:div>
    <w:div w:id="869029977">
      <w:bodyDiv w:val="1"/>
      <w:marLeft w:val="0"/>
      <w:marRight w:val="0"/>
      <w:marTop w:val="0"/>
      <w:marBottom w:val="0"/>
      <w:divBdr>
        <w:top w:val="none" w:sz="0" w:space="0" w:color="auto"/>
        <w:left w:val="none" w:sz="0" w:space="0" w:color="auto"/>
        <w:bottom w:val="none" w:sz="0" w:space="0" w:color="auto"/>
        <w:right w:val="none" w:sz="0" w:space="0" w:color="auto"/>
      </w:divBdr>
    </w:div>
    <w:div w:id="874972987">
      <w:bodyDiv w:val="1"/>
      <w:marLeft w:val="0"/>
      <w:marRight w:val="0"/>
      <w:marTop w:val="0"/>
      <w:marBottom w:val="0"/>
      <w:divBdr>
        <w:top w:val="none" w:sz="0" w:space="0" w:color="auto"/>
        <w:left w:val="none" w:sz="0" w:space="0" w:color="auto"/>
        <w:bottom w:val="none" w:sz="0" w:space="0" w:color="auto"/>
        <w:right w:val="none" w:sz="0" w:space="0" w:color="auto"/>
      </w:divBdr>
      <w:divsChild>
        <w:div w:id="257759677">
          <w:marLeft w:val="1166"/>
          <w:marRight w:val="0"/>
          <w:marTop w:val="134"/>
          <w:marBottom w:val="0"/>
          <w:divBdr>
            <w:top w:val="none" w:sz="0" w:space="0" w:color="auto"/>
            <w:left w:val="none" w:sz="0" w:space="0" w:color="auto"/>
            <w:bottom w:val="none" w:sz="0" w:space="0" w:color="auto"/>
            <w:right w:val="none" w:sz="0" w:space="0" w:color="auto"/>
          </w:divBdr>
        </w:div>
        <w:div w:id="1667199601">
          <w:marLeft w:val="1166"/>
          <w:marRight w:val="0"/>
          <w:marTop w:val="134"/>
          <w:marBottom w:val="0"/>
          <w:divBdr>
            <w:top w:val="none" w:sz="0" w:space="0" w:color="auto"/>
            <w:left w:val="none" w:sz="0" w:space="0" w:color="auto"/>
            <w:bottom w:val="none" w:sz="0" w:space="0" w:color="auto"/>
            <w:right w:val="none" w:sz="0" w:space="0" w:color="auto"/>
          </w:divBdr>
        </w:div>
        <w:div w:id="1770195675">
          <w:marLeft w:val="1166"/>
          <w:marRight w:val="0"/>
          <w:marTop w:val="134"/>
          <w:marBottom w:val="0"/>
          <w:divBdr>
            <w:top w:val="none" w:sz="0" w:space="0" w:color="auto"/>
            <w:left w:val="none" w:sz="0" w:space="0" w:color="auto"/>
            <w:bottom w:val="none" w:sz="0" w:space="0" w:color="auto"/>
            <w:right w:val="none" w:sz="0" w:space="0" w:color="auto"/>
          </w:divBdr>
        </w:div>
        <w:div w:id="1864978345">
          <w:marLeft w:val="1166"/>
          <w:marRight w:val="0"/>
          <w:marTop w:val="134"/>
          <w:marBottom w:val="0"/>
          <w:divBdr>
            <w:top w:val="none" w:sz="0" w:space="0" w:color="auto"/>
            <w:left w:val="none" w:sz="0" w:space="0" w:color="auto"/>
            <w:bottom w:val="none" w:sz="0" w:space="0" w:color="auto"/>
            <w:right w:val="none" w:sz="0" w:space="0" w:color="auto"/>
          </w:divBdr>
        </w:div>
        <w:div w:id="2023972670">
          <w:marLeft w:val="1166"/>
          <w:marRight w:val="0"/>
          <w:marTop w:val="134"/>
          <w:marBottom w:val="0"/>
          <w:divBdr>
            <w:top w:val="none" w:sz="0" w:space="0" w:color="auto"/>
            <w:left w:val="none" w:sz="0" w:space="0" w:color="auto"/>
            <w:bottom w:val="none" w:sz="0" w:space="0" w:color="auto"/>
            <w:right w:val="none" w:sz="0" w:space="0" w:color="auto"/>
          </w:divBdr>
        </w:div>
        <w:div w:id="2087680671">
          <w:marLeft w:val="1166"/>
          <w:marRight w:val="0"/>
          <w:marTop w:val="134"/>
          <w:marBottom w:val="0"/>
          <w:divBdr>
            <w:top w:val="none" w:sz="0" w:space="0" w:color="auto"/>
            <w:left w:val="none" w:sz="0" w:space="0" w:color="auto"/>
            <w:bottom w:val="none" w:sz="0" w:space="0" w:color="auto"/>
            <w:right w:val="none" w:sz="0" w:space="0" w:color="auto"/>
          </w:divBdr>
        </w:div>
      </w:divsChild>
    </w:div>
    <w:div w:id="875044617">
      <w:bodyDiv w:val="1"/>
      <w:marLeft w:val="0"/>
      <w:marRight w:val="0"/>
      <w:marTop w:val="0"/>
      <w:marBottom w:val="0"/>
      <w:divBdr>
        <w:top w:val="none" w:sz="0" w:space="0" w:color="auto"/>
        <w:left w:val="none" w:sz="0" w:space="0" w:color="auto"/>
        <w:bottom w:val="none" w:sz="0" w:space="0" w:color="auto"/>
        <w:right w:val="none" w:sz="0" w:space="0" w:color="auto"/>
      </w:divBdr>
    </w:div>
    <w:div w:id="879587991">
      <w:bodyDiv w:val="1"/>
      <w:marLeft w:val="0"/>
      <w:marRight w:val="0"/>
      <w:marTop w:val="0"/>
      <w:marBottom w:val="0"/>
      <w:divBdr>
        <w:top w:val="none" w:sz="0" w:space="0" w:color="auto"/>
        <w:left w:val="none" w:sz="0" w:space="0" w:color="auto"/>
        <w:bottom w:val="none" w:sz="0" w:space="0" w:color="auto"/>
        <w:right w:val="none" w:sz="0" w:space="0" w:color="auto"/>
      </w:divBdr>
      <w:divsChild>
        <w:div w:id="1196965196">
          <w:marLeft w:val="547"/>
          <w:marRight w:val="0"/>
          <w:marTop w:val="154"/>
          <w:marBottom w:val="0"/>
          <w:divBdr>
            <w:top w:val="none" w:sz="0" w:space="0" w:color="auto"/>
            <w:left w:val="none" w:sz="0" w:space="0" w:color="auto"/>
            <w:bottom w:val="none" w:sz="0" w:space="0" w:color="auto"/>
            <w:right w:val="none" w:sz="0" w:space="0" w:color="auto"/>
          </w:divBdr>
        </w:div>
      </w:divsChild>
    </w:div>
    <w:div w:id="881481409">
      <w:bodyDiv w:val="1"/>
      <w:marLeft w:val="0"/>
      <w:marRight w:val="0"/>
      <w:marTop w:val="0"/>
      <w:marBottom w:val="0"/>
      <w:divBdr>
        <w:top w:val="none" w:sz="0" w:space="0" w:color="auto"/>
        <w:left w:val="none" w:sz="0" w:space="0" w:color="auto"/>
        <w:bottom w:val="none" w:sz="0" w:space="0" w:color="auto"/>
        <w:right w:val="none" w:sz="0" w:space="0" w:color="auto"/>
      </w:divBdr>
    </w:div>
    <w:div w:id="882137381">
      <w:bodyDiv w:val="1"/>
      <w:marLeft w:val="0"/>
      <w:marRight w:val="0"/>
      <w:marTop w:val="0"/>
      <w:marBottom w:val="0"/>
      <w:divBdr>
        <w:top w:val="none" w:sz="0" w:space="0" w:color="auto"/>
        <w:left w:val="none" w:sz="0" w:space="0" w:color="auto"/>
        <w:bottom w:val="none" w:sz="0" w:space="0" w:color="auto"/>
        <w:right w:val="none" w:sz="0" w:space="0" w:color="auto"/>
      </w:divBdr>
    </w:div>
    <w:div w:id="885261041">
      <w:bodyDiv w:val="1"/>
      <w:marLeft w:val="0"/>
      <w:marRight w:val="0"/>
      <w:marTop w:val="0"/>
      <w:marBottom w:val="0"/>
      <w:divBdr>
        <w:top w:val="none" w:sz="0" w:space="0" w:color="auto"/>
        <w:left w:val="none" w:sz="0" w:space="0" w:color="auto"/>
        <w:bottom w:val="none" w:sz="0" w:space="0" w:color="auto"/>
        <w:right w:val="none" w:sz="0" w:space="0" w:color="auto"/>
      </w:divBdr>
      <w:divsChild>
        <w:div w:id="1155607359">
          <w:marLeft w:val="547"/>
          <w:marRight w:val="0"/>
          <w:marTop w:val="115"/>
          <w:marBottom w:val="0"/>
          <w:divBdr>
            <w:top w:val="none" w:sz="0" w:space="0" w:color="auto"/>
            <w:left w:val="none" w:sz="0" w:space="0" w:color="auto"/>
            <w:bottom w:val="none" w:sz="0" w:space="0" w:color="auto"/>
            <w:right w:val="none" w:sz="0" w:space="0" w:color="auto"/>
          </w:divBdr>
        </w:div>
        <w:div w:id="1264024356">
          <w:marLeft w:val="547"/>
          <w:marRight w:val="0"/>
          <w:marTop w:val="115"/>
          <w:marBottom w:val="0"/>
          <w:divBdr>
            <w:top w:val="none" w:sz="0" w:space="0" w:color="auto"/>
            <w:left w:val="none" w:sz="0" w:space="0" w:color="auto"/>
            <w:bottom w:val="none" w:sz="0" w:space="0" w:color="auto"/>
            <w:right w:val="none" w:sz="0" w:space="0" w:color="auto"/>
          </w:divBdr>
        </w:div>
        <w:div w:id="1460950231">
          <w:marLeft w:val="547"/>
          <w:marRight w:val="0"/>
          <w:marTop w:val="115"/>
          <w:marBottom w:val="0"/>
          <w:divBdr>
            <w:top w:val="none" w:sz="0" w:space="0" w:color="auto"/>
            <w:left w:val="none" w:sz="0" w:space="0" w:color="auto"/>
            <w:bottom w:val="none" w:sz="0" w:space="0" w:color="auto"/>
            <w:right w:val="none" w:sz="0" w:space="0" w:color="auto"/>
          </w:divBdr>
        </w:div>
      </w:divsChild>
    </w:div>
    <w:div w:id="886264175">
      <w:bodyDiv w:val="1"/>
      <w:marLeft w:val="0"/>
      <w:marRight w:val="0"/>
      <w:marTop w:val="0"/>
      <w:marBottom w:val="0"/>
      <w:divBdr>
        <w:top w:val="none" w:sz="0" w:space="0" w:color="auto"/>
        <w:left w:val="none" w:sz="0" w:space="0" w:color="auto"/>
        <w:bottom w:val="none" w:sz="0" w:space="0" w:color="auto"/>
        <w:right w:val="none" w:sz="0" w:space="0" w:color="auto"/>
      </w:divBdr>
    </w:div>
    <w:div w:id="899366089">
      <w:bodyDiv w:val="1"/>
      <w:marLeft w:val="0"/>
      <w:marRight w:val="0"/>
      <w:marTop w:val="0"/>
      <w:marBottom w:val="0"/>
      <w:divBdr>
        <w:top w:val="none" w:sz="0" w:space="0" w:color="auto"/>
        <w:left w:val="none" w:sz="0" w:space="0" w:color="auto"/>
        <w:bottom w:val="none" w:sz="0" w:space="0" w:color="auto"/>
        <w:right w:val="none" w:sz="0" w:space="0" w:color="auto"/>
      </w:divBdr>
      <w:divsChild>
        <w:div w:id="495153582">
          <w:marLeft w:val="547"/>
          <w:marRight w:val="0"/>
          <w:marTop w:val="154"/>
          <w:marBottom w:val="0"/>
          <w:divBdr>
            <w:top w:val="none" w:sz="0" w:space="0" w:color="auto"/>
            <w:left w:val="none" w:sz="0" w:space="0" w:color="auto"/>
            <w:bottom w:val="none" w:sz="0" w:space="0" w:color="auto"/>
            <w:right w:val="none" w:sz="0" w:space="0" w:color="auto"/>
          </w:divBdr>
        </w:div>
        <w:div w:id="1127049815">
          <w:marLeft w:val="547"/>
          <w:marRight w:val="0"/>
          <w:marTop w:val="154"/>
          <w:marBottom w:val="0"/>
          <w:divBdr>
            <w:top w:val="none" w:sz="0" w:space="0" w:color="auto"/>
            <w:left w:val="none" w:sz="0" w:space="0" w:color="auto"/>
            <w:bottom w:val="none" w:sz="0" w:space="0" w:color="auto"/>
            <w:right w:val="none" w:sz="0" w:space="0" w:color="auto"/>
          </w:divBdr>
        </w:div>
      </w:divsChild>
    </w:div>
    <w:div w:id="927689371">
      <w:bodyDiv w:val="1"/>
      <w:marLeft w:val="0"/>
      <w:marRight w:val="0"/>
      <w:marTop w:val="0"/>
      <w:marBottom w:val="0"/>
      <w:divBdr>
        <w:top w:val="none" w:sz="0" w:space="0" w:color="auto"/>
        <w:left w:val="none" w:sz="0" w:space="0" w:color="auto"/>
        <w:bottom w:val="none" w:sz="0" w:space="0" w:color="auto"/>
        <w:right w:val="none" w:sz="0" w:space="0" w:color="auto"/>
      </w:divBdr>
    </w:div>
    <w:div w:id="928349617">
      <w:bodyDiv w:val="1"/>
      <w:marLeft w:val="0"/>
      <w:marRight w:val="0"/>
      <w:marTop w:val="0"/>
      <w:marBottom w:val="0"/>
      <w:divBdr>
        <w:top w:val="none" w:sz="0" w:space="0" w:color="auto"/>
        <w:left w:val="none" w:sz="0" w:space="0" w:color="auto"/>
        <w:bottom w:val="none" w:sz="0" w:space="0" w:color="auto"/>
        <w:right w:val="none" w:sz="0" w:space="0" w:color="auto"/>
      </w:divBdr>
      <w:divsChild>
        <w:div w:id="1319187074">
          <w:marLeft w:val="547"/>
          <w:marRight w:val="0"/>
          <w:marTop w:val="154"/>
          <w:marBottom w:val="0"/>
          <w:divBdr>
            <w:top w:val="none" w:sz="0" w:space="0" w:color="auto"/>
            <w:left w:val="none" w:sz="0" w:space="0" w:color="auto"/>
            <w:bottom w:val="none" w:sz="0" w:space="0" w:color="auto"/>
            <w:right w:val="none" w:sz="0" w:space="0" w:color="auto"/>
          </w:divBdr>
        </w:div>
      </w:divsChild>
    </w:div>
    <w:div w:id="939871459">
      <w:bodyDiv w:val="1"/>
      <w:marLeft w:val="0"/>
      <w:marRight w:val="0"/>
      <w:marTop w:val="0"/>
      <w:marBottom w:val="0"/>
      <w:divBdr>
        <w:top w:val="none" w:sz="0" w:space="0" w:color="auto"/>
        <w:left w:val="none" w:sz="0" w:space="0" w:color="auto"/>
        <w:bottom w:val="none" w:sz="0" w:space="0" w:color="auto"/>
        <w:right w:val="none" w:sz="0" w:space="0" w:color="auto"/>
      </w:divBdr>
      <w:divsChild>
        <w:div w:id="339938700">
          <w:marLeft w:val="547"/>
          <w:marRight w:val="0"/>
          <w:marTop w:val="154"/>
          <w:marBottom w:val="0"/>
          <w:divBdr>
            <w:top w:val="none" w:sz="0" w:space="0" w:color="auto"/>
            <w:left w:val="none" w:sz="0" w:space="0" w:color="auto"/>
            <w:bottom w:val="none" w:sz="0" w:space="0" w:color="auto"/>
            <w:right w:val="none" w:sz="0" w:space="0" w:color="auto"/>
          </w:divBdr>
        </w:div>
        <w:div w:id="946277181">
          <w:marLeft w:val="547"/>
          <w:marRight w:val="0"/>
          <w:marTop w:val="154"/>
          <w:marBottom w:val="0"/>
          <w:divBdr>
            <w:top w:val="none" w:sz="0" w:space="0" w:color="auto"/>
            <w:left w:val="none" w:sz="0" w:space="0" w:color="auto"/>
            <w:bottom w:val="none" w:sz="0" w:space="0" w:color="auto"/>
            <w:right w:val="none" w:sz="0" w:space="0" w:color="auto"/>
          </w:divBdr>
        </w:div>
        <w:div w:id="1214852523">
          <w:marLeft w:val="547"/>
          <w:marRight w:val="0"/>
          <w:marTop w:val="154"/>
          <w:marBottom w:val="0"/>
          <w:divBdr>
            <w:top w:val="none" w:sz="0" w:space="0" w:color="auto"/>
            <w:left w:val="none" w:sz="0" w:space="0" w:color="auto"/>
            <w:bottom w:val="none" w:sz="0" w:space="0" w:color="auto"/>
            <w:right w:val="none" w:sz="0" w:space="0" w:color="auto"/>
          </w:divBdr>
        </w:div>
        <w:div w:id="1521040613">
          <w:marLeft w:val="547"/>
          <w:marRight w:val="0"/>
          <w:marTop w:val="154"/>
          <w:marBottom w:val="0"/>
          <w:divBdr>
            <w:top w:val="none" w:sz="0" w:space="0" w:color="auto"/>
            <w:left w:val="none" w:sz="0" w:space="0" w:color="auto"/>
            <w:bottom w:val="none" w:sz="0" w:space="0" w:color="auto"/>
            <w:right w:val="none" w:sz="0" w:space="0" w:color="auto"/>
          </w:divBdr>
        </w:div>
      </w:divsChild>
    </w:div>
    <w:div w:id="1030228716">
      <w:bodyDiv w:val="1"/>
      <w:marLeft w:val="0"/>
      <w:marRight w:val="0"/>
      <w:marTop w:val="0"/>
      <w:marBottom w:val="0"/>
      <w:divBdr>
        <w:top w:val="none" w:sz="0" w:space="0" w:color="auto"/>
        <w:left w:val="none" w:sz="0" w:space="0" w:color="auto"/>
        <w:bottom w:val="none" w:sz="0" w:space="0" w:color="auto"/>
        <w:right w:val="none" w:sz="0" w:space="0" w:color="auto"/>
      </w:divBdr>
    </w:div>
    <w:div w:id="1091194803">
      <w:bodyDiv w:val="1"/>
      <w:marLeft w:val="0"/>
      <w:marRight w:val="0"/>
      <w:marTop w:val="0"/>
      <w:marBottom w:val="0"/>
      <w:divBdr>
        <w:top w:val="none" w:sz="0" w:space="0" w:color="auto"/>
        <w:left w:val="none" w:sz="0" w:space="0" w:color="auto"/>
        <w:bottom w:val="none" w:sz="0" w:space="0" w:color="auto"/>
        <w:right w:val="none" w:sz="0" w:space="0" w:color="auto"/>
      </w:divBdr>
    </w:div>
    <w:div w:id="1092774661">
      <w:bodyDiv w:val="1"/>
      <w:marLeft w:val="0"/>
      <w:marRight w:val="0"/>
      <w:marTop w:val="0"/>
      <w:marBottom w:val="0"/>
      <w:divBdr>
        <w:top w:val="none" w:sz="0" w:space="0" w:color="auto"/>
        <w:left w:val="none" w:sz="0" w:space="0" w:color="auto"/>
        <w:bottom w:val="none" w:sz="0" w:space="0" w:color="auto"/>
        <w:right w:val="none" w:sz="0" w:space="0" w:color="auto"/>
      </w:divBdr>
      <w:divsChild>
        <w:div w:id="1513182302">
          <w:marLeft w:val="547"/>
          <w:marRight w:val="0"/>
          <w:marTop w:val="154"/>
          <w:marBottom w:val="0"/>
          <w:divBdr>
            <w:top w:val="none" w:sz="0" w:space="0" w:color="auto"/>
            <w:left w:val="none" w:sz="0" w:space="0" w:color="auto"/>
            <w:bottom w:val="none" w:sz="0" w:space="0" w:color="auto"/>
            <w:right w:val="none" w:sz="0" w:space="0" w:color="auto"/>
          </w:divBdr>
        </w:div>
      </w:divsChild>
    </w:div>
    <w:div w:id="1104304696">
      <w:bodyDiv w:val="1"/>
      <w:marLeft w:val="0"/>
      <w:marRight w:val="0"/>
      <w:marTop w:val="0"/>
      <w:marBottom w:val="0"/>
      <w:divBdr>
        <w:top w:val="none" w:sz="0" w:space="0" w:color="auto"/>
        <w:left w:val="none" w:sz="0" w:space="0" w:color="auto"/>
        <w:bottom w:val="none" w:sz="0" w:space="0" w:color="auto"/>
        <w:right w:val="none" w:sz="0" w:space="0" w:color="auto"/>
      </w:divBdr>
      <w:divsChild>
        <w:div w:id="22681712">
          <w:marLeft w:val="1800"/>
          <w:marRight w:val="0"/>
          <w:marTop w:val="134"/>
          <w:marBottom w:val="0"/>
          <w:divBdr>
            <w:top w:val="none" w:sz="0" w:space="0" w:color="auto"/>
            <w:left w:val="none" w:sz="0" w:space="0" w:color="auto"/>
            <w:bottom w:val="none" w:sz="0" w:space="0" w:color="auto"/>
            <w:right w:val="none" w:sz="0" w:space="0" w:color="auto"/>
          </w:divBdr>
        </w:div>
        <w:div w:id="283777783">
          <w:marLeft w:val="1800"/>
          <w:marRight w:val="0"/>
          <w:marTop w:val="134"/>
          <w:marBottom w:val="0"/>
          <w:divBdr>
            <w:top w:val="none" w:sz="0" w:space="0" w:color="auto"/>
            <w:left w:val="none" w:sz="0" w:space="0" w:color="auto"/>
            <w:bottom w:val="none" w:sz="0" w:space="0" w:color="auto"/>
            <w:right w:val="none" w:sz="0" w:space="0" w:color="auto"/>
          </w:divBdr>
        </w:div>
        <w:div w:id="1946569812">
          <w:marLeft w:val="1800"/>
          <w:marRight w:val="0"/>
          <w:marTop w:val="134"/>
          <w:marBottom w:val="0"/>
          <w:divBdr>
            <w:top w:val="none" w:sz="0" w:space="0" w:color="auto"/>
            <w:left w:val="none" w:sz="0" w:space="0" w:color="auto"/>
            <w:bottom w:val="none" w:sz="0" w:space="0" w:color="auto"/>
            <w:right w:val="none" w:sz="0" w:space="0" w:color="auto"/>
          </w:divBdr>
        </w:div>
      </w:divsChild>
    </w:div>
    <w:div w:id="1119644372">
      <w:bodyDiv w:val="1"/>
      <w:marLeft w:val="0"/>
      <w:marRight w:val="0"/>
      <w:marTop w:val="0"/>
      <w:marBottom w:val="0"/>
      <w:divBdr>
        <w:top w:val="none" w:sz="0" w:space="0" w:color="auto"/>
        <w:left w:val="none" w:sz="0" w:space="0" w:color="auto"/>
        <w:bottom w:val="none" w:sz="0" w:space="0" w:color="auto"/>
        <w:right w:val="none" w:sz="0" w:space="0" w:color="auto"/>
      </w:divBdr>
      <w:divsChild>
        <w:div w:id="607346743">
          <w:marLeft w:val="547"/>
          <w:marRight w:val="0"/>
          <w:marTop w:val="115"/>
          <w:marBottom w:val="0"/>
          <w:divBdr>
            <w:top w:val="none" w:sz="0" w:space="0" w:color="auto"/>
            <w:left w:val="none" w:sz="0" w:space="0" w:color="auto"/>
            <w:bottom w:val="none" w:sz="0" w:space="0" w:color="auto"/>
            <w:right w:val="none" w:sz="0" w:space="0" w:color="auto"/>
          </w:divBdr>
        </w:div>
      </w:divsChild>
    </w:div>
    <w:div w:id="1119646466">
      <w:bodyDiv w:val="1"/>
      <w:marLeft w:val="0"/>
      <w:marRight w:val="0"/>
      <w:marTop w:val="0"/>
      <w:marBottom w:val="0"/>
      <w:divBdr>
        <w:top w:val="none" w:sz="0" w:space="0" w:color="auto"/>
        <w:left w:val="none" w:sz="0" w:space="0" w:color="auto"/>
        <w:bottom w:val="none" w:sz="0" w:space="0" w:color="auto"/>
        <w:right w:val="none" w:sz="0" w:space="0" w:color="auto"/>
      </w:divBdr>
      <w:divsChild>
        <w:div w:id="868110017">
          <w:marLeft w:val="547"/>
          <w:marRight w:val="0"/>
          <w:marTop w:val="134"/>
          <w:marBottom w:val="0"/>
          <w:divBdr>
            <w:top w:val="none" w:sz="0" w:space="0" w:color="auto"/>
            <w:left w:val="none" w:sz="0" w:space="0" w:color="auto"/>
            <w:bottom w:val="none" w:sz="0" w:space="0" w:color="auto"/>
            <w:right w:val="none" w:sz="0" w:space="0" w:color="auto"/>
          </w:divBdr>
        </w:div>
        <w:div w:id="1045562718">
          <w:marLeft w:val="547"/>
          <w:marRight w:val="0"/>
          <w:marTop w:val="134"/>
          <w:marBottom w:val="0"/>
          <w:divBdr>
            <w:top w:val="none" w:sz="0" w:space="0" w:color="auto"/>
            <w:left w:val="none" w:sz="0" w:space="0" w:color="auto"/>
            <w:bottom w:val="none" w:sz="0" w:space="0" w:color="auto"/>
            <w:right w:val="none" w:sz="0" w:space="0" w:color="auto"/>
          </w:divBdr>
        </w:div>
        <w:div w:id="1109740668">
          <w:marLeft w:val="547"/>
          <w:marRight w:val="0"/>
          <w:marTop w:val="134"/>
          <w:marBottom w:val="0"/>
          <w:divBdr>
            <w:top w:val="none" w:sz="0" w:space="0" w:color="auto"/>
            <w:left w:val="none" w:sz="0" w:space="0" w:color="auto"/>
            <w:bottom w:val="none" w:sz="0" w:space="0" w:color="auto"/>
            <w:right w:val="none" w:sz="0" w:space="0" w:color="auto"/>
          </w:divBdr>
        </w:div>
        <w:div w:id="1453134958">
          <w:marLeft w:val="547"/>
          <w:marRight w:val="0"/>
          <w:marTop w:val="134"/>
          <w:marBottom w:val="0"/>
          <w:divBdr>
            <w:top w:val="none" w:sz="0" w:space="0" w:color="auto"/>
            <w:left w:val="none" w:sz="0" w:space="0" w:color="auto"/>
            <w:bottom w:val="none" w:sz="0" w:space="0" w:color="auto"/>
            <w:right w:val="none" w:sz="0" w:space="0" w:color="auto"/>
          </w:divBdr>
        </w:div>
        <w:div w:id="1608384850">
          <w:marLeft w:val="547"/>
          <w:marRight w:val="0"/>
          <w:marTop w:val="134"/>
          <w:marBottom w:val="0"/>
          <w:divBdr>
            <w:top w:val="none" w:sz="0" w:space="0" w:color="auto"/>
            <w:left w:val="none" w:sz="0" w:space="0" w:color="auto"/>
            <w:bottom w:val="none" w:sz="0" w:space="0" w:color="auto"/>
            <w:right w:val="none" w:sz="0" w:space="0" w:color="auto"/>
          </w:divBdr>
        </w:div>
      </w:divsChild>
    </w:div>
    <w:div w:id="1154682882">
      <w:bodyDiv w:val="1"/>
      <w:marLeft w:val="0"/>
      <w:marRight w:val="0"/>
      <w:marTop w:val="0"/>
      <w:marBottom w:val="0"/>
      <w:divBdr>
        <w:top w:val="none" w:sz="0" w:space="0" w:color="auto"/>
        <w:left w:val="none" w:sz="0" w:space="0" w:color="auto"/>
        <w:bottom w:val="none" w:sz="0" w:space="0" w:color="auto"/>
        <w:right w:val="none" w:sz="0" w:space="0" w:color="auto"/>
      </w:divBdr>
    </w:div>
    <w:div w:id="1203440911">
      <w:bodyDiv w:val="1"/>
      <w:marLeft w:val="0"/>
      <w:marRight w:val="0"/>
      <w:marTop w:val="0"/>
      <w:marBottom w:val="0"/>
      <w:divBdr>
        <w:top w:val="none" w:sz="0" w:space="0" w:color="auto"/>
        <w:left w:val="none" w:sz="0" w:space="0" w:color="auto"/>
        <w:bottom w:val="none" w:sz="0" w:space="0" w:color="auto"/>
        <w:right w:val="none" w:sz="0" w:space="0" w:color="auto"/>
      </w:divBdr>
      <w:divsChild>
        <w:div w:id="551230358">
          <w:marLeft w:val="547"/>
          <w:marRight w:val="0"/>
          <w:marTop w:val="134"/>
          <w:marBottom w:val="0"/>
          <w:divBdr>
            <w:top w:val="none" w:sz="0" w:space="0" w:color="auto"/>
            <w:left w:val="none" w:sz="0" w:space="0" w:color="auto"/>
            <w:bottom w:val="none" w:sz="0" w:space="0" w:color="auto"/>
            <w:right w:val="none" w:sz="0" w:space="0" w:color="auto"/>
          </w:divBdr>
        </w:div>
        <w:div w:id="1285038248">
          <w:marLeft w:val="547"/>
          <w:marRight w:val="0"/>
          <w:marTop w:val="134"/>
          <w:marBottom w:val="0"/>
          <w:divBdr>
            <w:top w:val="none" w:sz="0" w:space="0" w:color="auto"/>
            <w:left w:val="none" w:sz="0" w:space="0" w:color="auto"/>
            <w:bottom w:val="none" w:sz="0" w:space="0" w:color="auto"/>
            <w:right w:val="none" w:sz="0" w:space="0" w:color="auto"/>
          </w:divBdr>
        </w:div>
        <w:div w:id="1665821252">
          <w:marLeft w:val="547"/>
          <w:marRight w:val="0"/>
          <w:marTop w:val="134"/>
          <w:marBottom w:val="0"/>
          <w:divBdr>
            <w:top w:val="none" w:sz="0" w:space="0" w:color="auto"/>
            <w:left w:val="none" w:sz="0" w:space="0" w:color="auto"/>
            <w:bottom w:val="none" w:sz="0" w:space="0" w:color="auto"/>
            <w:right w:val="none" w:sz="0" w:space="0" w:color="auto"/>
          </w:divBdr>
        </w:div>
        <w:div w:id="1740057577">
          <w:marLeft w:val="547"/>
          <w:marRight w:val="0"/>
          <w:marTop w:val="134"/>
          <w:marBottom w:val="0"/>
          <w:divBdr>
            <w:top w:val="none" w:sz="0" w:space="0" w:color="auto"/>
            <w:left w:val="none" w:sz="0" w:space="0" w:color="auto"/>
            <w:bottom w:val="none" w:sz="0" w:space="0" w:color="auto"/>
            <w:right w:val="none" w:sz="0" w:space="0" w:color="auto"/>
          </w:divBdr>
        </w:div>
      </w:divsChild>
    </w:div>
    <w:div w:id="1213347110">
      <w:bodyDiv w:val="1"/>
      <w:marLeft w:val="0"/>
      <w:marRight w:val="0"/>
      <w:marTop w:val="0"/>
      <w:marBottom w:val="0"/>
      <w:divBdr>
        <w:top w:val="none" w:sz="0" w:space="0" w:color="auto"/>
        <w:left w:val="none" w:sz="0" w:space="0" w:color="auto"/>
        <w:bottom w:val="none" w:sz="0" w:space="0" w:color="auto"/>
        <w:right w:val="none" w:sz="0" w:space="0" w:color="auto"/>
      </w:divBdr>
      <w:divsChild>
        <w:div w:id="1696466990">
          <w:marLeft w:val="547"/>
          <w:marRight w:val="0"/>
          <w:marTop w:val="115"/>
          <w:marBottom w:val="0"/>
          <w:divBdr>
            <w:top w:val="none" w:sz="0" w:space="0" w:color="auto"/>
            <w:left w:val="none" w:sz="0" w:space="0" w:color="auto"/>
            <w:bottom w:val="none" w:sz="0" w:space="0" w:color="auto"/>
            <w:right w:val="none" w:sz="0" w:space="0" w:color="auto"/>
          </w:divBdr>
        </w:div>
      </w:divsChild>
    </w:div>
    <w:div w:id="1236819108">
      <w:bodyDiv w:val="1"/>
      <w:marLeft w:val="0"/>
      <w:marRight w:val="0"/>
      <w:marTop w:val="0"/>
      <w:marBottom w:val="0"/>
      <w:divBdr>
        <w:top w:val="none" w:sz="0" w:space="0" w:color="auto"/>
        <w:left w:val="none" w:sz="0" w:space="0" w:color="auto"/>
        <w:bottom w:val="none" w:sz="0" w:space="0" w:color="auto"/>
        <w:right w:val="none" w:sz="0" w:space="0" w:color="auto"/>
      </w:divBdr>
    </w:div>
    <w:div w:id="1260524976">
      <w:bodyDiv w:val="1"/>
      <w:marLeft w:val="0"/>
      <w:marRight w:val="0"/>
      <w:marTop w:val="0"/>
      <w:marBottom w:val="0"/>
      <w:divBdr>
        <w:top w:val="none" w:sz="0" w:space="0" w:color="auto"/>
        <w:left w:val="none" w:sz="0" w:space="0" w:color="auto"/>
        <w:bottom w:val="none" w:sz="0" w:space="0" w:color="auto"/>
        <w:right w:val="none" w:sz="0" w:space="0" w:color="auto"/>
      </w:divBdr>
    </w:div>
    <w:div w:id="1267890192">
      <w:bodyDiv w:val="1"/>
      <w:marLeft w:val="0"/>
      <w:marRight w:val="0"/>
      <w:marTop w:val="0"/>
      <w:marBottom w:val="0"/>
      <w:divBdr>
        <w:top w:val="none" w:sz="0" w:space="0" w:color="auto"/>
        <w:left w:val="none" w:sz="0" w:space="0" w:color="auto"/>
        <w:bottom w:val="none" w:sz="0" w:space="0" w:color="auto"/>
        <w:right w:val="none" w:sz="0" w:space="0" w:color="auto"/>
      </w:divBdr>
    </w:div>
    <w:div w:id="1285817023">
      <w:bodyDiv w:val="1"/>
      <w:marLeft w:val="0"/>
      <w:marRight w:val="0"/>
      <w:marTop w:val="0"/>
      <w:marBottom w:val="0"/>
      <w:divBdr>
        <w:top w:val="none" w:sz="0" w:space="0" w:color="auto"/>
        <w:left w:val="none" w:sz="0" w:space="0" w:color="auto"/>
        <w:bottom w:val="none" w:sz="0" w:space="0" w:color="auto"/>
        <w:right w:val="none" w:sz="0" w:space="0" w:color="auto"/>
      </w:divBdr>
      <w:divsChild>
        <w:div w:id="275453865">
          <w:marLeft w:val="547"/>
          <w:marRight w:val="0"/>
          <w:marTop w:val="154"/>
          <w:marBottom w:val="0"/>
          <w:divBdr>
            <w:top w:val="none" w:sz="0" w:space="0" w:color="auto"/>
            <w:left w:val="none" w:sz="0" w:space="0" w:color="auto"/>
            <w:bottom w:val="none" w:sz="0" w:space="0" w:color="auto"/>
            <w:right w:val="none" w:sz="0" w:space="0" w:color="auto"/>
          </w:divBdr>
        </w:div>
      </w:divsChild>
    </w:div>
    <w:div w:id="1295480075">
      <w:bodyDiv w:val="1"/>
      <w:marLeft w:val="0"/>
      <w:marRight w:val="0"/>
      <w:marTop w:val="0"/>
      <w:marBottom w:val="0"/>
      <w:divBdr>
        <w:top w:val="none" w:sz="0" w:space="0" w:color="auto"/>
        <w:left w:val="none" w:sz="0" w:space="0" w:color="auto"/>
        <w:bottom w:val="none" w:sz="0" w:space="0" w:color="auto"/>
        <w:right w:val="none" w:sz="0" w:space="0" w:color="auto"/>
      </w:divBdr>
    </w:div>
    <w:div w:id="1327781776">
      <w:bodyDiv w:val="1"/>
      <w:marLeft w:val="0"/>
      <w:marRight w:val="0"/>
      <w:marTop w:val="0"/>
      <w:marBottom w:val="0"/>
      <w:divBdr>
        <w:top w:val="none" w:sz="0" w:space="0" w:color="auto"/>
        <w:left w:val="none" w:sz="0" w:space="0" w:color="auto"/>
        <w:bottom w:val="none" w:sz="0" w:space="0" w:color="auto"/>
        <w:right w:val="none" w:sz="0" w:space="0" w:color="auto"/>
      </w:divBdr>
    </w:div>
    <w:div w:id="1341934784">
      <w:bodyDiv w:val="1"/>
      <w:marLeft w:val="0"/>
      <w:marRight w:val="0"/>
      <w:marTop w:val="0"/>
      <w:marBottom w:val="0"/>
      <w:divBdr>
        <w:top w:val="none" w:sz="0" w:space="0" w:color="auto"/>
        <w:left w:val="none" w:sz="0" w:space="0" w:color="auto"/>
        <w:bottom w:val="none" w:sz="0" w:space="0" w:color="auto"/>
        <w:right w:val="none" w:sz="0" w:space="0" w:color="auto"/>
      </w:divBdr>
    </w:div>
    <w:div w:id="1395077978">
      <w:bodyDiv w:val="1"/>
      <w:marLeft w:val="0"/>
      <w:marRight w:val="0"/>
      <w:marTop w:val="0"/>
      <w:marBottom w:val="0"/>
      <w:divBdr>
        <w:top w:val="none" w:sz="0" w:space="0" w:color="auto"/>
        <w:left w:val="none" w:sz="0" w:space="0" w:color="auto"/>
        <w:bottom w:val="none" w:sz="0" w:space="0" w:color="auto"/>
        <w:right w:val="none" w:sz="0" w:space="0" w:color="auto"/>
      </w:divBdr>
    </w:div>
    <w:div w:id="1395811669">
      <w:bodyDiv w:val="1"/>
      <w:marLeft w:val="0"/>
      <w:marRight w:val="0"/>
      <w:marTop w:val="0"/>
      <w:marBottom w:val="0"/>
      <w:divBdr>
        <w:top w:val="none" w:sz="0" w:space="0" w:color="auto"/>
        <w:left w:val="none" w:sz="0" w:space="0" w:color="auto"/>
        <w:bottom w:val="none" w:sz="0" w:space="0" w:color="auto"/>
        <w:right w:val="none" w:sz="0" w:space="0" w:color="auto"/>
      </w:divBdr>
    </w:div>
    <w:div w:id="1404453189">
      <w:bodyDiv w:val="1"/>
      <w:marLeft w:val="0"/>
      <w:marRight w:val="0"/>
      <w:marTop w:val="0"/>
      <w:marBottom w:val="0"/>
      <w:divBdr>
        <w:top w:val="none" w:sz="0" w:space="0" w:color="auto"/>
        <w:left w:val="none" w:sz="0" w:space="0" w:color="auto"/>
        <w:bottom w:val="none" w:sz="0" w:space="0" w:color="auto"/>
        <w:right w:val="none" w:sz="0" w:space="0" w:color="auto"/>
      </w:divBdr>
    </w:div>
    <w:div w:id="1408109138">
      <w:bodyDiv w:val="1"/>
      <w:marLeft w:val="0"/>
      <w:marRight w:val="0"/>
      <w:marTop w:val="0"/>
      <w:marBottom w:val="0"/>
      <w:divBdr>
        <w:top w:val="none" w:sz="0" w:space="0" w:color="auto"/>
        <w:left w:val="none" w:sz="0" w:space="0" w:color="auto"/>
        <w:bottom w:val="none" w:sz="0" w:space="0" w:color="auto"/>
        <w:right w:val="none" w:sz="0" w:space="0" w:color="auto"/>
      </w:divBdr>
    </w:div>
    <w:div w:id="1420909391">
      <w:bodyDiv w:val="1"/>
      <w:marLeft w:val="0"/>
      <w:marRight w:val="0"/>
      <w:marTop w:val="0"/>
      <w:marBottom w:val="0"/>
      <w:divBdr>
        <w:top w:val="none" w:sz="0" w:space="0" w:color="auto"/>
        <w:left w:val="none" w:sz="0" w:space="0" w:color="auto"/>
        <w:bottom w:val="none" w:sz="0" w:space="0" w:color="auto"/>
        <w:right w:val="none" w:sz="0" w:space="0" w:color="auto"/>
      </w:divBdr>
    </w:div>
    <w:div w:id="1426995198">
      <w:bodyDiv w:val="1"/>
      <w:marLeft w:val="0"/>
      <w:marRight w:val="0"/>
      <w:marTop w:val="0"/>
      <w:marBottom w:val="0"/>
      <w:divBdr>
        <w:top w:val="none" w:sz="0" w:space="0" w:color="auto"/>
        <w:left w:val="none" w:sz="0" w:space="0" w:color="auto"/>
        <w:bottom w:val="none" w:sz="0" w:space="0" w:color="auto"/>
        <w:right w:val="none" w:sz="0" w:space="0" w:color="auto"/>
      </w:divBdr>
      <w:divsChild>
        <w:div w:id="204097156">
          <w:marLeft w:val="547"/>
          <w:marRight w:val="0"/>
          <w:marTop w:val="134"/>
          <w:marBottom w:val="0"/>
          <w:divBdr>
            <w:top w:val="none" w:sz="0" w:space="0" w:color="auto"/>
            <w:left w:val="none" w:sz="0" w:space="0" w:color="auto"/>
            <w:bottom w:val="none" w:sz="0" w:space="0" w:color="auto"/>
            <w:right w:val="none" w:sz="0" w:space="0" w:color="auto"/>
          </w:divBdr>
        </w:div>
      </w:divsChild>
    </w:div>
    <w:div w:id="1447694278">
      <w:bodyDiv w:val="1"/>
      <w:marLeft w:val="0"/>
      <w:marRight w:val="0"/>
      <w:marTop w:val="0"/>
      <w:marBottom w:val="0"/>
      <w:divBdr>
        <w:top w:val="none" w:sz="0" w:space="0" w:color="auto"/>
        <w:left w:val="none" w:sz="0" w:space="0" w:color="auto"/>
        <w:bottom w:val="none" w:sz="0" w:space="0" w:color="auto"/>
        <w:right w:val="none" w:sz="0" w:space="0" w:color="auto"/>
      </w:divBdr>
      <w:divsChild>
        <w:div w:id="1753701338">
          <w:marLeft w:val="547"/>
          <w:marRight w:val="0"/>
          <w:marTop w:val="154"/>
          <w:marBottom w:val="0"/>
          <w:divBdr>
            <w:top w:val="none" w:sz="0" w:space="0" w:color="auto"/>
            <w:left w:val="none" w:sz="0" w:space="0" w:color="auto"/>
            <w:bottom w:val="none" w:sz="0" w:space="0" w:color="auto"/>
            <w:right w:val="none" w:sz="0" w:space="0" w:color="auto"/>
          </w:divBdr>
        </w:div>
      </w:divsChild>
    </w:div>
    <w:div w:id="1468010254">
      <w:bodyDiv w:val="1"/>
      <w:marLeft w:val="0"/>
      <w:marRight w:val="0"/>
      <w:marTop w:val="0"/>
      <w:marBottom w:val="0"/>
      <w:divBdr>
        <w:top w:val="none" w:sz="0" w:space="0" w:color="auto"/>
        <w:left w:val="none" w:sz="0" w:space="0" w:color="auto"/>
        <w:bottom w:val="none" w:sz="0" w:space="0" w:color="auto"/>
        <w:right w:val="none" w:sz="0" w:space="0" w:color="auto"/>
      </w:divBdr>
      <w:divsChild>
        <w:div w:id="959144682">
          <w:marLeft w:val="547"/>
          <w:marRight w:val="0"/>
          <w:marTop w:val="154"/>
          <w:marBottom w:val="0"/>
          <w:divBdr>
            <w:top w:val="none" w:sz="0" w:space="0" w:color="auto"/>
            <w:left w:val="none" w:sz="0" w:space="0" w:color="auto"/>
            <w:bottom w:val="none" w:sz="0" w:space="0" w:color="auto"/>
            <w:right w:val="none" w:sz="0" w:space="0" w:color="auto"/>
          </w:divBdr>
        </w:div>
      </w:divsChild>
    </w:div>
    <w:div w:id="1481573673">
      <w:bodyDiv w:val="1"/>
      <w:marLeft w:val="0"/>
      <w:marRight w:val="0"/>
      <w:marTop w:val="0"/>
      <w:marBottom w:val="0"/>
      <w:divBdr>
        <w:top w:val="none" w:sz="0" w:space="0" w:color="auto"/>
        <w:left w:val="none" w:sz="0" w:space="0" w:color="auto"/>
        <w:bottom w:val="none" w:sz="0" w:space="0" w:color="auto"/>
        <w:right w:val="none" w:sz="0" w:space="0" w:color="auto"/>
      </w:divBdr>
    </w:div>
    <w:div w:id="1494907208">
      <w:bodyDiv w:val="1"/>
      <w:marLeft w:val="0"/>
      <w:marRight w:val="0"/>
      <w:marTop w:val="0"/>
      <w:marBottom w:val="0"/>
      <w:divBdr>
        <w:top w:val="none" w:sz="0" w:space="0" w:color="auto"/>
        <w:left w:val="none" w:sz="0" w:space="0" w:color="auto"/>
        <w:bottom w:val="none" w:sz="0" w:space="0" w:color="auto"/>
        <w:right w:val="none" w:sz="0" w:space="0" w:color="auto"/>
      </w:divBdr>
    </w:div>
    <w:div w:id="1525246839">
      <w:bodyDiv w:val="1"/>
      <w:marLeft w:val="0"/>
      <w:marRight w:val="0"/>
      <w:marTop w:val="0"/>
      <w:marBottom w:val="0"/>
      <w:divBdr>
        <w:top w:val="none" w:sz="0" w:space="0" w:color="auto"/>
        <w:left w:val="none" w:sz="0" w:space="0" w:color="auto"/>
        <w:bottom w:val="none" w:sz="0" w:space="0" w:color="auto"/>
        <w:right w:val="none" w:sz="0" w:space="0" w:color="auto"/>
      </w:divBdr>
      <w:divsChild>
        <w:div w:id="1901748587">
          <w:marLeft w:val="547"/>
          <w:marRight w:val="0"/>
          <w:marTop w:val="154"/>
          <w:marBottom w:val="0"/>
          <w:divBdr>
            <w:top w:val="none" w:sz="0" w:space="0" w:color="auto"/>
            <w:left w:val="none" w:sz="0" w:space="0" w:color="auto"/>
            <w:bottom w:val="none" w:sz="0" w:space="0" w:color="auto"/>
            <w:right w:val="none" w:sz="0" w:space="0" w:color="auto"/>
          </w:divBdr>
        </w:div>
      </w:divsChild>
    </w:div>
    <w:div w:id="1525249342">
      <w:bodyDiv w:val="1"/>
      <w:marLeft w:val="0"/>
      <w:marRight w:val="0"/>
      <w:marTop w:val="0"/>
      <w:marBottom w:val="0"/>
      <w:divBdr>
        <w:top w:val="none" w:sz="0" w:space="0" w:color="auto"/>
        <w:left w:val="none" w:sz="0" w:space="0" w:color="auto"/>
        <w:bottom w:val="none" w:sz="0" w:space="0" w:color="auto"/>
        <w:right w:val="none" w:sz="0" w:space="0" w:color="auto"/>
      </w:divBdr>
    </w:div>
    <w:div w:id="1526866734">
      <w:bodyDiv w:val="1"/>
      <w:marLeft w:val="0"/>
      <w:marRight w:val="0"/>
      <w:marTop w:val="0"/>
      <w:marBottom w:val="0"/>
      <w:divBdr>
        <w:top w:val="none" w:sz="0" w:space="0" w:color="auto"/>
        <w:left w:val="none" w:sz="0" w:space="0" w:color="auto"/>
        <w:bottom w:val="none" w:sz="0" w:space="0" w:color="auto"/>
        <w:right w:val="none" w:sz="0" w:space="0" w:color="auto"/>
      </w:divBdr>
    </w:div>
    <w:div w:id="1546791099">
      <w:bodyDiv w:val="1"/>
      <w:marLeft w:val="0"/>
      <w:marRight w:val="0"/>
      <w:marTop w:val="0"/>
      <w:marBottom w:val="0"/>
      <w:divBdr>
        <w:top w:val="none" w:sz="0" w:space="0" w:color="auto"/>
        <w:left w:val="none" w:sz="0" w:space="0" w:color="auto"/>
        <w:bottom w:val="none" w:sz="0" w:space="0" w:color="auto"/>
        <w:right w:val="none" w:sz="0" w:space="0" w:color="auto"/>
      </w:divBdr>
      <w:divsChild>
        <w:div w:id="460660961">
          <w:marLeft w:val="547"/>
          <w:marRight w:val="0"/>
          <w:marTop w:val="134"/>
          <w:marBottom w:val="0"/>
          <w:divBdr>
            <w:top w:val="none" w:sz="0" w:space="0" w:color="auto"/>
            <w:left w:val="none" w:sz="0" w:space="0" w:color="auto"/>
            <w:bottom w:val="none" w:sz="0" w:space="0" w:color="auto"/>
            <w:right w:val="none" w:sz="0" w:space="0" w:color="auto"/>
          </w:divBdr>
        </w:div>
        <w:div w:id="1501114595">
          <w:marLeft w:val="547"/>
          <w:marRight w:val="0"/>
          <w:marTop w:val="134"/>
          <w:marBottom w:val="0"/>
          <w:divBdr>
            <w:top w:val="none" w:sz="0" w:space="0" w:color="auto"/>
            <w:left w:val="none" w:sz="0" w:space="0" w:color="auto"/>
            <w:bottom w:val="none" w:sz="0" w:space="0" w:color="auto"/>
            <w:right w:val="none" w:sz="0" w:space="0" w:color="auto"/>
          </w:divBdr>
        </w:div>
      </w:divsChild>
    </w:div>
    <w:div w:id="1547984061">
      <w:bodyDiv w:val="1"/>
      <w:marLeft w:val="0"/>
      <w:marRight w:val="0"/>
      <w:marTop w:val="0"/>
      <w:marBottom w:val="0"/>
      <w:divBdr>
        <w:top w:val="none" w:sz="0" w:space="0" w:color="auto"/>
        <w:left w:val="none" w:sz="0" w:space="0" w:color="auto"/>
        <w:bottom w:val="none" w:sz="0" w:space="0" w:color="auto"/>
        <w:right w:val="none" w:sz="0" w:space="0" w:color="auto"/>
      </w:divBdr>
      <w:divsChild>
        <w:div w:id="336618337">
          <w:marLeft w:val="547"/>
          <w:marRight w:val="0"/>
          <w:marTop w:val="154"/>
          <w:marBottom w:val="0"/>
          <w:divBdr>
            <w:top w:val="none" w:sz="0" w:space="0" w:color="auto"/>
            <w:left w:val="none" w:sz="0" w:space="0" w:color="auto"/>
            <w:bottom w:val="none" w:sz="0" w:space="0" w:color="auto"/>
            <w:right w:val="none" w:sz="0" w:space="0" w:color="auto"/>
          </w:divBdr>
        </w:div>
        <w:div w:id="767430870">
          <w:marLeft w:val="547"/>
          <w:marRight w:val="0"/>
          <w:marTop w:val="154"/>
          <w:marBottom w:val="0"/>
          <w:divBdr>
            <w:top w:val="none" w:sz="0" w:space="0" w:color="auto"/>
            <w:left w:val="none" w:sz="0" w:space="0" w:color="auto"/>
            <w:bottom w:val="none" w:sz="0" w:space="0" w:color="auto"/>
            <w:right w:val="none" w:sz="0" w:space="0" w:color="auto"/>
          </w:divBdr>
        </w:div>
        <w:div w:id="1913588414">
          <w:marLeft w:val="547"/>
          <w:marRight w:val="0"/>
          <w:marTop w:val="154"/>
          <w:marBottom w:val="0"/>
          <w:divBdr>
            <w:top w:val="none" w:sz="0" w:space="0" w:color="auto"/>
            <w:left w:val="none" w:sz="0" w:space="0" w:color="auto"/>
            <w:bottom w:val="none" w:sz="0" w:space="0" w:color="auto"/>
            <w:right w:val="none" w:sz="0" w:space="0" w:color="auto"/>
          </w:divBdr>
        </w:div>
      </w:divsChild>
    </w:div>
    <w:div w:id="1558860618">
      <w:bodyDiv w:val="1"/>
      <w:marLeft w:val="0"/>
      <w:marRight w:val="0"/>
      <w:marTop w:val="0"/>
      <w:marBottom w:val="0"/>
      <w:divBdr>
        <w:top w:val="none" w:sz="0" w:space="0" w:color="auto"/>
        <w:left w:val="none" w:sz="0" w:space="0" w:color="auto"/>
        <w:bottom w:val="none" w:sz="0" w:space="0" w:color="auto"/>
        <w:right w:val="none" w:sz="0" w:space="0" w:color="auto"/>
      </w:divBdr>
    </w:div>
    <w:div w:id="1580672194">
      <w:bodyDiv w:val="1"/>
      <w:marLeft w:val="0"/>
      <w:marRight w:val="0"/>
      <w:marTop w:val="0"/>
      <w:marBottom w:val="0"/>
      <w:divBdr>
        <w:top w:val="none" w:sz="0" w:space="0" w:color="auto"/>
        <w:left w:val="none" w:sz="0" w:space="0" w:color="auto"/>
        <w:bottom w:val="none" w:sz="0" w:space="0" w:color="auto"/>
        <w:right w:val="none" w:sz="0" w:space="0" w:color="auto"/>
      </w:divBdr>
      <w:divsChild>
        <w:div w:id="859667418">
          <w:marLeft w:val="547"/>
          <w:marRight w:val="0"/>
          <w:marTop w:val="134"/>
          <w:marBottom w:val="0"/>
          <w:divBdr>
            <w:top w:val="none" w:sz="0" w:space="0" w:color="auto"/>
            <w:left w:val="none" w:sz="0" w:space="0" w:color="auto"/>
            <w:bottom w:val="none" w:sz="0" w:space="0" w:color="auto"/>
            <w:right w:val="none" w:sz="0" w:space="0" w:color="auto"/>
          </w:divBdr>
        </w:div>
        <w:div w:id="1766225987">
          <w:marLeft w:val="547"/>
          <w:marRight w:val="0"/>
          <w:marTop w:val="134"/>
          <w:marBottom w:val="0"/>
          <w:divBdr>
            <w:top w:val="none" w:sz="0" w:space="0" w:color="auto"/>
            <w:left w:val="none" w:sz="0" w:space="0" w:color="auto"/>
            <w:bottom w:val="none" w:sz="0" w:space="0" w:color="auto"/>
            <w:right w:val="none" w:sz="0" w:space="0" w:color="auto"/>
          </w:divBdr>
        </w:div>
        <w:div w:id="1978758619">
          <w:marLeft w:val="547"/>
          <w:marRight w:val="0"/>
          <w:marTop w:val="134"/>
          <w:marBottom w:val="0"/>
          <w:divBdr>
            <w:top w:val="none" w:sz="0" w:space="0" w:color="auto"/>
            <w:left w:val="none" w:sz="0" w:space="0" w:color="auto"/>
            <w:bottom w:val="none" w:sz="0" w:space="0" w:color="auto"/>
            <w:right w:val="none" w:sz="0" w:space="0" w:color="auto"/>
          </w:divBdr>
        </w:div>
        <w:div w:id="2094547441">
          <w:marLeft w:val="547"/>
          <w:marRight w:val="0"/>
          <w:marTop w:val="134"/>
          <w:marBottom w:val="0"/>
          <w:divBdr>
            <w:top w:val="none" w:sz="0" w:space="0" w:color="auto"/>
            <w:left w:val="none" w:sz="0" w:space="0" w:color="auto"/>
            <w:bottom w:val="none" w:sz="0" w:space="0" w:color="auto"/>
            <w:right w:val="none" w:sz="0" w:space="0" w:color="auto"/>
          </w:divBdr>
        </w:div>
        <w:div w:id="2100323822">
          <w:marLeft w:val="547"/>
          <w:marRight w:val="0"/>
          <w:marTop w:val="134"/>
          <w:marBottom w:val="0"/>
          <w:divBdr>
            <w:top w:val="none" w:sz="0" w:space="0" w:color="auto"/>
            <w:left w:val="none" w:sz="0" w:space="0" w:color="auto"/>
            <w:bottom w:val="none" w:sz="0" w:space="0" w:color="auto"/>
            <w:right w:val="none" w:sz="0" w:space="0" w:color="auto"/>
          </w:divBdr>
        </w:div>
      </w:divsChild>
    </w:div>
    <w:div w:id="1597401031">
      <w:bodyDiv w:val="1"/>
      <w:marLeft w:val="0"/>
      <w:marRight w:val="0"/>
      <w:marTop w:val="0"/>
      <w:marBottom w:val="0"/>
      <w:divBdr>
        <w:top w:val="none" w:sz="0" w:space="0" w:color="auto"/>
        <w:left w:val="none" w:sz="0" w:space="0" w:color="auto"/>
        <w:bottom w:val="none" w:sz="0" w:space="0" w:color="auto"/>
        <w:right w:val="none" w:sz="0" w:space="0" w:color="auto"/>
      </w:divBdr>
      <w:divsChild>
        <w:div w:id="1675374889">
          <w:marLeft w:val="547"/>
          <w:marRight w:val="0"/>
          <w:marTop w:val="154"/>
          <w:marBottom w:val="0"/>
          <w:divBdr>
            <w:top w:val="none" w:sz="0" w:space="0" w:color="auto"/>
            <w:left w:val="none" w:sz="0" w:space="0" w:color="auto"/>
            <w:bottom w:val="none" w:sz="0" w:space="0" w:color="auto"/>
            <w:right w:val="none" w:sz="0" w:space="0" w:color="auto"/>
          </w:divBdr>
        </w:div>
        <w:div w:id="1996105266">
          <w:marLeft w:val="547"/>
          <w:marRight w:val="0"/>
          <w:marTop w:val="154"/>
          <w:marBottom w:val="0"/>
          <w:divBdr>
            <w:top w:val="none" w:sz="0" w:space="0" w:color="auto"/>
            <w:left w:val="none" w:sz="0" w:space="0" w:color="auto"/>
            <w:bottom w:val="none" w:sz="0" w:space="0" w:color="auto"/>
            <w:right w:val="none" w:sz="0" w:space="0" w:color="auto"/>
          </w:divBdr>
        </w:div>
      </w:divsChild>
    </w:div>
    <w:div w:id="1606886232">
      <w:bodyDiv w:val="1"/>
      <w:marLeft w:val="0"/>
      <w:marRight w:val="0"/>
      <w:marTop w:val="0"/>
      <w:marBottom w:val="0"/>
      <w:divBdr>
        <w:top w:val="none" w:sz="0" w:space="0" w:color="auto"/>
        <w:left w:val="none" w:sz="0" w:space="0" w:color="auto"/>
        <w:bottom w:val="none" w:sz="0" w:space="0" w:color="auto"/>
        <w:right w:val="none" w:sz="0" w:space="0" w:color="auto"/>
      </w:divBdr>
    </w:div>
    <w:div w:id="1607695552">
      <w:bodyDiv w:val="1"/>
      <w:marLeft w:val="0"/>
      <w:marRight w:val="0"/>
      <w:marTop w:val="0"/>
      <w:marBottom w:val="0"/>
      <w:divBdr>
        <w:top w:val="none" w:sz="0" w:space="0" w:color="auto"/>
        <w:left w:val="none" w:sz="0" w:space="0" w:color="auto"/>
        <w:bottom w:val="none" w:sz="0" w:space="0" w:color="auto"/>
        <w:right w:val="none" w:sz="0" w:space="0" w:color="auto"/>
      </w:divBdr>
      <w:divsChild>
        <w:div w:id="1177574359">
          <w:marLeft w:val="547"/>
          <w:marRight w:val="0"/>
          <w:marTop w:val="154"/>
          <w:marBottom w:val="0"/>
          <w:divBdr>
            <w:top w:val="none" w:sz="0" w:space="0" w:color="auto"/>
            <w:left w:val="none" w:sz="0" w:space="0" w:color="auto"/>
            <w:bottom w:val="none" w:sz="0" w:space="0" w:color="auto"/>
            <w:right w:val="none" w:sz="0" w:space="0" w:color="auto"/>
          </w:divBdr>
        </w:div>
      </w:divsChild>
    </w:div>
    <w:div w:id="1627854539">
      <w:bodyDiv w:val="1"/>
      <w:marLeft w:val="0"/>
      <w:marRight w:val="0"/>
      <w:marTop w:val="0"/>
      <w:marBottom w:val="0"/>
      <w:divBdr>
        <w:top w:val="none" w:sz="0" w:space="0" w:color="auto"/>
        <w:left w:val="none" w:sz="0" w:space="0" w:color="auto"/>
        <w:bottom w:val="none" w:sz="0" w:space="0" w:color="auto"/>
        <w:right w:val="none" w:sz="0" w:space="0" w:color="auto"/>
      </w:divBdr>
    </w:div>
    <w:div w:id="1630237835">
      <w:bodyDiv w:val="1"/>
      <w:marLeft w:val="0"/>
      <w:marRight w:val="0"/>
      <w:marTop w:val="0"/>
      <w:marBottom w:val="0"/>
      <w:divBdr>
        <w:top w:val="none" w:sz="0" w:space="0" w:color="auto"/>
        <w:left w:val="none" w:sz="0" w:space="0" w:color="auto"/>
        <w:bottom w:val="none" w:sz="0" w:space="0" w:color="auto"/>
        <w:right w:val="none" w:sz="0" w:space="0" w:color="auto"/>
      </w:divBdr>
      <w:divsChild>
        <w:div w:id="772896418">
          <w:marLeft w:val="547"/>
          <w:marRight w:val="0"/>
          <w:marTop w:val="134"/>
          <w:marBottom w:val="0"/>
          <w:divBdr>
            <w:top w:val="none" w:sz="0" w:space="0" w:color="auto"/>
            <w:left w:val="none" w:sz="0" w:space="0" w:color="auto"/>
            <w:bottom w:val="none" w:sz="0" w:space="0" w:color="auto"/>
            <w:right w:val="none" w:sz="0" w:space="0" w:color="auto"/>
          </w:divBdr>
        </w:div>
      </w:divsChild>
    </w:div>
    <w:div w:id="1632133802">
      <w:bodyDiv w:val="1"/>
      <w:marLeft w:val="0"/>
      <w:marRight w:val="0"/>
      <w:marTop w:val="0"/>
      <w:marBottom w:val="0"/>
      <w:divBdr>
        <w:top w:val="none" w:sz="0" w:space="0" w:color="auto"/>
        <w:left w:val="none" w:sz="0" w:space="0" w:color="auto"/>
        <w:bottom w:val="none" w:sz="0" w:space="0" w:color="auto"/>
        <w:right w:val="none" w:sz="0" w:space="0" w:color="auto"/>
      </w:divBdr>
      <w:divsChild>
        <w:div w:id="1451824919">
          <w:marLeft w:val="547"/>
          <w:marRight w:val="0"/>
          <w:marTop w:val="154"/>
          <w:marBottom w:val="0"/>
          <w:divBdr>
            <w:top w:val="none" w:sz="0" w:space="0" w:color="auto"/>
            <w:left w:val="none" w:sz="0" w:space="0" w:color="auto"/>
            <w:bottom w:val="none" w:sz="0" w:space="0" w:color="auto"/>
            <w:right w:val="none" w:sz="0" w:space="0" w:color="auto"/>
          </w:divBdr>
        </w:div>
      </w:divsChild>
    </w:div>
    <w:div w:id="1651862489">
      <w:bodyDiv w:val="1"/>
      <w:marLeft w:val="0"/>
      <w:marRight w:val="0"/>
      <w:marTop w:val="0"/>
      <w:marBottom w:val="0"/>
      <w:divBdr>
        <w:top w:val="none" w:sz="0" w:space="0" w:color="auto"/>
        <w:left w:val="none" w:sz="0" w:space="0" w:color="auto"/>
        <w:bottom w:val="none" w:sz="0" w:space="0" w:color="auto"/>
        <w:right w:val="none" w:sz="0" w:space="0" w:color="auto"/>
      </w:divBdr>
      <w:divsChild>
        <w:div w:id="692997071">
          <w:marLeft w:val="547"/>
          <w:marRight w:val="0"/>
          <w:marTop w:val="154"/>
          <w:marBottom w:val="0"/>
          <w:divBdr>
            <w:top w:val="none" w:sz="0" w:space="0" w:color="auto"/>
            <w:left w:val="none" w:sz="0" w:space="0" w:color="auto"/>
            <w:bottom w:val="none" w:sz="0" w:space="0" w:color="auto"/>
            <w:right w:val="none" w:sz="0" w:space="0" w:color="auto"/>
          </w:divBdr>
        </w:div>
        <w:div w:id="856850370">
          <w:marLeft w:val="547"/>
          <w:marRight w:val="0"/>
          <w:marTop w:val="154"/>
          <w:marBottom w:val="0"/>
          <w:divBdr>
            <w:top w:val="none" w:sz="0" w:space="0" w:color="auto"/>
            <w:left w:val="none" w:sz="0" w:space="0" w:color="auto"/>
            <w:bottom w:val="none" w:sz="0" w:space="0" w:color="auto"/>
            <w:right w:val="none" w:sz="0" w:space="0" w:color="auto"/>
          </w:divBdr>
        </w:div>
        <w:div w:id="1934051328">
          <w:marLeft w:val="547"/>
          <w:marRight w:val="0"/>
          <w:marTop w:val="154"/>
          <w:marBottom w:val="0"/>
          <w:divBdr>
            <w:top w:val="none" w:sz="0" w:space="0" w:color="auto"/>
            <w:left w:val="none" w:sz="0" w:space="0" w:color="auto"/>
            <w:bottom w:val="none" w:sz="0" w:space="0" w:color="auto"/>
            <w:right w:val="none" w:sz="0" w:space="0" w:color="auto"/>
          </w:divBdr>
        </w:div>
      </w:divsChild>
    </w:div>
    <w:div w:id="1657031814">
      <w:bodyDiv w:val="1"/>
      <w:marLeft w:val="0"/>
      <w:marRight w:val="0"/>
      <w:marTop w:val="0"/>
      <w:marBottom w:val="0"/>
      <w:divBdr>
        <w:top w:val="none" w:sz="0" w:space="0" w:color="auto"/>
        <w:left w:val="none" w:sz="0" w:space="0" w:color="auto"/>
        <w:bottom w:val="none" w:sz="0" w:space="0" w:color="auto"/>
        <w:right w:val="none" w:sz="0" w:space="0" w:color="auto"/>
      </w:divBdr>
      <w:divsChild>
        <w:div w:id="165948099">
          <w:marLeft w:val="1800"/>
          <w:marRight w:val="0"/>
          <w:marTop w:val="134"/>
          <w:marBottom w:val="0"/>
          <w:divBdr>
            <w:top w:val="none" w:sz="0" w:space="0" w:color="auto"/>
            <w:left w:val="none" w:sz="0" w:space="0" w:color="auto"/>
            <w:bottom w:val="none" w:sz="0" w:space="0" w:color="auto"/>
            <w:right w:val="none" w:sz="0" w:space="0" w:color="auto"/>
          </w:divBdr>
        </w:div>
        <w:div w:id="240792235">
          <w:marLeft w:val="1800"/>
          <w:marRight w:val="0"/>
          <w:marTop w:val="134"/>
          <w:marBottom w:val="0"/>
          <w:divBdr>
            <w:top w:val="none" w:sz="0" w:space="0" w:color="auto"/>
            <w:left w:val="none" w:sz="0" w:space="0" w:color="auto"/>
            <w:bottom w:val="none" w:sz="0" w:space="0" w:color="auto"/>
            <w:right w:val="none" w:sz="0" w:space="0" w:color="auto"/>
          </w:divBdr>
        </w:div>
        <w:div w:id="1501971718">
          <w:marLeft w:val="1800"/>
          <w:marRight w:val="0"/>
          <w:marTop w:val="134"/>
          <w:marBottom w:val="0"/>
          <w:divBdr>
            <w:top w:val="none" w:sz="0" w:space="0" w:color="auto"/>
            <w:left w:val="none" w:sz="0" w:space="0" w:color="auto"/>
            <w:bottom w:val="none" w:sz="0" w:space="0" w:color="auto"/>
            <w:right w:val="none" w:sz="0" w:space="0" w:color="auto"/>
          </w:divBdr>
        </w:div>
      </w:divsChild>
    </w:div>
    <w:div w:id="1665817564">
      <w:bodyDiv w:val="1"/>
      <w:marLeft w:val="0"/>
      <w:marRight w:val="0"/>
      <w:marTop w:val="0"/>
      <w:marBottom w:val="0"/>
      <w:divBdr>
        <w:top w:val="none" w:sz="0" w:space="0" w:color="auto"/>
        <w:left w:val="none" w:sz="0" w:space="0" w:color="auto"/>
        <w:bottom w:val="none" w:sz="0" w:space="0" w:color="auto"/>
        <w:right w:val="none" w:sz="0" w:space="0" w:color="auto"/>
      </w:divBdr>
    </w:div>
    <w:div w:id="1672639638">
      <w:bodyDiv w:val="1"/>
      <w:marLeft w:val="0"/>
      <w:marRight w:val="0"/>
      <w:marTop w:val="0"/>
      <w:marBottom w:val="0"/>
      <w:divBdr>
        <w:top w:val="none" w:sz="0" w:space="0" w:color="auto"/>
        <w:left w:val="none" w:sz="0" w:space="0" w:color="auto"/>
        <w:bottom w:val="none" w:sz="0" w:space="0" w:color="auto"/>
        <w:right w:val="none" w:sz="0" w:space="0" w:color="auto"/>
      </w:divBdr>
      <w:divsChild>
        <w:div w:id="110439600">
          <w:marLeft w:val="547"/>
          <w:marRight w:val="0"/>
          <w:marTop w:val="115"/>
          <w:marBottom w:val="0"/>
          <w:divBdr>
            <w:top w:val="none" w:sz="0" w:space="0" w:color="auto"/>
            <w:left w:val="none" w:sz="0" w:space="0" w:color="auto"/>
            <w:bottom w:val="none" w:sz="0" w:space="0" w:color="auto"/>
            <w:right w:val="none" w:sz="0" w:space="0" w:color="auto"/>
          </w:divBdr>
        </w:div>
        <w:div w:id="1654993093">
          <w:marLeft w:val="547"/>
          <w:marRight w:val="0"/>
          <w:marTop w:val="115"/>
          <w:marBottom w:val="0"/>
          <w:divBdr>
            <w:top w:val="none" w:sz="0" w:space="0" w:color="auto"/>
            <w:left w:val="none" w:sz="0" w:space="0" w:color="auto"/>
            <w:bottom w:val="none" w:sz="0" w:space="0" w:color="auto"/>
            <w:right w:val="none" w:sz="0" w:space="0" w:color="auto"/>
          </w:divBdr>
        </w:div>
      </w:divsChild>
    </w:div>
    <w:div w:id="1689452988">
      <w:bodyDiv w:val="1"/>
      <w:marLeft w:val="0"/>
      <w:marRight w:val="0"/>
      <w:marTop w:val="0"/>
      <w:marBottom w:val="0"/>
      <w:divBdr>
        <w:top w:val="none" w:sz="0" w:space="0" w:color="auto"/>
        <w:left w:val="none" w:sz="0" w:space="0" w:color="auto"/>
        <w:bottom w:val="none" w:sz="0" w:space="0" w:color="auto"/>
        <w:right w:val="none" w:sz="0" w:space="0" w:color="auto"/>
      </w:divBdr>
      <w:divsChild>
        <w:div w:id="259997173">
          <w:marLeft w:val="547"/>
          <w:marRight w:val="0"/>
          <w:marTop w:val="96"/>
          <w:marBottom w:val="0"/>
          <w:divBdr>
            <w:top w:val="none" w:sz="0" w:space="0" w:color="auto"/>
            <w:left w:val="none" w:sz="0" w:space="0" w:color="auto"/>
            <w:bottom w:val="none" w:sz="0" w:space="0" w:color="auto"/>
            <w:right w:val="none" w:sz="0" w:space="0" w:color="auto"/>
          </w:divBdr>
        </w:div>
        <w:div w:id="260188828">
          <w:marLeft w:val="547"/>
          <w:marRight w:val="0"/>
          <w:marTop w:val="96"/>
          <w:marBottom w:val="0"/>
          <w:divBdr>
            <w:top w:val="none" w:sz="0" w:space="0" w:color="auto"/>
            <w:left w:val="none" w:sz="0" w:space="0" w:color="auto"/>
            <w:bottom w:val="none" w:sz="0" w:space="0" w:color="auto"/>
            <w:right w:val="none" w:sz="0" w:space="0" w:color="auto"/>
          </w:divBdr>
        </w:div>
        <w:div w:id="566454180">
          <w:marLeft w:val="547"/>
          <w:marRight w:val="0"/>
          <w:marTop w:val="96"/>
          <w:marBottom w:val="0"/>
          <w:divBdr>
            <w:top w:val="none" w:sz="0" w:space="0" w:color="auto"/>
            <w:left w:val="none" w:sz="0" w:space="0" w:color="auto"/>
            <w:bottom w:val="none" w:sz="0" w:space="0" w:color="auto"/>
            <w:right w:val="none" w:sz="0" w:space="0" w:color="auto"/>
          </w:divBdr>
        </w:div>
        <w:div w:id="626349091">
          <w:marLeft w:val="547"/>
          <w:marRight w:val="0"/>
          <w:marTop w:val="96"/>
          <w:marBottom w:val="0"/>
          <w:divBdr>
            <w:top w:val="none" w:sz="0" w:space="0" w:color="auto"/>
            <w:left w:val="none" w:sz="0" w:space="0" w:color="auto"/>
            <w:bottom w:val="none" w:sz="0" w:space="0" w:color="auto"/>
            <w:right w:val="none" w:sz="0" w:space="0" w:color="auto"/>
          </w:divBdr>
        </w:div>
        <w:div w:id="933709205">
          <w:marLeft w:val="547"/>
          <w:marRight w:val="0"/>
          <w:marTop w:val="96"/>
          <w:marBottom w:val="0"/>
          <w:divBdr>
            <w:top w:val="none" w:sz="0" w:space="0" w:color="auto"/>
            <w:left w:val="none" w:sz="0" w:space="0" w:color="auto"/>
            <w:bottom w:val="none" w:sz="0" w:space="0" w:color="auto"/>
            <w:right w:val="none" w:sz="0" w:space="0" w:color="auto"/>
          </w:divBdr>
        </w:div>
        <w:div w:id="1315448528">
          <w:marLeft w:val="547"/>
          <w:marRight w:val="0"/>
          <w:marTop w:val="96"/>
          <w:marBottom w:val="0"/>
          <w:divBdr>
            <w:top w:val="none" w:sz="0" w:space="0" w:color="auto"/>
            <w:left w:val="none" w:sz="0" w:space="0" w:color="auto"/>
            <w:bottom w:val="none" w:sz="0" w:space="0" w:color="auto"/>
            <w:right w:val="none" w:sz="0" w:space="0" w:color="auto"/>
          </w:divBdr>
        </w:div>
        <w:div w:id="1788353951">
          <w:marLeft w:val="547"/>
          <w:marRight w:val="0"/>
          <w:marTop w:val="96"/>
          <w:marBottom w:val="0"/>
          <w:divBdr>
            <w:top w:val="none" w:sz="0" w:space="0" w:color="auto"/>
            <w:left w:val="none" w:sz="0" w:space="0" w:color="auto"/>
            <w:bottom w:val="none" w:sz="0" w:space="0" w:color="auto"/>
            <w:right w:val="none" w:sz="0" w:space="0" w:color="auto"/>
          </w:divBdr>
        </w:div>
        <w:div w:id="1797290664">
          <w:marLeft w:val="547"/>
          <w:marRight w:val="0"/>
          <w:marTop w:val="96"/>
          <w:marBottom w:val="0"/>
          <w:divBdr>
            <w:top w:val="none" w:sz="0" w:space="0" w:color="auto"/>
            <w:left w:val="none" w:sz="0" w:space="0" w:color="auto"/>
            <w:bottom w:val="none" w:sz="0" w:space="0" w:color="auto"/>
            <w:right w:val="none" w:sz="0" w:space="0" w:color="auto"/>
          </w:divBdr>
        </w:div>
      </w:divsChild>
    </w:div>
    <w:div w:id="1699697900">
      <w:bodyDiv w:val="1"/>
      <w:marLeft w:val="0"/>
      <w:marRight w:val="0"/>
      <w:marTop w:val="0"/>
      <w:marBottom w:val="0"/>
      <w:divBdr>
        <w:top w:val="none" w:sz="0" w:space="0" w:color="auto"/>
        <w:left w:val="none" w:sz="0" w:space="0" w:color="auto"/>
        <w:bottom w:val="none" w:sz="0" w:space="0" w:color="auto"/>
        <w:right w:val="none" w:sz="0" w:space="0" w:color="auto"/>
      </w:divBdr>
      <w:divsChild>
        <w:div w:id="508957249">
          <w:marLeft w:val="547"/>
          <w:marRight w:val="0"/>
          <w:marTop w:val="134"/>
          <w:marBottom w:val="0"/>
          <w:divBdr>
            <w:top w:val="none" w:sz="0" w:space="0" w:color="auto"/>
            <w:left w:val="none" w:sz="0" w:space="0" w:color="auto"/>
            <w:bottom w:val="none" w:sz="0" w:space="0" w:color="auto"/>
            <w:right w:val="none" w:sz="0" w:space="0" w:color="auto"/>
          </w:divBdr>
        </w:div>
      </w:divsChild>
    </w:div>
    <w:div w:id="1706252111">
      <w:bodyDiv w:val="1"/>
      <w:marLeft w:val="0"/>
      <w:marRight w:val="0"/>
      <w:marTop w:val="0"/>
      <w:marBottom w:val="0"/>
      <w:divBdr>
        <w:top w:val="none" w:sz="0" w:space="0" w:color="auto"/>
        <w:left w:val="none" w:sz="0" w:space="0" w:color="auto"/>
        <w:bottom w:val="none" w:sz="0" w:space="0" w:color="auto"/>
        <w:right w:val="none" w:sz="0" w:space="0" w:color="auto"/>
      </w:divBdr>
    </w:div>
    <w:div w:id="1717243662">
      <w:bodyDiv w:val="1"/>
      <w:marLeft w:val="0"/>
      <w:marRight w:val="0"/>
      <w:marTop w:val="0"/>
      <w:marBottom w:val="0"/>
      <w:divBdr>
        <w:top w:val="none" w:sz="0" w:space="0" w:color="auto"/>
        <w:left w:val="none" w:sz="0" w:space="0" w:color="auto"/>
        <w:bottom w:val="none" w:sz="0" w:space="0" w:color="auto"/>
        <w:right w:val="none" w:sz="0" w:space="0" w:color="auto"/>
      </w:divBdr>
    </w:div>
    <w:div w:id="1732926573">
      <w:bodyDiv w:val="1"/>
      <w:marLeft w:val="0"/>
      <w:marRight w:val="0"/>
      <w:marTop w:val="0"/>
      <w:marBottom w:val="0"/>
      <w:divBdr>
        <w:top w:val="none" w:sz="0" w:space="0" w:color="auto"/>
        <w:left w:val="none" w:sz="0" w:space="0" w:color="auto"/>
        <w:bottom w:val="none" w:sz="0" w:space="0" w:color="auto"/>
        <w:right w:val="none" w:sz="0" w:space="0" w:color="auto"/>
      </w:divBdr>
      <w:divsChild>
        <w:div w:id="1208222793">
          <w:marLeft w:val="547"/>
          <w:marRight w:val="0"/>
          <w:marTop w:val="154"/>
          <w:marBottom w:val="0"/>
          <w:divBdr>
            <w:top w:val="none" w:sz="0" w:space="0" w:color="auto"/>
            <w:left w:val="none" w:sz="0" w:space="0" w:color="auto"/>
            <w:bottom w:val="none" w:sz="0" w:space="0" w:color="auto"/>
            <w:right w:val="none" w:sz="0" w:space="0" w:color="auto"/>
          </w:divBdr>
        </w:div>
        <w:div w:id="1656568935">
          <w:marLeft w:val="547"/>
          <w:marRight w:val="0"/>
          <w:marTop w:val="154"/>
          <w:marBottom w:val="0"/>
          <w:divBdr>
            <w:top w:val="none" w:sz="0" w:space="0" w:color="auto"/>
            <w:left w:val="none" w:sz="0" w:space="0" w:color="auto"/>
            <w:bottom w:val="none" w:sz="0" w:space="0" w:color="auto"/>
            <w:right w:val="none" w:sz="0" w:space="0" w:color="auto"/>
          </w:divBdr>
        </w:div>
      </w:divsChild>
    </w:div>
    <w:div w:id="1748452510">
      <w:bodyDiv w:val="1"/>
      <w:marLeft w:val="0"/>
      <w:marRight w:val="0"/>
      <w:marTop w:val="0"/>
      <w:marBottom w:val="0"/>
      <w:divBdr>
        <w:top w:val="none" w:sz="0" w:space="0" w:color="auto"/>
        <w:left w:val="none" w:sz="0" w:space="0" w:color="auto"/>
        <w:bottom w:val="none" w:sz="0" w:space="0" w:color="auto"/>
        <w:right w:val="none" w:sz="0" w:space="0" w:color="auto"/>
      </w:divBdr>
    </w:div>
    <w:div w:id="1752005599">
      <w:bodyDiv w:val="1"/>
      <w:marLeft w:val="0"/>
      <w:marRight w:val="0"/>
      <w:marTop w:val="0"/>
      <w:marBottom w:val="0"/>
      <w:divBdr>
        <w:top w:val="none" w:sz="0" w:space="0" w:color="auto"/>
        <w:left w:val="none" w:sz="0" w:space="0" w:color="auto"/>
        <w:bottom w:val="none" w:sz="0" w:space="0" w:color="auto"/>
        <w:right w:val="none" w:sz="0" w:space="0" w:color="auto"/>
      </w:divBdr>
    </w:div>
    <w:div w:id="1756972642">
      <w:bodyDiv w:val="1"/>
      <w:marLeft w:val="0"/>
      <w:marRight w:val="0"/>
      <w:marTop w:val="0"/>
      <w:marBottom w:val="0"/>
      <w:divBdr>
        <w:top w:val="none" w:sz="0" w:space="0" w:color="auto"/>
        <w:left w:val="none" w:sz="0" w:space="0" w:color="auto"/>
        <w:bottom w:val="none" w:sz="0" w:space="0" w:color="auto"/>
        <w:right w:val="none" w:sz="0" w:space="0" w:color="auto"/>
      </w:divBdr>
    </w:div>
    <w:div w:id="1818644025">
      <w:bodyDiv w:val="1"/>
      <w:marLeft w:val="0"/>
      <w:marRight w:val="0"/>
      <w:marTop w:val="0"/>
      <w:marBottom w:val="0"/>
      <w:divBdr>
        <w:top w:val="none" w:sz="0" w:space="0" w:color="auto"/>
        <w:left w:val="none" w:sz="0" w:space="0" w:color="auto"/>
        <w:bottom w:val="none" w:sz="0" w:space="0" w:color="auto"/>
        <w:right w:val="none" w:sz="0" w:space="0" w:color="auto"/>
      </w:divBdr>
      <w:divsChild>
        <w:div w:id="1478692644">
          <w:marLeft w:val="965"/>
          <w:marRight w:val="0"/>
          <w:marTop w:val="115"/>
          <w:marBottom w:val="0"/>
          <w:divBdr>
            <w:top w:val="none" w:sz="0" w:space="0" w:color="auto"/>
            <w:left w:val="none" w:sz="0" w:space="0" w:color="auto"/>
            <w:bottom w:val="none" w:sz="0" w:space="0" w:color="auto"/>
            <w:right w:val="none" w:sz="0" w:space="0" w:color="auto"/>
          </w:divBdr>
        </w:div>
      </w:divsChild>
    </w:div>
    <w:div w:id="1833135046">
      <w:bodyDiv w:val="1"/>
      <w:marLeft w:val="0"/>
      <w:marRight w:val="0"/>
      <w:marTop w:val="0"/>
      <w:marBottom w:val="0"/>
      <w:divBdr>
        <w:top w:val="none" w:sz="0" w:space="0" w:color="auto"/>
        <w:left w:val="none" w:sz="0" w:space="0" w:color="auto"/>
        <w:bottom w:val="none" w:sz="0" w:space="0" w:color="auto"/>
        <w:right w:val="none" w:sz="0" w:space="0" w:color="auto"/>
      </w:divBdr>
      <w:divsChild>
        <w:div w:id="854927459">
          <w:marLeft w:val="1800"/>
          <w:marRight w:val="0"/>
          <w:marTop w:val="134"/>
          <w:marBottom w:val="0"/>
          <w:divBdr>
            <w:top w:val="none" w:sz="0" w:space="0" w:color="auto"/>
            <w:left w:val="none" w:sz="0" w:space="0" w:color="auto"/>
            <w:bottom w:val="none" w:sz="0" w:space="0" w:color="auto"/>
            <w:right w:val="none" w:sz="0" w:space="0" w:color="auto"/>
          </w:divBdr>
        </w:div>
        <w:div w:id="956642951">
          <w:marLeft w:val="1800"/>
          <w:marRight w:val="0"/>
          <w:marTop w:val="134"/>
          <w:marBottom w:val="0"/>
          <w:divBdr>
            <w:top w:val="none" w:sz="0" w:space="0" w:color="auto"/>
            <w:left w:val="none" w:sz="0" w:space="0" w:color="auto"/>
            <w:bottom w:val="none" w:sz="0" w:space="0" w:color="auto"/>
            <w:right w:val="none" w:sz="0" w:space="0" w:color="auto"/>
          </w:divBdr>
        </w:div>
        <w:div w:id="1769545730">
          <w:marLeft w:val="1800"/>
          <w:marRight w:val="0"/>
          <w:marTop w:val="134"/>
          <w:marBottom w:val="0"/>
          <w:divBdr>
            <w:top w:val="none" w:sz="0" w:space="0" w:color="auto"/>
            <w:left w:val="none" w:sz="0" w:space="0" w:color="auto"/>
            <w:bottom w:val="none" w:sz="0" w:space="0" w:color="auto"/>
            <w:right w:val="none" w:sz="0" w:space="0" w:color="auto"/>
          </w:divBdr>
        </w:div>
        <w:div w:id="1835534985">
          <w:marLeft w:val="1800"/>
          <w:marRight w:val="0"/>
          <w:marTop w:val="134"/>
          <w:marBottom w:val="0"/>
          <w:divBdr>
            <w:top w:val="none" w:sz="0" w:space="0" w:color="auto"/>
            <w:left w:val="none" w:sz="0" w:space="0" w:color="auto"/>
            <w:bottom w:val="none" w:sz="0" w:space="0" w:color="auto"/>
            <w:right w:val="none" w:sz="0" w:space="0" w:color="auto"/>
          </w:divBdr>
        </w:div>
        <w:div w:id="1911428794">
          <w:marLeft w:val="1800"/>
          <w:marRight w:val="0"/>
          <w:marTop w:val="134"/>
          <w:marBottom w:val="0"/>
          <w:divBdr>
            <w:top w:val="none" w:sz="0" w:space="0" w:color="auto"/>
            <w:left w:val="none" w:sz="0" w:space="0" w:color="auto"/>
            <w:bottom w:val="none" w:sz="0" w:space="0" w:color="auto"/>
            <w:right w:val="none" w:sz="0" w:space="0" w:color="auto"/>
          </w:divBdr>
        </w:div>
        <w:div w:id="2008745403">
          <w:marLeft w:val="1800"/>
          <w:marRight w:val="0"/>
          <w:marTop w:val="134"/>
          <w:marBottom w:val="0"/>
          <w:divBdr>
            <w:top w:val="none" w:sz="0" w:space="0" w:color="auto"/>
            <w:left w:val="none" w:sz="0" w:space="0" w:color="auto"/>
            <w:bottom w:val="none" w:sz="0" w:space="0" w:color="auto"/>
            <w:right w:val="none" w:sz="0" w:space="0" w:color="auto"/>
          </w:divBdr>
        </w:div>
        <w:div w:id="2081243947">
          <w:marLeft w:val="1800"/>
          <w:marRight w:val="0"/>
          <w:marTop w:val="134"/>
          <w:marBottom w:val="0"/>
          <w:divBdr>
            <w:top w:val="none" w:sz="0" w:space="0" w:color="auto"/>
            <w:left w:val="none" w:sz="0" w:space="0" w:color="auto"/>
            <w:bottom w:val="none" w:sz="0" w:space="0" w:color="auto"/>
            <w:right w:val="none" w:sz="0" w:space="0" w:color="auto"/>
          </w:divBdr>
        </w:div>
      </w:divsChild>
    </w:div>
    <w:div w:id="1857377408">
      <w:bodyDiv w:val="1"/>
      <w:marLeft w:val="0"/>
      <w:marRight w:val="0"/>
      <w:marTop w:val="0"/>
      <w:marBottom w:val="0"/>
      <w:divBdr>
        <w:top w:val="none" w:sz="0" w:space="0" w:color="auto"/>
        <w:left w:val="none" w:sz="0" w:space="0" w:color="auto"/>
        <w:bottom w:val="none" w:sz="0" w:space="0" w:color="auto"/>
        <w:right w:val="none" w:sz="0" w:space="0" w:color="auto"/>
      </w:divBdr>
    </w:div>
    <w:div w:id="1868449850">
      <w:bodyDiv w:val="1"/>
      <w:marLeft w:val="0"/>
      <w:marRight w:val="0"/>
      <w:marTop w:val="0"/>
      <w:marBottom w:val="0"/>
      <w:divBdr>
        <w:top w:val="none" w:sz="0" w:space="0" w:color="auto"/>
        <w:left w:val="none" w:sz="0" w:space="0" w:color="auto"/>
        <w:bottom w:val="none" w:sz="0" w:space="0" w:color="auto"/>
        <w:right w:val="none" w:sz="0" w:space="0" w:color="auto"/>
      </w:divBdr>
      <w:divsChild>
        <w:div w:id="1034576005">
          <w:marLeft w:val="547"/>
          <w:marRight w:val="0"/>
          <w:marTop w:val="134"/>
          <w:marBottom w:val="0"/>
          <w:divBdr>
            <w:top w:val="none" w:sz="0" w:space="0" w:color="auto"/>
            <w:left w:val="none" w:sz="0" w:space="0" w:color="auto"/>
            <w:bottom w:val="none" w:sz="0" w:space="0" w:color="auto"/>
            <w:right w:val="none" w:sz="0" w:space="0" w:color="auto"/>
          </w:divBdr>
        </w:div>
      </w:divsChild>
    </w:div>
    <w:div w:id="1873301012">
      <w:bodyDiv w:val="1"/>
      <w:marLeft w:val="0"/>
      <w:marRight w:val="0"/>
      <w:marTop w:val="0"/>
      <w:marBottom w:val="0"/>
      <w:divBdr>
        <w:top w:val="none" w:sz="0" w:space="0" w:color="auto"/>
        <w:left w:val="none" w:sz="0" w:space="0" w:color="auto"/>
        <w:bottom w:val="none" w:sz="0" w:space="0" w:color="auto"/>
        <w:right w:val="none" w:sz="0" w:space="0" w:color="auto"/>
      </w:divBdr>
    </w:div>
    <w:div w:id="1879006755">
      <w:bodyDiv w:val="1"/>
      <w:marLeft w:val="0"/>
      <w:marRight w:val="0"/>
      <w:marTop w:val="0"/>
      <w:marBottom w:val="0"/>
      <w:divBdr>
        <w:top w:val="none" w:sz="0" w:space="0" w:color="auto"/>
        <w:left w:val="none" w:sz="0" w:space="0" w:color="auto"/>
        <w:bottom w:val="none" w:sz="0" w:space="0" w:color="auto"/>
        <w:right w:val="none" w:sz="0" w:space="0" w:color="auto"/>
      </w:divBdr>
    </w:div>
    <w:div w:id="1893731297">
      <w:bodyDiv w:val="1"/>
      <w:marLeft w:val="0"/>
      <w:marRight w:val="0"/>
      <w:marTop w:val="0"/>
      <w:marBottom w:val="0"/>
      <w:divBdr>
        <w:top w:val="none" w:sz="0" w:space="0" w:color="auto"/>
        <w:left w:val="none" w:sz="0" w:space="0" w:color="auto"/>
        <w:bottom w:val="none" w:sz="0" w:space="0" w:color="auto"/>
        <w:right w:val="none" w:sz="0" w:space="0" w:color="auto"/>
      </w:divBdr>
    </w:div>
    <w:div w:id="1904214114">
      <w:bodyDiv w:val="1"/>
      <w:marLeft w:val="0"/>
      <w:marRight w:val="0"/>
      <w:marTop w:val="0"/>
      <w:marBottom w:val="0"/>
      <w:divBdr>
        <w:top w:val="none" w:sz="0" w:space="0" w:color="auto"/>
        <w:left w:val="none" w:sz="0" w:space="0" w:color="auto"/>
        <w:bottom w:val="none" w:sz="0" w:space="0" w:color="auto"/>
        <w:right w:val="none" w:sz="0" w:space="0" w:color="auto"/>
      </w:divBdr>
    </w:div>
    <w:div w:id="1914391724">
      <w:bodyDiv w:val="1"/>
      <w:marLeft w:val="0"/>
      <w:marRight w:val="0"/>
      <w:marTop w:val="0"/>
      <w:marBottom w:val="0"/>
      <w:divBdr>
        <w:top w:val="none" w:sz="0" w:space="0" w:color="auto"/>
        <w:left w:val="none" w:sz="0" w:space="0" w:color="auto"/>
        <w:bottom w:val="none" w:sz="0" w:space="0" w:color="auto"/>
        <w:right w:val="none" w:sz="0" w:space="0" w:color="auto"/>
      </w:divBdr>
    </w:div>
    <w:div w:id="1927302173">
      <w:bodyDiv w:val="1"/>
      <w:marLeft w:val="0"/>
      <w:marRight w:val="0"/>
      <w:marTop w:val="0"/>
      <w:marBottom w:val="0"/>
      <w:divBdr>
        <w:top w:val="none" w:sz="0" w:space="0" w:color="auto"/>
        <w:left w:val="none" w:sz="0" w:space="0" w:color="auto"/>
        <w:bottom w:val="none" w:sz="0" w:space="0" w:color="auto"/>
        <w:right w:val="none" w:sz="0" w:space="0" w:color="auto"/>
      </w:divBdr>
    </w:div>
    <w:div w:id="1948543062">
      <w:bodyDiv w:val="1"/>
      <w:marLeft w:val="0"/>
      <w:marRight w:val="0"/>
      <w:marTop w:val="0"/>
      <w:marBottom w:val="0"/>
      <w:divBdr>
        <w:top w:val="none" w:sz="0" w:space="0" w:color="auto"/>
        <w:left w:val="none" w:sz="0" w:space="0" w:color="auto"/>
        <w:bottom w:val="none" w:sz="0" w:space="0" w:color="auto"/>
        <w:right w:val="none" w:sz="0" w:space="0" w:color="auto"/>
      </w:divBdr>
    </w:div>
    <w:div w:id="1973636366">
      <w:bodyDiv w:val="1"/>
      <w:marLeft w:val="0"/>
      <w:marRight w:val="0"/>
      <w:marTop w:val="0"/>
      <w:marBottom w:val="0"/>
      <w:divBdr>
        <w:top w:val="none" w:sz="0" w:space="0" w:color="auto"/>
        <w:left w:val="none" w:sz="0" w:space="0" w:color="auto"/>
        <w:bottom w:val="none" w:sz="0" w:space="0" w:color="auto"/>
        <w:right w:val="none" w:sz="0" w:space="0" w:color="auto"/>
      </w:divBdr>
    </w:div>
    <w:div w:id="1989822814">
      <w:bodyDiv w:val="1"/>
      <w:marLeft w:val="0"/>
      <w:marRight w:val="0"/>
      <w:marTop w:val="0"/>
      <w:marBottom w:val="0"/>
      <w:divBdr>
        <w:top w:val="none" w:sz="0" w:space="0" w:color="auto"/>
        <w:left w:val="none" w:sz="0" w:space="0" w:color="auto"/>
        <w:bottom w:val="none" w:sz="0" w:space="0" w:color="auto"/>
        <w:right w:val="none" w:sz="0" w:space="0" w:color="auto"/>
      </w:divBdr>
    </w:div>
    <w:div w:id="1994019020">
      <w:bodyDiv w:val="1"/>
      <w:marLeft w:val="0"/>
      <w:marRight w:val="0"/>
      <w:marTop w:val="0"/>
      <w:marBottom w:val="0"/>
      <w:divBdr>
        <w:top w:val="none" w:sz="0" w:space="0" w:color="auto"/>
        <w:left w:val="none" w:sz="0" w:space="0" w:color="auto"/>
        <w:bottom w:val="none" w:sz="0" w:space="0" w:color="auto"/>
        <w:right w:val="none" w:sz="0" w:space="0" w:color="auto"/>
      </w:divBdr>
    </w:div>
    <w:div w:id="2055765120">
      <w:bodyDiv w:val="1"/>
      <w:marLeft w:val="0"/>
      <w:marRight w:val="0"/>
      <w:marTop w:val="0"/>
      <w:marBottom w:val="0"/>
      <w:divBdr>
        <w:top w:val="none" w:sz="0" w:space="0" w:color="auto"/>
        <w:left w:val="none" w:sz="0" w:space="0" w:color="auto"/>
        <w:bottom w:val="none" w:sz="0" w:space="0" w:color="auto"/>
        <w:right w:val="none" w:sz="0" w:space="0" w:color="auto"/>
      </w:divBdr>
    </w:div>
    <w:div w:id="2060781296">
      <w:bodyDiv w:val="1"/>
      <w:marLeft w:val="0"/>
      <w:marRight w:val="0"/>
      <w:marTop w:val="0"/>
      <w:marBottom w:val="0"/>
      <w:divBdr>
        <w:top w:val="none" w:sz="0" w:space="0" w:color="auto"/>
        <w:left w:val="none" w:sz="0" w:space="0" w:color="auto"/>
        <w:bottom w:val="none" w:sz="0" w:space="0" w:color="auto"/>
        <w:right w:val="none" w:sz="0" w:space="0" w:color="auto"/>
      </w:divBdr>
    </w:div>
    <w:div w:id="2069575761">
      <w:bodyDiv w:val="1"/>
      <w:marLeft w:val="0"/>
      <w:marRight w:val="0"/>
      <w:marTop w:val="0"/>
      <w:marBottom w:val="0"/>
      <w:divBdr>
        <w:top w:val="none" w:sz="0" w:space="0" w:color="auto"/>
        <w:left w:val="none" w:sz="0" w:space="0" w:color="auto"/>
        <w:bottom w:val="none" w:sz="0" w:space="0" w:color="auto"/>
        <w:right w:val="none" w:sz="0" w:space="0" w:color="auto"/>
      </w:divBdr>
    </w:div>
    <w:div w:id="2087217088">
      <w:bodyDiv w:val="1"/>
      <w:marLeft w:val="0"/>
      <w:marRight w:val="0"/>
      <w:marTop w:val="0"/>
      <w:marBottom w:val="0"/>
      <w:divBdr>
        <w:top w:val="none" w:sz="0" w:space="0" w:color="auto"/>
        <w:left w:val="none" w:sz="0" w:space="0" w:color="auto"/>
        <w:bottom w:val="none" w:sz="0" w:space="0" w:color="auto"/>
        <w:right w:val="none" w:sz="0" w:space="0" w:color="auto"/>
      </w:divBdr>
    </w:div>
    <w:div w:id="2089305602">
      <w:bodyDiv w:val="1"/>
      <w:marLeft w:val="0"/>
      <w:marRight w:val="0"/>
      <w:marTop w:val="0"/>
      <w:marBottom w:val="0"/>
      <w:divBdr>
        <w:top w:val="none" w:sz="0" w:space="0" w:color="auto"/>
        <w:left w:val="none" w:sz="0" w:space="0" w:color="auto"/>
        <w:bottom w:val="none" w:sz="0" w:space="0" w:color="auto"/>
        <w:right w:val="none" w:sz="0" w:space="0" w:color="auto"/>
      </w:divBdr>
      <w:divsChild>
        <w:div w:id="1642617802">
          <w:marLeft w:val="547"/>
          <w:marRight w:val="0"/>
          <w:marTop w:val="154"/>
          <w:marBottom w:val="0"/>
          <w:divBdr>
            <w:top w:val="none" w:sz="0" w:space="0" w:color="auto"/>
            <w:left w:val="none" w:sz="0" w:space="0" w:color="auto"/>
            <w:bottom w:val="none" w:sz="0" w:space="0" w:color="auto"/>
            <w:right w:val="none" w:sz="0" w:space="0" w:color="auto"/>
          </w:divBdr>
        </w:div>
      </w:divsChild>
    </w:div>
    <w:div w:id="2118131424">
      <w:bodyDiv w:val="1"/>
      <w:marLeft w:val="0"/>
      <w:marRight w:val="0"/>
      <w:marTop w:val="0"/>
      <w:marBottom w:val="0"/>
      <w:divBdr>
        <w:top w:val="none" w:sz="0" w:space="0" w:color="auto"/>
        <w:left w:val="none" w:sz="0" w:space="0" w:color="auto"/>
        <w:bottom w:val="none" w:sz="0" w:space="0" w:color="auto"/>
        <w:right w:val="none" w:sz="0" w:space="0" w:color="auto"/>
      </w:divBdr>
      <w:divsChild>
        <w:div w:id="1124932580">
          <w:marLeft w:val="547"/>
          <w:marRight w:val="0"/>
          <w:marTop w:val="115"/>
          <w:marBottom w:val="0"/>
          <w:divBdr>
            <w:top w:val="none" w:sz="0" w:space="0" w:color="auto"/>
            <w:left w:val="none" w:sz="0" w:space="0" w:color="auto"/>
            <w:bottom w:val="none" w:sz="0" w:space="0" w:color="auto"/>
            <w:right w:val="none" w:sz="0" w:space="0" w:color="auto"/>
          </w:divBdr>
        </w:div>
        <w:div w:id="1855993169">
          <w:marLeft w:val="547"/>
          <w:marRight w:val="0"/>
          <w:marTop w:val="115"/>
          <w:marBottom w:val="0"/>
          <w:divBdr>
            <w:top w:val="none" w:sz="0" w:space="0" w:color="auto"/>
            <w:left w:val="none" w:sz="0" w:space="0" w:color="auto"/>
            <w:bottom w:val="none" w:sz="0" w:space="0" w:color="auto"/>
            <w:right w:val="none" w:sz="0" w:space="0" w:color="auto"/>
          </w:divBdr>
        </w:div>
      </w:divsChild>
    </w:div>
    <w:div w:id="2138915275">
      <w:bodyDiv w:val="1"/>
      <w:marLeft w:val="0"/>
      <w:marRight w:val="0"/>
      <w:marTop w:val="0"/>
      <w:marBottom w:val="0"/>
      <w:divBdr>
        <w:top w:val="none" w:sz="0" w:space="0" w:color="auto"/>
        <w:left w:val="none" w:sz="0" w:space="0" w:color="auto"/>
        <w:bottom w:val="none" w:sz="0" w:space="0" w:color="auto"/>
        <w:right w:val="none" w:sz="0" w:space="0" w:color="auto"/>
      </w:divBdr>
      <w:divsChild>
        <w:div w:id="526720218">
          <w:marLeft w:val="547"/>
          <w:marRight w:val="0"/>
          <w:marTop w:val="154"/>
          <w:marBottom w:val="0"/>
          <w:divBdr>
            <w:top w:val="none" w:sz="0" w:space="0" w:color="auto"/>
            <w:left w:val="none" w:sz="0" w:space="0" w:color="auto"/>
            <w:bottom w:val="none" w:sz="0" w:space="0" w:color="auto"/>
            <w:right w:val="none" w:sz="0" w:space="0" w:color="auto"/>
          </w:divBdr>
        </w:div>
        <w:div w:id="1199271517">
          <w:marLeft w:val="547"/>
          <w:marRight w:val="0"/>
          <w:marTop w:val="154"/>
          <w:marBottom w:val="0"/>
          <w:divBdr>
            <w:top w:val="none" w:sz="0" w:space="0" w:color="auto"/>
            <w:left w:val="none" w:sz="0" w:space="0" w:color="auto"/>
            <w:bottom w:val="none" w:sz="0" w:space="0" w:color="auto"/>
            <w:right w:val="none" w:sz="0" w:space="0" w:color="auto"/>
          </w:divBdr>
        </w:div>
        <w:div w:id="1441681829">
          <w:marLeft w:val="547"/>
          <w:marRight w:val="0"/>
          <w:marTop w:val="154"/>
          <w:marBottom w:val="0"/>
          <w:divBdr>
            <w:top w:val="none" w:sz="0" w:space="0" w:color="auto"/>
            <w:left w:val="none" w:sz="0" w:space="0" w:color="auto"/>
            <w:bottom w:val="none" w:sz="0" w:space="0" w:color="auto"/>
            <w:right w:val="none" w:sz="0" w:space="0" w:color="auto"/>
          </w:divBdr>
        </w:div>
        <w:div w:id="145290035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AMINA\IPC\RAPPORT%20ANNUEL\rapport%202017\Donn&#233;es%20ann&#233;e%20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MINA\IPC\RAPPORT%20ANNUEL\rapport%202017\Donn&#233;es%20ann&#233;e%20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MINA\IPC\RAPPORT%20ANNUEL\rapport%202017\Donn&#233;es%20ann&#233;e%20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MINA\IPC\RAPPORT%20ANNUEL\rapport%202017\Donn&#233;es%20ann&#233;e%20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MINA\IPC\RAPPORT%20ANNUEL\rapport%202017\Donn&#233;es%20ann&#233;e%20201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MINA\IPC\RAPPORT%20ANNUEL\rapport%202017\Donn&#233;es%20ann&#233;e%20201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AMINA\IPC\RAPPORT%20ANNUEL\rapport%202017\Donn&#233;es%20ann&#233;e%20201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AMINA\IPC\RAPPORT%20ANNUEL\rapport%202017\Donn&#233;es%20ann&#233;e%20201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AMINA\IPC\RAPPORT%20ANNUEL\rapport%202017\Donn&#233;es%20ann&#233;e%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7.7919072615923124E-2"/>
          <c:y val="3.4465760122880412E-2"/>
          <c:w val="0.84079068241471888"/>
          <c:h val="0.6814940699068035"/>
        </c:manualLayout>
      </c:layout>
      <c:barChart>
        <c:barDir val="col"/>
        <c:grouping val="clustered"/>
        <c:ser>
          <c:idx val="0"/>
          <c:order val="0"/>
          <c:tx>
            <c:strRef>
              <c:f>'IPC par ville'!$B$23</c:f>
              <c:strCache>
                <c:ptCount val="1"/>
                <c:pt idx="0">
                  <c:v>2016</c:v>
                </c:pt>
              </c:strCache>
            </c:strRef>
          </c:tx>
          <c:spPr>
            <a:solidFill>
              <a:schemeClr val="bg1">
                <a:lumMod val="65000"/>
              </a:schemeClr>
            </a:solidFill>
          </c:spPr>
          <c:cat>
            <c:strRef>
              <c:f>'IPC par ville'!$A$24:$A$41</c:f>
              <c:strCache>
                <c:ptCount val="18"/>
                <c:pt idx="0">
                  <c:v>Safi</c:v>
                </c:pt>
                <c:pt idx="1">
                  <c:v>Rabat</c:v>
                </c:pt>
                <c:pt idx="2">
                  <c:v>Agadir</c:v>
                </c:pt>
                <c:pt idx="3">
                  <c:v>Oujda</c:v>
                </c:pt>
                <c:pt idx="4">
                  <c:v>Kenitra</c:v>
                </c:pt>
                <c:pt idx="5">
                  <c:v>Beni mellal</c:v>
                </c:pt>
                <c:pt idx="6">
                  <c:v>Guelmim</c:v>
                </c:pt>
                <c:pt idx="7">
                  <c:v>Settat</c:v>
                </c:pt>
                <c:pt idx="8">
                  <c:v>Ensemble</c:v>
                </c:pt>
                <c:pt idx="9">
                  <c:v>Tétouan</c:v>
                </c:pt>
                <c:pt idx="10">
                  <c:v>Marrakech</c:v>
                </c:pt>
                <c:pt idx="11">
                  <c:v>Fes</c:v>
                </c:pt>
                <c:pt idx="12">
                  <c:v>Dakhla</c:v>
                </c:pt>
                <c:pt idx="13">
                  <c:v>El houceima</c:v>
                </c:pt>
                <c:pt idx="14">
                  <c:v>Laayoune</c:v>
                </c:pt>
                <c:pt idx="15">
                  <c:v>Meknes</c:v>
                </c:pt>
                <c:pt idx="16">
                  <c:v>Tanger</c:v>
                </c:pt>
                <c:pt idx="17">
                  <c:v>Casa</c:v>
                </c:pt>
              </c:strCache>
            </c:strRef>
          </c:cat>
          <c:val>
            <c:numRef>
              <c:f>'IPC par ville'!$B$24:$B$41</c:f>
              <c:numCache>
                <c:formatCode>0.0</c:formatCode>
                <c:ptCount val="18"/>
                <c:pt idx="0">
                  <c:v>111.62499999999999</c:v>
                </c:pt>
                <c:pt idx="1">
                  <c:v>115.1</c:v>
                </c:pt>
                <c:pt idx="2">
                  <c:v>115.40833333333335</c:v>
                </c:pt>
                <c:pt idx="3">
                  <c:v>115.3083333333329</c:v>
                </c:pt>
                <c:pt idx="4">
                  <c:v>115.98333333333335</c:v>
                </c:pt>
                <c:pt idx="5">
                  <c:v>115.61666666666666</c:v>
                </c:pt>
                <c:pt idx="6">
                  <c:v>115.99166666666711</c:v>
                </c:pt>
                <c:pt idx="7">
                  <c:v>116.05833333333288</c:v>
                </c:pt>
                <c:pt idx="8">
                  <c:v>117.05</c:v>
                </c:pt>
                <c:pt idx="9">
                  <c:v>116.25833333333298</c:v>
                </c:pt>
                <c:pt idx="10">
                  <c:v>116.96666666666682</c:v>
                </c:pt>
                <c:pt idx="11">
                  <c:v>117.08333333333293</c:v>
                </c:pt>
                <c:pt idx="12">
                  <c:v>117.40833333333325</c:v>
                </c:pt>
                <c:pt idx="13">
                  <c:v>117.91666666666711</c:v>
                </c:pt>
                <c:pt idx="14">
                  <c:v>116.50833333333294</c:v>
                </c:pt>
                <c:pt idx="15">
                  <c:v>120.12499999999999</c:v>
                </c:pt>
                <c:pt idx="16">
                  <c:v>119.14166666666669</c:v>
                </c:pt>
                <c:pt idx="17">
                  <c:v>119.52499999999999</c:v>
                </c:pt>
              </c:numCache>
            </c:numRef>
          </c:val>
        </c:ser>
        <c:ser>
          <c:idx val="1"/>
          <c:order val="1"/>
          <c:tx>
            <c:strRef>
              <c:f>'IPC par ville'!$C$23</c:f>
              <c:strCache>
                <c:ptCount val="1"/>
                <c:pt idx="0">
                  <c:v>2017</c:v>
                </c:pt>
              </c:strCache>
            </c:strRef>
          </c:tx>
          <c:spPr>
            <a:solidFill>
              <a:schemeClr val="tx1"/>
            </a:solidFill>
          </c:spPr>
          <c:dPt>
            <c:idx val="8"/>
            <c:spPr>
              <a:solidFill>
                <a:schemeClr val="tx1"/>
              </a:solidFill>
              <a:ln w="19050"/>
            </c:spPr>
          </c:dPt>
          <c:cat>
            <c:strRef>
              <c:f>'IPC par ville'!$A$24:$A$41</c:f>
              <c:strCache>
                <c:ptCount val="18"/>
                <c:pt idx="0">
                  <c:v>Safi</c:v>
                </c:pt>
                <c:pt idx="1">
                  <c:v>Rabat</c:v>
                </c:pt>
                <c:pt idx="2">
                  <c:v>Agadir</c:v>
                </c:pt>
                <c:pt idx="3">
                  <c:v>Oujda</c:v>
                </c:pt>
                <c:pt idx="4">
                  <c:v>Kenitra</c:v>
                </c:pt>
                <c:pt idx="5">
                  <c:v>Beni mellal</c:v>
                </c:pt>
                <c:pt idx="6">
                  <c:v>Guelmim</c:v>
                </c:pt>
                <c:pt idx="7">
                  <c:v>Settat</c:v>
                </c:pt>
                <c:pt idx="8">
                  <c:v>Ensemble</c:v>
                </c:pt>
                <c:pt idx="9">
                  <c:v>Tétouan</c:v>
                </c:pt>
                <c:pt idx="10">
                  <c:v>Marrakech</c:v>
                </c:pt>
                <c:pt idx="11">
                  <c:v>Fes</c:v>
                </c:pt>
                <c:pt idx="12">
                  <c:v>Dakhla</c:v>
                </c:pt>
                <c:pt idx="13">
                  <c:v>El houceima</c:v>
                </c:pt>
                <c:pt idx="14">
                  <c:v>Laayoune</c:v>
                </c:pt>
                <c:pt idx="15">
                  <c:v>Meknes</c:v>
                </c:pt>
                <c:pt idx="16">
                  <c:v>Tanger</c:v>
                </c:pt>
                <c:pt idx="17">
                  <c:v>Casa</c:v>
                </c:pt>
              </c:strCache>
            </c:strRef>
          </c:cat>
          <c:val>
            <c:numRef>
              <c:f>'IPC par ville'!$C$24:$C$41</c:f>
              <c:numCache>
                <c:formatCode>0.0</c:formatCode>
                <c:ptCount val="18"/>
                <c:pt idx="0">
                  <c:v>112.79166666666711</c:v>
                </c:pt>
                <c:pt idx="1">
                  <c:v>115.71666666666682</c:v>
                </c:pt>
                <c:pt idx="2">
                  <c:v>115.84166666666682</c:v>
                </c:pt>
                <c:pt idx="3">
                  <c:v>116.14166666666669</c:v>
                </c:pt>
                <c:pt idx="4">
                  <c:v>116.48333333333331</c:v>
                </c:pt>
                <c:pt idx="5">
                  <c:v>116.75833333333296</c:v>
                </c:pt>
                <c:pt idx="6">
                  <c:v>116.78333333333325</c:v>
                </c:pt>
                <c:pt idx="7">
                  <c:v>117.02500000000001</c:v>
                </c:pt>
                <c:pt idx="8">
                  <c:v>117.93333333333331</c:v>
                </c:pt>
                <c:pt idx="9">
                  <c:v>117.94166666666737</c:v>
                </c:pt>
                <c:pt idx="10">
                  <c:v>118.25</c:v>
                </c:pt>
                <c:pt idx="11">
                  <c:v>118.26666666666669</c:v>
                </c:pt>
                <c:pt idx="12">
                  <c:v>118.31666666666666</c:v>
                </c:pt>
                <c:pt idx="13">
                  <c:v>118.38333333333298</c:v>
                </c:pt>
                <c:pt idx="14">
                  <c:v>118.85833333333269</c:v>
                </c:pt>
                <c:pt idx="15">
                  <c:v>119.96666666666682</c:v>
                </c:pt>
                <c:pt idx="16">
                  <c:v>120.19999999999999</c:v>
                </c:pt>
                <c:pt idx="17">
                  <c:v>120.58333333333293</c:v>
                </c:pt>
              </c:numCache>
            </c:numRef>
          </c:val>
        </c:ser>
        <c:axId val="71265280"/>
        <c:axId val="71514368"/>
      </c:barChart>
      <c:catAx>
        <c:axId val="71265280"/>
        <c:scaling>
          <c:orientation val="minMax"/>
        </c:scaling>
        <c:axPos val="b"/>
        <c:tickLblPos val="nextTo"/>
        <c:txPr>
          <a:bodyPr rot="-5400000" vert="horz"/>
          <a:lstStyle/>
          <a:p>
            <a:pPr>
              <a:defRPr b="1" i="0" u="none">
                <a:latin typeface="Times New Roman" pitchFamily="18" charset="0"/>
                <a:cs typeface="Times New Roman" pitchFamily="18" charset="0"/>
              </a:defRPr>
            </a:pPr>
            <a:endParaRPr lang="fr-FR"/>
          </a:p>
        </c:txPr>
        <c:crossAx val="71514368"/>
        <c:crosses val="autoZero"/>
        <c:auto val="1"/>
        <c:lblAlgn val="ctr"/>
        <c:lblOffset val="100"/>
      </c:catAx>
      <c:valAx>
        <c:axId val="71514368"/>
        <c:scaling>
          <c:orientation val="minMax"/>
        </c:scaling>
        <c:axPos val="l"/>
        <c:majorGridlines/>
        <c:numFmt formatCode="0" sourceLinked="0"/>
        <c:tickLblPos val="nextTo"/>
        <c:txPr>
          <a:bodyPr/>
          <a:lstStyle/>
          <a:p>
            <a:pPr>
              <a:defRPr sz="800">
                <a:latin typeface="Times New Roman" pitchFamily="18" charset="0"/>
                <a:cs typeface="Times New Roman" pitchFamily="18" charset="0"/>
              </a:defRPr>
            </a:pPr>
            <a:endParaRPr lang="fr-FR"/>
          </a:p>
        </c:txPr>
        <c:crossAx val="71265280"/>
        <c:crosses val="autoZero"/>
        <c:crossBetween val="between"/>
      </c:valAx>
    </c:plotArea>
    <c:legend>
      <c:legendPos val="r"/>
      <c:layout>
        <c:manualLayout>
          <c:xMode val="edge"/>
          <c:yMode val="edge"/>
          <c:x val="0.90482086614173263"/>
          <c:y val="0.28239893436744773"/>
          <c:w val="9.5179133858267692E-2"/>
          <c:h val="0.14881211920581988"/>
        </c:manualLayout>
      </c:layout>
    </c:legend>
    <c:plotVisOnly val="1"/>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view3D>
      <c:rAngAx val="1"/>
    </c:view3D>
    <c:sideWall>
      <c:spPr>
        <a:solidFill>
          <a:schemeClr val="bg1"/>
        </a:solidFill>
      </c:spPr>
    </c:sideWall>
    <c:backWall>
      <c:spPr>
        <a:solidFill>
          <a:schemeClr val="bg1"/>
        </a:solidFill>
      </c:spPr>
    </c:backWall>
    <c:plotArea>
      <c:layout>
        <c:manualLayout>
          <c:layoutTarget val="inner"/>
          <c:xMode val="edge"/>
          <c:yMode val="edge"/>
          <c:x val="6.4458033171385501E-2"/>
          <c:y val="3.3342562948862162E-2"/>
          <c:w val="0.90812829247409765"/>
          <c:h val="0.8379504485016297"/>
        </c:manualLayout>
      </c:layout>
      <c:bar3DChart>
        <c:barDir val="col"/>
        <c:grouping val="clustered"/>
        <c:ser>
          <c:idx val="0"/>
          <c:order val="0"/>
          <c:dPt>
            <c:idx val="3"/>
            <c:spPr>
              <a:solidFill>
                <a:schemeClr val="tx1"/>
              </a:solidFill>
            </c:spPr>
          </c:dPt>
          <c:dPt>
            <c:idx val="7"/>
            <c:spPr>
              <a:solidFill>
                <a:schemeClr val="tx1"/>
              </a:solidFill>
            </c:spPr>
          </c:dPt>
          <c:dLbls>
            <c:dLbl>
              <c:idx val="0"/>
              <c:layout>
                <c:manualLayout>
                  <c:x val="8.8740987243483248E-3"/>
                  <c:y val="0.1039928644016995"/>
                </c:manualLayout>
              </c:layout>
              <c:showVal val="1"/>
            </c:dLbl>
            <c:txPr>
              <a:bodyPr/>
              <a:lstStyle/>
              <a:p>
                <a:pPr>
                  <a:defRPr sz="800" b="1">
                    <a:latin typeface="Times New Roman" pitchFamily="18" charset="0"/>
                    <a:cs typeface="Times New Roman" pitchFamily="18" charset="0"/>
                  </a:defRPr>
                </a:pPr>
                <a:endParaRPr lang="fr-FR"/>
              </a:p>
            </c:txPr>
            <c:showVal val="1"/>
          </c:dLbls>
          <c:cat>
            <c:strRef>
              <c:f>'IPC par ville'!$A$48:$A$65</c:f>
              <c:strCache>
                <c:ptCount val="18"/>
                <c:pt idx="0">
                  <c:v>Meknes</c:v>
                </c:pt>
                <c:pt idx="1">
                  <c:v>Agadir</c:v>
                </c:pt>
                <c:pt idx="2">
                  <c:v>El houceima</c:v>
                </c:pt>
                <c:pt idx="3">
                  <c:v>Kenitra</c:v>
                </c:pt>
                <c:pt idx="4">
                  <c:v>Rabat</c:v>
                </c:pt>
                <c:pt idx="5">
                  <c:v>Guelmim</c:v>
                </c:pt>
                <c:pt idx="6">
                  <c:v>Oujda</c:v>
                </c:pt>
                <c:pt idx="7">
                  <c:v>Ensemble</c:v>
                </c:pt>
                <c:pt idx="8">
                  <c:v>Dakhla</c:v>
                </c:pt>
                <c:pt idx="9">
                  <c:v>Settat</c:v>
                </c:pt>
                <c:pt idx="10">
                  <c:v>Casa</c:v>
                </c:pt>
                <c:pt idx="11">
                  <c:v>Tanger</c:v>
                </c:pt>
                <c:pt idx="12">
                  <c:v>Beni mellal</c:v>
                </c:pt>
                <c:pt idx="13">
                  <c:v>Fes</c:v>
                </c:pt>
                <c:pt idx="14">
                  <c:v>Safi</c:v>
                </c:pt>
                <c:pt idx="15">
                  <c:v>Marrakech</c:v>
                </c:pt>
                <c:pt idx="16">
                  <c:v>Tétouan</c:v>
                </c:pt>
                <c:pt idx="17">
                  <c:v>Laayoune</c:v>
                </c:pt>
              </c:strCache>
            </c:strRef>
          </c:cat>
          <c:val>
            <c:numRef>
              <c:f>'IPC par ville'!$B$48:$B$65</c:f>
              <c:numCache>
                <c:formatCode>0.0</c:formatCode>
                <c:ptCount val="18"/>
                <c:pt idx="0">
                  <c:v>-0.13180714533475466</c:v>
                </c:pt>
                <c:pt idx="1">
                  <c:v>0.37547837388983024</c:v>
                </c:pt>
                <c:pt idx="2">
                  <c:v>0.39575971731452014</c:v>
                </c:pt>
                <c:pt idx="3">
                  <c:v>0.43109642189969444</c:v>
                </c:pt>
                <c:pt idx="4">
                  <c:v>0.5357660005792132</c:v>
                </c:pt>
                <c:pt idx="5">
                  <c:v>0.68252029599826758</c:v>
                </c:pt>
                <c:pt idx="6">
                  <c:v>0.72270000722699346</c:v>
                </c:pt>
                <c:pt idx="7">
                  <c:v>0.7546632493236447</c:v>
                </c:pt>
                <c:pt idx="8">
                  <c:v>0.77365320462774434</c:v>
                </c:pt>
                <c:pt idx="9">
                  <c:v>0.83291448265960688</c:v>
                </c:pt>
                <c:pt idx="10">
                  <c:v>0.88544934811405407</c:v>
                </c:pt>
                <c:pt idx="11">
                  <c:v>0.88829824438692551</c:v>
                </c:pt>
                <c:pt idx="12">
                  <c:v>0.98745855557158435</c:v>
                </c:pt>
                <c:pt idx="13">
                  <c:v>1.0106761565836333</c:v>
                </c:pt>
                <c:pt idx="14">
                  <c:v>1.0451661067562565</c:v>
                </c:pt>
                <c:pt idx="15">
                  <c:v>1.0971786833855659</c:v>
                </c:pt>
                <c:pt idx="16">
                  <c:v>1.4479248799368998</c:v>
                </c:pt>
                <c:pt idx="17">
                  <c:v>2.0170231027823737</c:v>
                </c:pt>
              </c:numCache>
            </c:numRef>
          </c:val>
        </c:ser>
        <c:shape val="cylinder"/>
        <c:axId val="83796352"/>
        <c:axId val="83866368"/>
        <c:axId val="0"/>
      </c:bar3DChart>
      <c:catAx>
        <c:axId val="83796352"/>
        <c:scaling>
          <c:orientation val="minMax"/>
        </c:scaling>
        <c:axPos val="b"/>
        <c:tickLblPos val="nextTo"/>
        <c:txPr>
          <a:bodyPr rot="-5400000" vert="horz"/>
          <a:lstStyle/>
          <a:p>
            <a:pPr>
              <a:defRPr b="1">
                <a:latin typeface="Times New Roman" pitchFamily="18" charset="0"/>
                <a:cs typeface="Times New Roman" pitchFamily="18" charset="0"/>
              </a:defRPr>
            </a:pPr>
            <a:endParaRPr lang="fr-FR"/>
          </a:p>
        </c:txPr>
        <c:crossAx val="83866368"/>
        <c:crosses val="autoZero"/>
        <c:auto val="1"/>
        <c:lblAlgn val="ctr"/>
        <c:lblOffset val="100"/>
      </c:catAx>
      <c:valAx>
        <c:axId val="83866368"/>
        <c:scaling>
          <c:orientation val="minMax"/>
        </c:scaling>
        <c:delete val="1"/>
        <c:axPos val="l"/>
        <c:majorGridlines/>
        <c:numFmt formatCode="0.0" sourceLinked="1"/>
        <c:tickLblPos val="nextTo"/>
        <c:crossAx val="83796352"/>
        <c:crosses val="autoZero"/>
        <c:crossBetween val="between"/>
      </c:valAx>
    </c:plotArea>
    <c:plotVisOnly val="1"/>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8.5931642778391243E-2"/>
          <c:y val="0.14772727272727579"/>
          <c:w val="0.88981256890848948"/>
          <c:h val="0.65438916726319696"/>
        </c:manualLayout>
      </c:layout>
      <c:lineChart>
        <c:grouping val="standard"/>
        <c:ser>
          <c:idx val="0"/>
          <c:order val="0"/>
          <c:tx>
            <c:strRef>
              <c:f>'IA+INA Kenitra'!$A$48</c:f>
              <c:strCache>
                <c:ptCount val="1"/>
                <c:pt idx="0">
                  <c:v>KENITRA</c:v>
                </c:pt>
              </c:strCache>
            </c:strRef>
          </c:tx>
          <c:cat>
            <c:strRef>
              <c:f>'IA+INA Kenitra'!$B$47:$M$47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Kenitra'!$B$48:$M$48</c:f>
              <c:numCache>
                <c:formatCode>0.0</c:formatCode>
                <c:ptCount val="12"/>
                <c:pt idx="0">
                  <c:v>116.4</c:v>
                </c:pt>
                <c:pt idx="1">
                  <c:v>116.1</c:v>
                </c:pt>
                <c:pt idx="2">
                  <c:v>115.8</c:v>
                </c:pt>
                <c:pt idx="3">
                  <c:v>115.7</c:v>
                </c:pt>
                <c:pt idx="4">
                  <c:v>116.1</c:v>
                </c:pt>
                <c:pt idx="5">
                  <c:v>116.3</c:v>
                </c:pt>
                <c:pt idx="6">
                  <c:v>115.7</c:v>
                </c:pt>
                <c:pt idx="7">
                  <c:v>115.8</c:v>
                </c:pt>
                <c:pt idx="8">
                  <c:v>117.3</c:v>
                </c:pt>
                <c:pt idx="9">
                  <c:v>116.9</c:v>
                </c:pt>
                <c:pt idx="10">
                  <c:v>117.6</c:v>
                </c:pt>
                <c:pt idx="11">
                  <c:v>118.1</c:v>
                </c:pt>
              </c:numCache>
            </c:numRef>
          </c:val>
        </c:ser>
        <c:ser>
          <c:idx val="1"/>
          <c:order val="1"/>
          <c:tx>
            <c:strRef>
              <c:f>'IA+INA Kenitra'!$A$49</c:f>
              <c:strCache>
                <c:ptCount val="1"/>
                <c:pt idx="0">
                  <c:v>NATIONAL</c:v>
                </c:pt>
              </c:strCache>
            </c:strRef>
          </c:tx>
          <c:marker>
            <c:symbol val="none"/>
          </c:marker>
          <c:cat>
            <c:strRef>
              <c:f>'IA+INA Kenitra'!$B$47:$M$47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Kenitra'!$B$49:$M$49</c:f>
              <c:numCache>
                <c:formatCode>0.0</c:formatCode>
                <c:ptCount val="12"/>
                <c:pt idx="0">
                  <c:v>117.7</c:v>
                </c:pt>
                <c:pt idx="1">
                  <c:v>117.4</c:v>
                </c:pt>
                <c:pt idx="2">
                  <c:v>116.7</c:v>
                </c:pt>
                <c:pt idx="3">
                  <c:v>116.9</c:v>
                </c:pt>
                <c:pt idx="4">
                  <c:v>117.5</c:v>
                </c:pt>
                <c:pt idx="5">
                  <c:v>117.9</c:v>
                </c:pt>
                <c:pt idx="6">
                  <c:v>117.3</c:v>
                </c:pt>
                <c:pt idx="7">
                  <c:v>117.7</c:v>
                </c:pt>
                <c:pt idx="8">
                  <c:v>118.7</c:v>
                </c:pt>
                <c:pt idx="9">
                  <c:v>118.6</c:v>
                </c:pt>
                <c:pt idx="10">
                  <c:v>119.1</c:v>
                </c:pt>
                <c:pt idx="11">
                  <c:v>119.7</c:v>
                </c:pt>
              </c:numCache>
            </c:numRef>
          </c:val>
        </c:ser>
        <c:marker val="1"/>
        <c:axId val="88510464"/>
        <c:axId val="88512384"/>
      </c:lineChart>
      <c:catAx>
        <c:axId val="88510464"/>
        <c:scaling>
          <c:orientation val="minMax"/>
        </c:scaling>
        <c:axPos val="b"/>
        <c:tickLblPos val="nextTo"/>
        <c:txPr>
          <a:bodyPr/>
          <a:lstStyle/>
          <a:p>
            <a:pPr>
              <a:defRPr>
                <a:latin typeface="Times New Roman" pitchFamily="18" charset="0"/>
                <a:cs typeface="Times New Roman" pitchFamily="18" charset="0"/>
              </a:defRPr>
            </a:pPr>
            <a:endParaRPr lang="fr-FR"/>
          </a:p>
        </c:txPr>
        <c:crossAx val="88512384"/>
        <c:crosses val="autoZero"/>
        <c:auto val="1"/>
        <c:lblAlgn val="ctr"/>
        <c:lblOffset val="100"/>
      </c:catAx>
      <c:valAx>
        <c:axId val="88512384"/>
        <c:scaling>
          <c:orientation val="minMax"/>
        </c:scaling>
        <c:axPos val="l"/>
        <c:majorGridlines/>
        <c:numFmt formatCode="0" sourceLinked="0"/>
        <c:tickLblPos val="nextTo"/>
        <c:txPr>
          <a:bodyPr/>
          <a:lstStyle/>
          <a:p>
            <a:pPr>
              <a:defRPr>
                <a:latin typeface="Times New Roman" pitchFamily="18" charset="0"/>
                <a:cs typeface="Times New Roman" pitchFamily="18" charset="0"/>
              </a:defRPr>
            </a:pPr>
            <a:endParaRPr lang="fr-FR"/>
          </a:p>
        </c:txPr>
        <c:crossAx val="88510464"/>
        <c:crosses val="autoZero"/>
        <c:crossBetween val="between"/>
      </c:valAx>
    </c:plotArea>
    <c:legend>
      <c:legendPos val="b"/>
      <c:legendEntry>
        <c:idx val="0"/>
        <c:txPr>
          <a:bodyPr/>
          <a:lstStyle/>
          <a:p>
            <a:pPr>
              <a:defRPr sz="800">
                <a:latin typeface="Times New Roman" pitchFamily="18" charset="0"/>
                <a:cs typeface="Times New Roman" pitchFamily="18" charset="0"/>
              </a:defRPr>
            </a:pPr>
            <a:endParaRPr lang="fr-FR"/>
          </a:p>
        </c:txPr>
      </c:legendEntry>
      <c:legendEntry>
        <c:idx val="1"/>
        <c:txPr>
          <a:bodyPr/>
          <a:lstStyle/>
          <a:p>
            <a:pPr>
              <a:defRPr sz="800">
                <a:latin typeface="Times New Roman" pitchFamily="18" charset="0"/>
                <a:cs typeface="Times New Roman" pitchFamily="18" charset="0"/>
              </a:defRPr>
            </a:pPr>
            <a:endParaRPr lang="fr-FR"/>
          </a:p>
        </c:txPr>
      </c:legendEntry>
      <c:txPr>
        <a:bodyPr/>
        <a:lstStyle/>
        <a:p>
          <a:pPr>
            <a:defRPr>
              <a:latin typeface="Times New Roman" pitchFamily="18" charset="0"/>
              <a:cs typeface="Times New Roman" pitchFamily="18" charset="0"/>
            </a:defRPr>
          </a:pPr>
          <a:endParaRPr lang="fr-FR"/>
        </a:p>
      </c:txPr>
    </c:legend>
    <c:plotVisOnly val="1"/>
  </c:chart>
  <c:spPr>
    <a:solidFill>
      <a:schemeClr val="accent1">
        <a:lumMod val="60000"/>
        <a:lumOff val="40000"/>
      </a:schemeClr>
    </a:soli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8.3234908136486249E-2"/>
          <c:y val="0.10968204571245579"/>
          <c:w val="0.88898725652714461"/>
          <c:h val="0.69561352576284941"/>
        </c:manualLayout>
      </c:layout>
      <c:lineChart>
        <c:grouping val="standard"/>
        <c:ser>
          <c:idx val="0"/>
          <c:order val="0"/>
          <c:tx>
            <c:strRef>
              <c:f>'IA+INA Kenitra'!$A$4</c:f>
              <c:strCache>
                <c:ptCount val="1"/>
                <c:pt idx="0">
                  <c:v>Indices des Produits alimentaires</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Kenitra'!$B$4:$M$4</c:f>
              <c:numCache>
                <c:formatCode>0.0</c:formatCode>
                <c:ptCount val="12"/>
                <c:pt idx="0">
                  <c:v>125.43039999999999</c:v>
                </c:pt>
                <c:pt idx="1">
                  <c:v>124.48339999999999</c:v>
                </c:pt>
                <c:pt idx="2">
                  <c:v>122.87350000000001</c:v>
                </c:pt>
                <c:pt idx="3">
                  <c:v>122.6841</c:v>
                </c:pt>
                <c:pt idx="4">
                  <c:v>123.6311</c:v>
                </c:pt>
                <c:pt idx="5">
                  <c:v>124.57809999999998</c:v>
                </c:pt>
                <c:pt idx="6">
                  <c:v>123.27420000000002</c:v>
                </c:pt>
                <c:pt idx="7">
                  <c:v>123.27420000000002</c:v>
                </c:pt>
                <c:pt idx="8">
                  <c:v>126.68339999999998</c:v>
                </c:pt>
                <c:pt idx="9">
                  <c:v>125.45229999999999</c:v>
                </c:pt>
                <c:pt idx="10">
                  <c:v>126.68339999999998</c:v>
                </c:pt>
                <c:pt idx="11">
                  <c:v>128.10389999999998</c:v>
                </c:pt>
              </c:numCache>
            </c:numRef>
          </c:val>
        </c:ser>
        <c:ser>
          <c:idx val="1"/>
          <c:order val="1"/>
          <c:tx>
            <c:strRef>
              <c:f>'IA+INA Kenitra'!$A$5</c:f>
              <c:strCache>
                <c:ptCount val="1"/>
                <c:pt idx="0">
                  <c:v>Indices des Produits non alimentaires</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Kenitra'!$B$5:$M$5</c:f>
              <c:numCache>
                <c:formatCode>0.0</c:formatCode>
                <c:ptCount val="12"/>
                <c:pt idx="0">
                  <c:v>109.99381880341878</c:v>
                </c:pt>
                <c:pt idx="1">
                  <c:v>110.15280170939985</c:v>
                </c:pt>
                <c:pt idx="2">
                  <c:v>110.78204700854701</c:v>
                </c:pt>
                <c:pt idx="3">
                  <c:v>110.74546752136852</c:v>
                </c:pt>
                <c:pt idx="4">
                  <c:v>110.75742478632479</c:v>
                </c:pt>
                <c:pt idx="5">
                  <c:v>110.42750170940171</c:v>
                </c:pt>
                <c:pt idx="6">
                  <c:v>110.32684957264829</c:v>
                </c:pt>
                <c:pt idx="7">
                  <c:v>110.49778974358971</c:v>
                </c:pt>
                <c:pt idx="8">
                  <c:v>110.64340000000003</c:v>
                </c:pt>
                <c:pt idx="9">
                  <c:v>110.83298376068375</c:v>
                </c:pt>
                <c:pt idx="10">
                  <c:v>111.15622051281942</c:v>
                </c:pt>
                <c:pt idx="11">
                  <c:v>111.00321623931769</c:v>
                </c:pt>
              </c:numCache>
            </c:numRef>
          </c:val>
        </c:ser>
        <c:ser>
          <c:idx val="2"/>
          <c:order val="2"/>
          <c:tx>
            <c:strRef>
              <c:f>'IA+INA Kenitra'!$A$6</c:f>
              <c:strCache>
                <c:ptCount val="1"/>
                <c:pt idx="0">
                  <c:v>  Indice Général    </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Kenitra'!$B$6:$M$6</c:f>
              <c:numCache>
                <c:formatCode>0.0</c:formatCode>
                <c:ptCount val="12"/>
                <c:pt idx="0">
                  <c:v>116.4</c:v>
                </c:pt>
                <c:pt idx="1">
                  <c:v>116.1</c:v>
                </c:pt>
                <c:pt idx="2">
                  <c:v>115.8</c:v>
                </c:pt>
                <c:pt idx="3">
                  <c:v>115.7</c:v>
                </c:pt>
                <c:pt idx="4">
                  <c:v>116.1</c:v>
                </c:pt>
                <c:pt idx="5">
                  <c:v>116.3</c:v>
                </c:pt>
                <c:pt idx="6">
                  <c:v>115.7</c:v>
                </c:pt>
                <c:pt idx="7">
                  <c:v>115.8</c:v>
                </c:pt>
                <c:pt idx="8">
                  <c:v>117.3</c:v>
                </c:pt>
                <c:pt idx="9">
                  <c:v>116.9</c:v>
                </c:pt>
                <c:pt idx="10">
                  <c:v>117.6</c:v>
                </c:pt>
                <c:pt idx="11">
                  <c:v>118.1</c:v>
                </c:pt>
              </c:numCache>
            </c:numRef>
          </c:val>
        </c:ser>
        <c:marker val="1"/>
        <c:axId val="69417216"/>
        <c:axId val="69423104"/>
      </c:lineChart>
      <c:catAx>
        <c:axId val="69417216"/>
        <c:scaling>
          <c:orientation val="minMax"/>
        </c:scaling>
        <c:axPos val="b"/>
        <c:tickLblPos val="nextTo"/>
        <c:crossAx val="69423104"/>
        <c:crosses val="autoZero"/>
        <c:auto val="1"/>
        <c:lblAlgn val="ctr"/>
        <c:lblOffset val="100"/>
      </c:catAx>
      <c:valAx>
        <c:axId val="69423104"/>
        <c:scaling>
          <c:orientation val="minMax"/>
          <c:max val="130"/>
          <c:min val="105"/>
        </c:scaling>
        <c:axPos val="l"/>
        <c:majorGridlines/>
        <c:numFmt formatCode="0" sourceLinked="0"/>
        <c:tickLblPos val="nextTo"/>
        <c:txPr>
          <a:bodyPr/>
          <a:lstStyle/>
          <a:p>
            <a:pPr>
              <a:defRPr sz="800"/>
            </a:pPr>
            <a:endParaRPr lang="fr-FR"/>
          </a:p>
        </c:txPr>
        <c:crossAx val="69417216"/>
        <c:crosses val="autoZero"/>
        <c:crossBetween val="between"/>
      </c:valAx>
    </c:plotArea>
    <c:legend>
      <c:legendPos val="b"/>
      <c:layout>
        <c:manualLayout>
          <c:xMode val="edge"/>
          <c:yMode val="edge"/>
          <c:x val="0"/>
          <c:y val="0.92653842672848963"/>
          <c:w val="0.99210526315789471"/>
          <c:h val="4.1631334544720393E-2"/>
        </c:manualLayout>
      </c:layout>
      <c:txPr>
        <a:bodyPr/>
        <a:lstStyle/>
        <a:p>
          <a:pPr>
            <a:defRPr sz="900" b="1"/>
          </a:pPr>
          <a:endParaRPr lang="fr-FR"/>
        </a:p>
      </c:txPr>
    </c:legend>
    <c:plotVisOnly val="1"/>
  </c:chart>
  <c:spPr>
    <a:gradFill>
      <a:gsLst>
        <a:gs pos="0">
          <a:schemeClr val="accent1"/>
        </a:gs>
        <a:gs pos="50000">
          <a:srgbClr val="4F81BD">
            <a:tint val="44500"/>
            <a:satMod val="160000"/>
          </a:srgbClr>
        </a:gs>
        <a:gs pos="100000">
          <a:srgbClr val="4F81BD">
            <a:tint val="23500"/>
            <a:satMod val="160000"/>
          </a:srgbClr>
        </a:gs>
      </a:gsLst>
      <a:lin ang="5400000" scaled="0"/>
    </a:gradFill>
  </c:spPr>
  <c:txPr>
    <a:bodyPr/>
    <a:lstStyle/>
    <a:p>
      <a:pPr>
        <a:defRPr>
          <a:latin typeface="Times New Roman" pitchFamily="18" charset="0"/>
          <a:cs typeface="Times New Roman"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8.2449835758359818E-2"/>
          <c:y val="8.5735667339103566E-2"/>
          <c:w val="0.8045903836488526"/>
          <c:h val="0.81199626906140854"/>
        </c:manualLayout>
      </c:layout>
      <c:lineChart>
        <c:grouping val="standard"/>
        <c:ser>
          <c:idx val="0"/>
          <c:order val="0"/>
          <c:tx>
            <c:strRef>
              <c:f>'IPCK par année'!$A$184</c:f>
              <c:strCache>
                <c:ptCount val="1"/>
                <c:pt idx="0">
                  <c:v>2007</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année'!$B$184:$M$184</c:f>
              <c:numCache>
                <c:formatCode>0.0</c:formatCode>
                <c:ptCount val="12"/>
                <c:pt idx="0">
                  <c:v>100.4</c:v>
                </c:pt>
                <c:pt idx="1">
                  <c:v>100.6</c:v>
                </c:pt>
                <c:pt idx="2">
                  <c:v>100.5</c:v>
                </c:pt>
                <c:pt idx="3">
                  <c:v>101.4</c:v>
                </c:pt>
                <c:pt idx="4">
                  <c:v>100.8</c:v>
                </c:pt>
                <c:pt idx="5">
                  <c:v>101.4</c:v>
                </c:pt>
                <c:pt idx="6">
                  <c:v>101.4</c:v>
                </c:pt>
                <c:pt idx="7">
                  <c:v>102.6</c:v>
                </c:pt>
                <c:pt idx="8">
                  <c:v>103.3</c:v>
                </c:pt>
                <c:pt idx="9">
                  <c:v>103.7</c:v>
                </c:pt>
                <c:pt idx="10">
                  <c:v>103</c:v>
                </c:pt>
                <c:pt idx="11">
                  <c:v>102.9</c:v>
                </c:pt>
              </c:numCache>
            </c:numRef>
          </c:val>
        </c:ser>
        <c:ser>
          <c:idx val="1"/>
          <c:order val="1"/>
          <c:tx>
            <c:strRef>
              <c:f>'IPCK par année'!$A$185</c:f>
              <c:strCache>
                <c:ptCount val="1"/>
                <c:pt idx="0">
                  <c:v>2008</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année'!$B$185:$M$185</c:f>
              <c:numCache>
                <c:formatCode>0.0</c:formatCode>
                <c:ptCount val="12"/>
                <c:pt idx="0">
                  <c:v>103</c:v>
                </c:pt>
                <c:pt idx="1">
                  <c:v>103.1</c:v>
                </c:pt>
                <c:pt idx="2">
                  <c:v>104.2</c:v>
                </c:pt>
                <c:pt idx="3">
                  <c:v>105.4</c:v>
                </c:pt>
                <c:pt idx="4">
                  <c:v>106.1</c:v>
                </c:pt>
                <c:pt idx="5">
                  <c:v>105.7</c:v>
                </c:pt>
                <c:pt idx="6">
                  <c:v>105.9</c:v>
                </c:pt>
                <c:pt idx="7">
                  <c:v>106.6</c:v>
                </c:pt>
                <c:pt idx="8">
                  <c:v>107.2</c:v>
                </c:pt>
                <c:pt idx="9">
                  <c:v>107.3</c:v>
                </c:pt>
                <c:pt idx="10">
                  <c:v>106.7</c:v>
                </c:pt>
                <c:pt idx="11">
                  <c:v>107.2</c:v>
                </c:pt>
              </c:numCache>
            </c:numRef>
          </c:val>
        </c:ser>
        <c:ser>
          <c:idx val="2"/>
          <c:order val="2"/>
          <c:tx>
            <c:strRef>
              <c:f>'IPCK par année'!$A$186</c:f>
              <c:strCache>
                <c:ptCount val="1"/>
                <c:pt idx="0">
                  <c:v>2009</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année'!$B$186:$M$186</c:f>
              <c:numCache>
                <c:formatCode>0.0</c:formatCode>
                <c:ptCount val="12"/>
                <c:pt idx="0">
                  <c:v>106.6</c:v>
                </c:pt>
                <c:pt idx="1">
                  <c:v>107.1</c:v>
                </c:pt>
                <c:pt idx="2">
                  <c:v>107.6</c:v>
                </c:pt>
                <c:pt idx="3">
                  <c:v>107.7</c:v>
                </c:pt>
                <c:pt idx="4">
                  <c:v>106.2</c:v>
                </c:pt>
                <c:pt idx="5">
                  <c:v>105.3</c:v>
                </c:pt>
                <c:pt idx="6">
                  <c:v>105.6</c:v>
                </c:pt>
                <c:pt idx="7">
                  <c:v>106.7</c:v>
                </c:pt>
                <c:pt idx="8">
                  <c:v>109.4</c:v>
                </c:pt>
                <c:pt idx="9">
                  <c:v>108.6</c:v>
                </c:pt>
                <c:pt idx="10">
                  <c:v>107</c:v>
                </c:pt>
                <c:pt idx="11">
                  <c:v>105.1</c:v>
                </c:pt>
              </c:numCache>
            </c:numRef>
          </c:val>
        </c:ser>
        <c:ser>
          <c:idx val="3"/>
          <c:order val="3"/>
          <c:tx>
            <c:strRef>
              <c:f>'IPCK par année'!$A$187</c:f>
              <c:strCache>
                <c:ptCount val="1"/>
                <c:pt idx="0">
                  <c:v>2010</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année'!$B$187:$M$187</c:f>
              <c:numCache>
                <c:formatCode>0.0</c:formatCode>
                <c:ptCount val="12"/>
                <c:pt idx="0">
                  <c:v>105.2</c:v>
                </c:pt>
                <c:pt idx="1">
                  <c:v>106</c:v>
                </c:pt>
                <c:pt idx="2">
                  <c:v>107.2</c:v>
                </c:pt>
                <c:pt idx="3">
                  <c:v>107.4</c:v>
                </c:pt>
                <c:pt idx="4">
                  <c:v>107.6</c:v>
                </c:pt>
                <c:pt idx="5">
                  <c:v>106.3</c:v>
                </c:pt>
                <c:pt idx="6">
                  <c:v>106.4</c:v>
                </c:pt>
                <c:pt idx="7">
                  <c:v>107.2</c:v>
                </c:pt>
                <c:pt idx="8">
                  <c:v>108.3</c:v>
                </c:pt>
                <c:pt idx="9">
                  <c:v>108.1</c:v>
                </c:pt>
                <c:pt idx="10">
                  <c:v>108.1</c:v>
                </c:pt>
                <c:pt idx="11">
                  <c:v>107.5</c:v>
                </c:pt>
              </c:numCache>
            </c:numRef>
          </c:val>
        </c:ser>
        <c:ser>
          <c:idx val="4"/>
          <c:order val="4"/>
          <c:tx>
            <c:strRef>
              <c:f>'IPCK par année'!$A$188</c:f>
              <c:strCache>
                <c:ptCount val="1"/>
                <c:pt idx="0">
                  <c:v>2011</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année'!$B$188:$M$188</c:f>
              <c:numCache>
                <c:formatCode>0.0</c:formatCode>
                <c:ptCount val="12"/>
                <c:pt idx="0">
                  <c:v>107.9</c:v>
                </c:pt>
                <c:pt idx="1">
                  <c:v>109.1</c:v>
                </c:pt>
                <c:pt idx="2">
                  <c:v>109.2</c:v>
                </c:pt>
                <c:pt idx="3">
                  <c:v>107.9</c:v>
                </c:pt>
                <c:pt idx="4">
                  <c:v>108.5</c:v>
                </c:pt>
                <c:pt idx="5">
                  <c:v>108</c:v>
                </c:pt>
                <c:pt idx="6">
                  <c:v>108.3</c:v>
                </c:pt>
                <c:pt idx="7">
                  <c:v>109.8</c:v>
                </c:pt>
                <c:pt idx="8">
                  <c:v>110.3</c:v>
                </c:pt>
                <c:pt idx="9">
                  <c:v>109.9</c:v>
                </c:pt>
                <c:pt idx="10">
                  <c:v>109.5</c:v>
                </c:pt>
                <c:pt idx="11">
                  <c:v>109.1</c:v>
                </c:pt>
              </c:numCache>
            </c:numRef>
          </c:val>
        </c:ser>
        <c:ser>
          <c:idx val="5"/>
          <c:order val="5"/>
          <c:tx>
            <c:strRef>
              <c:f>'IPCK par année'!$A$189</c:f>
              <c:strCache>
                <c:ptCount val="1"/>
                <c:pt idx="0">
                  <c:v>2012</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année'!$B$189:$M$189</c:f>
              <c:numCache>
                <c:formatCode>0.0</c:formatCode>
                <c:ptCount val="12"/>
                <c:pt idx="0">
                  <c:v>109.3</c:v>
                </c:pt>
                <c:pt idx="1">
                  <c:v>109.5</c:v>
                </c:pt>
                <c:pt idx="2">
                  <c:v>109.3</c:v>
                </c:pt>
                <c:pt idx="3">
                  <c:v>108.7</c:v>
                </c:pt>
                <c:pt idx="4">
                  <c:v>109.1</c:v>
                </c:pt>
                <c:pt idx="5">
                  <c:v>109.9</c:v>
                </c:pt>
                <c:pt idx="6">
                  <c:v>110.1</c:v>
                </c:pt>
                <c:pt idx="7">
                  <c:v>110.7</c:v>
                </c:pt>
                <c:pt idx="8">
                  <c:v>111.2</c:v>
                </c:pt>
                <c:pt idx="9">
                  <c:v>112.2</c:v>
                </c:pt>
                <c:pt idx="10">
                  <c:v>111.8</c:v>
                </c:pt>
                <c:pt idx="11">
                  <c:v>111.7</c:v>
                </c:pt>
              </c:numCache>
            </c:numRef>
          </c:val>
        </c:ser>
        <c:ser>
          <c:idx val="6"/>
          <c:order val="6"/>
          <c:tx>
            <c:strRef>
              <c:f>'IPCK par année'!$A$190</c:f>
              <c:strCache>
                <c:ptCount val="1"/>
                <c:pt idx="0">
                  <c:v>2013</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année'!$B$190:$M$190</c:f>
              <c:numCache>
                <c:formatCode>0.0</c:formatCode>
                <c:ptCount val="12"/>
                <c:pt idx="0">
                  <c:v>112</c:v>
                </c:pt>
                <c:pt idx="1">
                  <c:v>111.8</c:v>
                </c:pt>
                <c:pt idx="2">
                  <c:v>111.8</c:v>
                </c:pt>
                <c:pt idx="3">
                  <c:v>111.7</c:v>
                </c:pt>
                <c:pt idx="4">
                  <c:v>112.3</c:v>
                </c:pt>
                <c:pt idx="5">
                  <c:v>112.4</c:v>
                </c:pt>
                <c:pt idx="6">
                  <c:v>112.3</c:v>
                </c:pt>
                <c:pt idx="7">
                  <c:v>113.5</c:v>
                </c:pt>
                <c:pt idx="8">
                  <c:v>113.2</c:v>
                </c:pt>
                <c:pt idx="9">
                  <c:v>112.3</c:v>
                </c:pt>
                <c:pt idx="10">
                  <c:v>112.4</c:v>
                </c:pt>
                <c:pt idx="11">
                  <c:v>112.1</c:v>
                </c:pt>
              </c:numCache>
            </c:numRef>
          </c:val>
        </c:ser>
        <c:ser>
          <c:idx val="7"/>
          <c:order val="7"/>
          <c:tx>
            <c:strRef>
              <c:f>'IPCK par année'!$A$191</c:f>
              <c:strCache>
                <c:ptCount val="1"/>
                <c:pt idx="0">
                  <c:v>2014</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année'!$B$191:$M$191</c:f>
              <c:numCache>
                <c:formatCode>0.0</c:formatCode>
                <c:ptCount val="12"/>
                <c:pt idx="0">
                  <c:v>112.6</c:v>
                </c:pt>
                <c:pt idx="1">
                  <c:v>112.3</c:v>
                </c:pt>
                <c:pt idx="2">
                  <c:v>112.3</c:v>
                </c:pt>
                <c:pt idx="3">
                  <c:v>111.9</c:v>
                </c:pt>
                <c:pt idx="4">
                  <c:v>112.1</c:v>
                </c:pt>
                <c:pt idx="5">
                  <c:v>112.3</c:v>
                </c:pt>
                <c:pt idx="6">
                  <c:v>112.3</c:v>
                </c:pt>
                <c:pt idx="7">
                  <c:v>113.2</c:v>
                </c:pt>
                <c:pt idx="8">
                  <c:v>113.6</c:v>
                </c:pt>
                <c:pt idx="9">
                  <c:v>113.9</c:v>
                </c:pt>
                <c:pt idx="10">
                  <c:v>114.1</c:v>
                </c:pt>
                <c:pt idx="11">
                  <c:v>114.3</c:v>
                </c:pt>
              </c:numCache>
            </c:numRef>
          </c:val>
        </c:ser>
        <c:ser>
          <c:idx val="8"/>
          <c:order val="8"/>
          <c:tx>
            <c:strRef>
              <c:f>'IPCK par année'!$A$192</c:f>
              <c:strCache>
                <c:ptCount val="1"/>
                <c:pt idx="0">
                  <c:v>2015</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année'!$B$192:$M$192</c:f>
              <c:numCache>
                <c:formatCode>0.0</c:formatCode>
                <c:ptCount val="12"/>
                <c:pt idx="0">
                  <c:v>114.6</c:v>
                </c:pt>
                <c:pt idx="1">
                  <c:v>114.1</c:v>
                </c:pt>
                <c:pt idx="2">
                  <c:v>114.4</c:v>
                </c:pt>
                <c:pt idx="3">
                  <c:v>114.1</c:v>
                </c:pt>
                <c:pt idx="4">
                  <c:v>114.5</c:v>
                </c:pt>
                <c:pt idx="5">
                  <c:v>114.4</c:v>
                </c:pt>
                <c:pt idx="6">
                  <c:v>115.3</c:v>
                </c:pt>
                <c:pt idx="7">
                  <c:v>115.1</c:v>
                </c:pt>
                <c:pt idx="8">
                  <c:v>114.8</c:v>
                </c:pt>
                <c:pt idx="9">
                  <c:v>115.2</c:v>
                </c:pt>
                <c:pt idx="10">
                  <c:v>114.4</c:v>
                </c:pt>
                <c:pt idx="11">
                  <c:v>114.2</c:v>
                </c:pt>
              </c:numCache>
            </c:numRef>
          </c:val>
        </c:ser>
        <c:ser>
          <c:idx val="9"/>
          <c:order val="9"/>
          <c:tx>
            <c:strRef>
              <c:f>'IPCK par année'!$A$193</c:f>
              <c:strCache>
                <c:ptCount val="1"/>
                <c:pt idx="0">
                  <c:v>2016</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année'!$B$193:$M$193</c:f>
              <c:numCache>
                <c:formatCode>0.0</c:formatCode>
                <c:ptCount val="12"/>
                <c:pt idx="0">
                  <c:v>114.1</c:v>
                </c:pt>
                <c:pt idx="1">
                  <c:v>114.2</c:v>
                </c:pt>
                <c:pt idx="2">
                  <c:v>115.3</c:v>
                </c:pt>
                <c:pt idx="3">
                  <c:v>115.3</c:v>
                </c:pt>
                <c:pt idx="4">
                  <c:v>116.3</c:v>
                </c:pt>
                <c:pt idx="5">
                  <c:v>116.8</c:v>
                </c:pt>
                <c:pt idx="6">
                  <c:v>116.6</c:v>
                </c:pt>
                <c:pt idx="7">
                  <c:v>116.8</c:v>
                </c:pt>
                <c:pt idx="8">
                  <c:v>117.3</c:v>
                </c:pt>
                <c:pt idx="9">
                  <c:v>116.4</c:v>
                </c:pt>
                <c:pt idx="10">
                  <c:v>116.2</c:v>
                </c:pt>
                <c:pt idx="11">
                  <c:v>116.5</c:v>
                </c:pt>
              </c:numCache>
            </c:numRef>
          </c:val>
        </c:ser>
        <c:ser>
          <c:idx val="10"/>
          <c:order val="10"/>
          <c:tx>
            <c:strRef>
              <c:f>'IPCK par année'!$A$194</c:f>
              <c:strCache>
                <c:ptCount val="1"/>
                <c:pt idx="0">
                  <c:v>2017</c:v>
                </c:pt>
              </c:strCache>
            </c:strRef>
          </c:tx>
          <c:cat>
            <c:strRef>
              <c:f>'IPCK par année'!$B$183:$M$183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année'!$B$194:$M$194</c:f>
              <c:numCache>
                <c:formatCode>0.0</c:formatCode>
                <c:ptCount val="12"/>
                <c:pt idx="0">
                  <c:v>116.4</c:v>
                </c:pt>
                <c:pt idx="1">
                  <c:v>116.1</c:v>
                </c:pt>
                <c:pt idx="2">
                  <c:v>115.8</c:v>
                </c:pt>
                <c:pt idx="3">
                  <c:v>115.7</c:v>
                </c:pt>
                <c:pt idx="4">
                  <c:v>116.1</c:v>
                </c:pt>
                <c:pt idx="5">
                  <c:v>116.3</c:v>
                </c:pt>
                <c:pt idx="6">
                  <c:v>115.7</c:v>
                </c:pt>
                <c:pt idx="7">
                  <c:v>115.8</c:v>
                </c:pt>
                <c:pt idx="8">
                  <c:v>117.3</c:v>
                </c:pt>
                <c:pt idx="9">
                  <c:v>116.9</c:v>
                </c:pt>
                <c:pt idx="10">
                  <c:v>117.6</c:v>
                </c:pt>
                <c:pt idx="11">
                  <c:v>118.1</c:v>
                </c:pt>
              </c:numCache>
            </c:numRef>
          </c:val>
        </c:ser>
        <c:marker val="1"/>
        <c:axId val="69569536"/>
        <c:axId val="69587712"/>
      </c:lineChart>
      <c:catAx>
        <c:axId val="69569536"/>
        <c:scaling>
          <c:orientation val="minMax"/>
        </c:scaling>
        <c:axPos val="b"/>
        <c:tickLblPos val="nextTo"/>
        <c:txPr>
          <a:bodyPr/>
          <a:lstStyle/>
          <a:p>
            <a:pPr>
              <a:defRPr>
                <a:latin typeface="Times New Roman" pitchFamily="18" charset="0"/>
                <a:cs typeface="Times New Roman" pitchFamily="18" charset="0"/>
              </a:defRPr>
            </a:pPr>
            <a:endParaRPr lang="fr-FR"/>
          </a:p>
        </c:txPr>
        <c:crossAx val="69587712"/>
        <c:crosses val="autoZero"/>
        <c:auto val="1"/>
        <c:lblAlgn val="ctr"/>
        <c:lblOffset val="100"/>
      </c:catAx>
      <c:valAx>
        <c:axId val="69587712"/>
        <c:scaling>
          <c:orientation val="minMax"/>
          <c:max val="120"/>
          <c:min val="100"/>
        </c:scaling>
        <c:axPos val="l"/>
        <c:majorGridlines/>
        <c:numFmt formatCode="0" sourceLinked="0"/>
        <c:tickLblPos val="nextTo"/>
        <c:txPr>
          <a:bodyPr/>
          <a:lstStyle/>
          <a:p>
            <a:pPr>
              <a:defRPr>
                <a:latin typeface="Times New Roman" pitchFamily="18" charset="0"/>
                <a:cs typeface="Times New Roman" pitchFamily="18" charset="0"/>
              </a:defRPr>
            </a:pPr>
            <a:endParaRPr lang="fr-FR"/>
          </a:p>
        </c:txPr>
        <c:crossAx val="69569536"/>
        <c:crosses val="autoZero"/>
        <c:crossBetween val="between"/>
      </c:valAx>
    </c:plotArea>
    <c:legend>
      <c:legendPos val="r"/>
    </c:legend>
    <c:plotVisOnly val="1"/>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5.5861199168285781E-2"/>
          <c:y val="0.14168184395925568"/>
          <c:w val="0.8717263647829061"/>
          <c:h val="0.72792249220232563"/>
        </c:manualLayout>
      </c:layout>
      <c:lineChart>
        <c:grouping val="standard"/>
        <c:ser>
          <c:idx val="0"/>
          <c:order val="0"/>
          <c:tx>
            <c:strRef>
              <c:f>'EVOLUTION IPCK+IPCN'!$A$4</c:f>
              <c:strCache>
                <c:ptCount val="1"/>
                <c:pt idx="0">
                  <c:v>IPC KENITRA</c:v>
                </c:pt>
              </c:strCache>
            </c:strRef>
          </c:tx>
          <c:cat>
            <c:numRef>
              <c:f>'EVOLUTION IPCK+IPCN'!$B$3:$L$3</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'EVOLUTION IPCK+IPCN'!$B$4:$L$4</c:f>
              <c:numCache>
                <c:formatCode>0.0</c:formatCode>
                <c:ptCount val="11"/>
                <c:pt idx="0">
                  <c:v>101.8</c:v>
                </c:pt>
                <c:pt idx="1">
                  <c:v>105.7</c:v>
                </c:pt>
                <c:pt idx="2">
                  <c:v>106.9</c:v>
                </c:pt>
                <c:pt idx="3">
                  <c:v>107.10833333333203</c:v>
                </c:pt>
                <c:pt idx="4">
                  <c:v>108.95833333333285</c:v>
                </c:pt>
                <c:pt idx="5">
                  <c:v>110.29166666666821</c:v>
                </c:pt>
                <c:pt idx="6">
                  <c:v>112.31666666666666</c:v>
                </c:pt>
                <c:pt idx="7">
                  <c:v>112.90833333333325</c:v>
                </c:pt>
                <c:pt idx="8">
                  <c:v>114.59166666666682</c:v>
                </c:pt>
                <c:pt idx="9">
                  <c:v>115.98333333333335</c:v>
                </c:pt>
                <c:pt idx="10">
                  <c:v>116.48333333333331</c:v>
                </c:pt>
              </c:numCache>
            </c:numRef>
          </c:val>
        </c:ser>
        <c:ser>
          <c:idx val="1"/>
          <c:order val="1"/>
          <c:tx>
            <c:strRef>
              <c:f>'EVOLUTION IPCK+IPCN'!$A$5</c:f>
              <c:strCache>
                <c:ptCount val="1"/>
                <c:pt idx="0">
                  <c:v>IPC NATIONAL</c:v>
                </c:pt>
              </c:strCache>
            </c:strRef>
          </c:tx>
          <c:cat>
            <c:numRef>
              <c:f>'EVOLUTION IPCK+IPCN'!$B$3:$L$3</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'EVOLUTION IPCK+IPCN'!$B$5:$L$5</c:f>
              <c:numCache>
                <c:formatCode>0.0</c:formatCode>
                <c:ptCount val="11"/>
                <c:pt idx="0">
                  <c:v>102.5</c:v>
                </c:pt>
                <c:pt idx="1">
                  <c:v>106.3</c:v>
                </c:pt>
                <c:pt idx="2">
                  <c:v>107.4</c:v>
                </c:pt>
                <c:pt idx="3">
                  <c:v>108.425</c:v>
                </c:pt>
                <c:pt idx="4">
                  <c:v>109.40833333333325</c:v>
                </c:pt>
                <c:pt idx="5">
                  <c:v>110.82499999999999</c:v>
                </c:pt>
                <c:pt idx="6">
                  <c:v>112.90000000000002</c:v>
                </c:pt>
                <c:pt idx="7">
                  <c:v>113.40000000000002</c:v>
                </c:pt>
                <c:pt idx="8">
                  <c:v>115.16666666666669</c:v>
                </c:pt>
                <c:pt idx="9">
                  <c:v>117.05</c:v>
                </c:pt>
                <c:pt idx="10">
                  <c:v>117.93333333333331</c:v>
                </c:pt>
              </c:numCache>
            </c:numRef>
          </c:val>
        </c:ser>
        <c:marker val="1"/>
        <c:axId val="69612288"/>
        <c:axId val="69613824"/>
      </c:lineChart>
      <c:catAx>
        <c:axId val="69612288"/>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fr-FR"/>
          </a:p>
        </c:txPr>
        <c:crossAx val="69613824"/>
        <c:crosses val="autoZero"/>
        <c:auto val="1"/>
        <c:lblAlgn val="ctr"/>
        <c:lblOffset val="100"/>
      </c:catAx>
      <c:valAx>
        <c:axId val="69613824"/>
        <c:scaling>
          <c:orientation val="minMax"/>
          <c:max val="118"/>
          <c:min val="100"/>
        </c:scaling>
        <c:axPos val="l"/>
        <c:majorGridlines/>
        <c:numFmt formatCode="0" sourceLinked="0"/>
        <c:tickLblPos val="nextTo"/>
        <c:txPr>
          <a:bodyPr/>
          <a:lstStyle/>
          <a:p>
            <a:pPr>
              <a:defRPr sz="900">
                <a:latin typeface="Times New Roman" pitchFamily="18" charset="0"/>
                <a:cs typeface="Times New Roman" pitchFamily="18" charset="0"/>
              </a:defRPr>
            </a:pPr>
            <a:endParaRPr lang="fr-FR"/>
          </a:p>
        </c:txPr>
        <c:crossAx val="69612288"/>
        <c:crosses val="autoZero"/>
        <c:crossBetween val="between"/>
      </c:valAx>
    </c:plotArea>
    <c:legend>
      <c:legendPos val="r"/>
      <c:layout>
        <c:manualLayout>
          <c:xMode val="edge"/>
          <c:yMode val="edge"/>
          <c:x val="0.7034122461665977"/>
          <c:y val="0.71197624708268803"/>
          <c:w val="0.22732572937917817"/>
          <c:h val="0.12524958237050021"/>
        </c:manualLayout>
      </c:layout>
      <c:txPr>
        <a:bodyPr/>
        <a:lstStyle/>
        <a:p>
          <a:pPr>
            <a:defRPr sz="800">
              <a:latin typeface="Times New Roman" pitchFamily="18" charset="0"/>
              <a:cs typeface="Times New Roman" pitchFamily="18" charset="0"/>
            </a:defRPr>
          </a:pPr>
          <a:endParaRPr lang="fr-FR"/>
        </a:p>
      </c:txPr>
    </c:legend>
    <c:plotVisOnly val="1"/>
  </c:chart>
  <c:spPr>
    <a:gradFill>
      <a:gsLst>
        <a:gs pos="0">
          <a:srgbClr val="4F81BD"/>
        </a:gs>
        <a:gs pos="50000">
          <a:srgbClr val="4F81BD">
            <a:tint val="44500"/>
            <a:satMod val="160000"/>
          </a:srgbClr>
        </a:gs>
        <a:gs pos="100000">
          <a:srgbClr val="4F81BD">
            <a:tint val="23500"/>
            <a:satMod val="160000"/>
          </a:srgbClr>
        </a:gs>
      </a:gsLst>
      <a:lin ang="5400000" scaled="0"/>
    </a:gradFill>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6.1699682276557456E-2"/>
          <c:y val="2.8252534609644376E-2"/>
          <c:w val="0.93830031772344269"/>
          <c:h val="0.8673972003499566"/>
        </c:manualLayout>
      </c:layout>
      <c:lineChart>
        <c:grouping val="standard"/>
        <c:ser>
          <c:idx val="0"/>
          <c:order val="0"/>
          <c:tx>
            <c:strRef>
              <c:f>'EVOLUTION IPCK+IPCN'!$A$39</c:f>
              <c:strCache>
                <c:ptCount val="1"/>
                <c:pt idx="0">
                  <c:v>IAK</c:v>
                </c:pt>
              </c:strCache>
            </c:strRef>
          </c:tx>
          <c:cat>
            <c:numRef>
              <c:f>'EVOLUTION IPCK+IPCN'!$B$38:$L$38</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'EVOLUTION IPCK+IPCN'!$B$39:$L$39</c:f>
              <c:numCache>
                <c:formatCode>0.0</c:formatCode>
                <c:ptCount val="11"/>
                <c:pt idx="0">
                  <c:v>103.67044166666527</c:v>
                </c:pt>
                <c:pt idx="1">
                  <c:v>111.80414999999999</c:v>
                </c:pt>
                <c:pt idx="2">
                  <c:v>113.81604166666665</c:v>
                </c:pt>
                <c:pt idx="3">
                  <c:v>113.70953333333333</c:v>
                </c:pt>
                <c:pt idx="4">
                  <c:v>116.70969166666664</c:v>
                </c:pt>
                <c:pt idx="5">
                  <c:v>118.47874999999998</c:v>
                </c:pt>
                <c:pt idx="6">
                  <c:v>121.34770000000002</c:v>
                </c:pt>
                <c:pt idx="7">
                  <c:v>120.57987499999975</c:v>
                </c:pt>
                <c:pt idx="8">
                  <c:v>123.48658333333333</c:v>
                </c:pt>
                <c:pt idx="9">
                  <c:v>125.74606666666669</c:v>
                </c:pt>
                <c:pt idx="10">
                  <c:v>124.76266666666666</c:v>
                </c:pt>
              </c:numCache>
            </c:numRef>
          </c:val>
        </c:ser>
        <c:ser>
          <c:idx val="1"/>
          <c:order val="1"/>
          <c:tx>
            <c:strRef>
              <c:f>'EVOLUTION IPCK+IPCN'!$A$40</c:f>
              <c:strCache>
                <c:ptCount val="1"/>
                <c:pt idx="0">
                  <c:v>INAK</c:v>
                </c:pt>
              </c:strCache>
            </c:strRef>
          </c:tx>
          <c:cat>
            <c:numRef>
              <c:f>'EVOLUTION IPCK+IPCN'!$B$38:$L$38</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'EVOLUTION IPCK+IPCN'!$B$40:$L$40</c:f>
              <c:numCache>
                <c:formatCode>0.0</c:formatCode>
                <c:ptCount val="11"/>
                <c:pt idx="0">
                  <c:v>100.53008554131092</c:v>
                </c:pt>
                <c:pt idx="1">
                  <c:v>101.36970555555433</c:v>
                </c:pt>
                <c:pt idx="2">
                  <c:v>102.00799323361822</c:v>
                </c:pt>
                <c:pt idx="3">
                  <c:v>102.42543076923074</c:v>
                </c:pt>
                <c:pt idx="4">
                  <c:v>103.45950648148151</c:v>
                </c:pt>
                <c:pt idx="5">
                  <c:v>104.48373575498555</c:v>
                </c:pt>
                <c:pt idx="6">
                  <c:v>105.91003618233619</c:v>
                </c:pt>
                <c:pt idx="7">
                  <c:v>107.46612856125392</c:v>
                </c:pt>
                <c:pt idx="8">
                  <c:v>108.28159757834842</c:v>
                </c:pt>
                <c:pt idx="9">
                  <c:v>109.05763361823369</c:v>
                </c:pt>
                <c:pt idx="10">
                  <c:v>110.60996011395844</c:v>
                </c:pt>
              </c:numCache>
            </c:numRef>
          </c:val>
        </c:ser>
        <c:ser>
          <c:idx val="2"/>
          <c:order val="2"/>
          <c:tx>
            <c:strRef>
              <c:f>'EVOLUTION IPCK+IPCN'!$A$41</c:f>
              <c:strCache>
                <c:ptCount val="1"/>
                <c:pt idx="0">
                  <c:v>IGK</c:v>
                </c:pt>
              </c:strCache>
            </c:strRef>
          </c:tx>
          <c:cat>
            <c:numRef>
              <c:f>'EVOLUTION IPCK+IPCN'!$B$38:$L$38</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'EVOLUTION IPCK+IPCN'!$B$41:$L$41</c:f>
              <c:numCache>
                <c:formatCode>0.0</c:formatCode>
                <c:ptCount val="11"/>
                <c:pt idx="0">
                  <c:v>101.83333333333285</c:v>
                </c:pt>
                <c:pt idx="1">
                  <c:v>105.70000000000003</c:v>
                </c:pt>
                <c:pt idx="2">
                  <c:v>106.90833333333325</c:v>
                </c:pt>
                <c:pt idx="3">
                  <c:v>107.10833333333203</c:v>
                </c:pt>
                <c:pt idx="4">
                  <c:v>108.95833333333285</c:v>
                </c:pt>
                <c:pt idx="5">
                  <c:v>110.29166666666821</c:v>
                </c:pt>
                <c:pt idx="6">
                  <c:v>112.31666666666666</c:v>
                </c:pt>
                <c:pt idx="7">
                  <c:v>112.90833333333325</c:v>
                </c:pt>
                <c:pt idx="8">
                  <c:v>114.59166666666682</c:v>
                </c:pt>
                <c:pt idx="9">
                  <c:v>115.98333333333335</c:v>
                </c:pt>
                <c:pt idx="10">
                  <c:v>116.48333333333331</c:v>
                </c:pt>
              </c:numCache>
            </c:numRef>
          </c:val>
        </c:ser>
        <c:marker val="1"/>
        <c:axId val="69639168"/>
        <c:axId val="69640960"/>
      </c:lineChart>
      <c:catAx>
        <c:axId val="69639168"/>
        <c:scaling>
          <c:orientation val="minMax"/>
        </c:scaling>
        <c:axPos val="b"/>
        <c:numFmt formatCode="General" sourceLinked="1"/>
        <c:tickLblPos val="nextTo"/>
        <c:txPr>
          <a:bodyPr/>
          <a:lstStyle/>
          <a:p>
            <a:pPr>
              <a:defRPr sz="900" b="1">
                <a:latin typeface="Times New Roman" pitchFamily="18" charset="0"/>
                <a:cs typeface="Times New Roman" pitchFamily="18" charset="0"/>
              </a:defRPr>
            </a:pPr>
            <a:endParaRPr lang="fr-FR"/>
          </a:p>
        </c:txPr>
        <c:crossAx val="69640960"/>
        <c:crosses val="autoZero"/>
        <c:auto val="1"/>
        <c:lblAlgn val="ctr"/>
        <c:lblOffset val="100"/>
      </c:catAx>
      <c:valAx>
        <c:axId val="69640960"/>
        <c:scaling>
          <c:orientation val="minMax"/>
          <c:max val="126"/>
          <c:min val="100"/>
        </c:scaling>
        <c:axPos val="l"/>
        <c:majorGridlines/>
        <c:numFmt formatCode="0" sourceLinked="0"/>
        <c:tickLblPos val="nextTo"/>
        <c:txPr>
          <a:bodyPr/>
          <a:lstStyle/>
          <a:p>
            <a:pPr>
              <a:defRPr sz="800">
                <a:latin typeface="Times New Roman" pitchFamily="18" charset="0"/>
                <a:cs typeface="Times New Roman" pitchFamily="18" charset="0"/>
              </a:defRPr>
            </a:pPr>
            <a:endParaRPr lang="fr-FR"/>
          </a:p>
        </c:txPr>
        <c:crossAx val="69639168"/>
        <c:crosses val="autoZero"/>
        <c:crossBetween val="between"/>
      </c:valAx>
    </c:plotArea>
    <c:legend>
      <c:legendPos val="r"/>
      <c:layout>
        <c:manualLayout>
          <c:xMode val="edge"/>
          <c:yMode val="edge"/>
          <c:x val="0.87984126984126987"/>
          <c:y val="0.68913591683392561"/>
          <c:w val="0.11904093567251461"/>
          <c:h val="0.14481627296587926"/>
        </c:manualLayout>
      </c:layout>
      <c:txPr>
        <a:bodyPr/>
        <a:lstStyle/>
        <a:p>
          <a:pPr>
            <a:defRPr sz="800" b="1">
              <a:latin typeface="Times New Roman" pitchFamily="18" charset="0"/>
              <a:cs typeface="Times New Roman" pitchFamily="18" charset="0"/>
            </a:defRPr>
          </a:pPr>
          <a:endParaRPr lang="fr-FR"/>
        </a:p>
      </c:txPr>
    </c:legend>
    <c:plotVisOnly val="1"/>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9.1419072615923011E-2"/>
          <c:y val="3.8956209421190782E-2"/>
          <c:w val="0.87742351301564692"/>
          <c:h val="0.80930294239535849"/>
        </c:manualLayout>
      </c:layout>
      <c:lineChart>
        <c:grouping val="standard"/>
        <c:ser>
          <c:idx val="0"/>
          <c:order val="0"/>
          <c:tx>
            <c:strRef>
              <c:f>'EVOLUTION IPCK+IPCN'!$A$10</c:f>
              <c:strCache>
                <c:ptCount val="1"/>
                <c:pt idx="0">
                  <c:v>IPC KENITRA</c:v>
                </c:pt>
              </c:strCache>
            </c:strRef>
          </c:tx>
          <c:cat>
            <c:numRef>
              <c:f>'EVOLUTION IPCK+IPCN'!$B$9:$L$9</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'EVOLUTION IPCK+IPCN'!$B$10:$L$10</c:f>
              <c:numCache>
                <c:formatCode>0.0</c:formatCode>
                <c:ptCount val="11"/>
                <c:pt idx="0">
                  <c:v>1.7999999999999747</c:v>
                </c:pt>
                <c:pt idx="1">
                  <c:v>3.8310412573674002</c:v>
                </c:pt>
                <c:pt idx="2">
                  <c:v>1.1352885525070979</c:v>
                </c:pt>
                <c:pt idx="3">
                  <c:v>0.19488618646707451</c:v>
                </c:pt>
                <c:pt idx="4">
                  <c:v>1.7272232163697077</c:v>
                </c:pt>
                <c:pt idx="5">
                  <c:v>1.2237093690248624</c:v>
                </c:pt>
                <c:pt idx="6">
                  <c:v>1.8360408009066962</c:v>
                </c:pt>
                <c:pt idx="7">
                  <c:v>0.52678438937525729</c:v>
                </c:pt>
                <c:pt idx="8">
                  <c:v>1.4908849361576788</c:v>
                </c:pt>
                <c:pt idx="9">
                  <c:v>1.214457130390536</c:v>
                </c:pt>
                <c:pt idx="10">
                  <c:v>0.43109642189969344</c:v>
                </c:pt>
              </c:numCache>
            </c:numRef>
          </c:val>
        </c:ser>
        <c:ser>
          <c:idx val="1"/>
          <c:order val="1"/>
          <c:tx>
            <c:strRef>
              <c:f>'EVOLUTION IPCK+IPCN'!$A$11</c:f>
              <c:strCache>
                <c:ptCount val="1"/>
                <c:pt idx="0">
                  <c:v>IPC NATIONAL</c:v>
                </c:pt>
              </c:strCache>
            </c:strRef>
          </c:tx>
          <c:cat>
            <c:numRef>
              <c:f>'EVOLUTION IPCK+IPCN'!$B$9:$L$9</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'EVOLUTION IPCK+IPCN'!$B$11:$L$11</c:f>
              <c:numCache>
                <c:formatCode>0.0</c:formatCode>
                <c:ptCount val="11"/>
                <c:pt idx="0">
                  <c:v>2.5</c:v>
                </c:pt>
                <c:pt idx="1">
                  <c:v>3.7073170731707292</c:v>
                </c:pt>
                <c:pt idx="2">
                  <c:v>1.0348071495766935</c:v>
                </c:pt>
                <c:pt idx="3">
                  <c:v>0.95437616387335489</c:v>
                </c:pt>
                <c:pt idx="4">
                  <c:v>0.90692490969177464</c:v>
                </c:pt>
                <c:pt idx="5">
                  <c:v>1.294843476273928</c:v>
                </c:pt>
                <c:pt idx="6">
                  <c:v>1.8723212271599321</c:v>
                </c:pt>
                <c:pt idx="7">
                  <c:v>0.44286979627989947</c:v>
                </c:pt>
                <c:pt idx="8">
                  <c:v>1.5579071134626679</c:v>
                </c:pt>
                <c:pt idx="9">
                  <c:v>1.6353111432706031</c:v>
                </c:pt>
                <c:pt idx="10">
                  <c:v>0.7546632493236447</c:v>
                </c:pt>
              </c:numCache>
            </c:numRef>
          </c:val>
        </c:ser>
        <c:marker val="1"/>
        <c:axId val="69653248"/>
        <c:axId val="69654784"/>
      </c:lineChart>
      <c:catAx>
        <c:axId val="69653248"/>
        <c:scaling>
          <c:orientation val="minMax"/>
        </c:scaling>
        <c:axPos val="b"/>
        <c:numFmt formatCode="General" sourceLinked="1"/>
        <c:tickLblPos val="nextTo"/>
        <c:txPr>
          <a:bodyPr/>
          <a:lstStyle/>
          <a:p>
            <a:pPr>
              <a:defRPr sz="900" b="1">
                <a:latin typeface="Times New Roman" pitchFamily="18" charset="0"/>
                <a:cs typeface="Times New Roman" pitchFamily="18" charset="0"/>
              </a:defRPr>
            </a:pPr>
            <a:endParaRPr lang="fr-FR"/>
          </a:p>
        </c:txPr>
        <c:crossAx val="69654784"/>
        <c:crosses val="autoZero"/>
        <c:auto val="1"/>
        <c:lblAlgn val="ctr"/>
        <c:lblOffset val="100"/>
      </c:catAx>
      <c:valAx>
        <c:axId val="69654784"/>
        <c:scaling>
          <c:orientation val="minMax"/>
        </c:scaling>
        <c:axPos val="l"/>
        <c:majorGridlines/>
        <c:numFmt formatCode="0.0" sourceLinked="1"/>
        <c:tickLblPos val="nextTo"/>
        <c:crossAx val="69653248"/>
        <c:crosses val="autoZero"/>
        <c:crossBetween val="between"/>
      </c:valAx>
    </c:plotArea>
    <c:legend>
      <c:legendPos val="r"/>
      <c:layout>
        <c:manualLayout>
          <c:xMode val="edge"/>
          <c:yMode val="edge"/>
          <c:x val="0.73746334472010056"/>
          <c:y val="0.20957452686835187"/>
          <c:w val="0.24690288713911093"/>
          <c:h val="0.10014919187733111"/>
        </c:manualLayout>
      </c:layout>
      <c:txPr>
        <a:bodyPr/>
        <a:lstStyle/>
        <a:p>
          <a:pPr>
            <a:defRPr sz="800" b="1">
              <a:latin typeface="Times New Roman" pitchFamily="18" charset="0"/>
              <a:cs typeface="Times New Roman" pitchFamily="18" charset="0"/>
            </a:defRPr>
          </a:pPr>
          <a:endParaRPr lang="fr-FR"/>
        </a:p>
      </c:txPr>
    </c:legend>
    <c:plotVisOnly val="1"/>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5.5052013569845903E-2"/>
          <c:y val="0.10968963691068678"/>
          <c:w val="0.92344286852855662"/>
          <c:h val="0.83383580378395061"/>
        </c:manualLayout>
      </c:layout>
      <c:lineChart>
        <c:grouping val="standard"/>
        <c:ser>
          <c:idx val="0"/>
          <c:order val="0"/>
          <c:tx>
            <c:strRef>
              <c:f>'glissements annuels'!$L$3</c:f>
              <c:strCache>
                <c:ptCount val="1"/>
                <c:pt idx="0">
                  <c:v>KENITRA</c:v>
                </c:pt>
              </c:strCache>
            </c:strRef>
          </c:tx>
          <c:spPr>
            <a:ln>
              <a:solidFill>
                <a:schemeClr val="tx1"/>
              </a:solidFill>
            </a:ln>
          </c:spPr>
          <c:marker>
            <c:symbol val="none"/>
          </c:marker>
          <c:cat>
            <c:numRef>
              <c:f>'glissements annuels'!$K$4:$K$135</c:f>
              <c:numCache>
                <c:formatCode>mmm/yy</c:formatCode>
                <c:ptCount val="132"/>
                <c:pt idx="0">
                  <c:v>39083</c:v>
                </c:pt>
                <c:pt idx="1">
                  <c:v>39114</c:v>
                </c:pt>
                <c:pt idx="2">
                  <c:v>39142</c:v>
                </c:pt>
                <c:pt idx="3">
                  <c:v>39173</c:v>
                </c:pt>
                <c:pt idx="4">
                  <c:v>39203</c:v>
                </c:pt>
                <c:pt idx="5">
                  <c:v>39234</c:v>
                </c:pt>
                <c:pt idx="6">
                  <c:v>39264</c:v>
                </c:pt>
                <c:pt idx="7">
                  <c:v>39295</c:v>
                </c:pt>
                <c:pt idx="8">
                  <c:v>39326</c:v>
                </c:pt>
                <c:pt idx="9">
                  <c:v>39356</c:v>
                </c:pt>
                <c:pt idx="10">
                  <c:v>39387</c:v>
                </c:pt>
                <c:pt idx="11">
                  <c:v>39417</c:v>
                </c:pt>
                <c:pt idx="12">
                  <c:v>39448</c:v>
                </c:pt>
                <c:pt idx="13">
                  <c:v>39479</c:v>
                </c:pt>
                <c:pt idx="14">
                  <c:v>39508</c:v>
                </c:pt>
                <c:pt idx="15">
                  <c:v>39539</c:v>
                </c:pt>
                <c:pt idx="16">
                  <c:v>39569</c:v>
                </c:pt>
                <c:pt idx="17">
                  <c:v>39600</c:v>
                </c:pt>
                <c:pt idx="18">
                  <c:v>39630</c:v>
                </c:pt>
                <c:pt idx="19">
                  <c:v>39661</c:v>
                </c:pt>
                <c:pt idx="20">
                  <c:v>39692</c:v>
                </c:pt>
                <c:pt idx="21">
                  <c:v>39722</c:v>
                </c:pt>
                <c:pt idx="22">
                  <c:v>39753</c:v>
                </c:pt>
                <c:pt idx="23">
                  <c:v>39783</c:v>
                </c:pt>
                <c:pt idx="24">
                  <c:v>39814</c:v>
                </c:pt>
                <c:pt idx="25">
                  <c:v>39845</c:v>
                </c:pt>
                <c:pt idx="26">
                  <c:v>39873</c:v>
                </c:pt>
                <c:pt idx="27">
                  <c:v>39904</c:v>
                </c:pt>
                <c:pt idx="28">
                  <c:v>39934</c:v>
                </c:pt>
                <c:pt idx="29">
                  <c:v>39965</c:v>
                </c:pt>
                <c:pt idx="30">
                  <c:v>39995</c:v>
                </c:pt>
                <c:pt idx="31">
                  <c:v>40026</c:v>
                </c:pt>
                <c:pt idx="32">
                  <c:v>40057</c:v>
                </c:pt>
                <c:pt idx="33">
                  <c:v>40087</c:v>
                </c:pt>
                <c:pt idx="34">
                  <c:v>40118</c:v>
                </c:pt>
                <c:pt idx="35">
                  <c:v>40148</c:v>
                </c:pt>
                <c:pt idx="36">
                  <c:v>40179</c:v>
                </c:pt>
                <c:pt idx="37">
                  <c:v>40210</c:v>
                </c:pt>
                <c:pt idx="38">
                  <c:v>40238</c:v>
                </c:pt>
                <c:pt idx="39">
                  <c:v>40269</c:v>
                </c:pt>
                <c:pt idx="40">
                  <c:v>40299</c:v>
                </c:pt>
                <c:pt idx="41">
                  <c:v>40330</c:v>
                </c:pt>
                <c:pt idx="42">
                  <c:v>40360</c:v>
                </c:pt>
                <c:pt idx="43">
                  <c:v>40391</c:v>
                </c:pt>
                <c:pt idx="44">
                  <c:v>40422</c:v>
                </c:pt>
                <c:pt idx="45">
                  <c:v>40452</c:v>
                </c:pt>
                <c:pt idx="46">
                  <c:v>40483</c:v>
                </c:pt>
                <c:pt idx="47">
                  <c:v>40513</c:v>
                </c:pt>
                <c:pt idx="48">
                  <c:v>40544</c:v>
                </c:pt>
                <c:pt idx="49">
                  <c:v>40575</c:v>
                </c:pt>
                <c:pt idx="50">
                  <c:v>40603</c:v>
                </c:pt>
                <c:pt idx="51">
                  <c:v>40634</c:v>
                </c:pt>
                <c:pt idx="52">
                  <c:v>40664</c:v>
                </c:pt>
                <c:pt idx="53">
                  <c:v>40695</c:v>
                </c:pt>
                <c:pt idx="54">
                  <c:v>40725</c:v>
                </c:pt>
                <c:pt idx="55">
                  <c:v>40756</c:v>
                </c:pt>
                <c:pt idx="56">
                  <c:v>40787</c:v>
                </c:pt>
                <c:pt idx="57">
                  <c:v>40817</c:v>
                </c:pt>
                <c:pt idx="58">
                  <c:v>40848</c:v>
                </c:pt>
                <c:pt idx="59">
                  <c:v>40878</c:v>
                </c:pt>
                <c:pt idx="60">
                  <c:v>40909</c:v>
                </c:pt>
                <c:pt idx="61">
                  <c:v>40940</c:v>
                </c:pt>
                <c:pt idx="62">
                  <c:v>40969</c:v>
                </c:pt>
                <c:pt idx="63">
                  <c:v>41000</c:v>
                </c:pt>
                <c:pt idx="64">
                  <c:v>41030</c:v>
                </c:pt>
                <c:pt idx="65">
                  <c:v>41061</c:v>
                </c:pt>
                <c:pt idx="66">
                  <c:v>41091</c:v>
                </c:pt>
                <c:pt idx="67">
                  <c:v>41122</c:v>
                </c:pt>
                <c:pt idx="68">
                  <c:v>41153</c:v>
                </c:pt>
                <c:pt idx="69">
                  <c:v>41183</c:v>
                </c:pt>
                <c:pt idx="70">
                  <c:v>41214</c:v>
                </c:pt>
                <c:pt idx="71">
                  <c:v>41244</c:v>
                </c:pt>
                <c:pt idx="72">
                  <c:v>41275</c:v>
                </c:pt>
                <c:pt idx="73">
                  <c:v>41306</c:v>
                </c:pt>
                <c:pt idx="74">
                  <c:v>41334</c:v>
                </c:pt>
                <c:pt idx="75">
                  <c:v>41365</c:v>
                </c:pt>
                <c:pt idx="76">
                  <c:v>41395</c:v>
                </c:pt>
                <c:pt idx="77">
                  <c:v>41426</c:v>
                </c:pt>
                <c:pt idx="78">
                  <c:v>41456</c:v>
                </c:pt>
                <c:pt idx="79">
                  <c:v>41487</c:v>
                </c:pt>
                <c:pt idx="80">
                  <c:v>41518</c:v>
                </c:pt>
                <c:pt idx="81">
                  <c:v>41548</c:v>
                </c:pt>
                <c:pt idx="82">
                  <c:v>41579</c:v>
                </c:pt>
                <c:pt idx="83">
                  <c:v>41609</c:v>
                </c:pt>
                <c:pt idx="84">
                  <c:v>41640</c:v>
                </c:pt>
                <c:pt idx="85">
                  <c:v>41671</c:v>
                </c:pt>
                <c:pt idx="86">
                  <c:v>41699</c:v>
                </c:pt>
                <c:pt idx="87">
                  <c:v>41730</c:v>
                </c:pt>
                <c:pt idx="88">
                  <c:v>41760</c:v>
                </c:pt>
                <c:pt idx="89">
                  <c:v>41791</c:v>
                </c:pt>
                <c:pt idx="90">
                  <c:v>41821</c:v>
                </c:pt>
                <c:pt idx="91">
                  <c:v>41852</c:v>
                </c:pt>
                <c:pt idx="92">
                  <c:v>41883</c:v>
                </c:pt>
                <c:pt idx="93">
                  <c:v>41913</c:v>
                </c:pt>
                <c:pt idx="94">
                  <c:v>41944</c:v>
                </c:pt>
                <c:pt idx="95">
                  <c:v>41974</c:v>
                </c:pt>
                <c:pt idx="96">
                  <c:v>42005</c:v>
                </c:pt>
                <c:pt idx="97">
                  <c:v>42036</c:v>
                </c:pt>
                <c:pt idx="98">
                  <c:v>42064</c:v>
                </c:pt>
                <c:pt idx="99">
                  <c:v>42095</c:v>
                </c:pt>
                <c:pt idx="100">
                  <c:v>42125</c:v>
                </c:pt>
                <c:pt idx="101">
                  <c:v>42156</c:v>
                </c:pt>
                <c:pt idx="102">
                  <c:v>42186</c:v>
                </c:pt>
                <c:pt idx="103">
                  <c:v>42217</c:v>
                </c:pt>
                <c:pt idx="104">
                  <c:v>42248</c:v>
                </c:pt>
                <c:pt idx="105">
                  <c:v>42278</c:v>
                </c:pt>
                <c:pt idx="106">
                  <c:v>42309</c:v>
                </c:pt>
                <c:pt idx="107">
                  <c:v>42339</c:v>
                </c:pt>
                <c:pt idx="108">
                  <c:v>42370</c:v>
                </c:pt>
                <c:pt idx="109">
                  <c:v>42401</c:v>
                </c:pt>
                <c:pt idx="110">
                  <c:v>42430</c:v>
                </c:pt>
                <c:pt idx="111">
                  <c:v>42461</c:v>
                </c:pt>
                <c:pt idx="112">
                  <c:v>42491</c:v>
                </c:pt>
                <c:pt idx="113">
                  <c:v>42522</c:v>
                </c:pt>
                <c:pt idx="114">
                  <c:v>42552</c:v>
                </c:pt>
                <c:pt idx="115">
                  <c:v>42583</c:v>
                </c:pt>
                <c:pt idx="116">
                  <c:v>42614</c:v>
                </c:pt>
                <c:pt idx="117">
                  <c:v>42644</c:v>
                </c:pt>
                <c:pt idx="118">
                  <c:v>42675</c:v>
                </c:pt>
                <c:pt idx="119">
                  <c:v>42705</c:v>
                </c:pt>
                <c:pt idx="120">
                  <c:v>42736</c:v>
                </c:pt>
                <c:pt idx="121">
                  <c:v>42767</c:v>
                </c:pt>
                <c:pt idx="122">
                  <c:v>42795</c:v>
                </c:pt>
                <c:pt idx="123">
                  <c:v>42826</c:v>
                </c:pt>
                <c:pt idx="124">
                  <c:v>42856</c:v>
                </c:pt>
                <c:pt idx="125">
                  <c:v>42887</c:v>
                </c:pt>
                <c:pt idx="126">
                  <c:v>42917</c:v>
                </c:pt>
                <c:pt idx="127">
                  <c:v>42948</c:v>
                </c:pt>
                <c:pt idx="128">
                  <c:v>42979</c:v>
                </c:pt>
                <c:pt idx="129">
                  <c:v>43009</c:v>
                </c:pt>
                <c:pt idx="130">
                  <c:v>43040</c:v>
                </c:pt>
                <c:pt idx="131">
                  <c:v>43070</c:v>
                </c:pt>
              </c:numCache>
            </c:numRef>
          </c:cat>
          <c:val>
            <c:numRef>
              <c:f>'glissements annuels'!$L$4:$L$135</c:f>
              <c:numCache>
                <c:formatCode>0.0</c:formatCode>
                <c:ptCount val="132"/>
                <c:pt idx="0">
                  <c:v>0.4</c:v>
                </c:pt>
                <c:pt idx="1">
                  <c:v>0.60000000000000064</c:v>
                </c:pt>
                <c:pt idx="2">
                  <c:v>0.5</c:v>
                </c:pt>
                <c:pt idx="3">
                  <c:v>1.4</c:v>
                </c:pt>
                <c:pt idx="4">
                  <c:v>0.8</c:v>
                </c:pt>
                <c:pt idx="5">
                  <c:v>1.4</c:v>
                </c:pt>
                <c:pt idx="6">
                  <c:v>1.4</c:v>
                </c:pt>
                <c:pt idx="7">
                  <c:v>2.6</c:v>
                </c:pt>
                <c:pt idx="8">
                  <c:v>3.3</c:v>
                </c:pt>
                <c:pt idx="9">
                  <c:v>3.7</c:v>
                </c:pt>
                <c:pt idx="10">
                  <c:v>3</c:v>
                </c:pt>
                <c:pt idx="11">
                  <c:v>2.9</c:v>
                </c:pt>
                <c:pt idx="12">
                  <c:v>2.5896414342629424</c:v>
                </c:pt>
                <c:pt idx="13">
                  <c:v>2.4850894632206737</c:v>
                </c:pt>
                <c:pt idx="14">
                  <c:v>3.6815920398009991</c:v>
                </c:pt>
                <c:pt idx="15">
                  <c:v>3.9447731755424091</c:v>
                </c:pt>
                <c:pt idx="16">
                  <c:v>5.2579365079363738</c:v>
                </c:pt>
                <c:pt idx="17">
                  <c:v>4.2406311637080831</c:v>
                </c:pt>
                <c:pt idx="18">
                  <c:v>4.4378698224852071</c:v>
                </c:pt>
                <c:pt idx="19">
                  <c:v>3.8986354775828467</c:v>
                </c:pt>
                <c:pt idx="20">
                  <c:v>3.7754114230396927</c:v>
                </c:pt>
                <c:pt idx="21">
                  <c:v>3.4715525554484028</c:v>
                </c:pt>
                <c:pt idx="22">
                  <c:v>3.5922330097087367</c:v>
                </c:pt>
                <c:pt idx="23">
                  <c:v>4.1788143828960065</c:v>
                </c:pt>
                <c:pt idx="24">
                  <c:v>3.4951456310679547</c:v>
                </c:pt>
                <c:pt idx="25">
                  <c:v>3.8797284190106249</c:v>
                </c:pt>
                <c:pt idx="26">
                  <c:v>3.2629558541266714</c:v>
                </c:pt>
                <c:pt idx="27">
                  <c:v>2.1821631878557843</c:v>
                </c:pt>
                <c:pt idx="28">
                  <c:v>9.4250706880309648E-2</c:v>
                </c:pt>
                <c:pt idx="29">
                  <c:v>-0.37842951750237563</c:v>
                </c:pt>
                <c:pt idx="30">
                  <c:v>-0.2832861189801808</c:v>
                </c:pt>
                <c:pt idx="31">
                  <c:v>9.3808630394004264E-2</c:v>
                </c:pt>
                <c:pt idx="32">
                  <c:v>2.0522388059701377</c:v>
                </c:pt>
                <c:pt idx="33">
                  <c:v>1.2115563839701597</c:v>
                </c:pt>
                <c:pt idx="34">
                  <c:v>0.28116213683223734</c:v>
                </c:pt>
                <c:pt idx="35">
                  <c:v>-1.9589552238806236</c:v>
                </c:pt>
                <c:pt idx="36">
                  <c:v>-1.3133208255159396</c:v>
                </c:pt>
                <c:pt idx="37">
                  <c:v>-1.027077497665728</c:v>
                </c:pt>
                <c:pt idx="38">
                  <c:v>-0.37174721189590287</c:v>
                </c:pt>
                <c:pt idx="39">
                  <c:v>-0.27855153203342353</c:v>
                </c:pt>
                <c:pt idx="40">
                  <c:v>1.3182674199623281</c:v>
                </c:pt>
                <c:pt idx="41">
                  <c:v>0.94966761633429608</c:v>
                </c:pt>
                <c:pt idx="42">
                  <c:v>0.75757575757578222</c:v>
                </c:pt>
                <c:pt idx="43">
                  <c:v>0.46860356138707304</c:v>
                </c:pt>
                <c:pt idx="44">
                  <c:v>-1.005484460694706</c:v>
                </c:pt>
                <c:pt idx="45">
                  <c:v>-0.46040515653775327</c:v>
                </c:pt>
                <c:pt idx="46">
                  <c:v>1.0280373831775647</c:v>
                </c:pt>
                <c:pt idx="47">
                  <c:v>2.2835394862036211</c:v>
                </c:pt>
                <c:pt idx="48">
                  <c:v>2.5665399239543749</c:v>
                </c:pt>
                <c:pt idx="49">
                  <c:v>2.9245283018867871</c:v>
                </c:pt>
                <c:pt idx="50">
                  <c:v>1.8656716417910446</c:v>
                </c:pt>
                <c:pt idx="51">
                  <c:v>0.46554934823091243</c:v>
                </c:pt>
                <c:pt idx="52">
                  <c:v>0.83643122676580461</c:v>
                </c:pt>
                <c:pt idx="53">
                  <c:v>1.5992474129821288</c:v>
                </c:pt>
                <c:pt idx="54">
                  <c:v>1.7857142857142556</c:v>
                </c:pt>
                <c:pt idx="55">
                  <c:v>2.4253731343283529</c:v>
                </c:pt>
                <c:pt idx="56">
                  <c:v>1.8467220683287331</c:v>
                </c:pt>
                <c:pt idx="57">
                  <c:v>1.665124884366338</c:v>
                </c:pt>
                <c:pt idx="58">
                  <c:v>1.2950971322849258</c:v>
                </c:pt>
                <c:pt idx="59">
                  <c:v>1.4883720930232505</c:v>
                </c:pt>
                <c:pt idx="60">
                  <c:v>1.2974976830398279</c:v>
                </c:pt>
                <c:pt idx="61">
                  <c:v>0.36663611365720411</c:v>
                </c:pt>
                <c:pt idx="62">
                  <c:v>9.157509157508853E-2</c:v>
                </c:pt>
                <c:pt idx="63">
                  <c:v>0.74142724745134114</c:v>
                </c:pt>
                <c:pt idx="64">
                  <c:v>0.55299539170506351</c:v>
                </c:pt>
                <c:pt idx="65">
                  <c:v>1.7592592592592518</c:v>
                </c:pt>
                <c:pt idx="66">
                  <c:v>1.6620498614958643</c:v>
                </c:pt>
                <c:pt idx="67">
                  <c:v>0.81967213114754622</c:v>
                </c:pt>
                <c:pt idx="68">
                  <c:v>0.81595648232094808</c:v>
                </c:pt>
                <c:pt idx="69">
                  <c:v>2.0928116469517715</c:v>
                </c:pt>
                <c:pt idx="70">
                  <c:v>2.1004566210045637</c:v>
                </c:pt>
                <c:pt idx="71">
                  <c:v>2.383134738771834</c:v>
                </c:pt>
                <c:pt idx="72">
                  <c:v>2.4702653247940982</c:v>
                </c:pt>
                <c:pt idx="73">
                  <c:v>2.1004566210045637</c:v>
                </c:pt>
                <c:pt idx="74">
                  <c:v>2.2872827081427838</c:v>
                </c:pt>
                <c:pt idx="75">
                  <c:v>2.7598896044158177</c:v>
                </c:pt>
                <c:pt idx="76">
                  <c:v>2.9330889092575627</c:v>
                </c:pt>
                <c:pt idx="77">
                  <c:v>2.2747952684258452</c:v>
                </c:pt>
                <c:pt idx="78">
                  <c:v>1.9981834695731493</c:v>
                </c:pt>
                <c:pt idx="79">
                  <c:v>2.5293586269195987</c:v>
                </c:pt>
                <c:pt idx="80">
                  <c:v>1.798561151079122</c:v>
                </c:pt>
                <c:pt idx="81">
                  <c:v>8.9126559714790568E-2</c:v>
                </c:pt>
                <c:pt idx="82">
                  <c:v>0.53667262969590002</c:v>
                </c:pt>
                <c:pt idx="83">
                  <c:v>0.35810205908683218</c:v>
                </c:pt>
                <c:pt idx="84">
                  <c:v>0.53571428571428059</c:v>
                </c:pt>
                <c:pt idx="85">
                  <c:v>0.44722719141323775</c:v>
                </c:pt>
                <c:pt idx="86">
                  <c:v>0.44722719141323775</c:v>
                </c:pt>
                <c:pt idx="87">
                  <c:v>0.17905102954342436</c:v>
                </c:pt>
                <c:pt idx="88">
                  <c:v>-0.17809439002671887</c:v>
                </c:pt>
                <c:pt idx="89">
                  <c:v>-8.8967971530258247E-2</c:v>
                </c:pt>
                <c:pt idx="90">
                  <c:v>0</c:v>
                </c:pt>
                <c:pt idx="91">
                  <c:v>-0.26431718061673759</c:v>
                </c:pt>
                <c:pt idx="92">
                  <c:v>0.35335689045936192</c:v>
                </c:pt>
                <c:pt idx="93">
                  <c:v>1.424755120213743</c:v>
                </c:pt>
                <c:pt idx="94">
                  <c:v>1.5124555160142261</c:v>
                </c:pt>
                <c:pt idx="95">
                  <c:v>1.9625334522747573</c:v>
                </c:pt>
                <c:pt idx="96">
                  <c:v>1.7761989342806401</c:v>
                </c:pt>
                <c:pt idx="97">
                  <c:v>1.6028495102404248</c:v>
                </c:pt>
                <c:pt idx="98">
                  <c:v>1.8699910952804795</c:v>
                </c:pt>
                <c:pt idx="99">
                  <c:v>1.9660411081322653</c:v>
                </c:pt>
                <c:pt idx="100">
                  <c:v>2.1409455842997374</c:v>
                </c:pt>
                <c:pt idx="101">
                  <c:v>1.8699910952804795</c:v>
                </c:pt>
                <c:pt idx="102">
                  <c:v>2.6714158504007126</c:v>
                </c:pt>
                <c:pt idx="103">
                  <c:v>1.6784452296819923</c:v>
                </c:pt>
                <c:pt idx="104">
                  <c:v>1.0563380281690167</c:v>
                </c:pt>
                <c:pt idx="105">
                  <c:v>1.1413520632133611</c:v>
                </c:pt>
                <c:pt idx="106">
                  <c:v>0.26292725679229745</c:v>
                </c:pt>
                <c:pt idx="107">
                  <c:v>-8.7489063867011649E-2</c:v>
                </c:pt>
                <c:pt idx="108">
                  <c:v>-0.43630017452007497</c:v>
                </c:pt>
                <c:pt idx="109">
                  <c:v>8.7642418930769961E-2</c:v>
                </c:pt>
                <c:pt idx="110">
                  <c:v>0.78671328671327911</c:v>
                </c:pt>
                <c:pt idx="111">
                  <c:v>1.0517090271691305</c:v>
                </c:pt>
                <c:pt idx="112">
                  <c:v>1.5720524017467623</c:v>
                </c:pt>
                <c:pt idx="113">
                  <c:v>2.0979020979020992</c:v>
                </c:pt>
                <c:pt idx="114">
                  <c:v>1.1274934952298163</c:v>
                </c:pt>
                <c:pt idx="115">
                  <c:v>1.4769765421372738</c:v>
                </c:pt>
                <c:pt idx="116">
                  <c:v>2.1777003484321127</c:v>
                </c:pt>
                <c:pt idx="117">
                  <c:v>1.041666666666669</c:v>
                </c:pt>
                <c:pt idx="118">
                  <c:v>1.5734265734265709</c:v>
                </c:pt>
                <c:pt idx="119">
                  <c:v>2.0140105078809092</c:v>
                </c:pt>
                <c:pt idx="120">
                  <c:v>2.0157756354075467</c:v>
                </c:pt>
                <c:pt idx="121">
                  <c:v>1.6637478108581361</c:v>
                </c:pt>
                <c:pt idx="122">
                  <c:v>0.43365134431916735</c:v>
                </c:pt>
                <c:pt idx="123">
                  <c:v>0.34692107545533885</c:v>
                </c:pt>
                <c:pt idx="124">
                  <c:v>-0.17196904557180362</c:v>
                </c:pt>
                <c:pt idx="125">
                  <c:v>-0.42808219178083018</c:v>
                </c:pt>
                <c:pt idx="126">
                  <c:v>-0.771869639794169</c:v>
                </c:pt>
                <c:pt idx="127">
                  <c:v>-0.85616438356164359</c:v>
                </c:pt>
                <c:pt idx="128">
                  <c:v>0</c:v>
                </c:pt>
                <c:pt idx="129">
                  <c:v>0.42955326460481563</c:v>
                </c:pt>
                <c:pt idx="130">
                  <c:v>1.2048192771084074</c:v>
                </c:pt>
                <c:pt idx="131">
                  <c:v>1.3733905579398946</c:v>
                </c:pt>
              </c:numCache>
            </c:numRef>
          </c:val>
          <c:smooth val="1"/>
        </c:ser>
        <c:ser>
          <c:idx val="1"/>
          <c:order val="1"/>
          <c:tx>
            <c:strRef>
              <c:f>'glissements annuels'!$M$3</c:f>
              <c:strCache>
                <c:ptCount val="1"/>
                <c:pt idx="0">
                  <c:v>MAROC</c:v>
                </c:pt>
              </c:strCache>
            </c:strRef>
          </c:tx>
          <c:spPr>
            <a:ln>
              <a:solidFill>
                <a:schemeClr val="accent2">
                  <a:lumMod val="60000"/>
                  <a:lumOff val="40000"/>
                </a:schemeClr>
              </a:solidFill>
            </a:ln>
          </c:spPr>
          <c:marker>
            <c:symbol val="none"/>
          </c:marker>
          <c:cat>
            <c:numRef>
              <c:f>'glissements annuels'!$K$4:$K$135</c:f>
              <c:numCache>
                <c:formatCode>mmm/yy</c:formatCode>
                <c:ptCount val="132"/>
                <c:pt idx="0">
                  <c:v>39083</c:v>
                </c:pt>
                <c:pt idx="1">
                  <c:v>39114</c:v>
                </c:pt>
                <c:pt idx="2">
                  <c:v>39142</c:v>
                </c:pt>
                <c:pt idx="3">
                  <c:v>39173</c:v>
                </c:pt>
                <c:pt idx="4">
                  <c:v>39203</c:v>
                </c:pt>
                <c:pt idx="5">
                  <c:v>39234</c:v>
                </c:pt>
                <c:pt idx="6">
                  <c:v>39264</c:v>
                </c:pt>
                <c:pt idx="7">
                  <c:v>39295</c:v>
                </c:pt>
                <c:pt idx="8">
                  <c:v>39326</c:v>
                </c:pt>
                <c:pt idx="9">
                  <c:v>39356</c:v>
                </c:pt>
                <c:pt idx="10">
                  <c:v>39387</c:v>
                </c:pt>
                <c:pt idx="11">
                  <c:v>39417</c:v>
                </c:pt>
                <c:pt idx="12">
                  <c:v>39448</c:v>
                </c:pt>
                <c:pt idx="13">
                  <c:v>39479</c:v>
                </c:pt>
                <c:pt idx="14">
                  <c:v>39508</c:v>
                </c:pt>
                <c:pt idx="15">
                  <c:v>39539</c:v>
                </c:pt>
                <c:pt idx="16">
                  <c:v>39569</c:v>
                </c:pt>
                <c:pt idx="17">
                  <c:v>39600</c:v>
                </c:pt>
                <c:pt idx="18">
                  <c:v>39630</c:v>
                </c:pt>
                <c:pt idx="19">
                  <c:v>39661</c:v>
                </c:pt>
                <c:pt idx="20">
                  <c:v>39692</c:v>
                </c:pt>
                <c:pt idx="21">
                  <c:v>39722</c:v>
                </c:pt>
                <c:pt idx="22">
                  <c:v>39753</c:v>
                </c:pt>
                <c:pt idx="23">
                  <c:v>39783</c:v>
                </c:pt>
                <c:pt idx="24">
                  <c:v>39814</c:v>
                </c:pt>
                <c:pt idx="25">
                  <c:v>39845</c:v>
                </c:pt>
                <c:pt idx="26">
                  <c:v>39873</c:v>
                </c:pt>
                <c:pt idx="27">
                  <c:v>39904</c:v>
                </c:pt>
                <c:pt idx="28">
                  <c:v>39934</c:v>
                </c:pt>
                <c:pt idx="29">
                  <c:v>39965</c:v>
                </c:pt>
                <c:pt idx="30">
                  <c:v>39995</c:v>
                </c:pt>
                <c:pt idx="31">
                  <c:v>40026</c:v>
                </c:pt>
                <c:pt idx="32">
                  <c:v>40057</c:v>
                </c:pt>
                <c:pt idx="33">
                  <c:v>40087</c:v>
                </c:pt>
                <c:pt idx="34">
                  <c:v>40118</c:v>
                </c:pt>
                <c:pt idx="35">
                  <c:v>40148</c:v>
                </c:pt>
                <c:pt idx="36">
                  <c:v>40179</c:v>
                </c:pt>
                <c:pt idx="37">
                  <c:v>40210</c:v>
                </c:pt>
                <c:pt idx="38">
                  <c:v>40238</c:v>
                </c:pt>
                <c:pt idx="39">
                  <c:v>40269</c:v>
                </c:pt>
                <c:pt idx="40">
                  <c:v>40299</c:v>
                </c:pt>
                <c:pt idx="41">
                  <c:v>40330</c:v>
                </c:pt>
                <c:pt idx="42">
                  <c:v>40360</c:v>
                </c:pt>
                <c:pt idx="43">
                  <c:v>40391</c:v>
                </c:pt>
                <c:pt idx="44">
                  <c:v>40422</c:v>
                </c:pt>
                <c:pt idx="45">
                  <c:v>40452</c:v>
                </c:pt>
                <c:pt idx="46">
                  <c:v>40483</c:v>
                </c:pt>
                <c:pt idx="47">
                  <c:v>40513</c:v>
                </c:pt>
                <c:pt idx="48">
                  <c:v>40544</c:v>
                </c:pt>
                <c:pt idx="49">
                  <c:v>40575</c:v>
                </c:pt>
                <c:pt idx="50">
                  <c:v>40603</c:v>
                </c:pt>
                <c:pt idx="51">
                  <c:v>40634</c:v>
                </c:pt>
                <c:pt idx="52">
                  <c:v>40664</c:v>
                </c:pt>
                <c:pt idx="53">
                  <c:v>40695</c:v>
                </c:pt>
                <c:pt idx="54">
                  <c:v>40725</c:v>
                </c:pt>
                <c:pt idx="55">
                  <c:v>40756</c:v>
                </c:pt>
                <c:pt idx="56">
                  <c:v>40787</c:v>
                </c:pt>
                <c:pt idx="57">
                  <c:v>40817</c:v>
                </c:pt>
                <c:pt idx="58">
                  <c:v>40848</c:v>
                </c:pt>
                <c:pt idx="59">
                  <c:v>40878</c:v>
                </c:pt>
                <c:pt idx="60">
                  <c:v>40909</c:v>
                </c:pt>
                <c:pt idx="61">
                  <c:v>40940</c:v>
                </c:pt>
                <c:pt idx="62">
                  <c:v>40969</c:v>
                </c:pt>
                <c:pt idx="63">
                  <c:v>41000</c:v>
                </c:pt>
                <c:pt idx="64">
                  <c:v>41030</c:v>
                </c:pt>
                <c:pt idx="65">
                  <c:v>41061</c:v>
                </c:pt>
                <c:pt idx="66">
                  <c:v>41091</c:v>
                </c:pt>
                <c:pt idx="67">
                  <c:v>41122</c:v>
                </c:pt>
                <c:pt idx="68">
                  <c:v>41153</c:v>
                </c:pt>
                <c:pt idx="69">
                  <c:v>41183</c:v>
                </c:pt>
                <c:pt idx="70">
                  <c:v>41214</c:v>
                </c:pt>
                <c:pt idx="71">
                  <c:v>41244</c:v>
                </c:pt>
                <c:pt idx="72">
                  <c:v>41275</c:v>
                </c:pt>
                <c:pt idx="73">
                  <c:v>41306</c:v>
                </c:pt>
                <c:pt idx="74">
                  <c:v>41334</c:v>
                </c:pt>
                <c:pt idx="75">
                  <c:v>41365</c:v>
                </c:pt>
                <c:pt idx="76">
                  <c:v>41395</c:v>
                </c:pt>
                <c:pt idx="77">
                  <c:v>41426</c:v>
                </c:pt>
                <c:pt idx="78">
                  <c:v>41456</c:v>
                </c:pt>
                <c:pt idx="79">
                  <c:v>41487</c:v>
                </c:pt>
                <c:pt idx="80">
                  <c:v>41518</c:v>
                </c:pt>
                <c:pt idx="81">
                  <c:v>41548</c:v>
                </c:pt>
                <c:pt idx="82">
                  <c:v>41579</c:v>
                </c:pt>
                <c:pt idx="83">
                  <c:v>41609</c:v>
                </c:pt>
                <c:pt idx="84">
                  <c:v>41640</c:v>
                </c:pt>
                <c:pt idx="85">
                  <c:v>41671</c:v>
                </c:pt>
                <c:pt idx="86">
                  <c:v>41699</c:v>
                </c:pt>
                <c:pt idx="87">
                  <c:v>41730</c:v>
                </c:pt>
                <c:pt idx="88">
                  <c:v>41760</c:v>
                </c:pt>
                <c:pt idx="89">
                  <c:v>41791</c:v>
                </c:pt>
                <c:pt idx="90">
                  <c:v>41821</c:v>
                </c:pt>
                <c:pt idx="91">
                  <c:v>41852</c:v>
                </c:pt>
                <c:pt idx="92">
                  <c:v>41883</c:v>
                </c:pt>
                <c:pt idx="93">
                  <c:v>41913</c:v>
                </c:pt>
                <c:pt idx="94">
                  <c:v>41944</c:v>
                </c:pt>
                <c:pt idx="95">
                  <c:v>41974</c:v>
                </c:pt>
                <c:pt idx="96">
                  <c:v>42005</c:v>
                </c:pt>
                <c:pt idx="97">
                  <c:v>42036</c:v>
                </c:pt>
                <c:pt idx="98">
                  <c:v>42064</c:v>
                </c:pt>
                <c:pt idx="99">
                  <c:v>42095</c:v>
                </c:pt>
                <c:pt idx="100">
                  <c:v>42125</c:v>
                </c:pt>
                <c:pt idx="101">
                  <c:v>42156</c:v>
                </c:pt>
                <c:pt idx="102">
                  <c:v>42186</c:v>
                </c:pt>
                <c:pt idx="103">
                  <c:v>42217</c:v>
                </c:pt>
                <c:pt idx="104">
                  <c:v>42248</c:v>
                </c:pt>
                <c:pt idx="105">
                  <c:v>42278</c:v>
                </c:pt>
                <c:pt idx="106">
                  <c:v>42309</c:v>
                </c:pt>
                <c:pt idx="107">
                  <c:v>42339</c:v>
                </c:pt>
                <c:pt idx="108">
                  <c:v>42370</c:v>
                </c:pt>
                <c:pt idx="109">
                  <c:v>42401</c:v>
                </c:pt>
                <c:pt idx="110">
                  <c:v>42430</c:v>
                </c:pt>
                <c:pt idx="111">
                  <c:v>42461</c:v>
                </c:pt>
                <c:pt idx="112">
                  <c:v>42491</c:v>
                </c:pt>
                <c:pt idx="113">
                  <c:v>42522</c:v>
                </c:pt>
                <c:pt idx="114">
                  <c:v>42552</c:v>
                </c:pt>
                <c:pt idx="115">
                  <c:v>42583</c:v>
                </c:pt>
                <c:pt idx="116">
                  <c:v>42614</c:v>
                </c:pt>
                <c:pt idx="117">
                  <c:v>42644</c:v>
                </c:pt>
                <c:pt idx="118">
                  <c:v>42675</c:v>
                </c:pt>
                <c:pt idx="119">
                  <c:v>42705</c:v>
                </c:pt>
                <c:pt idx="120">
                  <c:v>42736</c:v>
                </c:pt>
                <c:pt idx="121">
                  <c:v>42767</c:v>
                </c:pt>
                <c:pt idx="122">
                  <c:v>42795</c:v>
                </c:pt>
                <c:pt idx="123">
                  <c:v>42826</c:v>
                </c:pt>
                <c:pt idx="124">
                  <c:v>42856</c:v>
                </c:pt>
                <c:pt idx="125">
                  <c:v>42887</c:v>
                </c:pt>
                <c:pt idx="126">
                  <c:v>42917</c:v>
                </c:pt>
                <c:pt idx="127">
                  <c:v>42948</c:v>
                </c:pt>
                <c:pt idx="128">
                  <c:v>42979</c:v>
                </c:pt>
                <c:pt idx="129">
                  <c:v>43009</c:v>
                </c:pt>
                <c:pt idx="130">
                  <c:v>43040</c:v>
                </c:pt>
                <c:pt idx="131">
                  <c:v>43070</c:v>
                </c:pt>
              </c:numCache>
            </c:numRef>
          </c:cat>
          <c:val>
            <c:numRef>
              <c:f>'glissements annuels'!$M$4:$M$135</c:f>
              <c:numCache>
                <c:formatCode>0.0</c:formatCode>
                <c:ptCount val="132"/>
                <c:pt idx="0">
                  <c:v>0.5</c:v>
                </c:pt>
                <c:pt idx="1">
                  <c:v>1</c:v>
                </c:pt>
                <c:pt idx="2">
                  <c:v>1.6</c:v>
                </c:pt>
                <c:pt idx="3">
                  <c:v>2.6</c:v>
                </c:pt>
                <c:pt idx="4">
                  <c:v>1.4</c:v>
                </c:pt>
                <c:pt idx="5">
                  <c:v>1.7</c:v>
                </c:pt>
                <c:pt idx="6">
                  <c:v>1.7</c:v>
                </c:pt>
                <c:pt idx="7">
                  <c:v>2.8</c:v>
                </c:pt>
                <c:pt idx="8">
                  <c:v>4</c:v>
                </c:pt>
                <c:pt idx="9">
                  <c:v>4.3</c:v>
                </c:pt>
                <c:pt idx="10">
                  <c:v>3.6</c:v>
                </c:pt>
                <c:pt idx="11">
                  <c:v>3.8</c:v>
                </c:pt>
                <c:pt idx="12">
                  <c:v>2.0689655172413812</c:v>
                </c:pt>
                <c:pt idx="13">
                  <c:v>2.9702970297029712</c:v>
                </c:pt>
                <c:pt idx="14">
                  <c:v>3.4448818897637787</c:v>
                </c:pt>
                <c:pt idx="15">
                  <c:v>3.3138401559454227</c:v>
                </c:pt>
                <c:pt idx="16">
                  <c:v>5.2268244575936853</c:v>
                </c:pt>
                <c:pt idx="17">
                  <c:v>4.4247787610619467</c:v>
                </c:pt>
                <c:pt idx="18">
                  <c:v>4.6214355948869255</c:v>
                </c:pt>
                <c:pt idx="19">
                  <c:v>4.0856031128404924</c:v>
                </c:pt>
                <c:pt idx="20">
                  <c:v>3.5576923076923292</c:v>
                </c:pt>
                <c:pt idx="21">
                  <c:v>3.2598274209012521</c:v>
                </c:pt>
                <c:pt idx="22">
                  <c:v>3.7644787644787701</c:v>
                </c:pt>
                <c:pt idx="23">
                  <c:v>4.0462427745664824</c:v>
                </c:pt>
                <c:pt idx="24">
                  <c:v>3.4749034749034777</c:v>
                </c:pt>
                <c:pt idx="25">
                  <c:v>3.2692307692307812</c:v>
                </c:pt>
                <c:pt idx="26">
                  <c:v>2.7592768791627078</c:v>
                </c:pt>
                <c:pt idx="27">
                  <c:v>2.4528301886792367</c:v>
                </c:pt>
                <c:pt idx="28">
                  <c:v>0.18744142455483337</c:v>
                </c:pt>
                <c:pt idx="29">
                  <c:v>-0.56497175141243761</c:v>
                </c:pt>
                <c:pt idx="30">
                  <c:v>-0.56390977443610635</c:v>
                </c:pt>
                <c:pt idx="31">
                  <c:v>0.3738317757009475</c:v>
                </c:pt>
                <c:pt idx="32">
                  <c:v>1.949860724233978</c:v>
                </c:pt>
                <c:pt idx="33">
                  <c:v>0.74280408542246712</c:v>
                </c:pt>
                <c:pt idx="34">
                  <c:v>-0.65116279069767702</c:v>
                </c:pt>
                <c:pt idx="35">
                  <c:v>-1.5740740740740766</c:v>
                </c:pt>
                <c:pt idx="36">
                  <c:v>-0.65298507462688382</c:v>
                </c:pt>
                <c:pt idx="37">
                  <c:v>9.3109869646177248E-2</c:v>
                </c:pt>
                <c:pt idx="38">
                  <c:v>0.92592592592592549</c:v>
                </c:pt>
                <c:pt idx="39">
                  <c:v>9.2081031307558459E-2</c:v>
                </c:pt>
                <c:pt idx="40">
                  <c:v>1.6838166510757691</c:v>
                </c:pt>
                <c:pt idx="41">
                  <c:v>1.8939393939393721</c:v>
                </c:pt>
                <c:pt idx="42">
                  <c:v>1.1342155009451973</c:v>
                </c:pt>
                <c:pt idx="43">
                  <c:v>0.55865921787709893</c:v>
                </c:pt>
                <c:pt idx="44">
                  <c:v>-0.27322404371584907</c:v>
                </c:pt>
                <c:pt idx="45">
                  <c:v>1.7511520737327386</c:v>
                </c:pt>
                <c:pt idx="46">
                  <c:v>2.6217228464419913</c:v>
                </c:pt>
                <c:pt idx="47">
                  <c:v>2.1636876763876178</c:v>
                </c:pt>
                <c:pt idx="48">
                  <c:v>2.1596244131455373</c:v>
                </c:pt>
                <c:pt idx="49">
                  <c:v>2.0465116279070052</c:v>
                </c:pt>
                <c:pt idx="50">
                  <c:v>0.55045871559632509</c:v>
                </c:pt>
                <c:pt idx="51">
                  <c:v>-0.27598896044158339</c:v>
                </c:pt>
                <c:pt idx="52">
                  <c:v>0</c:v>
                </c:pt>
                <c:pt idx="53">
                  <c:v>0.65055762081784652</c:v>
                </c:pt>
                <c:pt idx="54">
                  <c:v>1.7757009345794446</c:v>
                </c:pt>
                <c:pt idx="55">
                  <c:v>2.2222222222222276</c:v>
                </c:pt>
                <c:pt idx="56">
                  <c:v>0.8219178082191928</c:v>
                </c:pt>
                <c:pt idx="57">
                  <c:v>-0.36231884057972064</c:v>
                </c:pt>
                <c:pt idx="58">
                  <c:v>0.45620437956204823</c:v>
                </c:pt>
                <c:pt idx="59">
                  <c:v>0.92081031307550665</c:v>
                </c:pt>
                <c:pt idx="60">
                  <c:v>0.91911764705882371</c:v>
                </c:pt>
                <c:pt idx="61">
                  <c:v>0.36463081130355202</c:v>
                </c:pt>
                <c:pt idx="62">
                  <c:v>0.27372262773723682</c:v>
                </c:pt>
                <c:pt idx="63">
                  <c:v>1.1992619926199088</c:v>
                </c:pt>
                <c:pt idx="64">
                  <c:v>1.0119595216191299</c:v>
                </c:pt>
                <c:pt idx="65">
                  <c:v>1.9390581717451789</c:v>
                </c:pt>
                <c:pt idx="66">
                  <c:v>1.6528925619834847</c:v>
                </c:pt>
                <c:pt idx="67">
                  <c:v>0.9963768115942</c:v>
                </c:pt>
                <c:pt idx="68">
                  <c:v>1.1775362318840554</c:v>
                </c:pt>
                <c:pt idx="69">
                  <c:v>1.8181818181818181</c:v>
                </c:pt>
                <c:pt idx="70">
                  <c:v>1.6348773841961961</c:v>
                </c:pt>
                <c:pt idx="71">
                  <c:v>2.5547445255474592</c:v>
                </c:pt>
                <c:pt idx="72">
                  <c:v>2.5500910746812382</c:v>
                </c:pt>
                <c:pt idx="73">
                  <c:v>2.1798365122615855</c:v>
                </c:pt>
                <c:pt idx="74">
                  <c:v>2.1838034576888004</c:v>
                </c:pt>
                <c:pt idx="75">
                  <c:v>2.3701002734731027</c:v>
                </c:pt>
                <c:pt idx="76">
                  <c:v>2.8233151183971001</c:v>
                </c:pt>
                <c:pt idx="77">
                  <c:v>2.2644927536231885</c:v>
                </c:pt>
                <c:pt idx="78">
                  <c:v>1.6260162601625989</c:v>
                </c:pt>
                <c:pt idx="79">
                  <c:v>1.8834080717488741</c:v>
                </c:pt>
                <c:pt idx="80">
                  <c:v>1.700984780662459</c:v>
                </c:pt>
                <c:pt idx="81">
                  <c:v>1.5178571428571455</c:v>
                </c:pt>
                <c:pt idx="82">
                  <c:v>0.98302055406612532</c:v>
                </c:pt>
                <c:pt idx="83">
                  <c:v>0.44483985765124551</c:v>
                </c:pt>
                <c:pt idx="84">
                  <c:v>0.53285968028420005</c:v>
                </c:pt>
                <c:pt idx="85">
                  <c:v>0.44444444444444442</c:v>
                </c:pt>
                <c:pt idx="86">
                  <c:v>0.35618878005343807</c:v>
                </c:pt>
                <c:pt idx="87">
                  <c:v>0.44523597506678525</c:v>
                </c:pt>
                <c:pt idx="88">
                  <c:v>-0.26572187776795175</c:v>
                </c:pt>
                <c:pt idx="89">
                  <c:v>-8.8573959255986295E-2</c:v>
                </c:pt>
                <c:pt idx="90">
                  <c:v>0.35555555555556062</c:v>
                </c:pt>
                <c:pt idx="91">
                  <c:v>0</c:v>
                </c:pt>
                <c:pt idx="92">
                  <c:v>8.8028169014094423E-2</c:v>
                </c:pt>
                <c:pt idx="93">
                  <c:v>0.61565523306950554</c:v>
                </c:pt>
                <c:pt idx="94">
                  <c:v>1.2389380530973355</c:v>
                </c:pt>
                <c:pt idx="95">
                  <c:v>1.5943312666076146</c:v>
                </c:pt>
                <c:pt idx="96">
                  <c:v>1.5901060070671338</c:v>
                </c:pt>
                <c:pt idx="97">
                  <c:v>1.3274336283185839</c:v>
                </c:pt>
                <c:pt idx="98">
                  <c:v>1.5971606033717809</c:v>
                </c:pt>
                <c:pt idx="99">
                  <c:v>1.6843971631205945</c:v>
                </c:pt>
                <c:pt idx="100">
                  <c:v>2.0426287744227447</c:v>
                </c:pt>
                <c:pt idx="101">
                  <c:v>1.9503546099290805</c:v>
                </c:pt>
                <c:pt idx="102">
                  <c:v>2.3914968999114157</c:v>
                </c:pt>
                <c:pt idx="103">
                  <c:v>1.6725352112676106</c:v>
                </c:pt>
                <c:pt idx="104">
                  <c:v>1.5831134564643774</c:v>
                </c:pt>
                <c:pt idx="105">
                  <c:v>1.3986013986013937</c:v>
                </c:pt>
                <c:pt idx="106">
                  <c:v>0.87412587412589127</c:v>
                </c:pt>
                <c:pt idx="107">
                  <c:v>0.6102877070619025</c:v>
                </c:pt>
                <c:pt idx="108">
                  <c:v>0.26086956521739352</c:v>
                </c:pt>
                <c:pt idx="109">
                  <c:v>0.87336244541484709</c:v>
                </c:pt>
                <c:pt idx="110">
                  <c:v>1.834061135371174</c:v>
                </c:pt>
                <c:pt idx="111">
                  <c:v>1.5693112467305992</c:v>
                </c:pt>
                <c:pt idx="112">
                  <c:v>1.914708442123576</c:v>
                </c:pt>
                <c:pt idx="113">
                  <c:v>2.2608695652174258</c:v>
                </c:pt>
                <c:pt idx="114">
                  <c:v>1.5570934256055464</c:v>
                </c:pt>
                <c:pt idx="115">
                  <c:v>1.6450216450216353</c:v>
                </c:pt>
                <c:pt idx="116">
                  <c:v>2.3376623376623398</c:v>
                </c:pt>
                <c:pt idx="117">
                  <c:v>1.637931034482764</c:v>
                </c:pt>
                <c:pt idx="118">
                  <c:v>1.9064124783362413</c:v>
                </c:pt>
                <c:pt idx="119">
                  <c:v>1.8197573656845705</c:v>
                </c:pt>
                <c:pt idx="120">
                  <c:v>2.0815264527320476</c:v>
                </c:pt>
                <c:pt idx="121">
                  <c:v>1.6450216450216353</c:v>
                </c:pt>
                <c:pt idx="122">
                  <c:v>8.5763293310470598E-2</c:v>
                </c:pt>
                <c:pt idx="123">
                  <c:v>0.34334763948498342</c:v>
                </c:pt>
                <c:pt idx="124">
                  <c:v>0.341588385994892</c:v>
                </c:pt>
                <c:pt idx="125">
                  <c:v>0.25510204081633137</c:v>
                </c:pt>
                <c:pt idx="126">
                  <c:v>-8.5178875638848822E-2</c:v>
                </c:pt>
                <c:pt idx="127">
                  <c:v>0.25553662691652224</c:v>
                </c:pt>
                <c:pt idx="128">
                  <c:v>0.42301184433164596</c:v>
                </c:pt>
                <c:pt idx="129">
                  <c:v>0.59372349448684369</c:v>
                </c:pt>
                <c:pt idx="130">
                  <c:v>1.2755102040816326</c:v>
                </c:pt>
                <c:pt idx="131">
                  <c:v>1.8723404255319365</c:v>
                </c:pt>
              </c:numCache>
            </c:numRef>
          </c:val>
          <c:smooth val="1"/>
        </c:ser>
        <c:marker val="1"/>
        <c:axId val="69691648"/>
        <c:axId val="69693440"/>
      </c:lineChart>
      <c:dateAx>
        <c:axId val="69691648"/>
        <c:scaling>
          <c:orientation val="minMax"/>
        </c:scaling>
        <c:axPos val="b"/>
        <c:numFmt formatCode="mmm/yy" sourceLinked="1"/>
        <c:tickLblPos val="nextTo"/>
        <c:txPr>
          <a:bodyPr/>
          <a:lstStyle/>
          <a:p>
            <a:pPr>
              <a:defRPr sz="800" b="0">
                <a:latin typeface="Times New Roman" pitchFamily="18" charset="0"/>
                <a:cs typeface="Times New Roman" pitchFamily="18" charset="0"/>
              </a:defRPr>
            </a:pPr>
            <a:endParaRPr lang="fr-FR"/>
          </a:p>
        </c:txPr>
        <c:crossAx val="69693440"/>
        <c:crosses val="autoZero"/>
        <c:auto val="1"/>
        <c:lblOffset val="100"/>
      </c:dateAx>
      <c:valAx>
        <c:axId val="69693440"/>
        <c:scaling>
          <c:orientation val="minMax"/>
        </c:scaling>
        <c:axPos val="l"/>
        <c:majorGridlines/>
        <c:numFmt formatCode="0" sourceLinked="0"/>
        <c:tickLblPos val="nextTo"/>
        <c:txPr>
          <a:bodyPr/>
          <a:lstStyle/>
          <a:p>
            <a:pPr>
              <a:defRPr sz="800" b="1"/>
            </a:pPr>
            <a:endParaRPr lang="fr-FR"/>
          </a:p>
        </c:txPr>
        <c:crossAx val="69691648"/>
        <c:crosses val="autoZero"/>
        <c:crossBetween val="between"/>
      </c:valAx>
    </c:plotArea>
    <c:legend>
      <c:legendPos val="r"/>
      <c:layout>
        <c:manualLayout>
          <c:xMode val="edge"/>
          <c:yMode val="edge"/>
          <c:x val="0.28533113011111644"/>
          <c:y val="0.95503931188202351"/>
          <c:w val="0.39458407921586697"/>
          <c:h val="3.5966967543691185E-2"/>
        </c:manualLayout>
      </c:layout>
      <c:txPr>
        <a:bodyPr/>
        <a:lstStyle/>
        <a:p>
          <a:pPr>
            <a:defRPr sz="800" b="1">
              <a:latin typeface="Times New Roman" pitchFamily="18" charset="0"/>
              <a:cs typeface="Times New Roman" pitchFamily="18" charset="0"/>
            </a:defRPr>
          </a:pPr>
          <a:endParaRPr lang="fr-FR"/>
        </a:p>
      </c:txPr>
    </c:legend>
    <c:plotVisOnly val="1"/>
  </c:chart>
  <c:spPr>
    <a:gradFill flip="none" rotWithShape="1">
      <a:gsLst>
        <a:gs pos="0">
          <a:schemeClr val="accent1">
            <a:lumMod val="60000"/>
            <a:lumOff val="40000"/>
          </a:schemeClr>
        </a:gs>
        <a:gs pos="39999">
          <a:srgbClr val="85C2FF"/>
        </a:gs>
        <a:gs pos="70000">
          <a:srgbClr val="C4D6EB"/>
        </a:gs>
        <a:gs pos="100000">
          <a:srgbClr val="FFEBFA"/>
        </a:gs>
      </a:gsLst>
      <a:lin ang="5400000" scaled="0"/>
      <a:tileRect r="-100000" b="-100000"/>
    </a:gradFill>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Année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F1352B-7B2D-443F-B1C8-E4A562B3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Pages>
  <Words>10916</Words>
  <Characters>60044</Characters>
  <Application>Microsoft Office Word</Application>
  <DocSecurity>0</DocSecurity>
  <Lines>500</Lines>
  <Paragraphs>141</Paragraphs>
  <ScaleCrop>false</ScaleCrop>
  <HeadingPairs>
    <vt:vector size="2" baseType="variant">
      <vt:variant>
        <vt:lpstr>Titre</vt:lpstr>
      </vt:variant>
      <vt:variant>
        <vt:i4>1</vt:i4>
      </vt:variant>
    </vt:vector>
  </HeadingPairs>
  <TitlesOfParts>
    <vt:vector size="1" baseType="lpstr">
      <vt:lpstr>Indice des Prix à la Consommation (Base100:2006)           ville de Kenitra</vt:lpstr>
    </vt:vector>
  </TitlesOfParts>
  <Company>Sweet</Company>
  <LinksUpToDate>false</LinksUpToDate>
  <CharactersWithSpaces>70819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 des Prix à la Consommation (Base100:2006)           ville de Kenitra</dc:title>
  <dc:subject>Rapport annuel</dc:subject>
  <dc:creator>SWEET</dc:creator>
  <cp:keywords/>
  <dc:description/>
  <cp:lastModifiedBy>pc</cp:lastModifiedBy>
  <cp:revision>3</cp:revision>
  <cp:lastPrinted>2012-07-05T14:14:00Z</cp:lastPrinted>
  <dcterms:created xsi:type="dcterms:W3CDTF">2018-05-22T11:56:00Z</dcterms:created>
  <dcterms:modified xsi:type="dcterms:W3CDTF">2018-05-28T12:54:00Z</dcterms:modified>
</cp:coreProperties>
</file>