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C72244" w:rsidP="00176DC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Sep</w:t>
            </w:r>
            <w:r w:rsidR="00176DC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t</w:t>
            </w: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embre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A93A17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="00A93A17">
        <w:rPr>
          <w:sz w:val="22"/>
          <w:szCs w:val="22"/>
          <w:lang w:eastAsia="fr-FR"/>
        </w:rPr>
        <w:t xml:space="preserve"> articles représentés par</w:t>
      </w:r>
      <w:r w:rsidRPr="000A5E6E">
        <w:rPr>
          <w:sz w:val="22"/>
          <w:szCs w:val="22"/>
          <w:lang w:eastAsia="fr-FR"/>
        </w:rPr>
        <w:t xml:space="preserve">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</w:t>
      </w:r>
      <w:r w:rsidR="00A93A17">
        <w:rPr>
          <w:sz w:val="22"/>
          <w:szCs w:val="22"/>
          <w:lang w:eastAsia="fr-FR"/>
        </w:rPr>
        <w:t>,</w:t>
      </w:r>
      <w:r w:rsidRPr="000A5E6E">
        <w:rPr>
          <w:sz w:val="22"/>
          <w:szCs w:val="22"/>
          <w:lang w:eastAsia="fr-FR"/>
        </w:rPr>
        <w:t xml:space="preserve"> </w:t>
      </w:r>
      <w:r w:rsidR="00A93A17">
        <w:rPr>
          <w:sz w:val="22"/>
          <w:szCs w:val="22"/>
          <w:lang w:eastAsia="fr-FR"/>
        </w:rPr>
        <w:t xml:space="preserve"> </w:t>
      </w:r>
      <w:r w:rsidRPr="000A5E6E">
        <w:rPr>
          <w:sz w:val="22"/>
          <w:szCs w:val="22"/>
          <w:lang w:eastAsia="fr-FR"/>
        </w:rPr>
        <w:t>consomm</w:t>
      </w:r>
      <w:r w:rsidR="00A93A17">
        <w:rPr>
          <w:sz w:val="22"/>
          <w:szCs w:val="22"/>
          <w:lang w:eastAsia="fr-FR"/>
        </w:rPr>
        <w:t>ées par  l</w:t>
      </w:r>
      <w:r w:rsidRPr="000A5E6E">
        <w:rPr>
          <w:sz w:val="22"/>
          <w:szCs w:val="22"/>
          <w:lang w:eastAsia="fr-FR"/>
        </w:rPr>
        <w:t xml:space="preserve">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A93A17">
        <w:rPr>
          <w:sz w:val="22"/>
          <w:szCs w:val="22"/>
          <w:lang w:eastAsia="fr-FR"/>
        </w:rPr>
        <w:t>.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</w:t>
      </w:r>
      <w:r w:rsidR="00A93A17">
        <w:rPr>
          <w:sz w:val="22"/>
          <w:szCs w:val="22"/>
          <w:lang w:eastAsia="fr-FR"/>
        </w:rPr>
        <w:t xml:space="preserve"> </w:t>
      </w:r>
      <w:r w:rsidR="002A5226" w:rsidRPr="000A5E6E">
        <w:rPr>
          <w:sz w:val="22"/>
          <w:szCs w:val="22"/>
          <w:lang w:eastAsia="fr-FR"/>
        </w:rPr>
        <w:t xml:space="preserve">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556E1D" w:rsidRPr="004C54F7" w:rsidRDefault="00556E1D" w:rsidP="00556E1D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556E1D" w:rsidRPr="004C54F7" w:rsidRDefault="00556E1D" w:rsidP="00556E1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de Septembre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2021, l’IPC de la ville de </w:t>
      </w:r>
      <w:proofErr w:type="spell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augmenté de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par rapport au mois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précédent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0,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% pour l’ensemble national.</w:t>
      </w:r>
    </w:p>
    <w:p w:rsidR="00556E1D" w:rsidRPr="004C54F7" w:rsidRDefault="00556E1D" w:rsidP="00556E1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variation de l’indice de </w:t>
      </w:r>
      <w:proofErr w:type="spell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est l’effet combiné de la hausse des prix des produits alimentaires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2,7%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de la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baisse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ceux des produits non alimentaires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0,1%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556E1D" w:rsidRDefault="00556E1D" w:rsidP="00A9358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descendant au niveau des classes des produits alimentaires, on constate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que seule la classe des </w:t>
      </w:r>
      <w:r w:rsidR="00A9358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>Viandes</w:t>
      </w:r>
      <w:r w:rsidR="00A9358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une baisse des prix entre ces deux mois, et qui est de (-1,9%). </w:t>
      </w:r>
    </w:p>
    <w:p w:rsidR="00556E1D" w:rsidRDefault="00556E1D" w:rsidP="00A9358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Concernant les produits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non alimentaires,  seule la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A9358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>Transports</w:t>
      </w:r>
      <w:r w:rsidR="00A9358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connu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>une hausse des prix de 0,4% contrairement aux autres divisions dont l’indice a stagné au cours de cette période.</w:t>
      </w:r>
    </w:p>
    <w:p w:rsidR="00556E1D" w:rsidRDefault="00556E1D" w:rsidP="00556E1D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556E1D" w:rsidRDefault="00556E1D" w:rsidP="00202B0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Comparé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à son niveau au même mois de l’année précédente, l’indice des prix à l</w:t>
      </w:r>
      <w:r w:rsidR="00A9358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consommation a régressé de 0,1% contre une augmentation de 1,2%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pour la moyenne nationale. Ceci, résulte de la déclinaison des prix des produits alimentaires de 1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,3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% et du relèvement des prix des produits non alimentaires de 0,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%. </w:t>
      </w:r>
    </w:p>
    <w:p w:rsidR="00103761" w:rsidRDefault="00556E1D" w:rsidP="00103761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produits alimentaires touchés par une hausse significative des prix entre 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septembre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 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son analogue en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202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sont :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les 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Pain et céréales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10%, les 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Viandes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2,9%,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Poissons et fruits de 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mer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%,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 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Lait, fromage et œufs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3,1%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les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H</w:t>
      </w:r>
      <w:r w:rsidRPr="00146F72">
        <w:rPr>
          <w:rFonts w:ascii="Times New Roman" w:hAnsi="Times New Roman"/>
          <w:spacing w:val="0"/>
          <w:sz w:val="22"/>
          <w:szCs w:val="22"/>
          <w:lang w:eastAsia="fr-FR"/>
        </w:rPr>
        <w:t>uiles et graisses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18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202B01">
        <w:rPr>
          <w:rFonts w:ascii="Times New Roman" w:hAnsi="Times New Roman"/>
          <w:spacing w:val="0"/>
          <w:sz w:val="22"/>
          <w:szCs w:val="22"/>
          <w:lang w:eastAsia="fr-FR"/>
        </w:rPr>
        <w:t>9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%</w:t>
      </w:r>
      <w:r w:rsidR="00103761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556E1D" w:rsidRDefault="00103761" w:rsidP="00103761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Les baisses les plus flagrantes, par contre, ont concerné les Fruits avec (-29,7%) </w:t>
      </w:r>
      <w:r w:rsidR="00556E1D">
        <w:rPr>
          <w:rFonts w:ascii="Times New Roman" w:hAnsi="Times New Roman"/>
          <w:spacing w:val="0"/>
          <w:sz w:val="22"/>
          <w:szCs w:val="22"/>
          <w:lang w:eastAsia="fr-FR"/>
        </w:rPr>
        <w:t xml:space="preserve">et les </w:t>
      </w:r>
      <w:r w:rsidR="00556E1D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56E1D">
        <w:rPr>
          <w:rFonts w:ascii="Times New Roman" w:hAnsi="Times New Roman"/>
          <w:spacing w:val="0"/>
          <w:sz w:val="22"/>
          <w:szCs w:val="22"/>
          <w:lang w:eastAsia="fr-FR"/>
        </w:rPr>
        <w:t>Légumes</w:t>
      </w:r>
      <w:r w:rsidR="00556E1D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56E1D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(</w:t>
      </w:r>
      <w:r w:rsidR="00556E1D">
        <w:rPr>
          <w:rFonts w:ascii="Times New Roman" w:hAnsi="Times New Roman"/>
          <w:spacing w:val="0"/>
          <w:sz w:val="22"/>
          <w:szCs w:val="22"/>
          <w:lang w:eastAsia="fr-FR"/>
        </w:rPr>
        <w:t>-1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6</w:t>
      </w:r>
      <w:r w:rsidR="00556E1D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7</w:t>
      </w:r>
      <w:r w:rsidR="00556E1D">
        <w:rPr>
          <w:rFonts w:ascii="Times New Roman" w:hAnsi="Times New Roman"/>
          <w:spacing w:val="0"/>
          <w:sz w:val="22"/>
          <w:szCs w:val="22"/>
          <w:lang w:eastAsia="fr-FR"/>
        </w:rPr>
        <w:t>%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)</w:t>
      </w:r>
      <w:r w:rsidR="00556E1D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556E1D" w:rsidRDefault="00556E1D" w:rsidP="0010376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Quant aux produits non alimentaires, la hausse de prix la plus élevée a été enregistrée par la division</w:t>
      </w:r>
      <w:r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103761" w:rsidRPr="00103761">
        <w:rPr>
          <w:rFonts w:ascii="Times New Roman" w:hAnsi="Times New Roman"/>
          <w:spacing w:val="0"/>
          <w:sz w:val="22"/>
          <w:szCs w:val="22"/>
          <w:lang w:eastAsia="fr-FR"/>
        </w:rPr>
        <w:t>des</w:t>
      </w:r>
      <w:r w:rsidR="00103761" w:rsidRPr="0010376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0376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03761">
        <w:rPr>
          <w:rFonts w:asciiTheme="majorBidi" w:hAnsiTheme="majorBidi" w:cstheme="majorBidi"/>
          <w:color w:val="000000" w:themeColor="text1"/>
          <w:sz w:val="22"/>
          <w:szCs w:val="22"/>
        </w:rPr>
        <w:t>Transports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103761">
        <w:rPr>
          <w:rFonts w:asciiTheme="majorBidi" w:hAnsiTheme="majorBidi" w:cstheme="majorBidi"/>
          <w:color w:val="000000" w:themeColor="text1"/>
          <w:sz w:val="22"/>
          <w:szCs w:val="22"/>
        </w:rPr>
        <w:t>3,5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A l’opposé, la division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0376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Restaurants et hôtels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(-</w:t>
      </w:r>
      <w:r w:rsidR="00103761">
        <w:rPr>
          <w:rFonts w:asciiTheme="majorBidi" w:hAnsiTheme="majorBidi" w:cstheme="majorBidi"/>
          <w:color w:val="000000" w:themeColor="text1"/>
          <w:sz w:val="22"/>
          <w:szCs w:val="22"/>
        </w:rPr>
        <w:t>0,7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%).</w:t>
      </w:r>
    </w:p>
    <w:p w:rsidR="00556E1D" w:rsidRDefault="00556E1D" w:rsidP="00556E1D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556E1D" w:rsidRDefault="00556E1D" w:rsidP="00AC7FA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En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termes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de variation mensuelle,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onze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 ont connu des niveaux d’inflation inféri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eurs à la moyenne nationale (0,7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%) dont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deux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sont négatifs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 xml:space="preserve">à savoir ceux d’El </w:t>
      </w:r>
      <w:proofErr w:type="spellStart"/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 xml:space="preserve"> (-1,1%) et de Marrakech (-0,1%)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. Toutefois, l’inflation s’est montrée relativement élevée dans sept villes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 xml:space="preserve">y compris celle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de </w:t>
      </w:r>
      <w:proofErr w:type="spellStart"/>
      <w:r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(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1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1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%).</w:t>
      </w:r>
    </w:p>
    <w:p w:rsidR="00AC7FAA" w:rsidRPr="007511E1" w:rsidRDefault="00AC7FAA" w:rsidP="00AC7FA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A noter que c’est la ville de Settat qui a enregistré le niveau d’inflation le plus élevé du mois de septembre 2021 avec 1,5%.</w:t>
      </w:r>
    </w:p>
    <w:p w:rsidR="001B0687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287AF0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103761" w:rsidRDefault="00103761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C72244" w:rsidRPr="00C72244" w:rsidTr="00C72244">
        <w:trPr>
          <w:trHeight w:val="51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Août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C72244" w:rsidRPr="00C72244" w:rsidTr="00C72244">
        <w:trPr>
          <w:trHeight w:val="525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102,4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98,1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-1,5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103,1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99,0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101,7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2,7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-1,3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104,6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102,2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3,5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98,7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103,5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104,4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104,3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C72244" w:rsidRPr="00C72244" w:rsidTr="00C72244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104,5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</w:tr>
    </w:tbl>
    <w:p w:rsidR="00BC22DB" w:rsidRPr="00307D13" w:rsidRDefault="00BC22DB" w:rsidP="00BC22DB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</w:t>
      </w:r>
      <w:r w:rsidR="00D73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59"/>
        <w:gridCol w:w="1341"/>
        <w:gridCol w:w="1127"/>
        <w:gridCol w:w="911"/>
        <w:gridCol w:w="1127"/>
        <w:gridCol w:w="920"/>
        <w:gridCol w:w="902"/>
      </w:tblGrid>
      <w:tr w:rsidR="00C72244" w:rsidRPr="00C72244" w:rsidTr="00C72244">
        <w:trPr>
          <w:trHeight w:val="510"/>
          <w:tblHeader/>
        </w:trPr>
        <w:tc>
          <w:tcPr>
            <w:tcW w:w="18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AOUT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C72244" w:rsidRPr="00C72244" w:rsidTr="00C72244">
        <w:trPr>
          <w:trHeight w:val="540"/>
          <w:tblHeader/>
        </w:trPr>
        <w:tc>
          <w:tcPr>
            <w:tcW w:w="18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72244" w:rsidRPr="00C72244" w:rsidRDefault="00C72244" w:rsidP="00C722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C72244" w:rsidRPr="00C72244" w:rsidTr="00C72244">
        <w:trPr>
          <w:trHeight w:val="51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-1,5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-1,6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108,9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10,0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95,5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6,0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3,1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2,5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18,9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155,5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109,3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-29,7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82,2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84,7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3,0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-16,7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101,6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</w:tr>
      <w:tr w:rsidR="00C72244" w:rsidRPr="00C72244" w:rsidTr="00C72244">
        <w:trPr>
          <w:trHeight w:val="54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84,7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83,5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83,7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</w:tr>
      <w:tr w:rsidR="00C72244" w:rsidRPr="00C72244" w:rsidTr="00C72244">
        <w:trPr>
          <w:trHeight w:val="40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99,4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-0,8</w:t>
            </w:r>
          </w:p>
        </w:tc>
      </w:tr>
      <w:tr w:rsidR="00C72244" w:rsidRPr="00C72244" w:rsidTr="00C72244">
        <w:trPr>
          <w:trHeight w:val="40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</w:tr>
      <w:tr w:rsidR="00C72244" w:rsidRPr="00C72244" w:rsidTr="00C72244">
        <w:trPr>
          <w:trHeight w:val="51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96,8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-2,6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122,2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123,6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</w:tr>
      <w:tr w:rsidR="00C72244" w:rsidRPr="00C72244" w:rsidTr="00C72244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123,6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C72244" w:rsidRPr="00C72244" w:rsidTr="00C72244">
        <w:trPr>
          <w:trHeight w:val="54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C72244" w:rsidRPr="00C72244" w:rsidTr="00C72244">
        <w:trPr>
          <w:trHeight w:val="553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72244" w:rsidRPr="00C72244" w:rsidRDefault="00C72244" w:rsidP="00C7224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722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</w:tbl>
    <w:p w:rsidR="00D2208B" w:rsidRPr="00307D13" w:rsidRDefault="00307D13" w:rsidP="00FE3C0D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F6" w:rsidRDefault="004E7EF6">
      <w:r>
        <w:separator/>
      </w:r>
    </w:p>
    <w:p w:rsidR="004E7EF6" w:rsidRDefault="004E7EF6"/>
  </w:endnote>
  <w:endnote w:type="continuationSeparator" w:id="0">
    <w:p w:rsidR="004E7EF6" w:rsidRDefault="004E7EF6">
      <w:r>
        <w:continuationSeparator/>
      </w:r>
    </w:p>
    <w:p w:rsidR="004E7EF6" w:rsidRDefault="004E7EF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4E425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F6" w:rsidRDefault="004E7EF6">
      <w:r>
        <w:separator/>
      </w:r>
    </w:p>
    <w:p w:rsidR="004E7EF6" w:rsidRDefault="004E7EF6"/>
  </w:footnote>
  <w:footnote w:type="continuationSeparator" w:id="0">
    <w:p w:rsidR="004E7EF6" w:rsidRDefault="004E7EF6">
      <w:r>
        <w:continuationSeparator/>
      </w:r>
    </w:p>
    <w:p w:rsidR="004E7EF6" w:rsidRDefault="004E7E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C8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761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A19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3D0"/>
    <w:rsid w:val="001547B5"/>
    <w:rsid w:val="00154853"/>
    <w:rsid w:val="00155403"/>
    <w:rsid w:val="0015557D"/>
    <w:rsid w:val="00156935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238"/>
    <w:rsid w:val="001715A1"/>
    <w:rsid w:val="001716D4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C6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15F7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0687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A55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B01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18C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D7D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B23"/>
    <w:rsid w:val="00284C3C"/>
    <w:rsid w:val="002863A5"/>
    <w:rsid w:val="002867E9"/>
    <w:rsid w:val="002868E3"/>
    <w:rsid w:val="0028730B"/>
    <w:rsid w:val="00287947"/>
    <w:rsid w:val="00287AF0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589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1833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0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0815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583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47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16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23F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57E93"/>
    <w:rsid w:val="0046025C"/>
    <w:rsid w:val="0046051F"/>
    <w:rsid w:val="004615B8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14D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3F87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25F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E7EF6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3CCD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6E1D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C69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6D9B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5CC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61B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315"/>
    <w:rsid w:val="006A5AA0"/>
    <w:rsid w:val="006A5FF9"/>
    <w:rsid w:val="006A63BE"/>
    <w:rsid w:val="006A67C0"/>
    <w:rsid w:val="006A6B0F"/>
    <w:rsid w:val="006A6C3B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369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94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2B6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9B4"/>
    <w:rsid w:val="007D7AD9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A6C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713"/>
    <w:rsid w:val="00820822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22D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0F88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7A9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18A8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1AC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5995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713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581"/>
    <w:rsid w:val="00A938BD"/>
    <w:rsid w:val="00A93A17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1A23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C7FAA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5E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AF8"/>
    <w:rsid w:val="00BC0C43"/>
    <w:rsid w:val="00BC126D"/>
    <w:rsid w:val="00BC1F0A"/>
    <w:rsid w:val="00BC2247"/>
    <w:rsid w:val="00BC22DB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47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755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39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6F0F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0A9"/>
    <w:rsid w:val="00C71A83"/>
    <w:rsid w:val="00C72244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140B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5518"/>
    <w:rsid w:val="00D46478"/>
    <w:rsid w:val="00D46807"/>
    <w:rsid w:val="00D47035"/>
    <w:rsid w:val="00D475D7"/>
    <w:rsid w:val="00D479F7"/>
    <w:rsid w:val="00D47A1C"/>
    <w:rsid w:val="00D47E4A"/>
    <w:rsid w:val="00D47E65"/>
    <w:rsid w:val="00D47FF7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355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2E0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87654"/>
    <w:rsid w:val="00D90B5A"/>
    <w:rsid w:val="00D913F8"/>
    <w:rsid w:val="00D9255E"/>
    <w:rsid w:val="00D92DA6"/>
    <w:rsid w:val="00D953FB"/>
    <w:rsid w:val="00D95553"/>
    <w:rsid w:val="00D959EE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0A63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524B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03A0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AFC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0F7D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37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5E8A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2754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C0D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6C1C49-3C2D-455E-8DDC-AE6BCBC7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2021-11-01T11:13:00Z</dcterms:created>
  <dcterms:modified xsi:type="dcterms:W3CDTF">2021-11-01T11:13:00Z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