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C40755" w:rsidP="00176DC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Aoû</w:t>
            </w:r>
            <w:r w:rsidR="00176DC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t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A93A17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="00A93A17">
        <w:rPr>
          <w:sz w:val="22"/>
          <w:szCs w:val="22"/>
          <w:lang w:eastAsia="fr-FR"/>
        </w:rPr>
        <w:t xml:space="preserve"> articles représentés par</w:t>
      </w:r>
      <w:r w:rsidRPr="000A5E6E">
        <w:rPr>
          <w:sz w:val="22"/>
          <w:szCs w:val="22"/>
          <w:lang w:eastAsia="fr-FR"/>
        </w:rPr>
        <w:t xml:space="preserve">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 w:rsidR="00A93A17"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 w:rsidR="00A93A17"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 w:rsidR="00A93A17"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A93A17">
        <w:rPr>
          <w:sz w:val="22"/>
          <w:szCs w:val="22"/>
          <w:lang w:eastAsia="fr-FR"/>
        </w:rPr>
        <w:t>.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</w:t>
      </w:r>
      <w:r w:rsidR="00A93A17">
        <w:rPr>
          <w:sz w:val="22"/>
          <w:szCs w:val="22"/>
          <w:lang w:eastAsia="fr-FR"/>
        </w:rPr>
        <w:t xml:space="preserve"> </w:t>
      </w:r>
      <w:r w:rsidR="002A5226" w:rsidRPr="000A5E6E">
        <w:rPr>
          <w:sz w:val="22"/>
          <w:szCs w:val="22"/>
          <w:lang w:eastAsia="fr-FR"/>
        </w:rPr>
        <w:t xml:space="preserve">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87AF0" w:rsidRPr="001B0687" w:rsidRDefault="00287AF0" w:rsidP="00287AF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L’Indice des Prix à la Consommation du mois d’août 2021 de la ville de Kenitra a régressé de 0,7% par rapport au mois de juillet </w:t>
      </w:r>
      <w:r w:rsidR="00F85E8A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la même année 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contre une stagnation pour l’indice national.</w:t>
      </w:r>
    </w:p>
    <w:p w:rsidR="00287AF0" w:rsidRPr="001B0687" w:rsidRDefault="00287AF0" w:rsidP="0060761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variation est l’effet combiné de la baisse des prix des produits alimentaires de </w:t>
      </w:r>
      <w:r w:rsidR="0060761B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2%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</w:t>
      </w:r>
      <w:r w:rsidR="0060761B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hausse de 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ceux  non alimentaires de 0,3%.</w:t>
      </w:r>
    </w:p>
    <w:p w:rsidR="00287AF0" w:rsidRPr="001B0687" w:rsidRDefault="00287AF0" w:rsidP="00D4551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Au cours du mois d</w:t>
      </w:r>
      <w:r w:rsidR="00F85E8A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’août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2021, les hausses de prix relatives aux produits alimentaires, ont touché, en premier lieu, </w:t>
      </w:r>
      <w:r w:rsidR="00F85E8A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85E8A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Huiles et graisses" avec 2,8%,</w:t>
      </w:r>
      <w:r w:rsidR="00C710A9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</w:t>
      </w:r>
      <w:r w:rsidR="00F85E8A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E0A63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Pain et céréales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E0A63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0,7%</w:t>
      </w:r>
      <w:r w:rsidR="00533CCD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C710A9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33CCD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33CCD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</w:t>
      </w:r>
      <w:r w:rsidR="00820713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156935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A l’opposé, les</w:t>
      </w:r>
      <w:r w:rsidR="00D45518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baisses de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prix </w:t>
      </w:r>
      <w:r w:rsidR="00D45518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étaient plus importantes</w:t>
      </w:r>
      <w:r w:rsidR="00C710A9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que les hausses</w:t>
      </w:r>
      <w:r w:rsidR="00D45518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, à savoir (-17%) pour l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es "Légumes"</w:t>
      </w:r>
      <w:r w:rsidR="00D45518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(-5%) pour les "Poissons et fruits de mer" 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et</w:t>
      </w:r>
      <w:r w:rsidR="00D45518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(-0,6%) pour les Viandes.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Quant aux autres classes des produits alimentaires, elles ont connu une stagnation de leurs indices.</w:t>
      </w:r>
    </w:p>
    <w:p w:rsidR="00287AF0" w:rsidRPr="001B0687" w:rsidRDefault="00287AF0" w:rsidP="00EF0F7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Concernant les prod</w:t>
      </w:r>
      <w:r w:rsidR="003B3747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uits non alimentaires, seule la division des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"Transports"</w:t>
      </w:r>
      <w:r w:rsidR="003B3747" w:rsidRPr="001B068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enregistré une hausse de 1,4%</w:t>
      </w:r>
      <w:r w:rsidRPr="001B068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287AF0" w:rsidRDefault="00287AF0" w:rsidP="00287AF0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87AF0" w:rsidRDefault="00287AF0" w:rsidP="0048214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termes de variation annuelle, l’IPC de la ville de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r w:rsidR="0048214D">
        <w:rPr>
          <w:rFonts w:asciiTheme="majorBidi" w:hAnsiTheme="majorBidi" w:cstheme="majorBidi"/>
          <w:color w:val="000000" w:themeColor="text1"/>
          <w:sz w:val="24"/>
          <w:szCs w:val="24"/>
        </w:rPr>
        <w:t>diminu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é de </w:t>
      </w:r>
      <w:r w:rsidR="0048214D">
        <w:rPr>
          <w:rFonts w:asciiTheme="majorBidi" w:hAnsiTheme="majorBidi" w:cstheme="majorBidi"/>
          <w:color w:val="000000" w:themeColor="text1"/>
          <w:sz w:val="24"/>
          <w:szCs w:val="24"/>
        </w:rPr>
        <w:t>0,3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contre </w:t>
      </w:r>
      <w:r w:rsidR="0048214D">
        <w:rPr>
          <w:rFonts w:asciiTheme="majorBidi" w:hAnsiTheme="majorBidi" w:cstheme="majorBidi"/>
          <w:color w:val="000000" w:themeColor="text1"/>
          <w:sz w:val="24"/>
          <w:szCs w:val="24"/>
        </w:rPr>
        <w:t>une hausse de 0,8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pour la moyenne nationale. Ceci, résulte de la </w:t>
      </w:r>
      <w:r w:rsidR="0048214D">
        <w:rPr>
          <w:rFonts w:asciiTheme="majorBidi" w:hAnsiTheme="majorBidi" w:cstheme="majorBidi"/>
          <w:color w:val="000000" w:themeColor="text1"/>
          <w:sz w:val="24"/>
          <w:szCs w:val="24"/>
        </w:rPr>
        <w:t>bai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sse des prix, aussi bien des produits alimentaires </w:t>
      </w:r>
      <w:r w:rsidR="0048214D">
        <w:rPr>
          <w:rFonts w:asciiTheme="majorBidi" w:hAnsiTheme="majorBidi" w:cstheme="majorBidi"/>
          <w:color w:val="000000" w:themeColor="text1"/>
          <w:sz w:val="24"/>
          <w:szCs w:val="24"/>
        </w:rPr>
        <w:t>de 2,7% et de la hausse de ceux des produits non alimentaires de 1,4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%. </w:t>
      </w:r>
    </w:p>
    <w:p w:rsidR="0048214D" w:rsidRDefault="0048214D" w:rsidP="00287AF0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Au niveau des classes des produits alimentaires, les diminutions de prix les plus significatives ont été enregistrées par les "Fruits" avec (-28,2%) et les "Légumes" avec  (-15,2%). En contrepartie, les "Huiles et graisses" et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les "Viandes", ont marqué les hausses de prix les plus importantes avec, respectivement, 14,4% et 6,9%.</w:t>
      </w:r>
    </w:p>
    <w:p w:rsidR="00287AF0" w:rsidRDefault="00287AF0" w:rsidP="001B068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 produits non alimentaires, la hausse de prix la plus élevée a été constatée au sein de  la division</w:t>
      </w:r>
      <w:r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1B0687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1B0687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(-</w:t>
      </w:r>
      <w:r w:rsidR="001B0687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,9%).</w:t>
      </w:r>
    </w:p>
    <w:p w:rsidR="00287AF0" w:rsidRDefault="00287AF0" w:rsidP="00287AF0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D18A8" w:rsidRDefault="00287AF0" w:rsidP="008D18A8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Au terme du mois d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’août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2021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 w:rsidR="008D18A8">
        <w:rPr>
          <w:rFonts w:ascii="Times New Roman" w:hAnsi="Times New Roman"/>
          <w:spacing w:val="0"/>
          <w:sz w:val="22"/>
          <w:szCs w:val="22"/>
          <w:lang w:eastAsia="fr-FR"/>
        </w:rPr>
        <w:t>huit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</w:t>
      </w:r>
      <w:r w:rsidR="008D18A8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>ont connu une inflation négative par rapport au mois précédent.</w:t>
      </w:r>
      <w:r w:rsidR="008D18A8">
        <w:rPr>
          <w:rFonts w:ascii="Times New Roman" w:hAnsi="Times New Roman"/>
          <w:spacing w:val="0"/>
          <w:sz w:val="22"/>
          <w:szCs w:val="22"/>
          <w:lang w:eastAsia="fr-FR"/>
        </w:rPr>
        <w:t xml:space="preserve"> Il s’agit de </w:t>
      </w:r>
      <w:proofErr w:type="spellStart"/>
      <w:r w:rsidR="008D18A8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8D18A8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(-0,7%), Rabat et Settat avec  (-0,4%), Fès et Safi avec (-0,2%) et Casablanca, Oujda et Béni Mellal avec (-0,1%).</w:t>
      </w:r>
    </w:p>
    <w:p w:rsidR="001B0687" w:rsidRDefault="008D18A8" w:rsidP="003A058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Le reste des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a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 vu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se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s indices généraux varier positivement, avec à leur tête </w:t>
      </w:r>
      <w:r w:rsidR="003A0583">
        <w:rPr>
          <w:rFonts w:ascii="Times New Roman" w:hAnsi="Times New Roman"/>
          <w:spacing w:val="0"/>
          <w:sz w:val="22"/>
          <w:szCs w:val="22"/>
          <w:lang w:eastAsia="fr-FR"/>
        </w:rPr>
        <w:t>la ville d’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 xml:space="preserve">Agadir </w:t>
      </w:r>
      <w:r w:rsidR="003A0583">
        <w:rPr>
          <w:rFonts w:ascii="Times New Roman" w:hAnsi="Times New Roman"/>
          <w:spacing w:val="0"/>
          <w:sz w:val="22"/>
          <w:szCs w:val="22"/>
          <w:lang w:eastAsia="fr-FR"/>
        </w:rPr>
        <w:t xml:space="preserve">qui a enregistré </w:t>
      </w:r>
      <w:r w:rsidR="001B0687">
        <w:rPr>
          <w:rFonts w:ascii="Times New Roman" w:hAnsi="Times New Roman"/>
          <w:spacing w:val="0"/>
          <w:sz w:val="22"/>
          <w:szCs w:val="22"/>
          <w:lang w:eastAsia="fr-FR"/>
        </w:rPr>
        <w:t>une inflation de 1%.</w:t>
      </w:r>
    </w:p>
    <w:p w:rsidR="001B0687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87AF0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Pr="007511E1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C52B13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D732E0" w:rsidRPr="00D732E0" w:rsidTr="00D732E0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Août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Août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D732E0" w:rsidRPr="00D732E0" w:rsidTr="00D732E0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-2,9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99,0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-2,0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-2,7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104,6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6,5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-0,9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102,9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104,4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auto" w:fill="E36C0A" w:themeFill="accent6" w:themeFillShade="B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102,4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D732E0" w:rsidRPr="00D732E0" w:rsidTr="00D732E0">
        <w:trPr>
          <w:trHeight w:val="499"/>
        </w:trPr>
        <w:tc>
          <w:tcPr>
            <w:tcW w:w="2278" w:type="pct"/>
            <w:shd w:val="clear" w:color="auto" w:fill="E36C0A" w:themeFill="accent6" w:themeFillShade="BF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</w:t>
      </w:r>
      <w:r w:rsidR="00D73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2"/>
        <w:gridCol w:w="1641"/>
        <w:gridCol w:w="847"/>
        <w:gridCol w:w="996"/>
        <w:gridCol w:w="847"/>
        <w:gridCol w:w="1007"/>
        <w:gridCol w:w="907"/>
      </w:tblGrid>
      <w:tr w:rsidR="00D732E0" w:rsidRPr="00D732E0" w:rsidTr="00D732E0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AOUT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D732E0" w:rsidRPr="00D732E0" w:rsidTr="00D732E0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732E0" w:rsidRPr="00D732E0" w:rsidRDefault="00D732E0" w:rsidP="00D732E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D732E0" w:rsidRPr="00D732E0" w:rsidTr="00D732E0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-2,9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-2,9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93,7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6,9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-5,0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3,1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14,4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144,0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-28,2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82,2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-17,0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-15,2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D732E0" w:rsidRPr="00D732E0" w:rsidTr="00D732E0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85,0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82,3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83,5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-1,8</w:t>
            </w:r>
          </w:p>
        </w:tc>
      </w:tr>
      <w:tr w:rsidR="00D732E0" w:rsidRPr="00D732E0" w:rsidTr="00D732E0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-1,3</w:t>
            </w:r>
          </w:p>
        </w:tc>
      </w:tr>
      <w:tr w:rsidR="00D732E0" w:rsidRPr="00D732E0" w:rsidTr="00D732E0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D732E0" w:rsidRPr="00D732E0" w:rsidTr="00D732E0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-2,8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D732E0" w:rsidRPr="00D732E0" w:rsidTr="00D732E0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732E0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D732E0" w:rsidRPr="00D732E0" w:rsidTr="00D732E0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-2,7</w:t>
            </w:r>
          </w:p>
        </w:tc>
      </w:tr>
      <w:tr w:rsidR="00D732E0" w:rsidRPr="00D732E0" w:rsidTr="00D732E0">
        <w:trPr>
          <w:trHeight w:val="506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D732E0" w:rsidRPr="00D732E0" w:rsidRDefault="00D732E0" w:rsidP="00D732E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732E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</w:tbl>
    <w:p w:rsidR="00D2208B" w:rsidRPr="00307D13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69" w:rsidRDefault="006C5369">
      <w:r>
        <w:separator/>
      </w:r>
    </w:p>
    <w:p w:rsidR="006C5369" w:rsidRDefault="006C5369"/>
  </w:endnote>
  <w:endnote w:type="continuationSeparator" w:id="0">
    <w:p w:rsidR="006C5369" w:rsidRDefault="006C5369">
      <w:r>
        <w:continuationSeparator/>
      </w:r>
    </w:p>
    <w:p w:rsidR="006C5369" w:rsidRDefault="006C53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615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69" w:rsidRDefault="006C5369">
      <w:r>
        <w:separator/>
      </w:r>
    </w:p>
    <w:p w:rsidR="006C5369" w:rsidRDefault="006C5369"/>
  </w:footnote>
  <w:footnote w:type="continuationSeparator" w:id="0">
    <w:p w:rsidR="006C5369" w:rsidRDefault="006C5369">
      <w:r>
        <w:continuationSeparator/>
      </w:r>
    </w:p>
    <w:p w:rsidR="006C5369" w:rsidRDefault="006C53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6935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0687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87AF0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0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583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47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5B8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14D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3CCD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61B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369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713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18A8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A17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755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0A9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140B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5518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2E0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0A63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03A0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0F7D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5E8A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0E3B68-82E9-4577-92F0-03ACDB66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2021-10-11T11:33:00Z</dcterms:created>
  <dcterms:modified xsi:type="dcterms:W3CDTF">2021-10-11T11:46:00Z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