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E93AFC" w:rsidP="00E1713B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Juin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5752AF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C54F7" w:rsidRDefault="00366084" w:rsidP="00FA275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L’Indice des Prix à la Consommation du mois de </w:t>
      </w:r>
      <w:r w:rsidR="00FA2754">
        <w:rPr>
          <w:rFonts w:asciiTheme="majorBidi" w:hAnsiTheme="majorBidi" w:cstheme="majorBidi"/>
          <w:color w:val="000000" w:themeColor="text1"/>
          <w:sz w:val="22"/>
          <w:szCs w:val="22"/>
        </w:rPr>
        <w:t>Ju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FA27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>2021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E27518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FA2754">
        <w:rPr>
          <w:rFonts w:asciiTheme="majorBidi" w:hAnsiTheme="majorBidi" w:cstheme="majorBidi"/>
          <w:color w:val="000000" w:themeColor="text1"/>
          <w:sz w:val="22"/>
          <w:szCs w:val="22"/>
        </w:rPr>
        <w:t>atteint le niveau 102,5, marquant ainsi une baisse de 0,5% par rapport</w:t>
      </w:r>
      <w:r w:rsidR="00C443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 mois précédent, contre également une baisse de 0,7% pour l’indice national.</w:t>
      </w:r>
    </w:p>
    <w:p w:rsidR="002B4717" w:rsidRDefault="00C44392" w:rsidP="009E599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Le résultat de c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ette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est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dû à la stagnation de l’indice </w:t>
      </w:r>
      <w:r w:rsidR="009E59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des produits alimentaires</w:t>
      </w:r>
      <w:r w:rsidR="00B2004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9E5995">
        <w:rPr>
          <w:rFonts w:asciiTheme="majorBidi" w:hAnsiTheme="majorBidi" w:cstheme="majorBidi"/>
          <w:color w:val="000000" w:themeColor="text1"/>
          <w:sz w:val="22"/>
          <w:szCs w:val="22"/>
        </w:rPr>
        <w:t>à la baisse de celui des produits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20045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non alimentaires</w:t>
      </w:r>
      <w:r w:rsidR="00B2004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01EFE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9E5995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DE7CCE" w:rsidRDefault="009E5995" w:rsidP="00D8765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Il est à souligner que mis à part les "Pain et céréales", 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"Viande" et les "Huiles et graisses" 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dont les indices ont connu des variations positives de 0,2%, 1% et 2,2% respectivement, et les "Boissons alcoolisées et Tabac" dont l’indice a stagné, le reste des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classes des produits alimentaires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a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enregistré des variations négatives dont les plus importantes sont celles des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1171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avec 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(-8,4%), les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1171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avec 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(-4,9%), les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171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(-3,7%) et les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171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</w:t>
      </w:r>
      <w:r w:rsidR="00E2524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(-3,3%)</w:t>
      </w:r>
      <w:r w:rsidR="00A66721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101EFE" w:rsidRPr="004C54F7" w:rsidRDefault="00A66721" w:rsidP="00D8765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Concernant les produits non alimentaires, seules les divisions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"Articles d’habillement et chaussures",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Logement, eau, gaz, électricité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autres combustibles" et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"Transports"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ont connu des augmentati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 de prix respectives de 0,1%, 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>0,2%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0,8% 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>contre une seule baisse de 0,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DE7CCE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104A5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</w:t>
      </w:r>
      <w:r w:rsidR="00D87654">
        <w:rPr>
          <w:rFonts w:asciiTheme="majorBidi" w:hAnsiTheme="majorBidi" w:cstheme="majorBidi"/>
          <w:color w:val="000000" w:themeColor="text1"/>
          <w:sz w:val="22"/>
          <w:szCs w:val="22"/>
        </w:rPr>
        <w:t>a "Santé".</w:t>
      </w:r>
    </w:p>
    <w:p w:rsidR="004C54F7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</w:t>
      </w:r>
      <w:r w:rsidR="005752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Default="00301833" w:rsidP="0084722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L’IPC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proofErr w:type="spellStart"/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>Kénitra</w:t>
      </w:r>
      <w:proofErr w:type="spellEnd"/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r w:rsidR="00BF1FF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augmenté 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D876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1,5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%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une hausse pareille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 </w:t>
      </w:r>
      <w:r w:rsidR="0088736E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84722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entre Juin 2021 et son analogue en 2020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résulte de la 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>hausse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aussi bien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alimentaires 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>que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respectivement 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4722D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3659C">
        <w:rPr>
          <w:rFonts w:asciiTheme="majorBidi" w:hAnsiTheme="majorBidi" w:cstheme="majorBidi"/>
          <w:color w:val="000000" w:themeColor="text1"/>
          <w:sz w:val="24"/>
          <w:szCs w:val="24"/>
        </w:rPr>
        <w:t>% et de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4722D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4722D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3512D" w:rsidRDefault="0084722D" w:rsidP="0084722D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Au cours de cette période</w:t>
      </w:r>
      <w:r w:rsidR="0063512D">
        <w:rPr>
          <w:rFonts w:ascii="Times New Roman" w:hAnsi="Times New Roman"/>
          <w:spacing w:val="0"/>
          <w:sz w:val="22"/>
          <w:szCs w:val="22"/>
          <w:lang w:eastAsia="fr-FR"/>
        </w:rPr>
        <w:t xml:space="preserve">,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la classe des produits alimentaire qui a connu la hausse la plus importante</w:t>
      </w:r>
      <w:r w:rsidR="00A11713">
        <w:rPr>
          <w:rFonts w:ascii="Times New Roman" w:hAnsi="Times New Roman"/>
          <w:spacing w:val="0"/>
          <w:sz w:val="22"/>
          <w:szCs w:val="22"/>
          <w:lang w:eastAsia="fr-FR"/>
        </w:rPr>
        <w:t xml:space="preserve"> est celle des "Huiles et Graisses" avec 9,7%. En contrepartie, les Légumes ont noté la baisse la plus grande avec          (-4,6%).</w:t>
      </w:r>
    </w:p>
    <w:p w:rsidR="00A708BE" w:rsidRDefault="006B5535" w:rsidP="00A1171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ce qui concerne les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produits non alimentaires, la hausse de prix la plus élevée a été </w:t>
      </w:r>
      <w:r w:rsidR="0068320D">
        <w:rPr>
          <w:rFonts w:ascii="Times New Roman" w:hAnsi="Times New Roman"/>
          <w:spacing w:val="0"/>
          <w:sz w:val="22"/>
          <w:szCs w:val="22"/>
          <w:lang w:eastAsia="fr-FR"/>
        </w:rPr>
        <w:t xml:space="preserve">constatée au sein de 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la division</w:t>
      </w:r>
      <w:r w:rsidR="00A708BE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Transport</w:t>
      </w:r>
      <w:r w:rsidR="0033020C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A11713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963F3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la division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-1,9%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8736E" w:rsidRDefault="00A5010F" w:rsidP="007D79B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Au terme du mois de </w:t>
      </w:r>
      <w:r w:rsidR="007D79B4">
        <w:rPr>
          <w:rFonts w:ascii="Times New Roman" w:hAnsi="Times New Roman"/>
          <w:spacing w:val="0"/>
          <w:sz w:val="22"/>
          <w:szCs w:val="22"/>
          <w:lang w:eastAsia="fr-FR"/>
        </w:rPr>
        <w:t>Juin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2021, </w:t>
      </w:r>
      <w:r w:rsidR="007D79B4">
        <w:rPr>
          <w:rFonts w:ascii="Times New Roman" w:hAnsi="Times New Roman"/>
          <w:spacing w:val="0"/>
          <w:sz w:val="22"/>
          <w:szCs w:val="22"/>
          <w:lang w:eastAsia="fr-FR"/>
        </w:rPr>
        <w:t>l’indice national des prix à la consommation a atteint le niveau 103,4, enregistrant ainsi une inflation négative de (-0,7%) par rapport au mois précédent.</w:t>
      </w:r>
    </w:p>
    <w:p w:rsidR="00A5010F" w:rsidRDefault="007D79B4" w:rsidP="00A1171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Il y a lieu de signal</w:t>
      </w:r>
      <w:r w:rsidR="00A5010F">
        <w:rPr>
          <w:rFonts w:ascii="Times New Roman" w:hAnsi="Times New Roman"/>
          <w:spacing w:val="0"/>
          <w:sz w:val="22"/>
          <w:szCs w:val="22"/>
          <w:lang w:eastAsia="fr-FR"/>
        </w:rPr>
        <w:t xml:space="preserve">er que </w:t>
      </w:r>
      <w:r w:rsidR="00284B23">
        <w:rPr>
          <w:rFonts w:ascii="Times New Roman" w:hAnsi="Times New Roman"/>
          <w:spacing w:val="0"/>
          <w:sz w:val="22"/>
          <w:szCs w:val="22"/>
          <w:lang w:eastAsia="fr-FR"/>
        </w:rPr>
        <w:t xml:space="preserve">le niveau général des prix a baissé dans toutes les villes faisant </w:t>
      </w:r>
      <w:r w:rsidR="00A11713">
        <w:rPr>
          <w:rFonts w:ascii="Times New Roman" w:hAnsi="Times New Roman"/>
          <w:spacing w:val="0"/>
          <w:sz w:val="22"/>
          <w:szCs w:val="22"/>
          <w:lang w:eastAsia="fr-FR"/>
        </w:rPr>
        <w:t>l’</w:t>
      </w:r>
      <w:r w:rsidR="00284B23">
        <w:rPr>
          <w:rFonts w:ascii="Times New Roman" w:hAnsi="Times New Roman"/>
          <w:spacing w:val="0"/>
          <w:sz w:val="22"/>
          <w:szCs w:val="22"/>
          <w:lang w:eastAsia="fr-FR"/>
        </w:rPr>
        <w:t>objet de l’indice</w:t>
      </w:r>
      <w:r w:rsidR="006A6C3B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284B23">
        <w:rPr>
          <w:rFonts w:ascii="Times New Roman" w:hAnsi="Times New Roman"/>
          <w:spacing w:val="0"/>
          <w:sz w:val="22"/>
          <w:szCs w:val="22"/>
          <w:lang w:eastAsia="fr-FR"/>
        </w:rPr>
        <w:t xml:space="preserve"> entre les mois de mai et juin 2021</w:t>
      </w:r>
      <w:r w:rsidR="006A6C3B">
        <w:rPr>
          <w:rFonts w:ascii="Times New Roman" w:hAnsi="Times New Roman"/>
          <w:spacing w:val="0"/>
          <w:sz w:val="22"/>
          <w:szCs w:val="22"/>
          <w:lang w:eastAsia="fr-FR"/>
        </w:rPr>
        <w:t>. Les variations enregistrées vont de (</w:t>
      </w:r>
      <w:r w:rsidR="00A11713">
        <w:rPr>
          <w:rFonts w:ascii="Times New Roman" w:hAnsi="Times New Roman"/>
          <w:spacing w:val="0"/>
          <w:sz w:val="22"/>
          <w:szCs w:val="22"/>
          <w:lang w:eastAsia="fr-FR"/>
        </w:rPr>
        <w:t>-</w:t>
      </w:r>
      <w:r w:rsidR="006A6C3B">
        <w:rPr>
          <w:rFonts w:ascii="Times New Roman" w:hAnsi="Times New Roman"/>
          <w:spacing w:val="0"/>
          <w:sz w:val="22"/>
          <w:szCs w:val="22"/>
          <w:lang w:eastAsia="fr-FR"/>
        </w:rPr>
        <w:t>2,3%) à El Hoceima, à (-0,3%) à Meknès et Agadir.</w:t>
      </w:r>
    </w:p>
    <w:p w:rsidR="006A6C3B" w:rsidRDefault="006A6C3B" w:rsidP="006A6C3B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Comparée à la moyenne nationale, la baisse de l’indice général de Kenitra est inférieure à celle atteinte par l’indice national</w:t>
      </w:r>
      <w:r w:rsidR="006A5315">
        <w:rPr>
          <w:rFonts w:ascii="Times New Roman" w:hAnsi="Times New Roman"/>
          <w:spacing w:val="0"/>
          <w:sz w:val="22"/>
          <w:szCs w:val="22"/>
          <w:lang w:eastAsia="fr-FR"/>
        </w:rPr>
        <w:t xml:space="preserve"> entre ces deux mois.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B20045" w:rsidRPr="007511E1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C52B13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A11713" w:rsidRPr="00146F72" w:rsidRDefault="00A117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A11713" w:rsidRPr="005F65CC" w:rsidTr="00A11713">
        <w:trPr>
          <w:trHeight w:val="510"/>
        </w:trPr>
        <w:tc>
          <w:tcPr>
            <w:tcW w:w="2279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A11713" w:rsidRPr="005F65CC" w:rsidRDefault="00A11713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A11713" w:rsidRPr="00F11537" w:rsidRDefault="00A11713" w:rsidP="00487C9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A11713" w:rsidRPr="00F11537" w:rsidRDefault="00A11713" w:rsidP="00487C9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A11713" w:rsidRPr="00F11537" w:rsidRDefault="00A11713" w:rsidP="00487C9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A11713" w:rsidRPr="005F65CC" w:rsidRDefault="00A11713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F65CC" w:rsidRPr="005F65CC" w:rsidTr="00A11713">
        <w:trPr>
          <w:trHeight w:val="525"/>
        </w:trPr>
        <w:tc>
          <w:tcPr>
            <w:tcW w:w="2279" w:type="pct"/>
            <w:vMerge/>
            <w:shd w:val="clear" w:color="auto" w:fill="FABF8F" w:themeFill="accent6" w:themeFillTint="99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A11713" w:rsidRDefault="005F65CC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1171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A11713" w:rsidRDefault="005F65CC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1171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A11713" w:rsidRDefault="005F65CC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1171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703944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</w:t>
            </w:r>
            <w:r w:rsidR="005F65CC"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limentaires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101,1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6,1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70394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Indices des Produits </w:t>
            </w:r>
            <w:r w:rsidR="007039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N</w:t>
            </w: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on </w:t>
            </w:r>
            <w:r w:rsidR="007039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A</w:t>
            </w: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limentaires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auto" w:fill="E36C0A" w:themeFill="accent6" w:themeFillShade="B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-0,5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5F65CC" w:rsidRPr="005F65CC" w:rsidTr="00A11713">
        <w:trPr>
          <w:trHeight w:val="499"/>
        </w:trPr>
        <w:tc>
          <w:tcPr>
            <w:tcW w:w="2279" w:type="pct"/>
            <w:shd w:val="clear" w:color="auto" w:fill="E36C0A" w:themeFill="accent6" w:themeFillShade="BF"/>
            <w:vAlign w:val="center"/>
            <w:hideMark/>
          </w:tcPr>
          <w:p w:rsidR="005F65CC" w:rsidRPr="005F65CC" w:rsidRDefault="005F65CC" w:rsidP="005F65CC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5F65CC" w:rsidRPr="005F65CC" w:rsidRDefault="005F65CC" w:rsidP="005F65C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F65C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9"/>
        <w:gridCol w:w="1196"/>
        <w:gridCol w:w="918"/>
        <w:gridCol w:w="919"/>
        <w:gridCol w:w="919"/>
        <w:gridCol w:w="1007"/>
        <w:gridCol w:w="919"/>
      </w:tblGrid>
      <w:tr w:rsidR="00703944" w:rsidRPr="00F11537" w:rsidTr="00703944">
        <w:trPr>
          <w:trHeight w:val="510"/>
          <w:tblHeader/>
        </w:trPr>
        <w:tc>
          <w:tcPr>
            <w:tcW w:w="202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70394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703944" w:rsidRPr="00F11537" w:rsidTr="00703944">
        <w:trPr>
          <w:trHeight w:val="540"/>
          <w:tblHeader/>
        </w:trPr>
        <w:tc>
          <w:tcPr>
            <w:tcW w:w="202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03944" w:rsidRPr="00F11537" w:rsidRDefault="00703944" w:rsidP="00F11537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F11537" w:rsidRPr="00F11537" w:rsidTr="00703944">
        <w:trPr>
          <w:trHeight w:val="51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1,7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98,8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93,7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7,3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108,5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8,4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93,6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9,7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113,0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-3,7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-4,5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97,2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97,5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92,7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-4,9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-4,6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F11537" w:rsidRPr="00F11537" w:rsidTr="00703944">
        <w:trPr>
          <w:trHeight w:val="54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85,1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-3,2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-2,4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</w:tr>
      <w:tr w:rsidR="00F11537" w:rsidRPr="00F11537" w:rsidTr="00703944">
        <w:trPr>
          <w:trHeight w:val="54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-3,3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F11537" w:rsidRPr="00F11537" w:rsidTr="00703944">
        <w:trPr>
          <w:trHeight w:val="51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95,3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4,5</w:t>
            </w:r>
          </w:p>
        </w:tc>
      </w:tr>
      <w:tr w:rsidR="00F11537" w:rsidRPr="00F11537" w:rsidTr="0070394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F11537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</w:tr>
      <w:tr w:rsidR="00F11537" w:rsidRPr="00F11537" w:rsidTr="00703944">
        <w:trPr>
          <w:trHeight w:val="315"/>
        </w:trPr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70394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 xml:space="preserve">Indices des Produits </w:t>
            </w:r>
            <w:r w:rsidR="0070394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A</w:t>
            </w: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limentaires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F11537" w:rsidRPr="00F11537" w:rsidTr="00703944">
        <w:trPr>
          <w:trHeight w:val="315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F11537" w:rsidRPr="00F11537" w:rsidRDefault="00F11537" w:rsidP="00F1153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F11537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3F" w:rsidRDefault="0041723F">
      <w:r>
        <w:separator/>
      </w:r>
    </w:p>
    <w:p w:rsidR="0041723F" w:rsidRDefault="0041723F"/>
  </w:endnote>
  <w:endnote w:type="continuationSeparator" w:id="0">
    <w:p w:rsidR="0041723F" w:rsidRDefault="0041723F">
      <w:r>
        <w:continuationSeparator/>
      </w:r>
    </w:p>
    <w:p w:rsidR="0041723F" w:rsidRDefault="004172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2C558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3F" w:rsidRDefault="0041723F">
      <w:r>
        <w:separator/>
      </w:r>
    </w:p>
    <w:p w:rsidR="0041723F" w:rsidRDefault="0041723F"/>
  </w:footnote>
  <w:footnote w:type="continuationSeparator" w:id="0">
    <w:p w:rsidR="0041723F" w:rsidRDefault="0041723F">
      <w:r>
        <w:continuationSeparator/>
      </w:r>
    </w:p>
    <w:p w:rsidR="0041723F" w:rsidRDefault="004172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840DD4-A749-4956-AC80-103FDFFE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2021-07-27T12:29:00Z</dcterms:created>
  <dcterms:modified xsi:type="dcterms:W3CDTF">2021-07-27T12:29:00Z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