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08" w:rsidRDefault="00A20B08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8319B7" w:rsidRDefault="008319B7" w:rsidP="008319B7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8319B7" w:rsidRDefault="008319B7" w:rsidP="008319B7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A20B08" w:rsidRDefault="00A20B08" w:rsidP="00A20B08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A20B08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5E26CE" w:rsidP="00A67B1F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Déc</w:t>
            </w:r>
            <w:r w:rsidR="00A67B1F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embre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A93A17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="00A93A17">
        <w:rPr>
          <w:sz w:val="22"/>
          <w:szCs w:val="22"/>
          <w:lang w:eastAsia="fr-FR"/>
        </w:rPr>
        <w:t xml:space="preserve"> articles représentés par</w:t>
      </w:r>
      <w:r w:rsidRPr="000A5E6E">
        <w:rPr>
          <w:sz w:val="22"/>
          <w:szCs w:val="22"/>
          <w:lang w:eastAsia="fr-FR"/>
        </w:rPr>
        <w:t xml:space="preserve">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</w:t>
      </w:r>
      <w:r w:rsidR="00A93A17">
        <w:rPr>
          <w:sz w:val="22"/>
          <w:szCs w:val="22"/>
          <w:lang w:eastAsia="fr-FR"/>
        </w:rPr>
        <w:t>,</w:t>
      </w:r>
      <w:r w:rsidRPr="000A5E6E">
        <w:rPr>
          <w:sz w:val="22"/>
          <w:szCs w:val="22"/>
          <w:lang w:eastAsia="fr-FR"/>
        </w:rPr>
        <w:t xml:space="preserve"> </w:t>
      </w:r>
      <w:r w:rsidR="00A93A17">
        <w:rPr>
          <w:sz w:val="22"/>
          <w:szCs w:val="22"/>
          <w:lang w:eastAsia="fr-FR"/>
        </w:rPr>
        <w:t xml:space="preserve"> </w:t>
      </w:r>
      <w:r w:rsidRPr="000A5E6E">
        <w:rPr>
          <w:sz w:val="22"/>
          <w:szCs w:val="22"/>
          <w:lang w:eastAsia="fr-FR"/>
        </w:rPr>
        <w:t>consomm</w:t>
      </w:r>
      <w:r w:rsidR="00A93A17">
        <w:rPr>
          <w:sz w:val="22"/>
          <w:szCs w:val="22"/>
          <w:lang w:eastAsia="fr-FR"/>
        </w:rPr>
        <w:t>ées par  l</w:t>
      </w:r>
      <w:r w:rsidRPr="000A5E6E">
        <w:rPr>
          <w:sz w:val="22"/>
          <w:szCs w:val="22"/>
          <w:lang w:eastAsia="fr-FR"/>
        </w:rPr>
        <w:t xml:space="preserve">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A93A17">
        <w:rPr>
          <w:sz w:val="22"/>
          <w:szCs w:val="22"/>
          <w:lang w:eastAsia="fr-FR"/>
        </w:rPr>
        <w:t>.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</w:t>
      </w:r>
      <w:r w:rsidR="00A93A17">
        <w:rPr>
          <w:sz w:val="22"/>
          <w:szCs w:val="22"/>
          <w:lang w:eastAsia="fr-FR"/>
        </w:rPr>
        <w:t xml:space="preserve"> </w:t>
      </w:r>
      <w:r w:rsidR="002A5226" w:rsidRPr="000A5E6E">
        <w:rPr>
          <w:sz w:val="22"/>
          <w:szCs w:val="22"/>
          <w:lang w:eastAsia="fr-FR"/>
        </w:rPr>
        <w:t xml:space="preserve">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556E1D" w:rsidRPr="004C54F7" w:rsidRDefault="00556E1D" w:rsidP="00556E1D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556E1D" w:rsidRPr="00D063B4" w:rsidRDefault="00556E1D" w:rsidP="00C917C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063B4">
        <w:rPr>
          <w:rFonts w:asciiTheme="majorBidi" w:hAnsiTheme="majorBidi" w:cstheme="majorBidi"/>
          <w:sz w:val="22"/>
          <w:szCs w:val="22"/>
        </w:rPr>
        <w:t xml:space="preserve">Au terme du mois de </w:t>
      </w:r>
      <w:r w:rsidR="00C917CC" w:rsidRPr="00D063B4">
        <w:rPr>
          <w:rFonts w:asciiTheme="majorBidi" w:hAnsiTheme="majorBidi" w:cstheme="majorBidi"/>
          <w:sz w:val="22"/>
          <w:szCs w:val="22"/>
        </w:rPr>
        <w:t>Déc</w:t>
      </w:r>
      <w:r w:rsidRPr="00D063B4">
        <w:rPr>
          <w:rFonts w:asciiTheme="majorBidi" w:hAnsiTheme="majorBidi" w:cstheme="majorBidi"/>
          <w:sz w:val="22"/>
          <w:szCs w:val="22"/>
        </w:rPr>
        <w:t xml:space="preserve">embre 2021, l’IPC de la ville de </w:t>
      </w:r>
      <w:proofErr w:type="spellStart"/>
      <w:r w:rsidRPr="00D063B4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Pr="00D063B4">
        <w:rPr>
          <w:rFonts w:asciiTheme="majorBidi" w:hAnsiTheme="majorBidi" w:cstheme="majorBidi"/>
          <w:sz w:val="22"/>
          <w:szCs w:val="22"/>
        </w:rPr>
        <w:t xml:space="preserve"> a </w:t>
      </w:r>
      <w:r w:rsidR="00C917CC" w:rsidRPr="00D063B4">
        <w:rPr>
          <w:rFonts w:asciiTheme="majorBidi" w:hAnsiTheme="majorBidi" w:cstheme="majorBidi"/>
          <w:sz w:val="22"/>
          <w:szCs w:val="22"/>
        </w:rPr>
        <w:t>marqué une stagnation</w:t>
      </w:r>
      <w:r w:rsidRPr="00D063B4">
        <w:rPr>
          <w:rFonts w:asciiTheme="majorBidi" w:hAnsiTheme="majorBidi" w:cstheme="majorBidi"/>
          <w:sz w:val="22"/>
          <w:szCs w:val="22"/>
        </w:rPr>
        <w:t xml:space="preserve"> par rapport au mois précédent contre 0,</w:t>
      </w:r>
      <w:r w:rsidR="00C917CC" w:rsidRPr="00D063B4">
        <w:rPr>
          <w:rFonts w:asciiTheme="majorBidi" w:hAnsiTheme="majorBidi" w:cstheme="majorBidi"/>
          <w:sz w:val="22"/>
          <w:szCs w:val="22"/>
        </w:rPr>
        <w:t>1</w:t>
      </w:r>
      <w:r w:rsidRPr="00D063B4">
        <w:rPr>
          <w:rFonts w:asciiTheme="majorBidi" w:hAnsiTheme="majorBidi" w:cstheme="majorBidi"/>
          <w:sz w:val="22"/>
          <w:szCs w:val="22"/>
        </w:rPr>
        <w:t>% pour l’ensemble national.</w:t>
      </w:r>
    </w:p>
    <w:p w:rsidR="00556E1D" w:rsidRPr="00D063B4" w:rsidRDefault="00C917CC" w:rsidP="00C917C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063B4">
        <w:rPr>
          <w:rFonts w:asciiTheme="majorBidi" w:hAnsiTheme="majorBidi" w:cstheme="majorBidi"/>
          <w:sz w:val="22"/>
          <w:szCs w:val="22"/>
        </w:rPr>
        <w:t xml:space="preserve">Cette stabilité de </w:t>
      </w:r>
      <w:r w:rsidR="00556E1D" w:rsidRPr="00D063B4">
        <w:rPr>
          <w:rFonts w:asciiTheme="majorBidi" w:hAnsiTheme="majorBidi" w:cstheme="majorBidi"/>
          <w:sz w:val="22"/>
          <w:szCs w:val="22"/>
        </w:rPr>
        <w:t xml:space="preserve"> l’indice de </w:t>
      </w:r>
      <w:r w:rsidRPr="00D063B4">
        <w:rPr>
          <w:rFonts w:asciiTheme="majorBidi" w:hAnsiTheme="majorBidi" w:cstheme="majorBidi"/>
          <w:sz w:val="22"/>
          <w:szCs w:val="22"/>
        </w:rPr>
        <w:t>Kenitra</w:t>
      </w:r>
      <w:r w:rsidR="002F3168" w:rsidRPr="00D063B4">
        <w:rPr>
          <w:rFonts w:asciiTheme="majorBidi" w:hAnsiTheme="majorBidi" w:cstheme="majorBidi"/>
          <w:sz w:val="22"/>
          <w:szCs w:val="22"/>
        </w:rPr>
        <w:t xml:space="preserve">  </w:t>
      </w:r>
      <w:r w:rsidR="00556E1D" w:rsidRPr="00D063B4">
        <w:rPr>
          <w:rFonts w:asciiTheme="majorBidi" w:hAnsiTheme="majorBidi" w:cstheme="majorBidi"/>
          <w:sz w:val="22"/>
          <w:szCs w:val="22"/>
        </w:rPr>
        <w:t xml:space="preserve"> est l’effet combiné de la </w:t>
      </w:r>
      <w:r w:rsidRPr="00D063B4">
        <w:rPr>
          <w:rFonts w:asciiTheme="majorBidi" w:hAnsiTheme="majorBidi" w:cstheme="majorBidi"/>
          <w:sz w:val="22"/>
          <w:szCs w:val="22"/>
        </w:rPr>
        <w:t>baisse</w:t>
      </w:r>
      <w:r w:rsidR="00556E1D" w:rsidRPr="00D063B4">
        <w:rPr>
          <w:rFonts w:asciiTheme="majorBidi" w:hAnsiTheme="majorBidi" w:cstheme="majorBidi"/>
          <w:sz w:val="22"/>
          <w:szCs w:val="22"/>
        </w:rPr>
        <w:t xml:space="preserve"> des prix des produits alimentaires de </w:t>
      </w:r>
      <w:r w:rsidRPr="00D063B4">
        <w:rPr>
          <w:rFonts w:asciiTheme="majorBidi" w:hAnsiTheme="majorBidi" w:cstheme="majorBidi"/>
          <w:sz w:val="22"/>
          <w:szCs w:val="22"/>
        </w:rPr>
        <w:t>0,1</w:t>
      </w:r>
      <w:r w:rsidR="00556E1D" w:rsidRPr="00D063B4">
        <w:rPr>
          <w:rFonts w:asciiTheme="majorBidi" w:hAnsiTheme="majorBidi" w:cstheme="majorBidi"/>
          <w:sz w:val="22"/>
          <w:szCs w:val="22"/>
        </w:rPr>
        <w:t xml:space="preserve">% et </w:t>
      </w:r>
      <w:r w:rsidRPr="00D063B4">
        <w:rPr>
          <w:rFonts w:asciiTheme="majorBidi" w:hAnsiTheme="majorBidi" w:cstheme="majorBidi"/>
          <w:sz w:val="22"/>
          <w:szCs w:val="22"/>
        </w:rPr>
        <w:t xml:space="preserve"> </w:t>
      </w:r>
      <w:r w:rsidR="00556E1D" w:rsidRPr="00D063B4">
        <w:rPr>
          <w:rFonts w:asciiTheme="majorBidi" w:hAnsiTheme="majorBidi" w:cstheme="majorBidi"/>
          <w:sz w:val="22"/>
          <w:szCs w:val="22"/>
        </w:rPr>
        <w:t xml:space="preserve">de la </w:t>
      </w:r>
      <w:r w:rsidRPr="00D063B4">
        <w:rPr>
          <w:rFonts w:asciiTheme="majorBidi" w:hAnsiTheme="majorBidi" w:cstheme="majorBidi"/>
          <w:sz w:val="22"/>
          <w:szCs w:val="22"/>
        </w:rPr>
        <w:t>h</w:t>
      </w:r>
      <w:r w:rsidR="00556E1D" w:rsidRPr="00D063B4">
        <w:rPr>
          <w:rFonts w:asciiTheme="majorBidi" w:hAnsiTheme="majorBidi" w:cstheme="majorBidi"/>
          <w:sz w:val="22"/>
          <w:szCs w:val="22"/>
        </w:rPr>
        <w:t>a</w:t>
      </w:r>
      <w:r w:rsidRPr="00D063B4">
        <w:rPr>
          <w:rFonts w:asciiTheme="majorBidi" w:hAnsiTheme="majorBidi" w:cstheme="majorBidi"/>
          <w:sz w:val="22"/>
          <w:szCs w:val="22"/>
        </w:rPr>
        <w:t>u</w:t>
      </w:r>
      <w:r w:rsidR="00556E1D" w:rsidRPr="00D063B4">
        <w:rPr>
          <w:rFonts w:asciiTheme="majorBidi" w:hAnsiTheme="majorBidi" w:cstheme="majorBidi"/>
          <w:sz w:val="22"/>
          <w:szCs w:val="22"/>
        </w:rPr>
        <w:t>sse de ceux des produits non alimentaires de 0,1%.</w:t>
      </w:r>
    </w:p>
    <w:p w:rsidR="00556E1D" w:rsidRPr="00D063B4" w:rsidRDefault="00556E1D" w:rsidP="00982E9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D063B4">
        <w:rPr>
          <w:rFonts w:asciiTheme="majorBidi" w:hAnsiTheme="majorBidi" w:cstheme="majorBidi"/>
          <w:sz w:val="22"/>
          <w:szCs w:val="22"/>
        </w:rPr>
        <w:t xml:space="preserve">En descendant au niveau des classes des produits alimentaires, on constate </w:t>
      </w:r>
      <w:r w:rsidR="00A93581" w:rsidRPr="00D063B4">
        <w:rPr>
          <w:rFonts w:asciiTheme="majorBidi" w:hAnsiTheme="majorBidi" w:cstheme="majorBidi"/>
          <w:sz w:val="22"/>
          <w:szCs w:val="22"/>
        </w:rPr>
        <w:t>que seule</w:t>
      </w:r>
      <w:r w:rsidR="002F3168" w:rsidRPr="00D063B4">
        <w:rPr>
          <w:rFonts w:asciiTheme="majorBidi" w:hAnsiTheme="majorBidi" w:cstheme="majorBidi"/>
          <w:sz w:val="22"/>
          <w:szCs w:val="22"/>
        </w:rPr>
        <w:t>s trois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 </w:t>
      </w:r>
      <w:r w:rsidR="00982E9D" w:rsidRPr="00D063B4">
        <w:rPr>
          <w:rFonts w:asciiTheme="majorBidi" w:hAnsiTheme="majorBidi" w:cstheme="majorBidi"/>
          <w:sz w:val="22"/>
          <w:szCs w:val="22"/>
        </w:rPr>
        <w:t xml:space="preserve"> d’entre elles étaient concernées par la baisse des prix. Il s’agit des "Poissons et fruits de mer" avec (-5,7%), les "Fruits" avec (-4,7%) et les 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 "Viandes" </w:t>
      </w:r>
      <w:r w:rsidR="00982E9D" w:rsidRPr="00D063B4">
        <w:rPr>
          <w:rFonts w:asciiTheme="majorBidi" w:hAnsiTheme="majorBidi" w:cstheme="majorBidi"/>
          <w:sz w:val="22"/>
          <w:szCs w:val="22"/>
        </w:rPr>
        <w:t xml:space="preserve">avec </w:t>
      </w:r>
      <w:r w:rsidR="00A93581" w:rsidRPr="00D063B4">
        <w:rPr>
          <w:rFonts w:asciiTheme="majorBidi" w:hAnsiTheme="majorBidi" w:cstheme="majorBidi"/>
          <w:sz w:val="22"/>
          <w:szCs w:val="22"/>
        </w:rPr>
        <w:t>(-</w:t>
      </w:r>
      <w:r w:rsidR="00982E9D" w:rsidRPr="00D063B4">
        <w:rPr>
          <w:rFonts w:asciiTheme="majorBidi" w:hAnsiTheme="majorBidi" w:cstheme="majorBidi"/>
          <w:sz w:val="22"/>
          <w:szCs w:val="22"/>
        </w:rPr>
        <w:t>2</w:t>
      </w:r>
      <w:r w:rsidR="00A93581" w:rsidRPr="00D063B4">
        <w:rPr>
          <w:rFonts w:asciiTheme="majorBidi" w:hAnsiTheme="majorBidi" w:cstheme="majorBidi"/>
          <w:sz w:val="22"/>
          <w:szCs w:val="22"/>
        </w:rPr>
        <w:t>,</w:t>
      </w:r>
      <w:r w:rsidR="00982E9D" w:rsidRPr="00D063B4">
        <w:rPr>
          <w:rFonts w:asciiTheme="majorBidi" w:hAnsiTheme="majorBidi" w:cstheme="majorBidi"/>
          <w:sz w:val="22"/>
          <w:szCs w:val="22"/>
        </w:rPr>
        <w:t>3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%). </w:t>
      </w:r>
      <w:r w:rsidR="00982E9D" w:rsidRPr="00D063B4">
        <w:rPr>
          <w:rFonts w:asciiTheme="majorBidi" w:hAnsiTheme="majorBidi" w:cstheme="majorBidi"/>
          <w:sz w:val="22"/>
          <w:szCs w:val="22"/>
        </w:rPr>
        <w:t xml:space="preserve">Quant aux augmentations des prix, elles ont touché de façon importante, les Légumes </w:t>
      </w:r>
      <w:r w:rsidR="00005251" w:rsidRPr="00D063B4">
        <w:rPr>
          <w:rFonts w:asciiTheme="majorBidi" w:hAnsiTheme="majorBidi" w:cstheme="majorBidi"/>
          <w:sz w:val="22"/>
          <w:szCs w:val="22"/>
        </w:rPr>
        <w:t xml:space="preserve"> de </w:t>
      </w:r>
      <w:r w:rsidR="00982E9D" w:rsidRPr="00D063B4">
        <w:rPr>
          <w:rFonts w:asciiTheme="majorBidi" w:hAnsiTheme="majorBidi" w:cstheme="majorBidi"/>
          <w:sz w:val="22"/>
          <w:szCs w:val="22"/>
        </w:rPr>
        <w:t xml:space="preserve">4,5% et les Huiles et graisses </w:t>
      </w:r>
      <w:r w:rsidR="00005251" w:rsidRPr="00D063B4">
        <w:rPr>
          <w:rFonts w:asciiTheme="majorBidi" w:hAnsiTheme="majorBidi" w:cstheme="majorBidi"/>
          <w:sz w:val="22"/>
          <w:szCs w:val="22"/>
        </w:rPr>
        <w:t>de 2,9%</w:t>
      </w:r>
    </w:p>
    <w:p w:rsidR="00556E1D" w:rsidRPr="00D063B4" w:rsidRDefault="00556E1D" w:rsidP="0000525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063B4">
        <w:rPr>
          <w:rFonts w:asciiTheme="majorBidi" w:hAnsiTheme="majorBidi" w:cstheme="majorBidi"/>
          <w:sz w:val="22"/>
          <w:szCs w:val="22"/>
        </w:rPr>
        <w:t>Concernant les produits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 non alimentaires,  l</w:t>
      </w:r>
      <w:r w:rsidR="00005251" w:rsidRPr="00D063B4">
        <w:rPr>
          <w:rFonts w:asciiTheme="majorBidi" w:hAnsiTheme="majorBidi" w:cstheme="majorBidi"/>
          <w:sz w:val="22"/>
          <w:szCs w:val="22"/>
        </w:rPr>
        <w:t>es</w:t>
      </w:r>
      <w:r w:rsidRPr="00D063B4">
        <w:rPr>
          <w:rFonts w:asciiTheme="majorBidi" w:hAnsiTheme="majorBidi" w:cstheme="majorBidi"/>
          <w:sz w:val="22"/>
          <w:szCs w:val="22"/>
        </w:rPr>
        <w:t xml:space="preserve"> division</w:t>
      </w:r>
      <w:r w:rsidR="00005251" w:rsidRPr="00D063B4">
        <w:rPr>
          <w:rFonts w:asciiTheme="majorBidi" w:hAnsiTheme="majorBidi" w:cstheme="majorBidi"/>
          <w:sz w:val="22"/>
          <w:szCs w:val="22"/>
        </w:rPr>
        <w:t>s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 "Transports"  </w:t>
      </w:r>
      <w:r w:rsidR="00005251" w:rsidRPr="00D063B4">
        <w:rPr>
          <w:rFonts w:asciiTheme="majorBidi" w:hAnsiTheme="majorBidi" w:cstheme="majorBidi"/>
          <w:sz w:val="22"/>
          <w:szCs w:val="22"/>
        </w:rPr>
        <w:t>et "Santé" ont</w:t>
      </w:r>
      <w:r w:rsidRPr="00D063B4">
        <w:rPr>
          <w:rFonts w:asciiTheme="majorBidi" w:hAnsiTheme="majorBidi" w:cstheme="majorBidi"/>
          <w:sz w:val="22"/>
          <w:szCs w:val="22"/>
        </w:rPr>
        <w:t xml:space="preserve"> connu </w:t>
      </w:r>
      <w:r w:rsidR="00005251" w:rsidRPr="00D063B4">
        <w:rPr>
          <w:rFonts w:asciiTheme="majorBidi" w:hAnsiTheme="majorBidi" w:cstheme="majorBidi"/>
          <w:sz w:val="22"/>
          <w:szCs w:val="22"/>
        </w:rPr>
        <w:t xml:space="preserve">des 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 </w:t>
      </w:r>
      <w:r w:rsidR="00005251" w:rsidRPr="00D063B4">
        <w:rPr>
          <w:rFonts w:asciiTheme="majorBidi" w:hAnsiTheme="majorBidi" w:cstheme="majorBidi"/>
          <w:sz w:val="22"/>
          <w:szCs w:val="22"/>
        </w:rPr>
        <w:t>b</w:t>
      </w:r>
      <w:r w:rsidR="00A93581" w:rsidRPr="00D063B4">
        <w:rPr>
          <w:rFonts w:asciiTheme="majorBidi" w:hAnsiTheme="majorBidi" w:cstheme="majorBidi"/>
          <w:sz w:val="22"/>
          <w:szCs w:val="22"/>
        </w:rPr>
        <w:t>a</w:t>
      </w:r>
      <w:r w:rsidR="00005251" w:rsidRPr="00D063B4">
        <w:rPr>
          <w:rFonts w:asciiTheme="majorBidi" w:hAnsiTheme="majorBidi" w:cstheme="majorBidi"/>
          <w:sz w:val="22"/>
          <w:szCs w:val="22"/>
        </w:rPr>
        <w:t>i</w:t>
      </w:r>
      <w:r w:rsidR="00A93581" w:rsidRPr="00D063B4">
        <w:rPr>
          <w:rFonts w:asciiTheme="majorBidi" w:hAnsiTheme="majorBidi" w:cstheme="majorBidi"/>
          <w:sz w:val="22"/>
          <w:szCs w:val="22"/>
        </w:rPr>
        <w:t>sse</w:t>
      </w:r>
      <w:r w:rsidR="00005251" w:rsidRPr="00D063B4">
        <w:rPr>
          <w:rFonts w:asciiTheme="majorBidi" w:hAnsiTheme="majorBidi" w:cstheme="majorBidi"/>
          <w:sz w:val="22"/>
          <w:szCs w:val="22"/>
        </w:rPr>
        <w:t>s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 de prix </w:t>
      </w:r>
      <w:r w:rsidR="00005251" w:rsidRPr="00D063B4">
        <w:rPr>
          <w:rFonts w:asciiTheme="majorBidi" w:hAnsiTheme="majorBidi" w:cstheme="majorBidi"/>
          <w:sz w:val="22"/>
          <w:szCs w:val="22"/>
        </w:rPr>
        <w:t xml:space="preserve">respectives </w:t>
      </w:r>
      <w:r w:rsidR="00A93581" w:rsidRPr="00D063B4">
        <w:rPr>
          <w:rFonts w:asciiTheme="majorBidi" w:hAnsiTheme="majorBidi" w:cstheme="majorBidi"/>
          <w:sz w:val="22"/>
          <w:szCs w:val="22"/>
        </w:rPr>
        <w:t>de 0,</w:t>
      </w:r>
      <w:r w:rsidR="00005251" w:rsidRPr="00D063B4">
        <w:rPr>
          <w:rFonts w:asciiTheme="majorBidi" w:hAnsiTheme="majorBidi" w:cstheme="majorBidi"/>
          <w:sz w:val="22"/>
          <w:szCs w:val="22"/>
        </w:rPr>
        <w:t>5</w:t>
      </w:r>
      <w:r w:rsidR="00A93581" w:rsidRPr="00D063B4">
        <w:rPr>
          <w:rFonts w:asciiTheme="majorBidi" w:hAnsiTheme="majorBidi" w:cstheme="majorBidi"/>
          <w:sz w:val="22"/>
          <w:szCs w:val="22"/>
        </w:rPr>
        <w:t xml:space="preserve">% </w:t>
      </w:r>
      <w:r w:rsidR="00005251" w:rsidRPr="00D063B4">
        <w:rPr>
          <w:rFonts w:asciiTheme="majorBidi" w:hAnsiTheme="majorBidi" w:cstheme="majorBidi"/>
          <w:sz w:val="22"/>
          <w:szCs w:val="22"/>
        </w:rPr>
        <w:t>et 0,1%, contre des hausses de 2,7% pour les "Loisirs et culture" et de 0,2% aussi bien pour</w:t>
      </w:r>
      <w:r w:rsidR="00005251" w:rsidRPr="00D063B4">
        <w:rPr>
          <w:rFonts w:ascii="Times New Roman" w:hAnsi="Times New Roman"/>
          <w:spacing w:val="0"/>
          <w:sz w:val="24"/>
          <w:szCs w:val="24"/>
          <w:lang w:eastAsia="fr-FR"/>
        </w:rPr>
        <w:t xml:space="preserve"> les </w:t>
      </w:r>
      <w:r w:rsidR="00005251" w:rsidRPr="00D063B4">
        <w:rPr>
          <w:rFonts w:asciiTheme="majorBidi" w:hAnsiTheme="majorBidi" w:cstheme="majorBidi"/>
          <w:sz w:val="22"/>
          <w:szCs w:val="22"/>
        </w:rPr>
        <w:t>"</w:t>
      </w:r>
      <w:r w:rsidR="00005251" w:rsidRPr="00D063B4">
        <w:rPr>
          <w:rFonts w:ascii="Times New Roman" w:hAnsi="Times New Roman"/>
          <w:spacing w:val="0"/>
          <w:sz w:val="24"/>
          <w:szCs w:val="24"/>
          <w:lang w:eastAsia="fr-FR"/>
        </w:rPr>
        <w:t>Meubles, articles de ménage et entretien courant du foyer</w:t>
      </w:r>
      <w:r w:rsidR="00005251" w:rsidRPr="00D063B4">
        <w:rPr>
          <w:rFonts w:asciiTheme="majorBidi" w:hAnsiTheme="majorBidi" w:cstheme="majorBidi"/>
          <w:sz w:val="22"/>
          <w:szCs w:val="22"/>
        </w:rPr>
        <w:t>"</w:t>
      </w:r>
      <w:r w:rsidR="00005251" w:rsidRPr="00D063B4">
        <w:rPr>
          <w:rFonts w:ascii="Times New Roman" w:hAnsi="Times New Roman"/>
          <w:spacing w:val="0"/>
          <w:sz w:val="24"/>
          <w:szCs w:val="24"/>
          <w:lang w:eastAsia="fr-FR"/>
        </w:rPr>
        <w:t xml:space="preserve"> que pour les </w:t>
      </w:r>
      <w:r w:rsidR="00005251" w:rsidRPr="00D063B4">
        <w:rPr>
          <w:rFonts w:asciiTheme="majorBidi" w:hAnsiTheme="majorBidi" w:cstheme="majorBidi"/>
          <w:sz w:val="22"/>
          <w:szCs w:val="22"/>
        </w:rPr>
        <w:t>"</w:t>
      </w:r>
      <w:r w:rsidR="00005251" w:rsidRPr="00D063B4">
        <w:rPr>
          <w:rFonts w:ascii="Times New Roman" w:hAnsi="Times New Roman"/>
          <w:spacing w:val="0"/>
          <w:sz w:val="24"/>
          <w:szCs w:val="24"/>
          <w:lang w:eastAsia="fr-FR"/>
        </w:rPr>
        <w:t>Biens et services divers</w:t>
      </w:r>
      <w:r w:rsidR="00005251" w:rsidRPr="00D063B4">
        <w:rPr>
          <w:rFonts w:asciiTheme="majorBidi" w:hAnsiTheme="majorBidi" w:cstheme="majorBidi"/>
          <w:sz w:val="22"/>
          <w:szCs w:val="22"/>
        </w:rPr>
        <w:t>"</w:t>
      </w:r>
      <w:r w:rsidR="00005251" w:rsidRPr="00D063B4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556E1D" w:rsidRPr="00D063B4" w:rsidRDefault="00556E1D" w:rsidP="00556E1D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063B4">
        <w:rPr>
          <w:rFonts w:asciiTheme="majorBidi" w:hAnsiTheme="majorBidi" w:cstheme="majorBidi"/>
          <w:b/>
          <w:bCs/>
          <w:sz w:val="24"/>
          <w:szCs w:val="24"/>
        </w:rPr>
        <w:t>Evolution annuelle de L’IPC (Base 100 : 2017) de la ville de Kenitra:</w:t>
      </w:r>
    </w:p>
    <w:p w:rsidR="00556E1D" w:rsidRPr="00D063B4" w:rsidRDefault="00556E1D" w:rsidP="00974C1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063B4">
        <w:rPr>
          <w:rFonts w:asciiTheme="majorBidi" w:hAnsiTheme="majorBidi" w:cstheme="majorBidi"/>
          <w:sz w:val="24"/>
          <w:szCs w:val="24"/>
        </w:rPr>
        <w:t>Comparé à son niveau au même mois de l’année précédente, l’indice des prix à l</w:t>
      </w:r>
      <w:r w:rsidR="00A93581" w:rsidRPr="00D063B4">
        <w:rPr>
          <w:rFonts w:asciiTheme="majorBidi" w:hAnsiTheme="majorBidi" w:cstheme="majorBidi"/>
          <w:sz w:val="24"/>
          <w:szCs w:val="24"/>
        </w:rPr>
        <w:t xml:space="preserve">a consommation a </w:t>
      </w:r>
      <w:r w:rsidR="00974C14" w:rsidRPr="00D063B4">
        <w:rPr>
          <w:rFonts w:asciiTheme="majorBidi" w:hAnsiTheme="majorBidi" w:cstheme="majorBidi"/>
          <w:sz w:val="24"/>
          <w:szCs w:val="24"/>
        </w:rPr>
        <w:t>crû</w:t>
      </w:r>
      <w:r w:rsidR="00A93581" w:rsidRPr="00D063B4">
        <w:rPr>
          <w:rFonts w:asciiTheme="majorBidi" w:hAnsiTheme="majorBidi" w:cstheme="majorBidi"/>
          <w:sz w:val="24"/>
          <w:szCs w:val="24"/>
        </w:rPr>
        <w:t xml:space="preserve"> de </w:t>
      </w:r>
      <w:r w:rsidR="00974C14" w:rsidRPr="00D063B4">
        <w:rPr>
          <w:rFonts w:asciiTheme="majorBidi" w:hAnsiTheme="majorBidi" w:cstheme="majorBidi"/>
          <w:sz w:val="24"/>
          <w:szCs w:val="24"/>
        </w:rPr>
        <w:t>3</w:t>
      </w:r>
      <w:r w:rsidR="00A93581" w:rsidRPr="00D063B4">
        <w:rPr>
          <w:rFonts w:asciiTheme="majorBidi" w:hAnsiTheme="majorBidi" w:cstheme="majorBidi"/>
          <w:sz w:val="24"/>
          <w:szCs w:val="24"/>
        </w:rPr>
        <w:t>,</w:t>
      </w:r>
      <w:r w:rsidR="00974C14" w:rsidRPr="00D063B4">
        <w:rPr>
          <w:rFonts w:asciiTheme="majorBidi" w:hAnsiTheme="majorBidi" w:cstheme="majorBidi"/>
          <w:sz w:val="24"/>
          <w:szCs w:val="24"/>
        </w:rPr>
        <w:t>9</w:t>
      </w:r>
      <w:r w:rsidR="00A93581" w:rsidRPr="00D063B4">
        <w:rPr>
          <w:rFonts w:asciiTheme="majorBidi" w:hAnsiTheme="majorBidi" w:cstheme="majorBidi"/>
          <w:sz w:val="24"/>
          <w:szCs w:val="24"/>
        </w:rPr>
        <w:t xml:space="preserve">% contre </w:t>
      </w:r>
      <w:r w:rsidR="00974C14" w:rsidRPr="00D063B4">
        <w:rPr>
          <w:rFonts w:asciiTheme="majorBidi" w:hAnsiTheme="majorBidi" w:cstheme="majorBidi"/>
          <w:sz w:val="24"/>
          <w:szCs w:val="24"/>
        </w:rPr>
        <w:t>3</w:t>
      </w:r>
      <w:r w:rsidR="00A93581" w:rsidRPr="00D063B4">
        <w:rPr>
          <w:rFonts w:asciiTheme="majorBidi" w:hAnsiTheme="majorBidi" w:cstheme="majorBidi"/>
          <w:sz w:val="24"/>
          <w:szCs w:val="24"/>
        </w:rPr>
        <w:t xml:space="preserve">,2% </w:t>
      </w:r>
      <w:r w:rsidRPr="00D063B4">
        <w:rPr>
          <w:rFonts w:asciiTheme="majorBidi" w:hAnsiTheme="majorBidi" w:cstheme="majorBidi"/>
          <w:sz w:val="24"/>
          <w:szCs w:val="24"/>
        </w:rPr>
        <w:t xml:space="preserve">pour la moyenne nationale. Ceci, résulte </w:t>
      </w:r>
      <w:r w:rsidR="00974C14" w:rsidRPr="00D063B4">
        <w:rPr>
          <w:rFonts w:asciiTheme="majorBidi" w:hAnsiTheme="majorBidi" w:cstheme="majorBidi"/>
          <w:sz w:val="24"/>
          <w:szCs w:val="24"/>
        </w:rPr>
        <w:t xml:space="preserve">du relèvement </w:t>
      </w:r>
      <w:r w:rsidRPr="00D063B4">
        <w:rPr>
          <w:rFonts w:asciiTheme="majorBidi" w:hAnsiTheme="majorBidi" w:cstheme="majorBidi"/>
          <w:sz w:val="24"/>
          <w:szCs w:val="24"/>
        </w:rPr>
        <w:t xml:space="preserve">des prix des produits alimentaires de </w:t>
      </w:r>
      <w:r w:rsidR="00974C14" w:rsidRPr="00D063B4">
        <w:rPr>
          <w:rFonts w:asciiTheme="majorBidi" w:hAnsiTheme="majorBidi" w:cstheme="majorBidi"/>
          <w:sz w:val="24"/>
          <w:szCs w:val="24"/>
        </w:rPr>
        <w:t>6</w:t>
      </w:r>
      <w:r w:rsidR="00202B01" w:rsidRPr="00D063B4">
        <w:rPr>
          <w:rFonts w:asciiTheme="majorBidi" w:hAnsiTheme="majorBidi" w:cstheme="majorBidi"/>
          <w:sz w:val="24"/>
          <w:szCs w:val="24"/>
        </w:rPr>
        <w:t>,</w:t>
      </w:r>
      <w:r w:rsidR="00974C14" w:rsidRPr="00D063B4">
        <w:rPr>
          <w:rFonts w:asciiTheme="majorBidi" w:hAnsiTheme="majorBidi" w:cstheme="majorBidi"/>
          <w:sz w:val="24"/>
          <w:szCs w:val="24"/>
        </w:rPr>
        <w:t>4</w:t>
      </w:r>
      <w:r w:rsidRPr="00D063B4">
        <w:rPr>
          <w:rFonts w:asciiTheme="majorBidi" w:hAnsiTheme="majorBidi" w:cstheme="majorBidi"/>
          <w:sz w:val="24"/>
          <w:szCs w:val="24"/>
        </w:rPr>
        <w:t xml:space="preserve">% et </w:t>
      </w:r>
      <w:r w:rsidR="00974C14" w:rsidRPr="00D063B4">
        <w:rPr>
          <w:rFonts w:asciiTheme="majorBidi" w:hAnsiTheme="majorBidi" w:cstheme="majorBidi"/>
          <w:sz w:val="24"/>
          <w:szCs w:val="24"/>
        </w:rPr>
        <w:t>de ceux</w:t>
      </w:r>
      <w:r w:rsidRPr="00D063B4">
        <w:rPr>
          <w:rFonts w:asciiTheme="majorBidi" w:hAnsiTheme="majorBidi" w:cstheme="majorBidi"/>
          <w:sz w:val="24"/>
          <w:szCs w:val="24"/>
        </w:rPr>
        <w:t xml:space="preserve"> de</w:t>
      </w:r>
      <w:r w:rsidR="00974C14" w:rsidRPr="00D063B4">
        <w:rPr>
          <w:rFonts w:asciiTheme="majorBidi" w:hAnsiTheme="majorBidi" w:cstheme="majorBidi"/>
          <w:sz w:val="24"/>
          <w:szCs w:val="24"/>
        </w:rPr>
        <w:t>s produits non alimentaires de 2</w:t>
      </w:r>
      <w:r w:rsidRPr="00D063B4">
        <w:rPr>
          <w:rFonts w:asciiTheme="majorBidi" w:hAnsiTheme="majorBidi" w:cstheme="majorBidi"/>
          <w:sz w:val="24"/>
          <w:szCs w:val="24"/>
        </w:rPr>
        <w:t>,</w:t>
      </w:r>
      <w:r w:rsidR="00974C14" w:rsidRPr="00D063B4">
        <w:rPr>
          <w:rFonts w:asciiTheme="majorBidi" w:hAnsiTheme="majorBidi" w:cstheme="majorBidi"/>
          <w:sz w:val="24"/>
          <w:szCs w:val="24"/>
        </w:rPr>
        <w:t>1</w:t>
      </w:r>
      <w:r w:rsidRPr="00D063B4">
        <w:rPr>
          <w:rFonts w:asciiTheme="majorBidi" w:hAnsiTheme="majorBidi" w:cstheme="majorBidi"/>
          <w:sz w:val="24"/>
          <w:szCs w:val="24"/>
        </w:rPr>
        <w:t xml:space="preserve">%. </w:t>
      </w:r>
    </w:p>
    <w:p w:rsidR="00103761" w:rsidRPr="00D063B4" w:rsidRDefault="00556E1D" w:rsidP="000F5808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D063B4">
        <w:rPr>
          <w:rFonts w:asciiTheme="majorBidi" w:hAnsiTheme="majorBidi" w:cstheme="majorBidi"/>
          <w:sz w:val="24"/>
          <w:szCs w:val="24"/>
        </w:rPr>
        <w:t xml:space="preserve">Les produits alimentaires touchés par une hausse significative des prix entre </w:t>
      </w:r>
      <w:r w:rsidR="00974C14" w:rsidRPr="00D063B4">
        <w:rPr>
          <w:rFonts w:asciiTheme="majorBidi" w:hAnsiTheme="majorBidi" w:cstheme="majorBidi"/>
          <w:sz w:val="24"/>
          <w:szCs w:val="24"/>
        </w:rPr>
        <w:t>Déc</w:t>
      </w:r>
      <w:r w:rsidR="00202B01" w:rsidRPr="00D063B4">
        <w:rPr>
          <w:rFonts w:asciiTheme="majorBidi" w:hAnsiTheme="majorBidi" w:cstheme="majorBidi"/>
          <w:sz w:val="24"/>
          <w:szCs w:val="24"/>
        </w:rPr>
        <w:t>embre</w:t>
      </w:r>
      <w:r w:rsidRPr="00D063B4">
        <w:rPr>
          <w:rFonts w:asciiTheme="majorBidi" w:hAnsiTheme="majorBidi" w:cstheme="majorBidi"/>
          <w:sz w:val="24"/>
          <w:szCs w:val="24"/>
        </w:rPr>
        <w:t xml:space="preserve"> 202</w:t>
      </w:r>
      <w:r w:rsidR="00202B01" w:rsidRPr="00D063B4">
        <w:rPr>
          <w:rFonts w:asciiTheme="majorBidi" w:hAnsiTheme="majorBidi" w:cstheme="majorBidi"/>
          <w:sz w:val="24"/>
          <w:szCs w:val="24"/>
        </w:rPr>
        <w:t>1</w:t>
      </w:r>
      <w:r w:rsidRPr="00D063B4">
        <w:rPr>
          <w:rFonts w:asciiTheme="majorBidi" w:hAnsiTheme="majorBidi" w:cstheme="majorBidi"/>
          <w:sz w:val="24"/>
          <w:szCs w:val="24"/>
        </w:rPr>
        <w:t xml:space="preserve"> et 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son analogue en </w:t>
      </w:r>
      <w:r w:rsidRPr="00D063B4">
        <w:rPr>
          <w:rFonts w:asciiTheme="majorBidi" w:hAnsiTheme="majorBidi" w:cstheme="majorBidi"/>
          <w:sz w:val="24"/>
          <w:szCs w:val="24"/>
        </w:rPr>
        <w:t>202</w:t>
      </w:r>
      <w:r w:rsidR="00202B01" w:rsidRPr="00D063B4">
        <w:rPr>
          <w:rFonts w:asciiTheme="majorBidi" w:hAnsiTheme="majorBidi" w:cstheme="majorBidi"/>
          <w:sz w:val="24"/>
          <w:szCs w:val="24"/>
        </w:rPr>
        <w:t>0</w:t>
      </w:r>
      <w:r w:rsidRPr="00D063B4">
        <w:rPr>
          <w:rFonts w:asciiTheme="majorBidi" w:hAnsiTheme="majorBidi" w:cstheme="majorBidi"/>
          <w:sz w:val="24"/>
          <w:szCs w:val="24"/>
        </w:rPr>
        <w:t>, sont :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 </w:t>
      </w:r>
      <w:r w:rsidR="000F5808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les </w:t>
      </w:r>
      <w:r w:rsidR="000F5808" w:rsidRPr="00D063B4">
        <w:rPr>
          <w:rFonts w:asciiTheme="majorBidi" w:hAnsiTheme="majorBidi" w:cstheme="majorBidi"/>
          <w:sz w:val="22"/>
          <w:szCs w:val="22"/>
        </w:rPr>
        <w:t>"</w:t>
      </w:r>
      <w:r w:rsidR="000F5808" w:rsidRPr="00D063B4">
        <w:rPr>
          <w:rFonts w:ascii="Times New Roman" w:hAnsi="Times New Roman"/>
          <w:spacing w:val="0"/>
          <w:sz w:val="22"/>
          <w:szCs w:val="22"/>
          <w:lang w:eastAsia="fr-FR"/>
        </w:rPr>
        <w:t>Huiles et graisses</w:t>
      </w:r>
      <w:r w:rsidR="000F5808" w:rsidRPr="00D063B4">
        <w:rPr>
          <w:rFonts w:asciiTheme="majorBidi" w:hAnsiTheme="majorBidi" w:cstheme="majorBidi"/>
          <w:sz w:val="22"/>
          <w:szCs w:val="22"/>
        </w:rPr>
        <w:t>"</w:t>
      </w:r>
      <w:r w:rsidR="000F5808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 24,6%, 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les </w:t>
      </w:r>
      <w:r w:rsidR="00202B01" w:rsidRPr="00D063B4">
        <w:rPr>
          <w:rFonts w:asciiTheme="majorBidi" w:hAnsiTheme="majorBidi" w:cstheme="majorBidi"/>
          <w:sz w:val="22"/>
          <w:szCs w:val="22"/>
        </w:rPr>
        <w:t>"</w:t>
      </w:r>
      <w:r w:rsidR="00202B01" w:rsidRPr="00D063B4">
        <w:rPr>
          <w:rFonts w:asciiTheme="majorBidi" w:hAnsiTheme="majorBidi" w:cstheme="majorBidi"/>
          <w:sz w:val="24"/>
          <w:szCs w:val="24"/>
        </w:rPr>
        <w:t>Pain et céréales</w:t>
      </w:r>
      <w:r w:rsidR="00202B01" w:rsidRPr="00D063B4">
        <w:rPr>
          <w:rFonts w:asciiTheme="majorBidi" w:hAnsiTheme="majorBidi" w:cstheme="majorBidi"/>
          <w:sz w:val="22"/>
          <w:szCs w:val="22"/>
        </w:rPr>
        <w:t>"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 avec 1</w:t>
      </w:r>
      <w:r w:rsidR="000F5808" w:rsidRPr="00D063B4">
        <w:rPr>
          <w:rFonts w:asciiTheme="majorBidi" w:hAnsiTheme="majorBidi" w:cstheme="majorBidi"/>
          <w:sz w:val="24"/>
          <w:szCs w:val="24"/>
        </w:rPr>
        <w:t>4,1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%, </w:t>
      </w:r>
      <w:r w:rsidR="000F5808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les </w:t>
      </w:r>
      <w:r w:rsidR="000F5808" w:rsidRPr="00D063B4">
        <w:rPr>
          <w:rFonts w:asciiTheme="majorBidi" w:hAnsiTheme="majorBidi" w:cstheme="majorBidi"/>
          <w:sz w:val="22"/>
          <w:szCs w:val="22"/>
        </w:rPr>
        <w:t>"</w:t>
      </w:r>
      <w:r w:rsidR="000F5808" w:rsidRPr="00D063B4">
        <w:rPr>
          <w:rFonts w:ascii="Times New Roman" w:hAnsi="Times New Roman"/>
          <w:spacing w:val="0"/>
          <w:sz w:val="22"/>
          <w:szCs w:val="22"/>
          <w:lang w:eastAsia="fr-FR"/>
        </w:rPr>
        <w:t>Légumes</w:t>
      </w:r>
      <w:r w:rsidR="000F5808" w:rsidRPr="00D063B4">
        <w:rPr>
          <w:rFonts w:asciiTheme="majorBidi" w:hAnsiTheme="majorBidi" w:cstheme="majorBidi"/>
          <w:sz w:val="22"/>
          <w:szCs w:val="22"/>
        </w:rPr>
        <w:t>"</w:t>
      </w:r>
      <w:r w:rsidR="000F5808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9,2%,  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les </w:t>
      </w:r>
      <w:r w:rsidR="00202B01" w:rsidRPr="00D063B4">
        <w:rPr>
          <w:rFonts w:asciiTheme="majorBidi" w:hAnsiTheme="majorBidi" w:cstheme="majorBidi"/>
          <w:sz w:val="22"/>
          <w:szCs w:val="22"/>
        </w:rPr>
        <w:t>"</w:t>
      </w:r>
      <w:r w:rsidR="00202B01" w:rsidRPr="00D063B4">
        <w:rPr>
          <w:rFonts w:asciiTheme="majorBidi" w:hAnsiTheme="majorBidi" w:cstheme="majorBidi"/>
          <w:sz w:val="24"/>
          <w:szCs w:val="24"/>
        </w:rPr>
        <w:t>Viandes</w:t>
      </w:r>
      <w:r w:rsidR="00202B01" w:rsidRPr="00D063B4">
        <w:rPr>
          <w:rFonts w:asciiTheme="majorBidi" w:hAnsiTheme="majorBidi" w:cstheme="majorBidi"/>
          <w:sz w:val="22"/>
          <w:szCs w:val="22"/>
        </w:rPr>
        <w:t>" avec</w:t>
      </w:r>
      <w:r w:rsidR="000F5808" w:rsidRPr="00D063B4">
        <w:rPr>
          <w:rFonts w:asciiTheme="majorBidi" w:hAnsiTheme="majorBidi" w:cstheme="majorBidi"/>
          <w:sz w:val="22"/>
          <w:szCs w:val="22"/>
        </w:rPr>
        <w:t xml:space="preserve"> </w:t>
      </w:r>
      <w:r w:rsidR="00202B01" w:rsidRPr="00D063B4">
        <w:rPr>
          <w:rFonts w:asciiTheme="majorBidi" w:hAnsiTheme="majorBidi" w:cstheme="majorBidi"/>
          <w:sz w:val="22"/>
          <w:szCs w:val="22"/>
        </w:rPr>
        <w:t xml:space="preserve"> </w:t>
      </w:r>
      <w:r w:rsidR="000F5808" w:rsidRPr="00D063B4">
        <w:rPr>
          <w:rFonts w:asciiTheme="majorBidi" w:hAnsiTheme="majorBidi" w:cstheme="majorBidi"/>
          <w:sz w:val="22"/>
          <w:szCs w:val="22"/>
        </w:rPr>
        <w:t>4</w:t>
      </w:r>
      <w:r w:rsidR="00202B01" w:rsidRPr="00D063B4">
        <w:rPr>
          <w:rFonts w:asciiTheme="majorBidi" w:hAnsiTheme="majorBidi" w:cstheme="majorBidi"/>
          <w:sz w:val="22"/>
          <w:szCs w:val="22"/>
        </w:rPr>
        <w:t>,9%,</w:t>
      </w:r>
      <w:r w:rsidRPr="00D063B4">
        <w:rPr>
          <w:rFonts w:asciiTheme="majorBidi" w:hAnsiTheme="majorBidi" w:cstheme="majorBidi"/>
          <w:sz w:val="24"/>
          <w:szCs w:val="24"/>
        </w:rPr>
        <w:t xml:space="preserve"> 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le </w:t>
      </w:r>
      <w:r w:rsidR="00202B01" w:rsidRPr="00D063B4">
        <w:rPr>
          <w:rFonts w:asciiTheme="majorBidi" w:hAnsiTheme="majorBidi" w:cstheme="majorBidi"/>
          <w:sz w:val="22"/>
          <w:szCs w:val="22"/>
        </w:rPr>
        <w:t>"</w:t>
      </w:r>
      <w:r w:rsidR="00202B01" w:rsidRPr="00D063B4">
        <w:rPr>
          <w:rFonts w:asciiTheme="majorBidi" w:hAnsiTheme="majorBidi" w:cstheme="majorBidi"/>
          <w:sz w:val="24"/>
          <w:szCs w:val="24"/>
        </w:rPr>
        <w:t>Lait, fromage et œufs</w:t>
      </w:r>
      <w:r w:rsidR="00202B01" w:rsidRPr="00D063B4">
        <w:rPr>
          <w:rFonts w:asciiTheme="majorBidi" w:hAnsiTheme="majorBidi" w:cstheme="majorBidi"/>
          <w:sz w:val="22"/>
          <w:szCs w:val="22"/>
        </w:rPr>
        <w:t>"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 avec 3,</w:t>
      </w:r>
      <w:r w:rsidR="000F5808" w:rsidRPr="00D063B4">
        <w:rPr>
          <w:rFonts w:asciiTheme="majorBidi" w:hAnsiTheme="majorBidi" w:cstheme="majorBidi"/>
          <w:sz w:val="24"/>
          <w:szCs w:val="24"/>
        </w:rPr>
        <w:t>9</w:t>
      </w:r>
      <w:r w:rsidR="00202B01" w:rsidRPr="00D063B4">
        <w:rPr>
          <w:rFonts w:asciiTheme="majorBidi" w:hAnsiTheme="majorBidi" w:cstheme="majorBidi"/>
          <w:sz w:val="24"/>
          <w:szCs w:val="24"/>
        </w:rPr>
        <w:t>%</w:t>
      </w:r>
      <w:r w:rsidRPr="00D063B4">
        <w:rPr>
          <w:rFonts w:asciiTheme="majorBidi" w:hAnsiTheme="majorBidi" w:cstheme="majorBidi"/>
          <w:sz w:val="24"/>
          <w:szCs w:val="24"/>
        </w:rPr>
        <w:t xml:space="preserve"> </w:t>
      </w:r>
      <w:r w:rsidR="00202B01" w:rsidRPr="00D063B4">
        <w:rPr>
          <w:rFonts w:asciiTheme="majorBidi" w:hAnsiTheme="majorBidi" w:cstheme="majorBidi"/>
          <w:sz w:val="24"/>
          <w:szCs w:val="24"/>
        </w:rPr>
        <w:t xml:space="preserve"> et</w:t>
      </w:r>
      <w:r w:rsidR="000F5808" w:rsidRPr="00D063B4">
        <w:rPr>
          <w:rFonts w:asciiTheme="majorBidi" w:hAnsiTheme="majorBidi" w:cstheme="majorBidi"/>
          <w:sz w:val="24"/>
          <w:szCs w:val="24"/>
        </w:rPr>
        <w:t xml:space="preserve"> les </w:t>
      </w:r>
      <w:r w:rsidR="000F5808" w:rsidRPr="00D063B4">
        <w:rPr>
          <w:rFonts w:asciiTheme="majorBidi" w:hAnsiTheme="majorBidi" w:cstheme="majorBidi"/>
          <w:sz w:val="22"/>
          <w:szCs w:val="22"/>
        </w:rPr>
        <w:t>"</w:t>
      </w:r>
      <w:r w:rsidR="000F5808" w:rsidRPr="00D063B4">
        <w:rPr>
          <w:rFonts w:asciiTheme="majorBidi" w:hAnsiTheme="majorBidi" w:cstheme="majorBidi"/>
          <w:sz w:val="24"/>
          <w:szCs w:val="24"/>
        </w:rPr>
        <w:t>Poissons et fruits de  mer</w:t>
      </w:r>
      <w:r w:rsidR="000F5808" w:rsidRPr="00D063B4">
        <w:rPr>
          <w:rFonts w:asciiTheme="majorBidi" w:hAnsiTheme="majorBidi" w:cstheme="majorBidi"/>
          <w:sz w:val="22"/>
          <w:szCs w:val="22"/>
        </w:rPr>
        <w:t>"</w:t>
      </w:r>
      <w:r w:rsidR="000F5808" w:rsidRPr="00D063B4">
        <w:rPr>
          <w:rFonts w:asciiTheme="majorBidi" w:hAnsiTheme="majorBidi" w:cstheme="majorBidi"/>
          <w:sz w:val="24"/>
          <w:szCs w:val="24"/>
        </w:rPr>
        <w:t xml:space="preserve"> avec 3,5%</w:t>
      </w:r>
      <w:r w:rsidR="00103761" w:rsidRPr="00D063B4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0F5808" w:rsidRPr="00D063B4" w:rsidRDefault="000F5808" w:rsidP="000F5808">
      <w:pPr>
        <w:ind w:left="0"/>
        <w:jc w:val="both"/>
        <w:rPr>
          <w:rFonts w:ascii="Times New Roman" w:hAnsi="Times New Roman"/>
          <w:spacing w:val="0"/>
          <w:lang w:eastAsia="fr-FR"/>
        </w:rPr>
      </w:pP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Les baisses</w:t>
      </w:r>
      <w:r w:rsidR="009E78C5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des prix</w:t>
      </w:r>
      <w:r w:rsidR="00103761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, par contre, 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n’</w:t>
      </w:r>
      <w:r w:rsidR="00103761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ont concerné 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que </w:t>
      </w:r>
      <w:r w:rsidR="00103761" w:rsidRPr="00D063B4">
        <w:rPr>
          <w:rFonts w:ascii="Times New Roman" w:hAnsi="Times New Roman"/>
          <w:spacing w:val="0"/>
          <w:sz w:val="22"/>
          <w:szCs w:val="22"/>
          <w:lang w:eastAsia="fr-FR"/>
        </w:rPr>
        <w:t>les Fruits avec (-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15</w:t>
      </w:r>
      <w:r w:rsidR="00103761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,7%) </w:t>
      </w:r>
      <w:r w:rsidR="00556E1D" w:rsidRPr="00D063B4">
        <w:rPr>
          <w:rFonts w:ascii="Times New Roman" w:hAnsi="Times New Roman"/>
          <w:spacing w:val="0"/>
          <w:sz w:val="22"/>
          <w:szCs w:val="22"/>
          <w:lang w:eastAsia="fr-FR"/>
        </w:rPr>
        <w:t>et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les </w:t>
      </w:r>
      <w:r w:rsidRPr="00D063B4">
        <w:rPr>
          <w:rFonts w:asciiTheme="majorBidi" w:hAnsiTheme="majorBidi" w:cstheme="majorBidi"/>
          <w:sz w:val="22"/>
          <w:szCs w:val="22"/>
        </w:rPr>
        <w:t>"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E</w:t>
      </w:r>
      <w:r w:rsidRPr="00D063B4">
        <w:rPr>
          <w:rFonts w:ascii="Times New Roman" w:hAnsi="Times New Roman"/>
          <w:spacing w:val="0"/>
          <w:sz w:val="24"/>
          <w:szCs w:val="24"/>
          <w:lang w:eastAsia="fr-FR"/>
        </w:rPr>
        <w:t>aux minérales, boissons rafraichissantes, jus de fruits et de légumes</w:t>
      </w:r>
      <w:r w:rsidRPr="00D063B4">
        <w:rPr>
          <w:rFonts w:asciiTheme="majorBidi" w:hAnsiTheme="majorBidi" w:cstheme="majorBidi"/>
          <w:sz w:val="22"/>
          <w:szCs w:val="22"/>
        </w:rPr>
        <w:t>" avec (-2,6%).</w:t>
      </w:r>
    </w:p>
    <w:p w:rsidR="009E78C5" w:rsidRPr="00D063B4" w:rsidRDefault="00556E1D" w:rsidP="00103761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Quant aux produits non alimentaires, </w:t>
      </w:r>
      <w:r w:rsidR="009E78C5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une seule division a vu les prix de ses produits baisser, au cours de cette année. Il s’agit des bien et services relatifs à la </w:t>
      </w:r>
      <w:r w:rsidR="009E78C5" w:rsidRPr="00D063B4">
        <w:rPr>
          <w:rFonts w:asciiTheme="majorBidi" w:hAnsiTheme="majorBidi" w:cstheme="majorBidi"/>
          <w:sz w:val="22"/>
          <w:szCs w:val="22"/>
        </w:rPr>
        <w:t>"</w:t>
      </w:r>
      <w:r w:rsidR="009E78C5" w:rsidRPr="00D063B4">
        <w:rPr>
          <w:rFonts w:ascii="Times New Roman" w:hAnsi="Times New Roman"/>
          <w:spacing w:val="0"/>
          <w:sz w:val="22"/>
          <w:szCs w:val="22"/>
          <w:lang w:eastAsia="fr-FR"/>
        </w:rPr>
        <w:t>Santé</w:t>
      </w:r>
      <w:r w:rsidR="009E78C5" w:rsidRPr="00D063B4">
        <w:rPr>
          <w:rFonts w:asciiTheme="majorBidi" w:hAnsiTheme="majorBidi" w:cstheme="majorBidi"/>
          <w:sz w:val="22"/>
          <w:szCs w:val="22"/>
        </w:rPr>
        <w:t>"</w:t>
      </w:r>
      <w:r w:rsidR="009E78C5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(-0,4%).</w:t>
      </w:r>
    </w:p>
    <w:p w:rsidR="009E78C5" w:rsidRPr="00D063B4" w:rsidRDefault="00BE1280" w:rsidP="00BE1280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En revanche, les divisions touchées par la hausse des prix sont au nombre de six. Ces variations positives vont de 0,5% pour</w:t>
      </w:r>
      <w:r w:rsidRPr="00D063B4">
        <w:rPr>
          <w:rFonts w:ascii="Times New Roman" w:hAnsi="Times New Roman"/>
          <w:spacing w:val="0"/>
          <w:sz w:val="24"/>
          <w:szCs w:val="24"/>
          <w:lang w:eastAsia="fr-FR"/>
        </w:rPr>
        <w:t xml:space="preserve">  le </w:t>
      </w:r>
      <w:r w:rsidRPr="00D063B4">
        <w:rPr>
          <w:rFonts w:asciiTheme="majorBidi" w:hAnsiTheme="majorBidi" w:cstheme="majorBidi"/>
          <w:sz w:val="22"/>
          <w:szCs w:val="22"/>
        </w:rPr>
        <w:t>"</w:t>
      </w:r>
      <w:r w:rsidRPr="00D063B4">
        <w:rPr>
          <w:rFonts w:ascii="Times New Roman" w:hAnsi="Times New Roman"/>
          <w:spacing w:val="0"/>
          <w:sz w:val="24"/>
          <w:szCs w:val="24"/>
          <w:lang w:eastAsia="fr-FR"/>
        </w:rPr>
        <w:t>Logement, eau, gaz, électricité et autres combustibles</w:t>
      </w:r>
      <w:r w:rsidRPr="00D063B4">
        <w:rPr>
          <w:rFonts w:asciiTheme="majorBidi" w:hAnsiTheme="majorBidi" w:cstheme="majorBidi"/>
          <w:sz w:val="22"/>
          <w:szCs w:val="22"/>
        </w:rPr>
        <w:t>" à 8,3% pour "les Biens et services divers".</w:t>
      </w:r>
    </w:p>
    <w:p w:rsidR="00556E1D" w:rsidRPr="00D063B4" w:rsidRDefault="00556E1D" w:rsidP="00556E1D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D063B4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762147" w:rsidRPr="00D063B4" w:rsidRDefault="00556E1D" w:rsidP="00D063B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En </w:t>
      </w:r>
      <w:r w:rsidR="00AC7FAA" w:rsidRPr="00D063B4">
        <w:rPr>
          <w:rFonts w:ascii="Times New Roman" w:hAnsi="Times New Roman"/>
          <w:spacing w:val="0"/>
          <w:sz w:val="22"/>
          <w:szCs w:val="22"/>
          <w:lang w:eastAsia="fr-FR"/>
        </w:rPr>
        <w:t>termes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de variation mensuelle, </w:t>
      </w:r>
      <w:r w:rsidR="00AC7FAA" w:rsidRPr="00D063B4">
        <w:rPr>
          <w:rFonts w:ascii="Times New Roman" w:hAnsi="Times New Roman"/>
          <w:spacing w:val="0"/>
          <w:sz w:val="22"/>
          <w:szCs w:val="22"/>
          <w:lang w:eastAsia="fr-FR"/>
        </w:rPr>
        <w:t>onze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 ont connu des </w:t>
      </w:r>
      <w:r w:rsidR="00D063B4" w:rsidRPr="00D063B4">
        <w:rPr>
          <w:rFonts w:ascii="Times New Roman" w:hAnsi="Times New Roman"/>
          <w:spacing w:val="0"/>
          <w:sz w:val="22"/>
          <w:szCs w:val="22"/>
          <w:lang w:eastAsia="fr-FR"/>
        </w:rPr>
        <w:t>taux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d’inflation</w:t>
      </w:r>
      <w:r w:rsidR="00BE1280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positi</w:t>
      </w:r>
      <w:r w:rsidR="00D063B4" w:rsidRPr="00D063B4">
        <w:rPr>
          <w:rFonts w:ascii="Times New Roman" w:hAnsi="Times New Roman"/>
          <w:spacing w:val="0"/>
          <w:sz w:val="22"/>
          <w:szCs w:val="22"/>
          <w:lang w:eastAsia="fr-FR"/>
        </w:rPr>
        <w:t>fs</w:t>
      </w:r>
      <w:r w:rsidR="00BE1280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dont neuf sont supérieurs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AC7FAA" w:rsidRPr="00D063B4">
        <w:rPr>
          <w:rFonts w:ascii="Times New Roman" w:hAnsi="Times New Roman"/>
          <w:spacing w:val="0"/>
          <w:sz w:val="22"/>
          <w:szCs w:val="22"/>
          <w:lang w:eastAsia="fr-FR"/>
        </w:rPr>
        <w:t>à la moyenne nationale (</w:t>
      </w:r>
      <w:r w:rsidR="00BE1280" w:rsidRPr="00D063B4">
        <w:rPr>
          <w:rFonts w:ascii="Times New Roman" w:hAnsi="Times New Roman"/>
          <w:spacing w:val="0"/>
          <w:sz w:val="22"/>
          <w:szCs w:val="22"/>
          <w:lang w:eastAsia="fr-FR"/>
        </w:rPr>
        <w:t>0,1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%)</w:t>
      </w:r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 ; il s’agit de : </w:t>
      </w:r>
      <w:proofErr w:type="spellStart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>Errachidia</w:t>
      </w:r>
      <w:proofErr w:type="spellEnd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(0,1%), Meknès (0,2%), El </w:t>
      </w:r>
      <w:proofErr w:type="spellStart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(0,2%), </w:t>
      </w:r>
      <w:proofErr w:type="spellStart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>Guelmim</w:t>
      </w:r>
      <w:proofErr w:type="spellEnd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(0,3%), Fès (0,3%), Tétouan (0,3%), Oujda 0,4%), Settat (0,7%) et Safi (1,1%).</w:t>
      </w:r>
    </w:p>
    <w:p w:rsidR="00AC7FAA" w:rsidRPr="00D063B4" w:rsidRDefault="00D063B4" w:rsidP="00D063B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Les villes de </w:t>
      </w:r>
      <w:proofErr w:type="spellStart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 Rabat et Agadir ont connu une stagnation de leur </w:t>
      </w:r>
      <w:r w:rsidR="00762147" w:rsidRPr="00D063B4">
        <w:rPr>
          <w:rFonts w:ascii="Times New Roman" w:hAnsi="Times New Roman"/>
          <w:spacing w:val="0"/>
          <w:sz w:val="22"/>
          <w:szCs w:val="22"/>
          <w:lang w:eastAsia="fr-FR"/>
        </w:rPr>
        <w:t>indice entre novembre et Décembre 2021</w:t>
      </w:r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 xml:space="preserve">. Quant à </w:t>
      </w:r>
      <w:proofErr w:type="spellStart"/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Laayoune</w:t>
      </w:r>
      <w:proofErr w:type="spellEnd"/>
      <w:r w:rsidRPr="00D063B4">
        <w:rPr>
          <w:rFonts w:ascii="Times New Roman" w:hAnsi="Times New Roman"/>
          <w:spacing w:val="0"/>
          <w:sz w:val="22"/>
          <w:szCs w:val="22"/>
          <w:lang w:eastAsia="fr-FR"/>
        </w:rPr>
        <w:t>, Dakhla, Tanger et Casablanca, elles ont enregistré des taux négatifs d’inflation.</w:t>
      </w:r>
    </w:p>
    <w:p w:rsidR="001B0687" w:rsidRPr="00D063B4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287AF0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347"/>
        <w:gridCol w:w="1039"/>
        <w:gridCol w:w="1039"/>
        <w:gridCol w:w="1038"/>
        <w:gridCol w:w="1283"/>
        <w:gridCol w:w="1141"/>
      </w:tblGrid>
      <w:tr w:rsidR="005E26CE" w:rsidRPr="005E26CE" w:rsidTr="005E26CE">
        <w:trPr>
          <w:trHeight w:val="510"/>
        </w:trPr>
        <w:tc>
          <w:tcPr>
            <w:tcW w:w="219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Décembre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Décembre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E26CE" w:rsidRPr="005E26CE" w:rsidTr="005E26CE">
        <w:trPr>
          <w:trHeight w:val="525"/>
        </w:trPr>
        <w:tc>
          <w:tcPr>
            <w:tcW w:w="219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95,8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102,2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6,6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96,7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6,4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-0,4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109,4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4,9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2,7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111,9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8,3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3,9</w:t>
            </w:r>
          </w:p>
        </w:tc>
      </w:tr>
      <w:tr w:rsidR="005E26CE" w:rsidRPr="005E26CE" w:rsidTr="005E26CE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3,2</w:t>
            </w:r>
          </w:p>
        </w:tc>
      </w:tr>
    </w:tbl>
    <w:p w:rsidR="00BC22DB" w:rsidRPr="00307D13" w:rsidRDefault="00BC22DB" w:rsidP="00BC22DB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</w:t>
      </w:r>
      <w:r w:rsidR="00D73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34"/>
        <w:gridCol w:w="1341"/>
        <w:gridCol w:w="1065"/>
        <w:gridCol w:w="1083"/>
        <w:gridCol w:w="1065"/>
        <w:gridCol w:w="1003"/>
        <w:gridCol w:w="796"/>
      </w:tblGrid>
      <w:tr w:rsidR="005E26CE" w:rsidRPr="005E26CE" w:rsidTr="00C917CC">
        <w:trPr>
          <w:trHeight w:val="510"/>
          <w:tblHeader/>
        </w:trPr>
        <w:tc>
          <w:tcPr>
            <w:tcW w:w="179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E26CE" w:rsidRPr="005E26CE" w:rsidTr="00C917CC">
        <w:trPr>
          <w:trHeight w:val="540"/>
          <w:tblHeader/>
        </w:trPr>
        <w:tc>
          <w:tcPr>
            <w:tcW w:w="179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E26CE" w:rsidRPr="005E26CE" w:rsidRDefault="005E26CE" w:rsidP="005E26C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E26CE" w:rsidRPr="005E26CE" w:rsidTr="005E26CE">
        <w:trPr>
          <w:trHeight w:val="51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95,8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6,6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95,5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7,0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98,8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112,7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14,1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95,2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-2,3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4,9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94,1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97,4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-5,7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97,8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101,6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3,9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91,9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114,5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24,6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91,7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87,4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-4,7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-15,7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89,4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93,4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4,5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2F316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SUCRE, CONFITURE, MIEL, CHOCOLAT ET CONF</w:t>
            </w:r>
            <w:r w:rsidR="002F3168">
              <w:rPr>
                <w:rFonts w:ascii="Times New Roman" w:hAnsi="Times New Roman"/>
                <w:spacing w:val="0"/>
                <w:lang w:eastAsia="fr-FR"/>
              </w:rPr>
              <w:t>I</w:t>
            </w:r>
            <w:r w:rsidRPr="005E26CE">
              <w:rPr>
                <w:rFonts w:ascii="Times New Roman" w:hAnsi="Times New Roman"/>
                <w:spacing w:val="0"/>
                <w:lang w:eastAsia="fr-FR"/>
              </w:rPr>
              <w:t>SERIE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5E26CE" w:rsidRPr="005E26CE" w:rsidTr="005E26CE">
        <w:trPr>
          <w:trHeight w:val="54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84,0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84,2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84,2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5E26CE" w:rsidRPr="005E26CE" w:rsidTr="005E26CE">
        <w:trPr>
          <w:trHeight w:val="405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</w:tr>
      <w:tr w:rsidR="005E26CE" w:rsidRPr="005E26CE" w:rsidTr="005E26CE">
        <w:trPr>
          <w:trHeight w:val="405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102,4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1,0</w:t>
            </w:r>
          </w:p>
        </w:tc>
      </w:tr>
      <w:tr w:rsidR="005E26CE" w:rsidRPr="005E26CE" w:rsidTr="005E26CE">
        <w:trPr>
          <w:trHeight w:val="51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96,8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-2,6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122,2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123,6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</w:tr>
      <w:tr w:rsidR="005E26CE" w:rsidRPr="005E26CE" w:rsidTr="005E26CE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123,6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E26CE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5E26CE" w:rsidRPr="005E26CE" w:rsidTr="005E26CE">
        <w:trPr>
          <w:trHeight w:val="485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96,7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6,4</w:t>
            </w:r>
          </w:p>
        </w:tc>
      </w:tr>
      <w:tr w:rsidR="005E26CE" w:rsidRPr="005E26CE" w:rsidTr="005E26CE">
        <w:trPr>
          <w:trHeight w:val="446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E26CE" w:rsidRPr="005E26CE" w:rsidRDefault="005E26CE" w:rsidP="005E26C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E26C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</w:tbl>
    <w:p w:rsidR="00D2208B" w:rsidRPr="00307D13" w:rsidRDefault="00307D13" w:rsidP="00FE3C0D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EB" w:rsidRDefault="00E90AEB">
      <w:r>
        <w:separator/>
      </w:r>
    </w:p>
    <w:p w:rsidR="00E90AEB" w:rsidRDefault="00E90AEB"/>
  </w:endnote>
  <w:endnote w:type="continuationSeparator" w:id="0">
    <w:p w:rsidR="00E90AEB" w:rsidRDefault="00E90AEB">
      <w:r>
        <w:continuationSeparator/>
      </w:r>
    </w:p>
    <w:p w:rsidR="00E90AEB" w:rsidRDefault="00E90AE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4501F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EB" w:rsidRDefault="00E90AEB">
      <w:r>
        <w:separator/>
      </w:r>
    </w:p>
    <w:p w:rsidR="00E90AEB" w:rsidRDefault="00E90AEB"/>
  </w:footnote>
  <w:footnote w:type="continuationSeparator" w:id="0">
    <w:p w:rsidR="00E90AEB" w:rsidRDefault="00E90AEB">
      <w:r>
        <w:continuationSeparator/>
      </w:r>
    </w:p>
    <w:p w:rsidR="00E90AEB" w:rsidRDefault="00E90A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251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C8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5808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761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A19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3D0"/>
    <w:rsid w:val="001547B5"/>
    <w:rsid w:val="00154853"/>
    <w:rsid w:val="00155403"/>
    <w:rsid w:val="0015557D"/>
    <w:rsid w:val="00156935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238"/>
    <w:rsid w:val="001715A1"/>
    <w:rsid w:val="001716D4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C6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15F7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0687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A55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B01"/>
    <w:rsid w:val="00202D97"/>
    <w:rsid w:val="002034FA"/>
    <w:rsid w:val="00203841"/>
    <w:rsid w:val="002038F1"/>
    <w:rsid w:val="00203B45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18C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D7D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B23"/>
    <w:rsid w:val="00284C3C"/>
    <w:rsid w:val="002863A5"/>
    <w:rsid w:val="002867E9"/>
    <w:rsid w:val="002868E3"/>
    <w:rsid w:val="0028730B"/>
    <w:rsid w:val="00287947"/>
    <w:rsid w:val="00287AF0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589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168"/>
    <w:rsid w:val="002F39D3"/>
    <w:rsid w:val="002F4DEE"/>
    <w:rsid w:val="002F6015"/>
    <w:rsid w:val="002F7016"/>
    <w:rsid w:val="00300951"/>
    <w:rsid w:val="003017A6"/>
    <w:rsid w:val="00301833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0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0815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583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47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16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23F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01F8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57E93"/>
    <w:rsid w:val="0046025C"/>
    <w:rsid w:val="0046051F"/>
    <w:rsid w:val="004615B8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14D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3F87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25F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E7EF6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27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3CCD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6E1D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4FD"/>
    <w:rsid w:val="005917C7"/>
    <w:rsid w:val="00591956"/>
    <w:rsid w:val="005931E3"/>
    <w:rsid w:val="0059340E"/>
    <w:rsid w:val="00593819"/>
    <w:rsid w:val="00593ACF"/>
    <w:rsid w:val="00593C69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6D9B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6CE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5CC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61B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315"/>
    <w:rsid w:val="006A5AA0"/>
    <w:rsid w:val="006A5FF9"/>
    <w:rsid w:val="006A63BE"/>
    <w:rsid w:val="006A67C0"/>
    <w:rsid w:val="006A6B0F"/>
    <w:rsid w:val="006A6C3B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369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94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2B6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147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9B4"/>
    <w:rsid w:val="007D7AD9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A6C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713"/>
    <w:rsid w:val="00820822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9B7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22D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0F88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7A9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18A8"/>
    <w:rsid w:val="008D209D"/>
    <w:rsid w:val="008D21EF"/>
    <w:rsid w:val="008D2791"/>
    <w:rsid w:val="008D2B06"/>
    <w:rsid w:val="008D2CBB"/>
    <w:rsid w:val="008D3565"/>
    <w:rsid w:val="008D36F5"/>
    <w:rsid w:val="008D3EF5"/>
    <w:rsid w:val="008D45C2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C14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9D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181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1AC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5995"/>
    <w:rsid w:val="009E643C"/>
    <w:rsid w:val="009E685D"/>
    <w:rsid w:val="009E6C2A"/>
    <w:rsid w:val="009E6DCA"/>
    <w:rsid w:val="009E78C5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713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B08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67B1F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581"/>
    <w:rsid w:val="00A938BD"/>
    <w:rsid w:val="00A93A17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1A23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C7FAA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4990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415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5E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9DB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AF8"/>
    <w:rsid w:val="00BC0C43"/>
    <w:rsid w:val="00BC126D"/>
    <w:rsid w:val="00BC1F0A"/>
    <w:rsid w:val="00BC2247"/>
    <w:rsid w:val="00BC22DB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280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47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755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39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6F0F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0A9"/>
    <w:rsid w:val="00C71A83"/>
    <w:rsid w:val="00C72244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7CC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3B4"/>
    <w:rsid w:val="00D06506"/>
    <w:rsid w:val="00D0729C"/>
    <w:rsid w:val="00D07B47"/>
    <w:rsid w:val="00D1005D"/>
    <w:rsid w:val="00D1140B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5518"/>
    <w:rsid w:val="00D46478"/>
    <w:rsid w:val="00D46807"/>
    <w:rsid w:val="00D47035"/>
    <w:rsid w:val="00D475D7"/>
    <w:rsid w:val="00D479F7"/>
    <w:rsid w:val="00D47A1C"/>
    <w:rsid w:val="00D47E4A"/>
    <w:rsid w:val="00D47E65"/>
    <w:rsid w:val="00D47FF7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355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2E0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87654"/>
    <w:rsid w:val="00D90B5A"/>
    <w:rsid w:val="00D913F8"/>
    <w:rsid w:val="00D9255E"/>
    <w:rsid w:val="00D92DA6"/>
    <w:rsid w:val="00D953FB"/>
    <w:rsid w:val="00D95553"/>
    <w:rsid w:val="00D959EE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0A63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524B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BA0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03A0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AEB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AFC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0F7D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37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5E8A"/>
    <w:rsid w:val="00F86582"/>
    <w:rsid w:val="00F87168"/>
    <w:rsid w:val="00F8779B"/>
    <w:rsid w:val="00F901CA"/>
    <w:rsid w:val="00F90825"/>
    <w:rsid w:val="00F90E8A"/>
    <w:rsid w:val="00F91081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2754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C0D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AA1822-5BF9-4834-B967-788040FA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2022-03-07T11:29:00Z</dcterms:created>
  <dcterms:modified xsi:type="dcterms:W3CDTF">2022-03-24T12:13:00Z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