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proofErr w:type="spellStart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  <w:proofErr w:type="spellEnd"/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507CC9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J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anvier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  <w:r w:rsidR="002427B1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4C54F7" w:rsidRDefault="00877644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mensuelle d</w:t>
      </w:r>
      <w:r w:rsidR="002B4717" w:rsidRPr="004C54F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2B4717" w:rsidRPr="004B3AC3" w:rsidRDefault="002B4717" w:rsidP="00226EAA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4B3AC3">
        <w:rPr>
          <w:rFonts w:asciiTheme="majorBidi" w:hAnsiTheme="majorBidi" w:cstheme="majorBidi"/>
          <w:sz w:val="22"/>
          <w:szCs w:val="22"/>
        </w:rPr>
        <w:t>Au terme du mois de janvier 202</w:t>
      </w:r>
      <w:r w:rsidR="00226EAA" w:rsidRPr="004B3AC3">
        <w:rPr>
          <w:rFonts w:asciiTheme="majorBidi" w:hAnsiTheme="majorBidi" w:cstheme="majorBidi"/>
          <w:sz w:val="22"/>
          <w:szCs w:val="22"/>
        </w:rPr>
        <w:t>2</w:t>
      </w:r>
      <w:r w:rsidRPr="004B3AC3">
        <w:rPr>
          <w:rFonts w:asciiTheme="majorBidi" w:hAnsiTheme="majorBidi" w:cstheme="majorBidi"/>
          <w:sz w:val="22"/>
          <w:szCs w:val="22"/>
        </w:rPr>
        <w:t xml:space="preserve">, l’IPC de la ville de </w:t>
      </w:r>
      <w:proofErr w:type="spellStart"/>
      <w:r w:rsidRPr="004B3AC3">
        <w:rPr>
          <w:rFonts w:asciiTheme="majorBidi" w:hAnsiTheme="majorBidi" w:cstheme="majorBidi"/>
          <w:sz w:val="22"/>
          <w:szCs w:val="22"/>
        </w:rPr>
        <w:t>Kénitra</w:t>
      </w:r>
      <w:proofErr w:type="spellEnd"/>
      <w:r w:rsidRPr="004B3AC3">
        <w:rPr>
          <w:rFonts w:asciiTheme="majorBidi" w:hAnsiTheme="majorBidi" w:cstheme="majorBidi"/>
          <w:sz w:val="22"/>
          <w:szCs w:val="22"/>
        </w:rPr>
        <w:t xml:space="preserve"> a augmenté de 0,</w:t>
      </w:r>
      <w:r w:rsidR="00226EAA" w:rsidRPr="004B3AC3">
        <w:rPr>
          <w:rFonts w:asciiTheme="majorBidi" w:hAnsiTheme="majorBidi" w:cstheme="majorBidi"/>
          <w:sz w:val="22"/>
          <w:szCs w:val="22"/>
        </w:rPr>
        <w:t>4</w:t>
      </w:r>
      <w:r w:rsidRPr="004B3AC3">
        <w:rPr>
          <w:rFonts w:asciiTheme="majorBidi" w:hAnsiTheme="majorBidi" w:cstheme="majorBidi"/>
          <w:sz w:val="22"/>
          <w:szCs w:val="22"/>
        </w:rPr>
        <w:t>% par rapport au mois de décembre 202</w:t>
      </w:r>
      <w:r w:rsidR="00226EAA" w:rsidRPr="004B3AC3">
        <w:rPr>
          <w:rFonts w:asciiTheme="majorBidi" w:hAnsiTheme="majorBidi" w:cstheme="majorBidi"/>
          <w:sz w:val="22"/>
          <w:szCs w:val="22"/>
        </w:rPr>
        <w:t>1</w:t>
      </w:r>
      <w:r w:rsidRPr="004B3AC3">
        <w:rPr>
          <w:rFonts w:asciiTheme="majorBidi" w:hAnsiTheme="majorBidi" w:cstheme="majorBidi"/>
          <w:sz w:val="22"/>
          <w:szCs w:val="22"/>
        </w:rPr>
        <w:t xml:space="preserve"> contre </w:t>
      </w:r>
      <w:r w:rsidR="00226EAA" w:rsidRPr="004B3AC3">
        <w:rPr>
          <w:rFonts w:asciiTheme="majorBidi" w:hAnsiTheme="majorBidi" w:cstheme="majorBidi"/>
          <w:sz w:val="22"/>
          <w:szCs w:val="22"/>
        </w:rPr>
        <w:t xml:space="preserve">une stagnation </w:t>
      </w:r>
      <w:r w:rsidRPr="004B3AC3">
        <w:rPr>
          <w:rFonts w:asciiTheme="majorBidi" w:hAnsiTheme="majorBidi" w:cstheme="majorBidi"/>
          <w:sz w:val="22"/>
          <w:szCs w:val="22"/>
        </w:rPr>
        <w:t xml:space="preserve"> pour l’ensemble national.</w:t>
      </w:r>
    </w:p>
    <w:p w:rsidR="002B4717" w:rsidRPr="004B3AC3" w:rsidRDefault="002B4717" w:rsidP="00226EAA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4B3AC3">
        <w:rPr>
          <w:rFonts w:asciiTheme="majorBidi" w:hAnsiTheme="majorBidi" w:cstheme="majorBidi"/>
          <w:sz w:val="22"/>
          <w:szCs w:val="22"/>
        </w:rPr>
        <w:t xml:space="preserve">La variation de l’indice de </w:t>
      </w:r>
      <w:proofErr w:type="spellStart"/>
      <w:r w:rsidRPr="004B3AC3">
        <w:rPr>
          <w:rFonts w:asciiTheme="majorBidi" w:hAnsiTheme="majorBidi" w:cstheme="majorBidi"/>
          <w:sz w:val="22"/>
          <w:szCs w:val="22"/>
        </w:rPr>
        <w:t>Kénitra</w:t>
      </w:r>
      <w:proofErr w:type="spellEnd"/>
      <w:r w:rsidRPr="004B3AC3">
        <w:rPr>
          <w:rFonts w:asciiTheme="majorBidi" w:hAnsiTheme="majorBidi" w:cstheme="majorBidi"/>
          <w:sz w:val="22"/>
          <w:szCs w:val="22"/>
        </w:rPr>
        <w:t xml:space="preserve"> est l’effet combiné de la hausse des prix des produits alimentaires </w:t>
      </w:r>
      <w:r w:rsidR="00A902E8" w:rsidRPr="004B3AC3">
        <w:rPr>
          <w:rFonts w:asciiTheme="majorBidi" w:hAnsiTheme="majorBidi" w:cstheme="majorBidi"/>
          <w:sz w:val="22"/>
          <w:szCs w:val="22"/>
        </w:rPr>
        <w:t xml:space="preserve">de </w:t>
      </w:r>
      <w:r w:rsidR="00B25929" w:rsidRPr="004B3AC3">
        <w:rPr>
          <w:rFonts w:asciiTheme="majorBidi" w:hAnsiTheme="majorBidi" w:cstheme="majorBidi"/>
          <w:sz w:val="22"/>
          <w:szCs w:val="22"/>
        </w:rPr>
        <w:t xml:space="preserve"> </w:t>
      </w:r>
      <w:r w:rsidR="00A902E8" w:rsidRPr="004B3AC3">
        <w:rPr>
          <w:rFonts w:asciiTheme="majorBidi" w:hAnsiTheme="majorBidi" w:cstheme="majorBidi"/>
          <w:sz w:val="22"/>
          <w:szCs w:val="22"/>
        </w:rPr>
        <w:t xml:space="preserve">1% </w:t>
      </w:r>
      <w:r w:rsidRPr="004B3AC3">
        <w:rPr>
          <w:rFonts w:asciiTheme="majorBidi" w:hAnsiTheme="majorBidi" w:cstheme="majorBidi"/>
          <w:sz w:val="22"/>
          <w:szCs w:val="22"/>
        </w:rPr>
        <w:t xml:space="preserve">et de la </w:t>
      </w:r>
      <w:r w:rsidR="00226EAA" w:rsidRPr="004B3AC3">
        <w:rPr>
          <w:rFonts w:asciiTheme="majorBidi" w:hAnsiTheme="majorBidi" w:cstheme="majorBidi"/>
          <w:sz w:val="22"/>
          <w:szCs w:val="22"/>
        </w:rPr>
        <w:t>baisse</w:t>
      </w:r>
      <w:r w:rsidRPr="004B3AC3">
        <w:rPr>
          <w:rFonts w:asciiTheme="majorBidi" w:hAnsiTheme="majorBidi" w:cstheme="majorBidi"/>
          <w:sz w:val="22"/>
          <w:szCs w:val="22"/>
        </w:rPr>
        <w:t xml:space="preserve"> de ceux des produits non alimentaires</w:t>
      </w:r>
      <w:r w:rsidR="00226EAA" w:rsidRPr="004B3AC3">
        <w:rPr>
          <w:rFonts w:asciiTheme="majorBidi" w:hAnsiTheme="majorBidi" w:cstheme="majorBidi"/>
          <w:sz w:val="22"/>
          <w:szCs w:val="22"/>
        </w:rPr>
        <w:t xml:space="preserve"> de 0,1%</w:t>
      </w:r>
      <w:r w:rsidRPr="004B3AC3">
        <w:rPr>
          <w:rFonts w:asciiTheme="majorBidi" w:hAnsiTheme="majorBidi" w:cstheme="majorBidi"/>
          <w:sz w:val="22"/>
          <w:szCs w:val="22"/>
        </w:rPr>
        <w:t>.</w:t>
      </w:r>
    </w:p>
    <w:p w:rsidR="005E7157" w:rsidRPr="004B3AC3" w:rsidRDefault="005E7157" w:rsidP="005E7157">
      <w:pPr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4B3AC3">
        <w:rPr>
          <w:rFonts w:asciiTheme="majorBidi" w:hAnsiTheme="majorBidi" w:cstheme="majorBidi"/>
          <w:sz w:val="22"/>
          <w:szCs w:val="22"/>
        </w:rPr>
        <w:t>L’analyse par  classe</w:t>
      </w:r>
      <w:r w:rsidR="008F519B" w:rsidRPr="004B3AC3">
        <w:rPr>
          <w:rFonts w:asciiTheme="majorBidi" w:hAnsiTheme="majorBidi" w:cstheme="majorBidi"/>
          <w:sz w:val="22"/>
          <w:szCs w:val="22"/>
        </w:rPr>
        <w:t xml:space="preserve"> de</w:t>
      </w:r>
      <w:r w:rsidRPr="004B3AC3">
        <w:rPr>
          <w:rFonts w:asciiTheme="majorBidi" w:hAnsiTheme="majorBidi" w:cstheme="majorBidi"/>
          <w:sz w:val="22"/>
          <w:szCs w:val="22"/>
        </w:rPr>
        <w:t xml:space="preserve"> </w:t>
      </w:r>
      <w:r w:rsidR="008F519B" w:rsidRPr="004B3AC3">
        <w:rPr>
          <w:rFonts w:asciiTheme="majorBidi" w:hAnsiTheme="majorBidi" w:cstheme="majorBidi"/>
          <w:sz w:val="22"/>
          <w:szCs w:val="22"/>
        </w:rPr>
        <w:t xml:space="preserve"> produits alimentaires, </w:t>
      </w:r>
      <w:r w:rsidRPr="004B3AC3">
        <w:rPr>
          <w:rFonts w:asciiTheme="majorBidi" w:hAnsiTheme="majorBidi" w:cstheme="majorBidi"/>
          <w:sz w:val="22"/>
          <w:szCs w:val="22"/>
        </w:rPr>
        <w:t xml:space="preserve">montre </w:t>
      </w:r>
      <w:r w:rsidR="008F519B" w:rsidRPr="004B3AC3">
        <w:rPr>
          <w:rFonts w:asciiTheme="majorBidi" w:hAnsiTheme="majorBidi" w:cstheme="majorBidi"/>
          <w:sz w:val="22"/>
          <w:szCs w:val="22"/>
        </w:rPr>
        <w:t xml:space="preserve">que les  hausses de prix </w:t>
      </w:r>
      <w:r w:rsidRPr="004B3AC3">
        <w:rPr>
          <w:rFonts w:asciiTheme="majorBidi" w:hAnsiTheme="majorBidi" w:cstheme="majorBidi"/>
          <w:sz w:val="22"/>
          <w:szCs w:val="22"/>
        </w:rPr>
        <w:t xml:space="preserve">ayant eu lieu en Janvier 2022 par rapport au mois précédent sont celles des </w:t>
      </w:r>
      <w:r w:rsidR="008F519B" w:rsidRPr="004B3AC3">
        <w:rPr>
          <w:rFonts w:asciiTheme="majorBidi" w:hAnsiTheme="majorBidi" w:cstheme="majorBidi"/>
          <w:sz w:val="22"/>
          <w:szCs w:val="22"/>
        </w:rPr>
        <w:t xml:space="preserve"> "</w:t>
      </w:r>
      <w:r w:rsidRPr="004B3AC3">
        <w:rPr>
          <w:rFonts w:asciiTheme="majorBidi" w:hAnsiTheme="majorBidi" w:cstheme="majorBidi"/>
          <w:sz w:val="22"/>
          <w:szCs w:val="22"/>
        </w:rPr>
        <w:t>Fruit</w:t>
      </w:r>
      <w:r w:rsidR="008F519B" w:rsidRPr="004B3AC3">
        <w:rPr>
          <w:rFonts w:asciiTheme="majorBidi" w:hAnsiTheme="majorBidi" w:cstheme="majorBidi"/>
          <w:sz w:val="22"/>
          <w:szCs w:val="22"/>
        </w:rPr>
        <w:t xml:space="preserve">s" avec </w:t>
      </w:r>
      <w:r w:rsidRPr="004B3AC3">
        <w:rPr>
          <w:rFonts w:asciiTheme="majorBidi" w:hAnsiTheme="majorBidi" w:cstheme="majorBidi"/>
          <w:sz w:val="22"/>
          <w:szCs w:val="22"/>
        </w:rPr>
        <w:t>4</w:t>
      </w:r>
      <w:r w:rsidR="008F519B" w:rsidRPr="004B3AC3">
        <w:rPr>
          <w:rFonts w:asciiTheme="majorBidi" w:hAnsiTheme="majorBidi" w:cstheme="majorBidi"/>
          <w:sz w:val="22"/>
          <w:szCs w:val="22"/>
        </w:rPr>
        <w:t>,</w:t>
      </w:r>
      <w:r w:rsidRPr="004B3AC3">
        <w:rPr>
          <w:rFonts w:asciiTheme="majorBidi" w:hAnsiTheme="majorBidi" w:cstheme="majorBidi"/>
          <w:sz w:val="22"/>
          <w:szCs w:val="22"/>
        </w:rPr>
        <w:t>2</w:t>
      </w:r>
      <w:r w:rsidR="008F519B" w:rsidRPr="004B3AC3">
        <w:rPr>
          <w:rFonts w:asciiTheme="majorBidi" w:hAnsiTheme="majorBidi" w:cstheme="majorBidi"/>
          <w:sz w:val="22"/>
          <w:szCs w:val="22"/>
        </w:rPr>
        <w:t xml:space="preserve">%, " Poissons et fruits de mer " </w:t>
      </w:r>
      <w:r w:rsidRPr="004B3AC3">
        <w:rPr>
          <w:rFonts w:asciiTheme="majorBidi" w:hAnsiTheme="majorBidi" w:cstheme="majorBidi"/>
          <w:sz w:val="22"/>
          <w:szCs w:val="22"/>
        </w:rPr>
        <w:t xml:space="preserve">et  "Pain et céréales" </w:t>
      </w:r>
      <w:r w:rsidR="008F519B" w:rsidRPr="004B3AC3">
        <w:rPr>
          <w:rFonts w:asciiTheme="majorBidi" w:hAnsiTheme="majorBidi" w:cstheme="majorBidi"/>
          <w:sz w:val="22"/>
          <w:szCs w:val="22"/>
        </w:rPr>
        <w:t xml:space="preserve">avec </w:t>
      </w:r>
      <w:r w:rsidRPr="004B3AC3">
        <w:rPr>
          <w:rFonts w:asciiTheme="majorBidi" w:hAnsiTheme="majorBidi" w:cstheme="majorBidi"/>
          <w:sz w:val="22"/>
          <w:szCs w:val="22"/>
        </w:rPr>
        <w:t>2,1</w:t>
      </w:r>
      <w:r w:rsidR="008F519B" w:rsidRPr="004B3AC3">
        <w:rPr>
          <w:rFonts w:asciiTheme="majorBidi" w:hAnsiTheme="majorBidi" w:cstheme="majorBidi"/>
          <w:sz w:val="22"/>
          <w:szCs w:val="22"/>
        </w:rPr>
        <w:t>%,</w:t>
      </w:r>
      <w:r w:rsidRPr="004B3AC3">
        <w:rPr>
          <w:rFonts w:asciiTheme="majorBidi" w:hAnsiTheme="majorBidi" w:cstheme="majorBidi"/>
          <w:sz w:val="22"/>
          <w:szCs w:val="22"/>
        </w:rPr>
        <w:t xml:space="preserve"> "</w:t>
      </w:r>
      <w:r w:rsidRPr="004B3AC3">
        <w:rPr>
          <w:rFonts w:ascii="Times New Roman" w:hAnsi="Times New Roman"/>
          <w:spacing w:val="0"/>
          <w:sz w:val="24"/>
          <w:szCs w:val="24"/>
          <w:lang w:eastAsia="fr-FR"/>
        </w:rPr>
        <w:t>Sucre, confiture, miel, chocolat et confiserie</w:t>
      </w:r>
      <w:r w:rsidRPr="004B3AC3">
        <w:rPr>
          <w:rFonts w:asciiTheme="majorBidi" w:hAnsiTheme="majorBidi" w:cstheme="majorBidi"/>
          <w:sz w:val="22"/>
          <w:szCs w:val="22"/>
        </w:rPr>
        <w:t>" avec 1,8% et</w:t>
      </w:r>
      <w:r w:rsidR="004B3AC3">
        <w:rPr>
          <w:rFonts w:asciiTheme="majorBidi" w:hAnsiTheme="majorBidi" w:cstheme="majorBidi"/>
          <w:sz w:val="22"/>
          <w:szCs w:val="22"/>
        </w:rPr>
        <w:t xml:space="preserve"> </w:t>
      </w:r>
      <w:r w:rsidRPr="004B3AC3">
        <w:rPr>
          <w:rFonts w:asciiTheme="majorBidi" w:hAnsiTheme="majorBidi" w:cstheme="majorBidi"/>
          <w:sz w:val="22"/>
          <w:szCs w:val="22"/>
        </w:rPr>
        <w:t xml:space="preserve"> </w:t>
      </w:r>
      <w:r w:rsidR="008F519B" w:rsidRPr="004B3AC3">
        <w:rPr>
          <w:rFonts w:asciiTheme="majorBidi" w:hAnsiTheme="majorBidi" w:cstheme="majorBidi"/>
          <w:sz w:val="22"/>
          <w:szCs w:val="22"/>
        </w:rPr>
        <w:t xml:space="preserve">les "Huiles et graisses" avec </w:t>
      </w:r>
      <w:r w:rsidRPr="004B3AC3">
        <w:rPr>
          <w:rFonts w:asciiTheme="majorBidi" w:hAnsiTheme="majorBidi" w:cstheme="majorBidi"/>
          <w:sz w:val="22"/>
          <w:szCs w:val="22"/>
        </w:rPr>
        <w:t>0,1</w:t>
      </w:r>
      <w:r w:rsidR="008F519B" w:rsidRPr="004B3AC3">
        <w:rPr>
          <w:rFonts w:asciiTheme="majorBidi" w:hAnsiTheme="majorBidi" w:cstheme="majorBidi"/>
          <w:sz w:val="22"/>
          <w:szCs w:val="22"/>
        </w:rPr>
        <w:t>%</w:t>
      </w:r>
      <w:r w:rsidRPr="004B3AC3">
        <w:rPr>
          <w:rFonts w:asciiTheme="majorBidi" w:hAnsiTheme="majorBidi" w:cstheme="majorBidi"/>
          <w:sz w:val="22"/>
          <w:szCs w:val="22"/>
        </w:rPr>
        <w:t>. A noter que les tarifs des cigarettes ont connu</w:t>
      </w:r>
      <w:r w:rsidR="00782A7D" w:rsidRPr="004B3AC3">
        <w:rPr>
          <w:rFonts w:asciiTheme="majorBidi" w:hAnsiTheme="majorBidi" w:cstheme="majorBidi"/>
          <w:sz w:val="22"/>
          <w:szCs w:val="22"/>
        </w:rPr>
        <w:t>,</w:t>
      </w:r>
      <w:r w:rsidRPr="004B3AC3">
        <w:rPr>
          <w:rFonts w:asciiTheme="majorBidi" w:hAnsiTheme="majorBidi" w:cstheme="majorBidi"/>
          <w:sz w:val="22"/>
          <w:szCs w:val="22"/>
        </w:rPr>
        <w:t xml:space="preserve"> eux aussi</w:t>
      </w:r>
      <w:r w:rsidR="00782A7D" w:rsidRPr="004B3AC3">
        <w:rPr>
          <w:rFonts w:asciiTheme="majorBidi" w:hAnsiTheme="majorBidi" w:cstheme="majorBidi"/>
          <w:sz w:val="22"/>
          <w:szCs w:val="22"/>
        </w:rPr>
        <w:t>,</w:t>
      </w:r>
      <w:r w:rsidRPr="004B3AC3">
        <w:rPr>
          <w:rFonts w:asciiTheme="majorBidi" w:hAnsiTheme="majorBidi" w:cstheme="majorBidi"/>
          <w:sz w:val="22"/>
          <w:szCs w:val="22"/>
        </w:rPr>
        <w:t xml:space="preserve"> une hausse de 3,4%</w:t>
      </w:r>
      <w:r w:rsidR="00782A7D" w:rsidRPr="004B3AC3">
        <w:rPr>
          <w:rFonts w:asciiTheme="majorBidi" w:hAnsiTheme="majorBidi" w:cstheme="majorBidi"/>
          <w:sz w:val="22"/>
          <w:szCs w:val="22"/>
        </w:rPr>
        <w:t xml:space="preserve"> qui a été publiée dans le Bulletin Officiel n°7052 du 30 Décembre 2021.</w:t>
      </w:r>
    </w:p>
    <w:p w:rsidR="00870306" w:rsidRPr="004B3AC3" w:rsidRDefault="00870306" w:rsidP="004B3AC3">
      <w:pPr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4B3AC3">
        <w:rPr>
          <w:rFonts w:asciiTheme="majorBidi" w:hAnsiTheme="majorBidi" w:cstheme="majorBidi"/>
          <w:sz w:val="22"/>
          <w:szCs w:val="22"/>
        </w:rPr>
        <w:t>Quant aux baisses de prix, elles n’ont touché que</w:t>
      </w:r>
      <w:r w:rsidR="004B3AC3">
        <w:rPr>
          <w:rFonts w:asciiTheme="majorBidi" w:hAnsiTheme="majorBidi" w:cstheme="majorBidi"/>
          <w:sz w:val="22"/>
          <w:szCs w:val="22"/>
        </w:rPr>
        <w:t xml:space="preserve"> </w:t>
      </w:r>
      <w:r w:rsidRPr="004B3AC3">
        <w:rPr>
          <w:rFonts w:asciiTheme="majorBidi" w:hAnsiTheme="majorBidi" w:cstheme="majorBidi"/>
          <w:sz w:val="22"/>
          <w:szCs w:val="22"/>
        </w:rPr>
        <w:t xml:space="preserve"> l</w:t>
      </w:r>
      <w:r w:rsidR="004B3AC3">
        <w:rPr>
          <w:rFonts w:asciiTheme="majorBidi" w:hAnsiTheme="majorBidi" w:cstheme="majorBidi"/>
          <w:sz w:val="22"/>
          <w:szCs w:val="22"/>
        </w:rPr>
        <w:t>es classes</w:t>
      </w:r>
      <w:r w:rsidRPr="004B3AC3">
        <w:rPr>
          <w:rFonts w:asciiTheme="majorBidi" w:hAnsiTheme="majorBidi" w:cstheme="majorBidi"/>
          <w:sz w:val="22"/>
          <w:szCs w:val="22"/>
        </w:rPr>
        <w:t xml:space="preserve"> </w:t>
      </w:r>
      <w:r w:rsidR="00C25E9A" w:rsidRPr="004B3AC3">
        <w:rPr>
          <w:rFonts w:asciiTheme="majorBidi" w:hAnsiTheme="majorBidi" w:cstheme="majorBidi"/>
          <w:sz w:val="22"/>
          <w:szCs w:val="22"/>
        </w:rPr>
        <w:t>"</w:t>
      </w:r>
      <w:r w:rsidRPr="004B3AC3">
        <w:rPr>
          <w:rFonts w:asciiTheme="majorBidi" w:hAnsiTheme="majorBidi" w:cstheme="majorBidi"/>
          <w:sz w:val="22"/>
          <w:szCs w:val="22"/>
        </w:rPr>
        <w:t xml:space="preserve">Lait, </w:t>
      </w:r>
      <w:r w:rsidR="00C25E9A" w:rsidRPr="004B3AC3">
        <w:rPr>
          <w:rFonts w:asciiTheme="majorBidi" w:hAnsiTheme="majorBidi" w:cstheme="majorBidi"/>
          <w:sz w:val="22"/>
          <w:szCs w:val="22"/>
        </w:rPr>
        <w:t>fromage et œufs" avec (-1,5%) et</w:t>
      </w:r>
      <w:r w:rsidR="004B3AC3">
        <w:rPr>
          <w:rFonts w:asciiTheme="majorBidi" w:hAnsiTheme="majorBidi" w:cstheme="majorBidi"/>
          <w:sz w:val="22"/>
          <w:szCs w:val="22"/>
        </w:rPr>
        <w:t xml:space="preserve">  </w:t>
      </w:r>
      <w:r w:rsidRPr="004B3AC3">
        <w:rPr>
          <w:rFonts w:asciiTheme="majorBidi" w:hAnsiTheme="majorBidi" w:cstheme="majorBidi"/>
          <w:sz w:val="22"/>
          <w:szCs w:val="22"/>
        </w:rPr>
        <w:t>la Viande avec (-0,3%)</w:t>
      </w:r>
      <w:r w:rsidR="00C25E9A" w:rsidRPr="004B3AC3">
        <w:rPr>
          <w:rFonts w:asciiTheme="majorBidi" w:hAnsiTheme="majorBidi" w:cstheme="majorBidi"/>
          <w:sz w:val="22"/>
          <w:szCs w:val="22"/>
        </w:rPr>
        <w:t>.</w:t>
      </w:r>
    </w:p>
    <w:p w:rsidR="00EE3D0C" w:rsidRPr="004B3AC3" w:rsidRDefault="00EE3D0C" w:rsidP="00782A7D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4B3AC3">
        <w:rPr>
          <w:rFonts w:asciiTheme="majorBidi" w:hAnsiTheme="majorBidi" w:cstheme="majorBidi"/>
          <w:sz w:val="22"/>
          <w:szCs w:val="22"/>
        </w:rPr>
        <w:t>Concernant les produits non alimentaires, la majorité des divisions a connu une stagnation du niveau général des prix exception faite des "</w:t>
      </w:r>
      <w:r w:rsidR="00782A7D" w:rsidRPr="004B3AC3">
        <w:rPr>
          <w:rFonts w:ascii="Times New Roman" w:hAnsi="Times New Roman"/>
          <w:spacing w:val="0"/>
          <w:sz w:val="22"/>
          <w:szCs w:val="22"/>
          <w:lang w:eastAsia="fr-FR"/>
        </w:rPr>
        <w:t>Articles d’habillement et chaussures</w:t>
      </w:r>
      <w:r w:rsidRPr="004B3AC3">
        <w:rPr>
          <w:rFonts w:asciiTheme="majorBidi" w:hAnsiTheme="majorBidi" w:cstheme="majorBidi"/>
          <w:sz w:val="22"/>
          <w:szCs w:val="22"/>
        </w:rPr>
        <w:t>" et des "Transports"</w:t>
      </w:r>
      <w:r w:rsidR="00782A7D" w:rsidRPr="004B3AC3">
        <w:rPr>
          <w:rFonts w:asciiTheme="majorBidi" w:hAnsiTheme="majorBidi" w:cstheme="majorBidi"/>
          <w:sz w:val="22"/>
          <w:szCs w:val="22"/>
        </w:rPr>
        <w:t xml:space="preserve"> dont les indices ont varié </w:t>
      </w:r>
      <w:r w:rsidRPr="004B3AC3">
        <w:rPr>
          <w:rFonts w:asciiTheme="majorBidi" w:hAnsiTheme="majorBidi" w:cstheme="majorBidi"/>
          <w:sz w:val="22"/>
          <w:szCs w:val="22"/>
        </w:rPr>
        <w:t>de 0,4%</w:t>
      </w:r>
      <w:r w:rsidR="00782A7D" w:rsidRPr="004B3AC3">
        <w:rPr>
          <w:rFonts w:asciiTheme="majorBidi" w:hAnsiTheme="majorBidi" w:cstheme="majorBidi"/>
          <w:sz w:val="22"/>
          <w:szCs w:val="22"/>
        </w:rPr>
        <w:t xml:space="preserve"> et des "Loisirs et culture" dont l’augmentation a été de 0,1%</w:t>
      </w:r>
      <w:r w:rsidRPr="004B3AC3">
        <w:rPr>
          <w:rFonts w:asciiTheme="majorBidi" w:hAnsiTheme="majorBidi" w:cstheme="majorBidi"/>
          <w:sz w:val="22"/>
          <w:szCs w:val="22"/>
        </w:rPr>
        <w:t>.</w:t>
      </w:r>
    </w:p>
    <w:p w:rsidR="004C54F7" w:rsidRPr="004B3AC3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4B3AC3">
        <w:rPr>
          <w:rFonts w:asciiTheme="majorBidi" w:hAnsiTheme="majorBidi" w:cstheme="majorBidi"/>
          <w:b/>
          <w:bCs/>
          <w:sz w:val="24"/>
          <w:szCs w:val="24"/>
        </w:rPr>
        <w:t>Evolution annuelle</w:t>
      </w:r>
      <w:r w:rsidR="00877644" w:rsidRPr="004B3AC3">
        <w:rPr>
          <w:rFonts w:asciiTheme="majorBidi" w:hAnsiTheme="majorBidi" w:cstheme="majorBidi"/>
          <w:b/>
          <w:bCs/>
          <w:sz w:val="24"/>
          <w:szCs w:val="24"/>
        </w:rPr>
        <w:t xml:space="preserve"> d</w:t>
      </w:r>
      <w:r w:rsidRPr="004B3AC3">
        <w:rPr>
          <w:rFonts w:asciiTheme="majorBidi" w:hAnsiTheme="majorBidi" w:cstheme="majorBidi"/>
          <w:b/>
          <w:bCs/>
          <w:sz w:val="24"/>
          <w:szCs w:val="24"/>
        </w:rPr>
        <w:t>e L’IPC (Base 100 : 2017) de la ville de Kenitra:</w:t>
      </w:r>
    </w:p>
    <w:p w:rsidR="004C54F7" w:rsidRPr="004B3AC3" w:rsidRDefault="004C54F7" w:rsidP="00870306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4B3AC3">
        <w:rPr>
          <w:rFonts w:asciiTheme="majorBidi" w:hAnsiTheme="majorBidi" w:cstheme="majorBidi"/>
          <w:sz w:val="24"/>
          <w:szCs w:val="24"/>
        </w:rPr>
        <w:t xml:space="preserve">Comparé à son niveau au même mois de l’année précédente, l’indice des prix à la consommation a </w:t>
      </w:r>
      <w:r w:rsidR="00870306" w:rsidRPr="004B3AC3">
        <w:rPr>
          <w:rFonts w:asciiTheme="majorBidi" w:hAnsiTheme="majorBidi" w:cstheme="majorBidi"/>
          <w:sz w:val="24"/>
          <w:szCs w:val="24"/>
        </w:rPr>
        <w:t xml:space="preserve">grimpé </w:t>
      </w:r>
      <w:r w:rsidRPr="004B3AC3">
        <w:rPr>
          <w:rFonts w:asciiTheme="majorBidi" w:hAnsiTheme="majorBidi" w:cstheme="majorBidi"/>
          <w:sz w:val="24"/>
          <w:szCs w:val="24"/>
        </w:rPr>
        <w:t xml:space="preserve"> de </w:t>
      </w:r>
      <w:r w:rsidR="00870306" w:rsidRPr="004B3AC3">
        <w:rPr>
          <w:rFonts w:asciiTheme="majorBidi" w:hAnsiTheme="majorBidi" w:cstheme="majorBidi"/>
          <w:sz w:val="24"/>
          <w:szCs w:val="24"/>
        </w:rPr>
        <w:t>3</w:t>
      </w:r>
      <w:r w:rsidRPr="004B3AC3">
        <w:rPr>
          <w:rFonts w:asciiTheme="majorBidi" w:hAnsiTheme="majorBidi" w:cstheme="majorBidi"/>
          <w:sz w:val="24"/>
          <w:szCs w:val="24"/>
        </w:rPr>
        <w:t>,</w:t>
      </w:r>
      <w:r w:rsidR="00870306" w:rsidRPr="004B3AC3">
        <w:rPr>
          <w:rFonts w:asciiTheme="majorBidi" w:hAnsiTheme="majorBidi" w:cstheme="majorBidi"/>
          <w:sz w:val="24"/>
          <w:szCs w:val="24"/>
        </w:rPr>
        <w:t>6</w:t>
      </w:r>
      <w:r w:rsidRPr="004B3AC3">
        <w:rPr>
          <w:rFonts w:asciiTheme="majorBidi" w:hAnsiTheme="majorBidi" w:cstheme="majorBidi"/>
          <w:sz w:val="24"/>
          <w:szCs w:val="24"/>
        </w:rPr>
        <w:t>%</w:t>
      </w:r>
      <w:r w:rsidR="00201C28" w:rsidRPr="004B3AC3">
        <w:rPr>
          <w:rFonts w:asciiTheme="majorBidi" w:hAnsiTheme="majorBidi" w:cstheme="majorBidi"/>
          <w:sz w:val="24"/>
          <w:szCs w:val="24"/>
        </w:rPr>
        <w:t xml:space="preserve"> contre </w:t>
      </w:r>
      <w:r w:rsidR="00870306" w:rsidRPr="004B3AC3">
        <w:rPr>
          <w:rFonts w:asciiTheme="majorBidi" w:hAnsiTheme="majorBidi" w:cstheme="majorBidi"/>
          <w:sz w:val="24"/>
          <w:szCs w:val="24"/>
        </w:rPr>
        <w:t xml:space="preserve">3,1% </w:t>
      </w:r>
      <w:r w:rsidR="00201C28" w:rsidRPr="004B3AC3">
        <w:rPr>
          <w:rFonts w:asciiTheme="majorBidi" w:hAnsiTheme="majorBidi" w:cstheme="majorBidi"/>
          <w:sz w:val="24"/>
          <w:szCs w:val="24"/>
        </w:rPr>
        <w:t xml:space="preserve"> pour </w:t>
      </w:r>
      <w:r w:rsidR="0088736E" w:rsidRPr="004B3AC3">
        <w:rPr>
          <w:rFonts w:asciiTheme="majorBidi" w:hAnsiTheme="majorBidi" w:cstheme="majorBidi"/>
          <w:sz w:val="24"/>
          <w:szCs w:val="24"/>
        </w:rPr>
        <w:t>la moyenne nationale</w:t>
      </w:r>
      <w:r w:rsidR="00201C28" w:rsidRPr="004B3AC3">
        <w:rPr>
          <w:rFonts w:asciiTheme="majorBidi" w:hAnsiTheme="majorBidi" w:cstheme="majorBidi"/>
          <w:sz w:val="24"/>
          <w:szCs w:val="24"/>
        </w:rPr>
        <w:t xml:space="preserve">. Ceci, résulte de la </w:t>
      </w:r>
      <w:r w:rsidR="00870306" w:rsidRPr="004B3AC3">
        <w:rPr>
          <w:rFonts w:asciiTheme="majorBidi" w:hAnsiTheme="majorBidi" w:cstheme="majorBidi"/>
          <w:sz w:val="24"/>
          <w:szCs w:val="24"/>
        </w:rPr>
        <w:t>hausse</w:t>
      </w:r>
      <w:r w:rsidR="00201C28" w:rsidRPr="004B3AC3">
        <w:rPr>
          <w:rFonts w:asciiTheme="majorBidi" w:hAnsiTheme="majorBidi" w:cstheme="majorBidi"/>
          <w:sz w:val="24"/>
          <w:szCs w:val="24"/>
        </w:rPr>
        <w:t xml:space="preserve"> des prix des produits alimentaires de </w:t>
      </w:r>
      <w:r w:rsidR="00870306" w:rsidRPr="004B3AC3">
        <w:rPr>
          <w:rFonts w:asciiTheme="majorBidi" w:hAnsiTheme="majorBidi" w:cstheme="majorBidi"/>
          <w:sz w:val="24"/>
          <w:szCs w:val="24"/>
        </w:rPr>
        <w:t>5,6</w:t>
      </w:r>
      <w:r w:rsidR="00201C28" w:rsidRPr="004B3AC3">
        <w:rPr>
          <w:rFonts w:asciiTheme="majorBidi" w:hAnsiTheme="majorBidi" w:cstheme="majorBidi"/>
          <w:sz w:val="24"/>
          <w:szCs w:val="24"/>
        </w:rPr>
        <w:t xml:space="preserve">% et </w:t>
      </w:r>
      <w:r w:rsidR="00870306" w:rsidRPr="004B3AC3">
        <w:rPr>
          <w:rFonts w:asciiTheme="majorBidi" w:hAnsiTheme="majorBidi" w:cstheme="majorBidi"/>
          <w:sz w:val="24"/>
          <w:szCs w:val="24"/>
        </w:rPr>
        <w:t>de ceux</w:t>
      </w:r>
      <w:r w:rsidR="00201C28" w:rsidRPr="004B3AC3">
        <w:rPr>
          <w:rFonts w:asciiTheme="majorBidi" w:hAnsiTheme="majorBidi" w:cstheme="majorBidi"/>
          <w:sz w:val="24"/>
          <w:szCs w:val="24"/>
        </w:rPr>
        <w:t xml:space="preserve"> des produits non alimentaires</w:t>
      </w:r>
      <w:r w:rsidR="003C3AFE" w:rsidRPr="004B3AC3">
        <w:rPr>
          <w:rFonts w:asciiTheme="majorBidi" w:hAnsiTheme="majorBidi" w:cstheme="majorBidi"/>
          <w:sz w:val="24"/>
          <w:szCs w:val="24"/>
        </w:rPr>
        <w:t xml:space="preserve"> de </w:t>
      </w:r>
      <w:r w:rsidR="00870306" w:rsidRPr="004B3AC3">
        <w:rPr>
          <w:rFonts w:asciiTheme="majorBidi" w:hAnsiTheme="majorBidi" w:cstheme="majorBidi"/>
          <w:sz w:val="24"/>
          <w:szCs w:val="24"/>
        </w:rPr>
        <w:t>2</w:t>
      </w:r>
      <w:r w:rsidR="003C3AFE" w:rsidRPr="004B3AC3">
        <w:rPr>
          <w:rFonts w:asciiTheme="majorBidi" w:hAnsiTheme="majorBidi" w:cstheme="majorBidi"/>
          <w:sz w:val="24"/>
          <w:szCs w:val="24"/>
        </w:rPr>
        <w:t>,</w:t>
      </w:r>
      <w:r w:rsidR="00870306" w:rsidRPr="004B3AC3">
        <w:rPr>
          <w:rFonts w:asciiTheme="majorBidi" w:hAnsiTheme="majorBidi" w:cstheme="majorBidi"/>
          <w:sz w:val="24"/>
          <w:szCs w:val="24"/>
        </w:rPr>
        <w:t>1</w:t>
      </w:r>
      <w:r w:rsidR="003C3AFE" w:rsidRPr="004B3AC3">
        <w:rPr>
          <w:rFonts w:asciiTheme="majorBidi" w:hAnsiTheme="majorBidi" w:cstheme="majorBidi"/>
          <w:sz w:val="24"/>
          <w:szCs w:val="24"/>
        </w:rPr>
        <w:t>%.</w:t>
      </w:r>
      <w:r w:rsidR="00201C28" w:rsidRPr="004B3AC3">
        <w:rPr>
          <w:rFonts w:asciiTheme="majorBidi" w:hAnsiTheme="majorBidi" w:cstheme="majorBidi"/>
          <w:sz w:val="24"/>
          <w:szCs w:val="24"/>
        </w:rPr>
        <w:t xml:space="preserve"> </w:t>
      </w:r>
    </w:p>
    <w:p w:rsidR="00146F72" w:rsidRPr="004B3AC3" w:rsidRDefault="00C52B13" w:rsidP="00A42716">
      <w:pPr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 w:rsidRPr="004B3AC3">
        <w:rPr>
          <w:rFonts w:asciiTheme="majorBidi" w:hAnsiTheme="majorBidi" w:cstheme="majorBidi"/>
          <w:sz w:val="24"/>
          <w:szCs w:val="24"/>
        </w:rPr>
        <w:t xml:space="preserve">Les produits alimentaires touchés par </w:t>
      </w:r>
      <w:r w:rsidR="00442FD4" w:rsidRPr="004B3AC3">
        <w:rPr>
          <w:rFonts w:asciiTheme="majorBidi" w:hAnsiTheme="majorBidi" w:cstheme="majorBidi"/>
          <w:sz w:val="24"/>
          <w:szCs w:val="24"/>
        </w:rPr>
        <w:t>une</w:t>
      </w:r>
      <w:r w:rsidRPr="004B3AC3">
        <w:rPr>
          <w:rFonts w:asciiTheme="majorBidi" w:hAnsiTheme="majorBidi" w:cstheme="majorBidi"/>
          <w:sz w:val="24"/>
          <w:szCs w:val="24"/>
        </w:rPr>
        <w:t xml:space="preserve"> hausse</w:t>
      </w:r>
      <w:r w:rsidR="00442FD4" w:rsidRPr="004B3AC3">
        <w:rPr>
          <w:rFonts w:asciiTheme="majorBidi" w:hAnsiTheme="majorBidi" w:cstheme="majorBidi"/>
          <w:sz w:val="24"/>
          <w:szCs w:val="24"/>
        </w:rPr>
        <w:t xml:space="preserve"> significative </w:t>
      </w:r>
      <w:r w:rsidRPr="004B3AC3">
        <w:rPr>
          <w:rFonts w:asciiTheme="majorBidi" w:hAnsiTheme="majorBidi" w:cstheme="majorBidi"/>
          <w:sz w:val="24"/>
          <w:szCs w:val="24"/>
        </w:rPr>
        <w:t xml:space="preserve">des prix </w:t>
      </w:r>
      <w:r w:rsidR="00442FD4" w:rsidRPr="004B3AC3">
        <w:rPr>
          <w:rFonts w:asciiTheme="majorBidi" w:hAnsiTheme="majorBidi" w:cstheme="majorBidi"/>
          <w:sz w:val="24"/>
          <w:szCs w:val="24"/>
        </w:rPr>
        <w:t>entre janvier 202</w:t>
      </w:r>
      <w:r w:rsidR="00C25E9A" w:rsidRPr="004B3AC3">
        <w:rPr>
          <w:rFonts w:asciiTheme="majorBidi" w:hAnsiTheme="majorBidi" w:cstheme="majorBidi"/>
          <w:sz w:val="24"/>
          <w:szCs w:val="24"/>
        </w:rPr>
        <w:t>2</w:t>
      </w:r>
      <w:r w:rsidR="00442FD4" w:rsidRPr="004B3AC3">
        <w:rPr>
          <w:rFonts w:asciiTheme="majorBidi" w:hAnsiTheme="majorBidi" w:cstheme="majorBidi"/>
          <w:sz w:val="24"/>
          <w:szCs w:val="24"/>
        </w:rPr>
        <w:t xml:space="preserve"> et le même mois de l’année </w:t>
      </w:r>
      <w:r w:rsidR="00C25E9A" w:rsidRPr="004B3AC3">
        <w:rPr>
          <w:rFonts w:asciiTheme="majorBidi" w:hAnsiTheme="majorBidi" w:cstheme="majorBidi"/>
          <w:sz w:val="24"/>
          <w:szCs w:val="24"/>
        </w:rPr>
        <w:t>précédente</w:t>
      </w:r>
      <w:r w:rsidR="00442FD4" w:rsidRPr="004B3AC3">
        <w:rPr>
          <w:rFonts w:asciiTheme="majorBidi" w:hAnsiTheme="majorBidi" w:cstheme="majorBidi"/>
          <w:sz w:val="24"/>
          <w:szCs w:val="24"/>
        </w:rPr>
        <w:t>,</w:t>
      </w:r>
      <w:r w:rsidRPr="004B3AC3">
        <w:rPr>
          <w:rFonts w:asciiTheme="majorBidi" w:hAnsiTheme="majorBidi" w:cstheme="majorBidi"/>
          <w:sz w:val="24"/>
          <w:szCs w:val="24"/>
        </w:rPr>
        <w:t xml:space="preserve"> sont :</w:t>
      </w:r>
      <w:r w:rsidR="00442FD4" w:rsidRPr="004B3AC3">
        <w:rPr>
          <w:rFonts w:asciiTheme="majorBidi" w:hAnsiTheme="majorBidi" w:cstheme="majorBidi"/>
          <w:sz w:val="24"/>
          <w:szCs w:val="24"/>
        </w:rPr>
        <w:t xml:space="preserve"> les </w:t>
      </w:r>
      <w:r w:rsidR="00442FD4" w:rsidRPr="004B3AC3">
        <w:rPr>
          <w:rFonts w:asciiTheme="majorBidi" w:hAnsiTheme="majorBidi" w:cstheme="majorBidi"/>
          <w:sz w:val="22"/>
          <w:szCs w:val="22"/>
        </w:rPr>
        <w:t>"</w:t>
      </w:r>
      <w:r w:rsidR="00C25E9A" w:rsidRPr="004B3AC3">
        <w:rPr>
          <w:rFonts w:asciiTheme="majorBidi" w:hAnsiTheme="majorBidi" w:cstheme="majorBidi"/>
          <w:sz w:val="24"/>
          <w:szCs w:val="24"/>
        </w:rPr>
        <w:t>Huiles et graisses</w:t>
      </w:r>
      <w:r w:rsidR="00442FD4" w:rsidRPr="004B3AC3">
        <w:rPr>
          <w:rFonts w:asciiTheme="majorBidi" w:hAnsiTheme="majorBidi" w:cstheme="majorBidi"/>
          <w:sz w:val="22"/>
          <w:szCs w:val="22"/>
        </w:rPr>
        <w:t>"</w:t>
      </w:r>
      <w:r w:rsidR="00442FD4" w:rsidRPr="004B3AC3">
        <w:rPr>
          <w:rFonts w:asciiTheme="majorBidi" w:hAnsiTheme="majorBidi" w:cstheme="majorBidi"/>
          <w:sz w:val="24"/>
          <w:szCs w:val="24"/>
        </w:rPr>
        <w:t xml:space="preserve"> avec 2</w:t>
      </w:r>
      <w:r w:rsidR="00C25E9A" w:rsidRPr="004B3AC3">
        <w:rPr>
          <w:rFonts w:asciiTheme="majorBidi" w:hAnsiTheme="majorBidi" w:cstheme="majorBidi"/>
          <w:sz w:val="24"/>
          <w:szCs w:val="24"/>
        </w:rPr>
        <w:t>1</w:t>
      </w:r>
      <w:r w:rsidR="00442FD4" w:rsidRPr="004B3AC3">
        <w:rPr>
          <w:rFonts w:asciiTheme="majorBidi" w:hAnsiTheme="majorBidi" w:cstheme="majorBidi"/>
          <w:sz w:val="24"/>
          <w:szCs w:val="24"/>
        </w:rPr>
        <w:t xml:space="preserve">%, le </w:t>
      </w:r>
      <w:r w:rsidR="00442FD4" w:rsidRPr="004B3AC3">
        <w:rPr>
          <w:rFonts w:asciiTheme="majorBidi" w:hAnsiTheme="majorBidi" w:cstheme="majorBidi"/>
          <w:sz w:val="22"/>
          <w:szCs w:val="22"/>
        </w:rPr>
        <w:t>"</w:t>
      </w:r>
      <w:r w:rsidR="00C25E9A" w:rsidRPr="004B3AC3">
        <w:rPr>
          <w:rFonts w:asciiTheme="majorBidi" w:hAnsiTheme="majorBidi" w:cstheme="majorBidi"/>
          <w:sz w:val="24"/>
          <w:szCs w:val="24"/>
        </w:rPr>
        <w:t>Pain et céréales</w:t>
      </w:r>
      <w:r w:rsidR="00442FD4" w:rsidRPr="004B3AC3">
        <w:rPr>
          <w:rFonts w:asciiTheme="majorBidi" w:hAnsiTheme="majorBidi" w:cstheme="majorBidi"/>
          <w:sz w:val="22"/>
          <w:szCs w:val="22"/>
        </w:rPr>
        <w:t>"</w:t>
      </w:r>
      <w:r w:rsidR="00442FD4" w:rsidRPr="004B3AC3">
        <w:rPr>
          <w:rFonts w:asciiTheme="majorBidi" w:hAnsiTheme="majorBidi" w:cstheme="majorBidi"/>
          <w:sz w:val="24"/>
          <w:szCs w:val="24"/>
        </w:rPr>
        <w:t xml:space="preserve"> avec </w:t>
      </w:r>
      <w:r w:rsidR="00C25E9A" w:rsidRPr="004B3AC3">
        <w:rPr>
          <w:rFonts w:asciiTheme="majorBidi" w:hAnsiTheme="majorBidi" w:cstheme="majorBidi"/>
          <w:sz w:val="24"/>
          <w:szCs w:val="24"/>
        </w:rPr>
        <w:t>16,3</w:t>
      </w:r>
      <w:r w:rsidR="00442FD4" w:rsidRPr="004B3AC3">
        <w:rPr>
          <w:rFonts w:asciiTheme="majorBidi" w:hAnsiTheme="majorBidi" w:cstheme="majorBidi"/>
          <w:sz w:val="24"/>
          <w:szCs w:val="24"/>
        </w:rPr>
        <w:t xml:space="preserve">%, </w:t>
      </w:r>
      <w:r w:rsidR="00C25E9A" w:rsidRPr="004B3AC3">
        <w:rPr>
          <w:rFonts w:asciiTheme="majorBidi" w:hAnsiTheme="majorBidi" w:cstheme="majorBidi"/>
          <w:sz w:val="24"/>
          <w:szCs w:val="24"/>
        </w:rPr>
        <w:t xml:space="preserve">les </w:t>
      </w:r>
      <w:r w:rsidR="00C25E9A" w:rsidRPr="004B3AC3">
        <w:rPr>
          <w:rFonts w:asciiTheme="majorBidi" w:hAnsiTheme="majorBidi" w:cstheme="majorBidi"/>
          <w:sz w:val="22"/>
          <w:szCs w:val="22"/>
        </w:rPr>
        <w:t>"</w:t>
      </w:r>
      <w:r w:rsidR="00C25E9A" w:rsidRPr="004B3AC3">
        <w:rPr>
          <w:rFonts w:asciiTheme="majorBidi" w:hAnsiTheme="majorBidi" w:cstheme="majorBidi"/>
          <w:sz w:val="24"/>
          <w:szCs w:val="24"/>
        </w:rPr>
        <w:t>Viandes</w:t>
      </w:r>
      <w:r w:rsidR="00C25E9A" w:rsidRPr="004B3AC3">
        <w:rPr>
          <w:rFonts w:asciiTheme="majorBidi" w:hAnsiTheme="majorBidi" w:cstheme="majorBidi"/>
          <w:sz w:val="22"/>
          <w:szCs w:val="22"/>
        </w:rPr>
        <w:t>"</w:t>
      </w:r>
      <w:r w:rsidR="00C25E9A" w:rsidRPr="004B3AC3">
        <w:rPr>
          <w:rFonts w:asciiTheme="majorBidi" w:hAnsiTheme="majorBidi" w:cstheme="majorBidi"/>
          <w:sz w:val="24"/>
          <w:szCs w:val="24"/>
        </w:rPr>
        <w:t xml:space="preserve"> avec 5,8%,  </w:t>
      </w:r>
      <w:r w:rsidR="00442FD4" w:rsidRPr="004B3AC3">
        <w:rPr>
          <w:rFonts w:asciiTheme="majorBidi" w:hAnsiTheme="majorBidi" w:cstheme="majorBidi"/>
          <w:sz w:val="24"/>
          <w:szCs w:val="24"/>
        </w:rPr>
        <w:t xml:space="preserve">les </w:t>
      </w:r>
      <w:r w:rsidR="00C25E9A" w:rsidRPr="004B3AC3">
        <w:rPr>
          <w:rFonts w:asciiTheme="majorBidi" w:hAnsiTheme="majorBidi" w:cstheme="majorBidi"/>
          <w:sz w:val="22"/>
          <w:szCs w:val="22"/>
        </w:rPr>
        <w:t>"</w:t>
      </w:r>
      <w:r w:rsidR="00C25E9A" w:rsidRPr="004B3AC3">
        <w:rPr>
          <w:rFonts w:ascii="Times New Roman" w:hAnsi="Times New Roman"/>
          <w:spacing w:val="0"/>
          <w:sz w:val="24"/>
          <w:szCs w:val="24"/>
          <w:lang w:eastAsia="fr-FR"/>
        </w:rPr>
        <w:t>Sucre, confiture, miel, chocolat et confiserie</w:t>
      </w:r>
      <w:r w:rsidR="00C25E9A" w:rsidRPr="004B3AC3">
        <w:rPr>
          <w:rFonts w:asciiTheme="majorBidi" w:hAnsiTheme="majorBidi" w:cstheme="majorBidi"/>
          <w:sz w:val="22"/>
          <w:szCs w:val="22"/>
        </w:rPr>
        <w:t>" avec 3,9% et le Tabac avec 3,4%.</w:t>
      </w:r>
      <w:r w:rsidR="00442FD4" w:rsidRPr="004B3AC3">
        <w:rPr>
          <w:rFonts w:asciiTheme="majorBidi" w:hAnsiTheme="majorBidi" w:cstheme="majorBidi"/>
          <w:sz w:val="22"/>
          <w:szCs w:val="22"/>
        </w:rPr>
        <w:t>"</w:t>
      </w:r>
      <w:r w:rsidR="00442FD4" w:rsidRPr="004B3AC3">
        <w:rPr>
          <w:rFonts w:ascii="Times New Roman" w:hAnsi="Times New Roman"/>
          <w:spacing w:val="0"/>
          <w:sz w:val="22"/>
          <w:szCs w:val="22"/>
          <w:lang w:eastAsia="fr-FR"/>
        </w:rPr>
        <w:t>.</w:t>
      </w:r>
      <w:r w:rsidR="00146F72" w:rsidRPr="004B3AC3">
        <w:rPr>
          <w:rFonts w:ascii="Times New Roman" w:hAnsi="Times New Roman"/>
          <w:spacing w:val="0"/>
          <w:sz w:val="22"/>
          <w:szCs w:val="22"/>
          <w:lang w:eastAsia="fr-FR"/>
        </w:rPr>
        <w:t xml:space="preserve"> Tandis que les classes de produits qui ont vu leurs prix baisser au cours de la même période sont les </w:t>
      </w:r>
      <w:r w:rsidR="00146F72" w:rsidRPr="004B3AC3">
        <w:rPr>
          <w:rFonts w:asciiTheme="majorBidi" w:hAnsiTheme="majorBidi" w:cstheme="majorBidi"/>
          <w:sz w:val="22"/>
          <w:szCs w:val="22"/>
        </w:rPr>
        <w:t>"</w:t>
      </w:r>
      <w:r w:rsidR="00A42716" w:rsidRPr="004B3AC3">
        <w:rPr>
          <w:rFonts w:ascii="Times New Roman" w:hAnsi="Times New Roman"/>
          <w:spacing w:val="0"/>
          <w:sz w:val="22"/>
          <w:szCs w:val="22"/>
          <w:lang w:eastAsia="fr-FR"/>
        </w:rPr>
        <w:t>Fruits</w:t>
      </w:r>
      <w:r w:rsidR="00146F72" w:rsidRPr="004B3AC3">
        <w:rPr>
          <w:rFonts w:asciiTheme="majorBidi" w:hAnsiTheme="majorBidi" w:cstheme="majorBidi"/>
          <w:sz w:val="22"/>
          <w:szCs w:val="22"/>
        </w:rPr>
        <w:t>"</w:t>
      </w:r>
      <w:r w:rsidR="00146F72" w:rsidRPr="004B3AC3">
        <w:rPr>
          <w:rFonts w:ascii="Times New Roman" w:hAnsi="Times New Roman"/>
          <w:spacing w:val="0"/>
          <w:sz w:val="22"/>
          <w:szCs w:val="22"/>
          <w:lang w:eastAsia="fr-FR"/>
        </w:rPr>
        <w:t xml:space="preserve"> avec </w:t>
      </w:r>
      <w:r w:rsidR="00A42716" w:rsidRPr="004B3AC3">
        <w:rPr>
          <w:rFonts w:ascii="Times New Roman" w:hAnsi="Times New Roman"/>
          <w:spacing w:val="0"/>
          <w:sz w:val="22"/>
          <w:szCs w:val="22"/>
          <w:lang w:eastAsia="fr-FR"/>
        </w:rPr>
        <w:t>(</w:t>
      </w:r>
      <w:r w:rsidR="00146F72" w:rsidRPr="004B3AC3">
        <w:rPr>
          <w:rFonts w:ascii="Times New Roman" w:hAnsi="Times New Roman"/>
          <w:spacing w:val="0"/>
          <w:sz w:val="22"/>
          <w:szCs w:val="22"/>
          <w:lang w:eastAsia="fr-FR"/>
        </w:rPr>
        <w:t>-</w:t>
      </w:r>
      <w:r w:rsidR="00A42716" w:rsidRPr="004B3AC3">
        <w:rPr>
          <w:rFonts w:ascii="Times New Roman" w:hAnsi="Times New Roman"/>
          <w:spacing w:val="0"/>
          <w:sz w:val="22"/>
          <w:szCs w:val="22"/>
          <w:lang w:eastAsia="fr-FR"/>
        </w:rPr>
        <w:t>12</w:t>
      </w:r>
      <w:r w:rsidR="00146F72" w:rsidRPr="004B3AC3">
        <w:rPr>
          <w:rFonts w:ascii="Times New Roman" w:hAnsi="Times New Roman"/>
          <w:spacing w:val="0"/>
          <w:sz w:val="22"/>
          <w:szCs w:val="22"/>
          <w:lang w:eastAsia="fr-FR"/>
        </w:rPr>
        <w:t>,</w:t>
      </w:r>
      <w:r w:rsidR="00A42716" w:rsidRPr="004B3AC3">
        <w:rPr>
          <w:rFonts w:ascii="Times New Roman" w:hAnsi="Times New Roman"/>
          <w:spacing w:val="0"/>
          <w:sz w:val="22"/>
          <w:szCs w:val="22"/>
          <w:lang w:eastAsia="fr-FR"/>
        </w:rPr>
        <w:t>9</w:t>
      </w:r>
      <w:r w:rsidR="00146F72" w:rsidRPr="004B3AC3">
        <w:rPr>
          <w:rFonts w:ascii="Times New Roman" w:hAnsi="Times New Roman"/>
          <w:spacing w:val="0"/>
          <w:sz w:val="22"/>
          <w:szCs w:val="22"/>
          <w:lang w:eastAsia="fr-FR"/>
        </w:rPr>
        <w:t>%</w:t>
      </w:r>
      <w:r w:rsidR="00A42716" w:rsidRPr="004B3AC3">
        <w:rPr>
          <w:rFonts w:ascii="Times New Roman" w:hAnsi="Times New Roman"/>
          <w:spacing w:val="0"/>
          <w:sz w:val="22"/>
          <w:szCs w:val="22"/>
          <w:lang w:eastAsia="fr-FR"/>
        </w:rPr>
        <w:t>)</w:t>
      </w:r>
      <w:r w:rsidR="00146F72" w:rsidRPr="004B3AC3">
        <w:rPr>
          <w:rFonts w:ascii="Times New Roman" w:hAnsi="Times New Roman"/>
          <w:spacing w:val="0"/>
          <w:sz w:val="22"/>
          <w:szCs w:val="22"/>
          <w:lang w:eastAsia="fr-FR"/>
        </w:rPr>
        <w:t xml:space="preserve">, les </w:t>
      </w:r>
      <w:r w:rsidR="00146F72" w:rsidRPr="004B3AC3">
        <w:rPr>
          <w:rFonts w:asciiTheme="majorBidi" w:hAnsiTheme="majorBidi" w:cstheme="majorBidi"/>
          <w:sz w:val="22"/>
          <w:szCs w:val="22"/>
        </w:rPr>
        <w:t>"</w:t>
      </w:r>
      <w:r w:rsidR="00A42716" w:rsidRPr="004B3AC3">
        <w:rPr>
          <w:rFonts w:asciiTheme="majorBidi" w:hAnsiTheme="majorBidi" w:cstheme="majorBidi"/>
          <w:sz w:val="22"/>
          <w:szCs w:val="22"/>
        </w:rPr>
        <w:t>E</w:t>
      </w:r>
      <w:r w:rsidR="00A42716" w:rsidRPr="004B3AC3">
        <w:rPr>
          <w:rFonts w:ascii="Times New Roman" w:hAnsi="Times New Roman"/>
          <w:spacing w:val="0"/>
          <w:sz w:val="24"/>
          <w:szCs w:val="24"/>
          <w:lang w:eastAsia="fr-FR"/>
        </w:rPr>
        <w:t xml:space="preserve">aux minérales, boissons rafraichissantes, jus de fruits et de légumes </w:t>
      </w:r>
      <w:r w:rsidR="00A42716" w:rsidRPr="004B3AC3">
        <w:rPr>
          <w:rFonts w:asciiTheme="majorBidi" w:hAnsiTheme="majorBidi" w:cstheme="majorBidi"/>
          <w:sz w:val="22"/>
          <w:szCs w:val="22"/>
        </w:rPr>
        <w:t>"</w:t>
      </w:r>
      <w:r w:rsidR="00A42716" w:rsidRPr="004B3AC3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  <w:r w:rsidR="00146F72" w:rsidRPr="004B3AC3">
        <w:rPr>
          <w:rFonts w:ascii="Times New Roman" w:hAnsi="Times New Roman"/>
          <w:spacing w:val="0"/>
          <w:sz w:val="22"/>
          <w:szCs w:val="22"/>
          <w:lang w:eastAsia="fr-FR"/>
        </w:rPr>
        <w:t xml:space="preserve">avec </w:t>
      </w:r>
      <w:r w:rsidR="00A42716" w:rsidRPr="004B3AC3">
        <w:rPr>
          <w:rFonts w:ascii="Times New Roman" w:hAnsi="Times New Roman"/>
          <w:spacing w:val="0"/>
          <w:sz w:val="22"/>
          <w:szCs w:val="22"/>
          <w:lang w:eastAsia="fr-FR"/>
        </w:rPr>
        <w:t>(</w:t>
      </w:r>
      <w:r w:rsidR="00146F72" w:rsidRPr="004B3AC3">
        <w:rPr>
          <w:rFonts w:ascii="Times New Roman" w:hAnsi="Times New Roman"/>
          <w:spacing w:val="0"/>
          <w:sz w:val="22"/>
          <w:szCs w:val="22"/>
          <w:lang w:eastAsia="fr-FR"/>
        </w:rPr>
        <w:t>-</w:t>
      </w:r>
      <w:r w:rsidR="00A42716" w:rsidRPr="004B3AC3">
        <w:rPr>
          <w:rFonts w:ascii="Times New Roman" w:hAnsi="Times New Roman"/>
          <w:spacing w:val="0"/>
          <w:sz w:val="22"/>
          <w:szCs w:val="22"/>
          <w:lang w:eastAsia="fr-FR"/>
        </w:rPr>
        <w:t>2</w:t>
      </w:r>
      <w:r w:rsidR="00146F72" w:rsidRPr="004B3AC3">
        <w:rPr>
          <w:rFonts w:ascii="Times New Roman" w:hAnsi="Times New Roman"/>
          <w:spacing w:val="0"/>
          <w:sz w:val="22"/>
          <w:szCs w:val="22"/>
          <w:lang w:eastAsia="fr-FR"/>
        </w:rPr>
        <w:t>,</w:t>
      </w:r>
      <w:r w:rsidR="00A42716" w:rsidRPr="004B3AC3">
        <w:rPr>
          <w:rFonts w:ascii="Times New Roman" w:hAnsi="Times New Roman"/>
          <w:spacing w:val="0"/>
          <w:sz w:val="22"/>
          <w:szCs w:val="22"/>
          <w:lang w:eastAsia="fr-FR"/>
        </w:rPr>
        <w:t>5</w:t>
      </w:r>
      <w:r w:rsidR="00146F72" w:rsidRPr="004B3AC3">
        <w:rPr>
          <w:rFonts w:ascii="Times New Roman" w:hAnsi="Times New Roman"/>
          <w:spacing w:val="0"/>
          <w:sz w:val="22"/>
          <w:szCs w:val="22"/>
          <w:lang w:eastAsia="fr-FR"/>
        </w:rPr>
        <w:t>%</w:t>
      </w:r>
      <w:r w:rsidR="00A42716" w:rsidRPr="004B3AC3">
        <w:rPr>
          <w:rFonts w:ascii="Times New Roman" w:hAnsi="Times New Roman"/>
          <w:spacing w:val="0"/>
          <w:sz w:val="22"/>
          <w:szCs w:val="22"/>
          <w:lang w:eastAsia="fr-FR"/>
        </w:rPr>
        <w:t>)</w:t>
      </w:r>
      <w:r w:rsidR="00146F72" w:rsidRPr="004B3AC3">
        <w:rPr>
          <w:rFonts w:ascii="Times New Roman" w:hAnsi="Times New Roman"/>
          <w:spacing w:val="0"/>
          <w:sz w:val="22"/>
          <w:szCs w:val="22"/>
          <w:lang w:eastAsia="fr-FR"/>
        </w:rPr>
        <w:t xml:space="preserve"> et les </w:t>
      </w:r>
      <w:r w:rsidR="00146F72" w:rsidRPr="004B3AC3">
        <w:rPr>
          <w:rFonts w:asciiTheme="majorBidi" w:hAnsiTheme="majorBidi" w:cstheme="majorBidi"/>
          <w:sz w:val="22"/>
          <w:szCs w:val="22"/>
        </w:rPr>
        <w:t>"</w:t>
      </w:r>
      <w:r w:rsidR="00A42716" w:rsidRPr="004B3AC3">
        <w:rPr>
          <w:rFonts w:asciiTheme="majorBidi" w:hAnsiTheme="majorBidi" w:cstheme="majorBidi"/>
          <w:sz w:val="22"/>
          <w:szCs w:val="22"/>
        </w:rPr>
        <w:t>P</w:t>
      </w:r>
      <w:r w:rsidR="00A42716" w:rsidRPr="004B3AC3">
        <w:rPr>
          <w:rFonts w:ascii="Times New Roman" w:hAnsi="Times New Roman"/>
          <w:spacing w:val="0"/>
          <w:sz w:val="24"/>
          <w:szCs w:val="24"/>
          <w:lang w:eastAsia="fr-FR"/>
        </w:rPr>
        <w:t>oisson et fruits de mer</w:t>
      </w:r>
      <w:r w:rsidR="00146F72" w:rsidRPr="004B3AC3">
        <w:rPr>
          <w:rFonts w:asciiTheme="majorBidi" w:hAnsiTheme="majorBidi" w:cstheme="majorBidi"/>
          <w:sz w:val="22"/>
          <w:szCs w:val="22"/>
        </w:rPr>
        <w:t>"</w:t>
      </w:r>
      <w:r w:rsidR="00146F72" w:rsidRPr="004B3AC3">
        <w:rPr>
          <w:rFonts w:ascii="Times New Roman" w:hAnsi="Times New Roman"/>
          <w:spacing w:val="0"/>
          <w:sz w:val="22"/>
          <w:szCs w:val="22"/>
          <w:lang w:eastAsia="fr-FR"/>
        </w:rPr>
        <w:t xml:space="preserve"> avec </w:t>
      </w:r>
      <w:r w:rsidR="00A42716" w:rsidRPr="004B3AC3">
        <w:rPr>
          <w:rFonts w:ascii="Times New Roman" w:hAnsi="Times New Roman"/>
          <w:spacing w:val="0"/>
          <w:sz w:val="22"/>
          <w:szCs w:val="22"/>
          <w:lang w:eastAsia="fr-FR"/>
        </w:rPr>
        <w:t>(</w:t>
      </w:r>
      <w:r w:rsidR="00146F72" w:rsidRPr="004B3AC3">
        <w:rPr>
          <w:rFonts w:ascii="Times New Roman" w:hAnsi="Times New Roman"/>
          <w:spacing w:val="0"/>
          <w:sz w:val="22"/>
          <w:szCs w:val="22"/>
          <w:lang w:eastAsia="fr-FR"/>
        </w:rPr>
        <w:t>-</w:t>
      </w:r>
      <w:r w:rsidR="00A42716" w:rsidRPr="004B3AC3">
        <w:rPr>
          <w:rFonts w:ascii="Times New Roman" w:hAnsi="Times New Roman"/>
          <w:spacing w:val="0"/>
          <w:sz w:val="22"/>
          <w:szCs w:val="22"/>
          <w:lang w:eastAsia="fr-FR"/>
        </w:rPr>
        <w:t>0,2</w:t>
      </w:r>
      <w:r w:rsidR="00146F72" w:rsidRPr="004B3AC3">
        <w:rPr>
          <w:rFonts w:ascii="Times New Roman" w:hAnsi="Times New Roman"/>
          <w:spacing w:val="0"/>
          <w:sz w:val="22"/>
          <w:szCs w:val="22"/>
          <w:lang w:eastAsia="fr-FR"/>
        </w:rPr>
        <w:t>%</w:t>
      </w:r>
      <w:r w:rsidR="00A42716" w:rsidRPr="004B3AC3">
        <w:rPr>
          <w:rFonts w:ascii="Times New Roman" w:hAnsi="Times New Roman"/>
          <w:spacing w:val="0"/>
          <w:sz w:val="22"/>
          <w:szCs w:val="22"/>
          <w:lang w:eastAsia="fr-FR"/>
        </w:rPr>
        <w:t>)</w:t>
      </w:r>
      <w:r w:rsidR="00146F72" w:rsidRPr="004B3AC3">
        <w:rPr>
          <w:rFonts w:ascii="Times New Roman" w:hAnsi="Times New Roman"/>
          <w:spacing w:val="0"/>
          <w:sz w:val="22"/>
          <w:szCs w:val="22"/>
          <w:lang w:eastAsia="fr-FR"/>
        </w:rPr>
        <w:t>.</w:t>
      </w:r>
    </w:p>
    <w:p w:rsidR="00A708BE" w:rsidRPr="004B3AC3" w:rsidRDefault="00A708BE" w:rsidP="000913AB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4B3AC3">
        <w:rPr>
          <w:rFonts w:ascii="Times New Roman" w:hAnsi="Times New Roman"/>
          <w:spacing w:val="0"/>
          <w:sz w:val="22"/>
          <w:szCs w:val="22"/>
          <w:lang w:eastAsia="fr-FR"/>
        </w:rPr>
        <w:t>Quant aux produits non alimentaires, la hausse de prix la plus élevée a été enregistrée par la division</w:t>
      </w:r>
      <w:r w:rsidRPr="004B3AC3">
        <w:rPr>
          <w:rFonts w:ascii="Times New Roman" w:hAnsi="Times New Roman"/>
          <w:b/>
          <w:bCs/>
          <w:spacing w:val="0"/>
          <w:sz w:val="16"/>
          <w:szCs w:val="16"/>
          <w:lang w:eastAsia="fr-FR"/>
        </w:rPr>
        <w:t xml:space="preserve"> </w:t>
      </w:r>
      <w:r w:rsidR="000913AB" w:rsidRPr="004B3AC3">
        <w:rPr>
          <w:rFonts w:ascii="Times New Roman" w:hAnsi="Times New Roman"/>
          <w:b/>
          <w:bCs/>
          <w:spacing w:val="0"/>
          <w:sz w:val="16"/>
          <w:szCs w:val="16"/>
          <w:lang w:eastAsia="fr-FR"/>
        </w:rPr>
        <w:t xml:space="preserve"> </w:t>
      </w:r>
      <w:r w:rsidR="000913AB" w:rsidRPr="004B3AC3">
        <w:rPr>
          <w:rFonts w:ascii="Times New Roman" w:hAnsi="Times New Roman"/>
          <w:spacing w:val="0"/>
          <w:sz w:val="24"/>
          <w:szCs w:val="24"/>
          <w:lang w:eastAsia="fr-FR"/>
        </w:rPr>
        <w:t xml:space="preserve">"Biens et services divers" avec 8,3%, suivie de celle des "Transports" avec 4,9%. Les autres hausses varient de 0,5% pour la division </w:t>
      </w:r>
      <w:r w:rsidRPr="004B3AC3">
        <w:rPr>
          <w:rFonts w:asciiTheme="majorBidi" w:hAnsiTheme="majorBidi" w:cstheme="majorBidi"/>
          <w:sz w:val="22"/>
          <w:szCs w:val="22"/>
        </w:rPr>
        <w:t>"</w:t>
      </w:r>
      <w:r w:rsidR="000913AB" w:rsidRPr="004B3AC3">
        <w:rPr>
          <w:rFonts w:ascii="Times New Roman" w:hAnsi="Times New Roman"/>
          <w:b/>
          <w:bCs/>
          <w:spacing w:val="0"/>
          <w:sz w:val="16"/>
          <w:szCs w:val="16"/>
          <w:lang w:eastAsia="fr-FR"/>
        </w:rPr>
        <w:t xml:space="preserve"> </w:t>
      </w:r>
      <w:r w:rsidR="000913AB" w:rsidRPr="004B3AC3">
        <w:rPr>
          <w:rFonts w:ascii="Times New Roman" w:hAnsi="Times New Roman"/>
          <w:spacing w:val="0"/>
          <w:sz w:val="24"/>
          <w:szCs w:val="24"/>
          <w:lang w:eastAsia="fr-FR"/>
        </w:rPr>
        <w:t>logement, eau, gaz, électricité et autres combustibles</w:t>
      </w:r>
      <w:r w:rsidR="000913AB" w:rsidRPr="004B3AC3">
        <w:rPr>
          <w:rFonts w:asciiTheme="majorBidi" w:hAnsiTheme="majorBidi" w:cstheme="majorBidi"/>
          <w:sz w:val="22"/>
          <w:szCs w:val="22"/>
        </w:rPr>
        <w:t>" à 2,9% pour</w:t>
      </w:r>
      <w:r w:rsidR="004B3AC3">
        <w:rPr>
          <w:rFonts w:asciiTheme="majorBidi" w:hAnsiTheme="majorBidi" w:cstheme="majorBidi"/>
          <w:sz w:val="22"/>
          <w:szCs w:val="22"/>
        </w:rPr>
        <w:t xml:space="preserve"> les </w:t>
      </w:r>
      <w:r w:rsidR="000913AB" w:rsidRPr="004B3AC3">
        <w:rPr>
          <w:rFonts w:asciiTheme="majorBidi" w:hAnsiTheme="majorBidi" w:cstheme="majorBidi"/>
          <w:sz w:val="22"/>
          <w:szCs w:val="22"/>
        </w:rPr>
        <w:t xml:space="preserve"> "Loisirs et culture".  </w:t>
      </w:r>
      <w:r w:rsidRPr="004B3AC3">
        <w:rPr>
          <w:rFonts w:asciiTheme="majorBidi" w:hAnsiTheme="majorBidi" w:cstheme="majorBidi"/>
          <w:sz w:val="22"/>
          <w:szCs w:val="22"/>
        </w:rPr>
        <w:t xml:space="preserve">A l’opposé, </w:t>
      </w:r>
      <w:r w:rsidR="000913AB" w:rsidRPr="004B3AC3">
        <w:rPr>
          <w:rFonts w:asciiTheme="majorBidi" w:hAnsiTheme="majorBidi" w:cstheme="majorBidi"/>
          <w:sz w:val="22"/>
          <w:szCs w:val="22"/>
        </w:rPr>
        <w:t>seule la Santé</w:t>
      </w:r>
      <w:r w:rsidRPr="004B3AC3">
        <w:rPr>
          <w:rFonts w:asciiTheme="majorBidi" w:hAnsiTheme="majorBidi" w:cstheme="majorBidi"/>
          <w:sz w:val="22"/>
          <w:szCs w:val="22"/>
        </w:rPr>
        <w:t xml:space="preserve"> </w:t>
      </w:r>
      <w:r w:rsidR="000913AB" w:rsidRPr="004B3AC3">
        <w:rPr>
          <w:rFonts w:asciiTheme="majorBidi" w:hAnsiTheme="majorBidi" w:cstheme="majorBidi"/>
          <w:sz w:val="22"/>
          <w:szCs w:val="22"/>
        </w:rPr>
        <w:t xml:space="preserve"> a connu une</w:t>
      </w:r>
      <w:r w:rsidRPr="004B3AC3">
        <w:rPr>
          <w:rFonts w:asciiTheme="majorBidi" w:hAnsiTheme="majorBidi" w:cstheme="majorBidi"/>
          <w:sz w:val="22"/>
          <w:szCs w:val="22"/>
        </w:rPr>
        <w:t xml:space="preserve"> </w:t>
      </w:r>
      <w:r w:rsidR="000913AB" w:rsidRPr="004B3AC3">
        <w:rPr>
          <w:rFonts w:asciiTheme="majorBidi" w:hAnsiTheme="majorBidi" w:cstheme="majorBidi"/>
          <w:sz w:val="22"/>
          <w:szCs w:val="22"/>
        </w:rPr>
        <w:t xml:space="preserve">baisse au sein de </w:t>
      </w:r>
      <w:r w:rsidRPr="004B3AC3">
        <w:rPr>
          <w:rFonts w:asciiTheme="majorBidi" w:hAnsiTheme="majorBidi" w:cstheme="majorBidi"/>
          <w:sz w:val="22"/>
          <w:szCs w:val="22"/>
        </w:rPr>
        <w:t xml:space="preserve">l’indice non alimentaire </w:t>
      </w:r>
      <w:r w:rsidR="000913AB" w:rsidRPr="004B3AC3">
        <w:rPr>
          <w:rFonts w:asciiTheme="majorBidi" w:hAnsiTheme="majorBidi" w:cstheme="majorBidi"/>
          <w:sz w:val="22"/>
          <w:szCs w:val="22"/>
        </w:rPr>
        <w:t>et qui est de</w:t>
      </w:r>
      <w:r w:rsidRPr="004B3AC3">
        <w:rPr>
          <w:rFonts w:asciiTheme="majorBidi" w:hAnsiTheme="majorBidi" w:cstheme="majorBidi"/>
          <w:sz w:val="22"/>
          <w:szCs w:val="22"/>
        </w:rPr>
        <w:t xml:space="preserve"> </w:t>
      </w:r>
      <w:r w:rsidR="004B3AC3">
        <w:rPr>
          <w:rFonts w:asciiTheme="majorBidi" w:hAnsiTheme="majorBidi" w:cstheme="majorBidi"/>
          <w:sz w:val="22"/>
          <w:szCs w:val="22"/>
        </w:rPr>
        <w:t xml:space="preserve">   </w:t>
      </w:r>
      <w:r w:rsidR="0040458D" w:rsidRPr="004B3AC3">
        <w:rPr>
          <w:rFonts w:asciiTheme="majorBidi" w:hAnsiTheme="majorBidi" w:cstheme="majorBidi"/>
          <w:sz w:val="22"/>
          <w:szCs w:val="22"/>
        </w:rPr>
        <w:t>(</w:t>
      </w:r>
      <w:r w:rsidRPr="004B3AC3">
        <w:rPr>
          <w:rFonts w:asciiTheme="majorBidi" w:hAnsiTheme="majorBidi" w:cstheme="majorBidi"/>
          <w:sz w:val="22"/>
          <w:szCs w:val="22"/>
        </w:rPr>
        <w:t>-</w:t>
      </w:r>
      <w:r w:rsidR="000913AB" w:rsidRPr="004B3AC3">
        <w:rPr>
          <w:rFonts w:asciiTheme="majorBidi" w:hAnsiTheme="majorBidi" w:cstheme="majorBidi"/>
          <w:sz w:val="22"/>
          <w:szCs w:val="22"/>
        </w:rPr>
        <w:t>0</w:t>
      </w:r>
      <w:r w:rsidRPr="004B3AC3">
        <w:rPr>
          <w:rFonts w:asciiTheme="majorBidi" w:hAnsiTheme="majorBidi" w:cstheme="majorBidi"/>
          <w:sz w:val="22"/>
          <w:szCs w:val="22"/>
        </w:rPr>
        <w:t>,</w:t>
      </w:r>
      <w:r w:rsidR="000913AB" w:rsidRPr="004B3AC3">
        <w:rPr>
          <w:rFonts w:asciiTheme="majorBidi" w:hAnsiTheme="majorBidi" w:cstheme="majorBidi"/>
          <w:sz w:val="22"/>
          <w:szCs w:val="22"/>
        </w:rPr>
        <w:t>4</w:t>
      </w:r>
      <w:r w:rsidRPr="004B3AC3">
        <w:rPr>
          <w:rFonts w:asciiTheme="majorBidi" w:hAnsiTheme="majorBidi" w:cstheme="majorBidi"/>
          <w:sz w:val="22"/>
          <w:szCs w:val="22"/>
        </w:rPr>
        <w:t>%</w:t>
      </w:r>
      <w:r w:rsidR="0040458D" w:rsidRPr="004B3AC3">
        <w:rPr>
          <w:rFonts w:asciiTheme="majorBidi" w:hAnsiTheme="majorBidi" w:cstheme="majorBidi"/>
          <w:sz w:val="22"/>
          <w:szCs w:val="22"/>
        </w:rPr>
        <w:t>)</w:t>
      </w:r>
      <w:r w:rsidRPr="004B3AC3">
        <w:rPr>
          <w:rFonts w:asciiTheme="majorBidi" w:hAnsiTheme="majorBidi" w:cstheme="majorBidi"/>
          <w:sz w:val="22"/>
          <w:szCs w:val="22"/>
        </w:rPr>
        <w:t>.</w:t>
      </w:r>
    </w:p>
    <w:p w:rsidR="00A708BE" w:rsidRPr="004B3AC3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4B3AC3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 :</w:t>
      </w:r>
    </w:p>
    <w:p w:rsidR="0088736E" w:rsidRPr="004B3AC3" w:rsidRDefault="0088736E" w:rsidP="004B3AC3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 w:rsidRPr="004B3AC3">
        <w:rPr>
          <w:rFonts w:ascii="Times New Roman" w:hAnsi="Times New Roman"/>
          <w:spacing w:val="0"/>
          <w:sz w:val="22"/>
          <w:szCs w:val="22"/>
          <w:lang w:eastAsia="fr-FR"/>
        </w:rPr>
        <w:t xml:space="preserve">En </w:t>
      </w:r>
      <w:r w:rsidR="004B3AC3" w:rsidRPr="004B3AC3">
        <w:rPr>
          <w:rFonts w:ascii="Times New Roman" w:hAnsi="Times New Roman"/>
          <w:spacing w:val="0"/>
          <w:sz w:val="22"/>
          <w:szCs w:val="22"/>
          <w:lang w:eastAsia="fr-FR"/>
        </w:rPr>
        <w:t>terme</w:t>
      </w:r>
      <w:r w:rsidRPr="004B3AC3">
        <w:rPr>
          <w:rFonts w:ascii="Times New Roman" w:hAnsi="Times New Roman"/>
          <w:spacing w:val="0"/>
          <w:sz w:val="22"/>
          <w:szCs w:val="22"/>
          <w:lang w:eastAsia="fr-FR"/>
        </w:rPr>
        <w:t xml:space="preserve"> de variation</w:t>
      </w:r>
      <w:r w:rsidR="005311B4" w:rsidRPr="004B3AC3">
        <w:rPr>
          <w:rFonts w:ascii="Times New Roman" w:hAnsi="Times New Roman"/>
          <w:spacing w:val="0"/>
          <w:sz w:val="22"/>
          <w:szCs w:val="22"/>
          <w:lang w:eastAsia="fr-FR"/>
        </w:rPr>
        <w:t xml:space="preserve"> mensuelle</w:t>
      </w:r>
      <w:r w:rsidRPr="004B3AC3">
        <w:rPr>
          <w:rFonts w:ascii="Times New Roman" w:hAnsi="Times New Roman"/>
          <w:spacing w:val="0"/>
          <w:sz w:val="22"/>
          <w:szCs w:val="22"/>
          <w:lang w:eastAsia="fr-FR"/>
        </w:rPr>
        <w:t xml:space="preserve">, huit villes ont </w:t>
      </w:r>
      <w:r w:rsidR="00AD0A25" w:rsidRPr="004B3AC3">
        <w:rPr>
          <w:rFonts w:ascii="Times New Roman" w:hAnsi="Times New Roman"/>
          <w:spacing w:val="0"/>
          <w:sz w:val="22"/>
          <w:szCs w:val="22"/>
          <w:lang w:eastAsia="fr-FR"/>
        </w:rPr>
        <w:t xml:space="preserve">connu des </w:t>
      </w:r>
      <w:r w:rsidR="00C02824" w:rsidRPr="004B3AC3">
        <w:rPr>
          <w:rFonts w:ascii="Times New Roman" w:hAnsi="Times New Roman"/>
          <w:spacing w:val="0"/>
          <w:sz w:val="22"/>
          <w:szCs w:val="22"/>
          <w:lang w:eastAsia="fr-FR"/>
        </w:rPr>
        <w:t>taux</w:t>
      </w:r>
      <w:r w:rsidR="00AD0A25" w:rsidRPr="004B3AC3">
        <w:rPr>
          <w:rFonts w:ascii="Times New Roman" w:hAnsi="Times New Roman"/>
          <w:spacing w:val="0"/>
          <w:sz w:val="22"/>
          <w:szCs w:val="22"/>
          <w:lang w:eastAsia="fr-FR"/>
        </w:rPr>
        <w:t xml:space="preserve"> d’inflation </w:t>
      </w:r>
      <w:r w:rsidR="00C02824" w:rsidRPr="004B3AC3">
        <w:rPr>
          <w:rFonts w:ascii="Times New Roman" w:hAnsi="Times New Roman"/>
          <w:spacing w:val="0"/>
          <w:sz w:val="22"/>
          <w:szCs w:val="22"/>
          <w:lang w:eastAsia="fr-FR"/>
        </w:rPr>
        <w:t>positifs et supéri</w:t>
      </w:r>
      <w:r w:rsidR="00AD0A25" w:rsidRPr="004B3AC3">
        <w:rPr>
          <w:rFonts w:ascii="Times New Roman" w:hAnsi="Times New Roman"/>
          <w:spacing w:val="0"/>
          <w:sz w:val="22"/>
          <w:szCs w:val="22"/>
          <w:lang w:eastAsia="fr-FR"/>
        </w:rPr>
        <w:t>eurs à la moyenne nationale (0%)</w:t>
      </w:r>
      <w:r w:rsidR="004B3AC3" w:rsidRPr="004B3AC3">
        <w:rPr>
          <w:rFonts w:ascii="Times New Roman" w:hAnsi="Times New Roman"/>
          <w:spacing w:val="0"/>
          <w:sz w:val="22"/>
          <w:szCs w:val="22"/>
          <w:lang w:eastAsia="fr-FR"/>
        </w:rPr>
        <w:t>,</w:t>
      </w:r>
      <w:r w:rsidR="00AD0A25" w:rsidRPr="004B3AC3">
        <w:rPr>
          <w:rFonts w:ascii="Times New Roman" w:hAnsi="Times New Roman"/>
          <w:spacing w:val="0"/>
          <w:sz w:val="22"/>
          <w:szCs w:val="22"/>
          <w:lang w:eastAsia="fr-FR"/>
        </w:rPr>
        <w:t xml:space="preserve"> dont </w:t>
      </w:r>
      <w:r w:rsidR="00C02824" w:rsidRPr="004B3AC3">
        <w:rPr>
          <w:rFonts w:ascii="Times New Roman" w:hAnsi="Times New Roman"/>
          <w:spacing w:val="0"/>
          <w:sz w:val="22"/>
          <w:szCs w:val="22"/>
          <w:lang w:eastAsia="fr-FR"/>
        </w:rPr>
        <w:t xml:space="preserve">la ville de </w:t>
      </w:r>
      <w:proofErr w:type="spellStart"/>
      <w:r w:rsidR="00C02824" w:rsidRPr="004B3AC3">
        <w:rPr>
          <w:rFonts w:ascii="Times New Roman" w:hAnsi="Times New Roman"/>
          <w:spacing w:val="0"/>
          <w:sz w:val="22"/>
          <w:szCs w:val="22"/>
          <w:lang w:eastAsia="fr-FR"/>
        </w:rPr>
        <w:t>kénitra</w:t>
      </w:r>
      <w:proofErr w:type="spellEnd"/>
      <w:r w:rsidR="00C02824" w:rsidRPr="004B3AC3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  <w:r w:rsidR="004B3AC3" w:rsidRPr="004B3AC3">
        <w:rPr>
          <w:rFonts w:ascii="Times New Roman" w:hAnsi="Times New Roman"/>
          <w:spacing w:val="0"/>
          <w:sz w:val="22"/>
          <w:szCs w:val="22"/>
          <w:lang w:eastAsia="fr-FR"/>
        </w:rPr>
        <w:t>qui a enregistré un taux de</w:t>
      </w:r>
      <w:r w:rsidR="00C02824" w:rsidRPr="004B3AC3">
        <w:rPr>
          <w:rFonts w:ascii="Times New Roman" w:hAnsi="Times New Roman"/>
          <w:spacing w:val="0"/>
          <w:sz w:val="22"/>
          <w:szCs w:val="22"/>
          <w:lang w:eastAsia="fr-FR"/>
        </w:rPr>
        <w:t xml:space="preserve"> 0,4% et qui vient en deuxième position après la ville de Casablanca</w:t>
      </w:r>
      <w:r w:rsidR="004B3AC3" w:rsidRPr="004B3AC3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  <w:r w:rsidR="00C02824" w:rsidRPr="004B3AC3">
        <w:rPr>
          <w:rFonts w:ascii="Times New Roman" w:hAnsi="Times New Roman"/>
          <w:spacing w:val="0"/>
          <w:sz w:val="22"/>
          <w:szCs w:val="22"/>
          <w:lang w:eastAsia="fr-FR"/>
        </w:rPr>
        <w:t>(0,5%)</w:t>
      </w:r>
      <w:r w:rsidR="00A4769B" w:rsidRPr="004B3AC3">
        <w:rPr>
          <w:rFonts w:ascii="Times New Roman" w:hAnsi="Times New Roman"/>
          <w:spacing w:val="0"/>
          <w:sz w:val="22"/>
          <w:szCs w:val="22"/>
          <w:lang w:eastAsia="fr-FR"/>
        </w:rPr>
        <w:t>.</w:t>
      </w:r>
      <w:r w:rsidR="0076723E" w:rsidRPr="004B3AC3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  <w:r w:rsidR="00C02824" w:rsidRPr="004B3AC3">
        <w:rPr>
          <w:rFonts w:ascii="Times New Roman" w:hAnsi="Times New Roman"/>
          <w:spacing w:val="0"/>
          <w:sz w:val="22"/>
          <w:szCs w:val="22"/>
          <w:lang w:eastAsia="fr-FR"/>
        </w:rPr>
        <w:t>Les taux négatifs d’inflation ont été atteints également par huit villes. Il s’agit de Safi (-1,2%), Béni Mellal (-0,7%)</w:t>
      </w:r>
      <w:r w:rsidR="004B3AC3" w:rsidRPr="004B3AC3">
        <w:rPr>
          <w:rFonts w:ascii="Times New Roman" w:hAnsi="Times New Roman"/>
          <w:spacing w:val="0"/>
          <w:sz w:val="22"/>
          <w:szCs w:val="22"/>
          <w:lang w:eastAsia="fr-FR"/>
        </w:rPr>
        <w:t>, Fès</w:t>
      </w:r>
      <w:r w:rsidR="00C02824" w:rsidRPr="004B3AC3">
        <w:rPr>
          <w:rFonts w:ascii="Times New Roman" w:hAnsi="Times New Roman"/>
          <w:spacing w:val="0"/>
          <w:sz w:val="22"/>
          <w:szCs w:val="22"/>
          <w:lang w:eastAsia="fr-FR"/>
        </w:rPr>
        <w:t xml:space="preserve"> et Marrakech (-0,4%), </w:t>
      </w:r>
      <w:r w:rsidR="004B3AC3" w:rsidRPr="004B3AC3">
        <w:rPr>
          <w:rFonts w:ascii="Times New Roman" w:hAnsi="Times New Roman"/>
          <w:spacing w:val="0"/>
          <w:sz w:val="22"/>
          <w:szCs w:val="22"/>
          <w:lang w:eastAsia="fr-FR"/>
        </w:rPr>
        <w:t>Al-Hoceima</w:t>
      </w:r>
      <w:r w:rsidR="00C02824" w:rsidRPr="004B3AC3">
        <w:rPr>
          <w:rFonts w:ascii="Times New Roman" w:hAnsi="Times New Roman"/>
          <w:spacing w:val="0"/>
          <w:sz w:val="22"/>
          <w:szCs w:val="22"/>
          <w:lang w:eastAsia="fr-FR"/>
        </w:rPr>
        <w:t xml:space="preserve"> (-0,3%), Oujda (-0,2%) et Meknès (-0,1%).</w:t>
      </w:r>
      <w:r w:rsidR="004B3AC3" w:rsidRPr="004B3AC3">
        <w:rPr>
          <w:rFonts w:ascii="Times New Roman" w:hAnsi="Times New Roman"/>
          <w:spacing w:val="0"/>
          <w:sz w:val="22"/>
          <w:szCs w:val="22"/>
          <w:lang w:eastAsia="fr-FR"/>
        </w:rPr>
        <w:t xml:space="preserve"> Quant à Dakhla et Settat, leurs indices ont stagné entre ces deux mois.</w:t>
      </w:r>
    </w:p>
    <w:p w:rsidR="00C52B13" w:rsidRPr="00146F72" w:rsidRDefault="00C52B13" w:rsidP="00442FD4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442FD4" w:rsidRPr="00442FD4" w:rsidRDefault="00442FD4" w:rsidP="00442FD4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4C54F7" w:rsidRDefault="004C54F7" w:rsidP="004C54F7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5311B4" w:rsidRDefault="005311B4" w:rsidP="001867D4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</w:t>
      </w:r>
      <w:proofErr w:type="spellStart"/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Kénitra</w:t>
      </w:r>
      <w:proofErr w:type="spellEnd"/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-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506"/>
        <w:gridCol w:w="1076"/>
        <w:gridCol w:w="1076"/>
        <w:gridCol w:w="1076"/>
        <w:gridCol w:w="1141"/>
        <w:gridCol w:w="1012"/>
      </w:tblGrid>
      <w:tr w:rsidR="00E76E4F" w:rsidRPr="00E76E4F" w:rsidTr="00E76E4F">
        <w:trPr>
          <w:trHeight w:val="397"/>
        </w:trPr>
        <w:tc>
          <w:tcPr>
            <w:tcW w:w="2278" w:type="pct"/>
            <w:vMerge w:val="restart"/>
            <w:tcBorders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DIVISIONS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proofErr w:type="spellStart"/>
            <w:r w:rsidRPr="00E76E4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Janv</w:t>
            </w:r>
            <w:proofErr w:type="spellEnd"/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proofErr w:type="spellStart"/>
            <w:r w:rsidRPr="00E76E4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Dec</w:t>
            </w:r>
            <w:proofErr w:type="spellEnd"/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proofErr w:type="spellStart"/>
            <w:r w:rsidRPr="00E76E4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Janv</w:t>
            </w:r>
            <w:proofErr w:type="spellEnd"/>
          </w:p>
        </w:tc>
        <w:tc>
          <w:tcPr>
            <w:tcW w:w="1089" w:type="pct"/>
            <w:gridSpan w:val="2"/>
            <w:tcBorders>
              <w:lef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E76E4F" w:rsidRPr="00E76E4F" w:rsidTr="00E76E4F">
        <w:trPr>
          <w:trHeight w:val="397"/>
        </w:trPr>
        <w:tc>
          <w:tcPr>
            <w:tcW w:w="2278" w:type="pct"/>
            <w:vMerge/>
            <w:tcBorders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2021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2021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2022</w:t>
            </w:r>
          </w:p>
        </w:tc>
        <w:tc>
          <w:tcPr>
            <w:tcW w:w="577" w:type="pct"/>
            <w:tcBorders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Mensuelle</w:t>
            </w:r>
          </w:p>
        </w:tc>
        <w:tc>
          <w:tcPr>
            <w:tcW w:w="512" w:type="pct"/>
            <w:tcBorders>
              <w:lef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Annuelle</w:t>
            </w:r>
          </w:p>
        </w:tc>
      </w:tr>
      <w:tr w:rsidR="00E76E4F" w:rsidRPr="00E76E4F" w:rsidTr="00E76E4F">
        <w:trPr>
          <w:trHeight w:val="397"/>
        </w:trPr>
        <w:tc>
          <w:tcPr>
            <w:tcW w:w="2278" w:type="pct"/>
            <w:tcBorders>
              <w:right w:val="nil"/>
            </w:tcBorders>
            <w:shd w:val="clear" w:color="000000" w:fill="FFFFFF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97,4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102,1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103,0</w:t>
            </w:r>
          </w:p>
        </w:tc>
        <w:tc>
          <w:tcPr>
            <w:tcW w:w="577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0,9</w:t>
            </w:r>
          </w:p>
        </w:tc>
        <w:tc>
          <w:tcPr>
            <w:tcW w:w="512" w:type="pct"/>
            <w:tcBorders>
              <w:left w:val="nil"/>
            </w:tcBorders>
            <w:shd w:val="clear" w:color="000000" w:fill="FFFFFF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5,7</w:t>
            </w:r>
          </w:p>
        </w:tc>
      </w:tr>
      <w:tr w:rsidR="00E76E4F" w:rsidRPr="00E76E4F" w:rsidTr="00E76E4F">
        <w:trPr>
          <w:trHeight w:val="397"/>
        </w:trPr>
        <w:tc>
          <w:tcPr>
            <w:tcW w:w="2278" w:type="pct"/>
            <w:tcBorders>
              <w:right w:val="nil"/>
            </w:tcBorders>
            <w:shd w:val="clear" w:color="000000" w:fill="FFFFFF"/>
            <w:vAlign w:val="center"/>
            <w:hideMark/>
          </w:tcPr>
          <w:p w:rsidR="00E76E4F" w:rsidRPr="00E76E4F" w:rsidRDefault="00E76E4F" w:rsidP="00B25929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02. BOISSONS ALCOOLISÉES</w:t>
            </w:r>
            <w:r w:rsidR="00B25929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 ET</w:t>
            </w: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 TABAC 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124,9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124,9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129,1</w:t>
            </w:r>
          </w:p>
        </w:tc>
        <w:tc>
          <w:tcPr>
            <w:tcW w:w="577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3,4</w:t>
            </w:r>
          </w:p>
        </w:tc>
        <w:tc>
          <w:tcPr>
            <w:tcW w:w="512" w:type="pct"/>
            <w:tcBorders>
              <w:left w:val="nil"/>
            </w:tcBorders>
            <w:shd w:val="clear" w:color="000000" w:fill="FFFFFF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3,4</w:t>
            </w:r>
          </w:p>
        </w:tc>
      </w:tr>
      <w:tr w:rsidR="00E76E4F" w:rsidRPr="00E76E4F" w:rsidTr="00E76E4F">
        <w:trPr>
          <w:trHeight w:val="397"/>
        </w:trPr>
        <w:tc>
          <w:tcPr>
            <w:tcW w:w="2278" w:type="pct"/>
            <w:tcBorders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Indices des Produits alimentaires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98,4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102,9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103,9</w:t>
            </w:r>
          </w:p>
        </w:tc>
        <w:tc>
          <w:tcPr>
            <w:tcW w:w="577" w:type="pct"/>
            <w:tcBorders>
              <w:left w:val="nil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1,0</w:t>
            </w:r>
          </w:p>
        </w:tc>
        <w:tc>
          <w:tcPr>
            <w:tcW w:w="512" w:type="pct"/>
            <w:tcBorders>
              <w:lef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5,6</w:t>
            </w:r>
          </w:p>
        </w:tc>
      </w:tr>
      <w:tr w:rsidR="00E76E4F" w:rsidRPr="00E76E4F" w:rsidTr="00E76E4F">
        <w:trPr>
          <w:trHeight w:val="397"/>
        </w:trPr>
        <w:tc>
          <w:tcPr>
            <w:tcW w:w="2278" w:type="pct"/>
            <w:tcBorders>
              <w:right w:val="nil"/>
            </w:tcBorders>
            <w:shd w:val="clear" w:color="000000" w:fill="FFFFFF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106,1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107,0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107,4</w:t>
            </w:r>
          </w:p>
        </w:tc>
        <w:tc>
          <w:tcPr>
            <w:tcW w:w="577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0,4</w:t>
            </w:r>
          </w:p>
        </w:tc>
        <w:tc>
          <w:tcPr>
            <w:tcW w:w="512" w:type="pct"/>
            <w:tcBorders>
              <w:left w:val="nil"/>
            </w:tcBorders>
            <w:shd w:val="clear" w:color="000000" w:fill="FFFFFF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1,2</w:t>
            </w:r>
          </w:p>
        </w:tc>
      </w:tr>
      <w:tr w:rsidR="00E76E4F" w:rsidRPr="00E76E4F" w:rsidTr="00E76E4F">
        <w:trPr>
          <w:trHeight w:val="397"/>
        </w:trPr>
        <w:tc>
          <w:tcPr>
            <w:tcW w:w="2278" w:type="pct"/>
            <w:tcBorders>
              <w:right w:val="nil"/>
            </w:tcBorders>
            <w:shd w:val="clear" w:color="000000" w:fill="FFFFFF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102,7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103,2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103,2</w:t>
            </w:r>
          </w:p>
        </w:tc>
        <w:tc>
          <w:tcPr>
            <w:tcW w:w="577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512" w:type="pct"/>
            <w:tcBorders>
              <w:left w:val="nil"/>
            </w:tcBorders>
            <w:shd w:val="clear" w:color="000000" w:fill="FFFFFF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0,5</w:t>
            </w:r>
          </w:p>
        </w:tc>
      </w:tr>
      <w:tr w:rsidR="00E76E4F" w:rsidRPr="00E76E4F" w:rsidTr="00E76E4F">
        <w:trPr>
          <w:trHeight w:val="397"/>
        </w:trPr>
        <w:tc>
          <w:tcPr>
            <w:tcW w:w="2278" w:type="pct"/>
            <w:tcBorders>
              <w:right w:val="nil"/>
            </w:tcBorders>
            <w:shd w:val="clear" w:color="000000" w:fill="FFFFFF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103,0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104,5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104,5</w:t>
            </w:r>
          </w:p>
        </w:tc>
        <w:tc>
          <w:tcPr>
            <w:tcW w:w="577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512" w:type="pct"/>
            <w:tcBorders>
              <w:left w:val="nil"/>
            </w:tcBorders>
            <w:shd w:val="clear" w:color="000000" w:fill="FFFFFF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1,5</w:t>
            </w:r>
          </w:p>
        </w:tc>
      </w:tr>
      <w:tr w:rsidR="00E76E4F" w:rsidRPr="00E76E4F" w:rsidTr="00E76E4F">
        <w:trPr>
          <w:trHeight w:val="397"/>
        </w:trPr>
        <w:tc>
          <w:tcPr>
            <w:tcW w:w="2278" w:type="pct"/>
            <w:tcBorders>
              <w:right w:val="nil"/>
            </w:tcBorders>
            <w:shd w:val="clear" w:color="000000" w:fill="FFFFFF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99,5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99,1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99,1</w:t>
            </w:r>
          </w:p>
        </w:tc>
        <w:tc>
          <w:tcPr>
            <w:tcW w:w="577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512" w:type="pct"/>
            <w:tcBorders>
              <w:left w:val="nil"/>
            </w:tcBorders>
            <w:shd w:val="clear" w:color="000000" w:fill="FFFFFF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-0,4</w:t>
            </w:r>
          </w:p>
        </w:tc>
      </w:tr>
      <w:tr w:rsidR="00E76E4F" w:rsidRPr="00E76E4F" w:rsidTr="00E76E4F">
        <w:trPr>
          <w:trHeight w:val="397"/>
        </w:trPr>
        <w:tc>
          <w:tcPr>
            <w:tcW w:w="2278" w:type="pct"/>
            <w:tcBorders>
              <w:right w:val="nil"/>
            </w:tcBorders>
            <w:shd w:val="clear" w:color="000000" w:fill="FFFFFF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104,1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108,8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109,2</w:t>
            </w:r>
          </w:p>
        </w:tc>
        <w:tc>
          <w:tcPr>
            <w:tcW w:w="577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0,4</w:t>
            </w:r>
          </w:p>
        </w:tc>
        <w:tc>
          <w:tcPr>
            <w:tcW w:w="512" w:type="pct"/>
            <w:tcBorders>
              <w:left w:val="nil"/>
            </w:tcBorders>
            <w:shd w:val="clear" w:color="000000" w:fill="FFFFFF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4,9</w:t>
            </w:r>
          </w:p>
        </w:tc>
      </w:tr>
      <w:tr w:rsidR="00E76E4F" w:rsidRPr="00E76E4F" w:rsidTr="00E76E4F">
        <w:trPr>
          <w:trHeight w:val="397"/>
        </w:trPr>
        <w:tc>
          <w:tcPr>
            <w:tcW w:w="2278" w:type="pct"/>
            <w:tcBorders>
              <w:right w:val="nil"/>
            </w:tcBorders>
            <w:shd w:val="clear" w:color="000000" w:fill="FFFFFF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106,4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106,4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106,4</w:t>
            </w:r>
          </w:p>
        </w:tc>
        <w:tc>
          <w:tcPr>
            <w:tcW w:w="577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512" w:type="pct"/>
            <w:tcBorders>
              <w:left w:val="nil"/>
            </w:tcBorders>
            <w:shd w:val="clear" w:color="000000" w:fill="FFFFFF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0,0</w:t>
            </w:r>
          </w:p>
        </w:tc>
      </w:tr>
      <w:tr w:rsidR="00E76E4F" w:rsidRPr="00E76E4F" w:rsidTr="00E76E4F">
        <w:trPr>
          <w:trHeight w:val="397"/>
        </w:trPr>
        <w:tc>
          <w:tcPr>
            <w:tcW w:w="2278" w:type="pct"/>
            <w:tcBorders>
              <w:right w:val="nil"/>
            </w:tcBorders>
            <w:shd w:val="clear" w:color="000000" w:fill="FFFFFF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98,2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100,9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101,0</w:t>
            </w:r>
          </w:p>
        </w:tc>
        <w:tc>
          <w:tcPr>
            <w:tcW w:w="577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0,1</w:t>
            </w:r>
          </w:p>
        </w:tc>
        <w:tc>
          <w:tcPr>
            <w:tcW w:w="512" w:type="pct"/>
            <w:tcBorders>
              <w:left w:val="nil"/>
            </w:tcBorders>
            <w:shd w:val="clear" w:color="000000" w:fill="FFFFFF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2,9</w:t>
            </w:r>
          </w:p>
        </w:tc>
      </w:tr>
      <w:tr w:rsidR="00E76E4F" w:rsidRPr="00E76E4F" w:rsidTr="00E76E4F">
        <w:trPr>
          <w:trHeight w:val="397"/>
        </w:trPr>
        <w:tc>
          <w:tcPr>
            <w:tcW w:w="2278" w:type="pct"/>
            <w:tcBorders>
              <w:right w:val="nil"/>
            </w:tcBorders>
            <w:shd w:val="clear" w:color="000000" w:fill="FFFFFF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111,0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111,0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111,0</w:t>
            </w:r>
          </w:p>
        </w:tc>
        <w:tc>
          <w:tcPr>
            <w:tcW w:w="577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512" w:type="pct"/>
            <w:tcBorders>
              <w:left w:val="nil"/>
            </w:tcBorders>
            <w:shd w:val="clear" w:color="000000" w:fill="FFFFFF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0,0</w:t>
            </w:r>
          </w:p>
        </w:tc>
      </w:tr>
      <w:tr w:rsidR="00E76E4F" w:rsidRPr="00E76E4F" w:rsidTr="00E76E4F">
        <w:trPr>
          <w:trHeight w:val="397"/>
        </w:trPr>
        <w:tc>
          <w:tcPr>
            <w:tcW w:w="2278" w:type="pct"/>
            <w:tcBorders>
              <w:right w:val="nil"/>
            </w:tcBorders>
            <w:shd w:val="clear" w:color="000000" w:fill="FFFFFF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105,5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105,5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105,5</w:t>
            </w:r>
          </w:p>
        </w:tc>
        <w:tc>
          <w:tcPr>
            <w:tcW w:w="577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512" w:type="pct"/>
            <w:tcBorders>
              <w:left w:val="nil"/>
            </w:tcBorders>
            <w:shd w:val="clear" w:color="000000" w:fill="FFFFFF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0,0</w:t>
            </w:r>
          </w:p>
        </w:tc>
      </w:tr>
      <w:tr w:rsidR="00E76E4F" w:rsidRPr="00E76E4F" w:rsidTr="00E76E4F">
        <w:trPr>
          <w:trHeight w:val="397"/>
        </w:trPr>
        <w:tc>
          <w:tcPr>
            <w:tcW w:w="2278" w:type="pct"/>
            <w:tcBorders>
              <w:right w:val="nil"/>
            </w:tcBorders>
            <w:shd w:val="clear" w:color="000000" w:fill="FFFFFF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103,3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111,9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111,9</w:t>
            </w:r>
          </w:p>
        </w:tc>
        <w:tc>
          <w:tcPr>
            <w:tcW w:w="577" w:type="pct"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512" w:type="pct"/>
            <w:tcBorders>
              <w:left w:val="nil"/>
            </w:tcBorders>
            <w:shd w:val="clear" w:color="000000" w:fill="FFFFFF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8,3</w:t>
            </w:r>
          </w:p>
        </w:tc>
      </w:tr>
      <w:tr w:rsidR="00E76E4F" w:rsidRPr="00E76E4F" w:rsidTr="00E76E4F">
        <w:trPr>
          <w:trHeight w:val="397"/>
        </w:trPr>
        <w:tc>
          <w:tcPr>
            <w:tcW w:w="2278" w:type="pct"/>
            <w:tcBorders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103,7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105,9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105,8</w:t>
            </w:r>
          </w:p>
        </w:tc>
        <w:tc>
          <w:tcPr>
            <w:tcW w:w="577" w:type="pct"/>
            <w:tcBorders>
              <w:left w:val="nil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-0,1</w:t>
            </w:r>
          </w:p>
        </w:tc>
        <w:tc>
          <w:tcPr>
            <w:tcW w:w="512" w:type="pct"/>
            <w:tcBorders>
              <w:lef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2,1</w:t>
            </w:r>
          </w:p>
        </w:tc>
      </w:tr>
      <w:tr w:rsidR="00E76E4F" w:rsidRPr="00E76E4F" w:rsidTr="00E76E4F">
        <w:trPr>
          <w:trHeight w:val="397"/>
        </w:trPr>
        <w:tc>
          <w:tcPr>
            <w:tcW w:w="2278" w:type="pct"/>
            <w:tcBorders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101,4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104,6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105,0</w:t>
            </w:r>
          </w:p>
        </w:tc>
        <w:tc>
          <w:tcPr>
            <w:tcW w:w="577" w:type="pct"/>
            <w:tcBorders>
              <w:left w:val="nil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0,4</w:t>
            </w:r>
          </w:p>
        </w:tc>
        <w:tc>
          <w:tcPr>
            <w:tcW w:w="512" w:type="pct"/>
            <w:tcBorders>
              <w:lef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3,6</w:t>
            </w:r>
          </w:p>
        </w:tc>
      </w:tr>
      <w:tr w:rsidR="00E76E4F" w:rsidRPr="00E76E4F" w:rsidTr="00E76E4F">
        <w:trPr>
          <w:trHeight w:val="397"/>
        </w:trPr>
        <w:tc>
          <w:tcPr>
            <w:tcW w:w="2278" w:type="pct"/>
            <w:tcBorders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102,3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105,5</w:t>
            </w:r>
          </w:p>
        </w:tc>
        <w:tc>
          <w:tcPr>
            <w:tcW w:w="544" w:type="pct"/>
            <w:tcBorders>
              <w:left w:val="nil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105,5</w:t>
            </w:r>
          </w:p>
        </w:tc>
        <w:tc>
          <w:tcPr>
            <w:tcW w:w="577" w:type="pct"/>
            <w:tcBorders>
              <w:left w:val="nil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0,0</w:t>
            </w:r>
          </w:p>
        </w:tc>
        <w:tc>
          <w:tcPr>
            <w:tcW w:w="512" w:type="pct"/>
            <w:tcBorders>
              <w:lef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3,1</w:t>
            </w:r>
          </w:p>
        </w:tc>
      </w:tr>
    </w:tbl>
    <w:p w:rsidR="00307D13" w:rsidRPr="00307D13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38616F" w:rsidRDefault="0038616F" w:rsidP="00393389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C43E2A" w:rsidRDefault="00C43E2A" w:rsidP="00393389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l’I</w:t>
      </w:r>
      <w:r w:rsidR="003933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ndice des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</w:t>
      </w:r>
      <w:r w:rsidR="003933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 groupe et classe de produits - ville de </w:t>
      </w:r>
      <w:proofErr w:type="spell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Kénitra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717"/>
        <w:gridCol w:w="1341"/>
        <w:gridCol w:w="941"/>
        <w:gridCol w:w="1065"/>
        <w:gridCol w:w="941"/>
        <w:gridCol w:w="941"/>
        <w:gridCol w:w="941"/>
      </w:tblGrid>
      <w:tr w:rsidR="00E76E4F" w:rsidRPr="00E76E4F" w:rsidTr="00E76E4F">
        <w:trPr>
          <w:trHeight w:val="420"/>
          <w:tblHeader/>
        </w:trPr>
        <w:tc>
          <w:tcPr>
            <w:tcW w:w="1887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E76E4F" w:rsidRPr="00E76E4F" w:rsidRDefault="00E76E4F" w:rsidP="00E76E4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DIVISION/GROUPE/CLASSE DE PRODUITS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PONDERATION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JANVIER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DECEMBRE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JANVIER</w:t>
            </w:r>
          </w:p>
        </w:tc>
        <w:tc>
          <w:tcPr>
            <w:tcW w:w="9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E76E4F" w:rsidRPr="00E76E4F" w:rsidTr="00E76E4F">
        <w:trPr>
          <w:trHeight w:val="420"/>
          <w:tblHeader/>
        </w:trPr>
        <w:tc>
          <w:tcPr>
            <w:tcW w:w="188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66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E76E4F" w:rsidRPr="00E76E4F" w:rsidRDefault="00E76E4F" w:rsidP="00E76E4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2021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E76E4F" w:rsidRPr="00E76E4F" w:rsidRDefault="00E76E4F" w:rsidP="00E76E4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2021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E76E4F" w:rsidRPr="00E76E4F" w:rsidRDefault="00E76E4F" w:rsidP="00E76E4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2022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E76E4F" w:rsidRPr="00E76E4F" w:rsidRDefault="00E76E4F" w:rsidP="00E76E4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Mensuelle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vAlign w:val="center"/>
            <w:hideMark/>
          </w:tcPr>
          <w:p w:rsidR="00E76E4F" w:rsidRPr="00E76E4F" w:rsidRDefault="00E76E4F" w:rsidP="00E76E4F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Annuelle</w:t>
            </w:r>
          </w:p>
        </w:tc>
      </w:tr>
      <w:tr w:rsidR="00E76E4F" w:rsidRPr="00E76E4F" w:rsidTr="00E76E4F">
        <w:trPr>
          <w:trHeight w:val="510"/>
        </w:trPr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PRODUITS ALIMENTAIRES ET BOISSONS NON ALCOOLISEES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41,2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97,4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102,1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103,0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0,9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5,7</w:t>
            </w:r>
          </w:p>
        </w:tc>
      </w:tr>
      <w:tr w:rsidR="00E76E4F" w:rsidRPr="00E76E4F" w:rsidTr="00E76E4F">
        <w:trPr>
          <w:trHeight w:val="420"/>
        </w:trPr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PRODUITS ALIMENTAIRES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38,8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97,1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102,2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103,1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0,9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6,2</w:t>
            </w:r>
          </w:p>
        </w:tc>
      </w:tr>
      <w:tr w:rsidR="00E76E4F" w:rsidRPr="00E76E4F" w:rsidTr="00E76E4F">
        <w:trPr>
          <w:trHeight w:val="510"/>
        </w:trPr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PAIN ET CEREALES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7,8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99,0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112,7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115,1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2,1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16,3</w:t>
            </w:r>
          </w:p>
        </w:tc>
      </w:tr>
      <w:tr w:rsidR="00E76E4F" w:rsidRPr="00E76E4F" w:rsidTr="00E76E4F">
        <w:trPr>
          <w:trHeight w:val="420"/>
        </w:trPr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VIANDE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7,4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94,1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99,9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99,6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-0,3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5,8</w:t>
            </w:r>
          </w:p>
        </w:tc>
      </w:tr>
      <w:tr w:rsidR="00E76E4F" w:rsidRPr="00E76E4F" w:rsidTr="00E76E4F">
        <w:trPr>
          <w:trHeight w:val="420"/>
        </w:trPr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POISSON ET FRUITS DE MER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2,2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99,6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97,4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99,4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2,1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-0,2</w:t>
            </w:r>
          </w:p>
        </w:tc>
      </w:tr>
      <w:tr w:rsidR="00E76E4F" w:rsidRPr="00E76E4F" w:rsidTr="00E76E4F">
        <w:trPr>
          <w:trHeight w:val="420"/>
        </w:trPr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LAIT, FROMAGE ET OEUFS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4,3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97,8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101,6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100,1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-1,5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2,4</w:t>
            </w:r>
          </w:p>
        </w:tc>
      </w:tr>
      <w:tr w:rsidR="00E76E4F" w:rsidRPr="00E76E4F" w:rsidTr="00E76E4F">
        <w:trPr>
          <w:trHeight w:val="510"/>
        </w:trPr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HUILES ET GRAISSES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4,6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94,7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114,5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114,6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0,1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21,0</w:t>
            </w:r>
          </w:p>
        </w:tc>
      </w:tr>
      <w:tr w:rsidR="00E76E4F" w:rsidRPr="00E76E4F" w:rsidTr="00E76E4F">
        <w:trPr>
          <w:trHeight w:val="420"/>
        </w:trPr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FRUITS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3,5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104,6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87,4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91,1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4,2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-12,9</w:t>
            </w:r>
          </w:p>
        </w:tc>
      </w:tr>
      <w:tr w:rsidR="00E76E4F" w:rsidRPr="00E76E4F" w:rsidTr="00E76E4F">
        <w:trPr>
          <w:trHeight w:val="420"/>
        </w:trPr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LEGUMES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5,7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96,2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97,6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97,6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1,5</w:t>
            </w:r>
          </w:p>
        </w:tc>
      </w:tr>
      <w:tr w:rsidR="00E76E4F" w:rsidRPr="00E76E4F" w:rsidTr="00D4206C">
        <w:trPr>
          <w:trHeight w:val="555"/>
        </w:trPr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E4F" w:rsidRPr="00E76E4F" w:rsidRDefault="00E76E4F" w:rsidP="00B25929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lastRenderedPageBreak/>
              <w:t>SUCRE, CONFITURE, MIEL, CHOCOLAT ET CONF</w:t>
            </w:r>
            <w:r w:rsidR="00B25929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I</w:t>
            </w: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SERIE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1,6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101,7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103,8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105,7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1,8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3,9</w:t>
            </w:r>
          </w:p>
        </w:tc>
      </w:tr>
      <w:tr w:rsidR="00E76E4F" w:rsidRPr="00E76E4F" w:rsidTr="00E76E4F">
        <w:trPr>
          <w:trHeight w:val="510"/>
        </w:trPr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PRODUITS ALIMENTAIRES N.C.A.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1,7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84,9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84,2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86,3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2,5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1,6</w:t>
            </w:r>
          </w:p>
        </w:tc>
      </w:tr>
      <w:tr w:rsidR="00E76E4F" w:rsidRPr="00E76E4F" w:rsidTr="00E76E4F">
        <w:trPr>
          <w:trHeight w:val="510"/>
        </w:trPr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BOISSONS NON ALCOOLISEES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2,3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101,4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100,9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101,1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0,2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-0,3</w:t>
            </w:r>
          </w:p>
        </w:tc>
      </w:tr>
      <w:tr w:rsidR="00E76E4F" w:rsidRPr="00E76E4F" w:rsidTr="00E76E4F">
        <w:trPr>
          <w:trHeight w:val="540"/>
        </w:trPr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CAFE, THE ET CACAO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1,7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103,2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103,4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103,7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0,3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0,5</w:t>
            </w:r>
          </w:p>
        </w:tc>
      </w:tr>
      <w:tr w:rsidR="00E76E4F" w:rsidRPr="00E76E4F" w:rsidTr="00D4206C">
        <w:trPr>
          <w:trHeight w:val="796"/>
        </w:trPr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0,7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96,8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94,3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94,4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0,1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-2,5</w:t>
            </w:r>
          </w:p>
        </w:tc>
      </w:tr>
      <w:tr w:rsidR="00E76E4F" w:rsidRPr="00E76E4F" w:rsidTr="00E76E4F">
        <w:trPr>
          <w:trHeight w:val="420"/>
        </w:trPr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BOISSONS ALCOOLISEES ET TABAC 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1,5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124,9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124,9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129,1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3,4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3,4</w:t>
            </w:r>
          </w:p>
        </w:tc>
      </w:tr>
      <w:tr w:rsidR="00E76E4F" w:rsidRPr="00E76E4F" w:rsidTr="00E76E4F">
        <w:trPr>
          <w:trHeight w:val="420"/>
        </w:trPr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BOISSONS ALCOOLISEES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0,1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101,4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102,0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102,0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0,6</w:t>
            </w:r>
          </w:p>
        </w:tc>
      </w:tr>
      <w:tr w:rsidR="00E76E4F" w:rsidRPr="00E76E4F" w:rsidTr="00D4206C">
        <w:trPr>
          <w:trHeight w:val="363"/>
        </w:trPr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SPIRITUEUX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0,1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100,0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0,0</w:t>
            </w:r>
          </w:p>
        </w:tc>
      </w:tr>
      <w:tr w:rsidR="00E76E4F" w:rsidRPr="00E76E4F" w:rsidTr="00D4206C">
        <w:trPr>
          <w:trHeight w:val="459"/>
        </w:trPr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VIN ET BOISSONS FERMENTEES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103,5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105,4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105,4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1,8</w:t>
            </w:r>
          </w:p>
        </w:tc>
      </w:tr>
      <w:tr w:rsidR="00E76E4F" w:rsidRPr="00E76E4F" w:rsidTr="00D4206C">
        <w:trPr>
          <w:trHeight w:val="347"/>
        </w:trPr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BIERE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103,8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103,8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103,8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0,0</w:t>
            </w:r>
          </w:p>
        </w:tc>
      </w:tr>
      <w:tr w:rsidR="00E76E4F" w:rsidRPr="00E76E4F" w:rsidTr="00D4206C">
        <w:trPr>
          <w:trHeight w:val="451"/>
        </w:trPr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TABAC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1,4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126,5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126,5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130,8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3,4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i/>
                <w:iCs/>
                <w:spacing w:val="0"/>
                <w:sz w:val="16"/>
                <w:szCs w:val="16"/>
                <w:lang w:eastAsia="fr-FR"/>
              </w:rPr>
              <w:t>3,4</w:t>
            </w:r>
          </w:p>
        </w:tc>
      </w:tr>
      <w:tr w:rsidR="00E76E4F" w:rsidRPr="00E76E4F" w:rsidTr="00D4206C">
        <w:trPr>
          <w:trHeight w:val="441"/>
        </w:trPr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TABAC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1,4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126,5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126,5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130,8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3,4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</w:pPr>
            <w:r w:rsidRPr="00E76E4F">
              <w:rPr>
                <w:rFonts w:ascii="Times New Roman" w:hAnsi="Times New Roman"/>
                <w:spacing w:val="0"/>
                <w:sz w:val="16"/>
                <w:szCs w:val="16"/>
                <w:lang w:eastAsia="fr-FR"/>
              </w:rPr>
              <w:t>3,4</w:t>
            </w:r>
          </w:p>
        </w:tc>
      </w:tr>
      <w:tr w:rsidR="00E76E4F" w:rsidRPr="00E76E4F" w:rsidTr="00E76E4F">
        <w:trPr>
          <w:trHeight w:val="540"/>
        </w:trPr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Indices des Produits alimentaires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42,7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98,4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102,9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103,9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1,0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5,6</w:t>
            </w:r>
          </w:p>
        </w:tc>
      </w:tr>
      <w:tr w:rsidR="00E76E4F" w:rsidRPr="00E76E4F" w:rsidTr="00E76E4F">
        <w:trPr>
          <w:trHeight w:val="515"/>
        </w:trPr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GENERAL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101,4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104,6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105,0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 w:themeFill="accent6" w:themeFillTint="99"/>
            <w:noWrap/>
            <w:vAlign w:val="center"/>
            <w:hideMark/>
          </w:tcPr>
          <w:p w:rsidR="00E76E4F" w:rsidRPr="00E76E4F" w:rsidRDefault="00E76E4F" w:rsidP="00E76E4F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E76E4F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3,6</w:t>
            </w:r>
          </w:p>
        </w:tc>
      </w:tr>
    </w:tbl>
    <w:p w:rsidR="00D2208B" w:rsidRPr="00307D13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sectPr w:rsidR="00D2208B" w:rsidRPr="00307D13" w:rsidSect="001867D4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C16" w:rsidRDefault="00EA4C16">
      <w:r>
        <w:separator/>
      </w:r>
    </w:p>
    <w:p w:rsidR="00EA4C16" w:rsidRDefault="00EA4C16"/>
  </w:endnote>
  <w:endnote w:type="continuationSeparator" w:id="0">
    <w:p w:rsidR="00EA4C16" w:rsidRDefault="00EA4C16">
      <w:r>
        <w:continuationSeparator/>
      </w:r>
    </w:p>
    <w:p w:rsidR="00EA4C16" w:rsidRDefault="00EA4C1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1B1AC6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C16" w:rsidRDefault="00EA4C16">
      <w:r>
        <w:separator/>
      </w:r>
    </w:p>
    <w:p w:rsidR="00EA4C16" w:rsidRDefault="00EA4C16"/>
  </w:footnote>
  <w:footnote w:type="continuationSeparator" w:id="0">
    <w:p w:rsidR="00EA4C16" w:rsidRDefault="00EA4C16">
      <w:r>
        <w:continuationSeparator/>
      </w:r>
    </w:p>
    <w:p w:rsidR="00EA4C16" w:rsidRDefault="00EA4C1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ED3"/>
    <w:rsid w:val="000062AB"/>
    <w:rsid w:val="00007EBA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85F"/>
    <w:rsid w:val="00060D20"/>
    <w:rsid w:val="00061845"/>
    <w:rsid w:val="000626E2"/>
    <w:rsid w:val="000627B8"/>
    <w:rsid w:val="0006311E"/>
    <w:rsid w:val="00063E5A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A8"/>
    <w:rsid w:val="00077A15"/>
    <w:rsid w:val="000804A3"/>
    <w:rsid w:val="000804C8"/>
    <w:rsid w:val="00082025"/>
    <w:rsid w:val="00082340"/>
    <w:rsid w:val="000837AF"/>
    <w:rsid w:val="00083E99"/>
    <w:rsid w:val="00084125"/>
    <w:rsid w:val="00085BFE"/>
    <w:rsid w:val="00085F69"/>
    <w:rsid w:val="00086858"/>
    <w:rsid w:val="000874FB"/>
    <w:rsid w:val="000877FE"/>
    <w:rsid w:val="0009081A"/>
    <w:rsid w:val="000913AB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5A07"/>
    <w:rsid w:val="000D753E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F0C99"/>
    <w:rsid w:val="000F130A"/>
    <w:rsid w:val="000F172D"/>
    <w:rsid w:val="000F1FEF"/>
    <w:rsid w:val="000F224C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DB4"/>
    <w:rsid w:val="00105E77"/>
    <w:rsid w:val="0010604E"/>
    <w:rsid w:val="00106CE8"/>
    <w:rsid w:val="001076DE"/>
    <w:rsid w:val="00107C4D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BCB"/>
    <w:rsid w:val="00114FC6"/>
    <w:rsid w:val="001157C5"/>
    <w:rsid w:val="00115A58"/>
    <w:rsid w:val="001166B9"/>
    <w:rsid w:val="00117CA5"/>
    <w:rsid w:val="00120428"/>
    <w:rsid w:val="001212D2"/>
    <w:rsid w:val="00121554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35CE"/>
    <w:rsid w:val="0015397A"/>
    <w:rsid w:val="00153B40"/>
    <w:rsid w:val="001547B5"/>
    <w:rsid w:val="00154853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D76"/>
    <w:rsid w:val="00163F5D"/>
    <w:rsid w:val="00164143"/>
    <w:rsid w:val="001642FB"/>
    <w:rsid w:val="00165CCD"/>
    <w:rsid w:val="001667BE"/>
    <w:rsid w:val="00166B4A"/>
    <w:rsid w:val="0016795E"/>
    <w:rsid w:val="00170334"/>
    <w:rsid w:val="00170678"/>
    <w:rsid w:val="001711CE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F0D"/>
    <w:rsid w:val="00184A0A"/>
    <w:rsid w:val="00185026"/>
    <w:rsid w:val="00185A2F"/>
    <w:rsid w:val="001867D4"/>
    <w:rsid w:val="00186A1B"/>
    <w:rsid w:val="00186CF7"/>
    <w:rsid w:val="00186E75"/>
    <w:rsid w:val="001879D2"/>
    <w:rsid w:val="00187A51"/>
    <w:rsid w:val="00192A0C"/>
    <w:rsid w:val="0019438F"/>
    <w:rsid w:val="0019443B"/>
    <w:rsid w:val="001946A3"/>
    <w:rsid w:val="00194950"/>
    <w:rsid w:val="001951FE"/>
    <w:rsid w:val="00196051"/>
    <w:rsid w:val="0019626B"/>
    <w:rsid w:val="00196406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6488"/>
    <w:rsid w:val="001A6C0F"/>
    <w:rsid w:val="001A76A8"/>
    <w:rsid w:val="001A7ABF"/>
    <w:rsid w:val="001B0163"/>
    <w:rsid w:val="001B01E1"/>
    <w:rsid w:val="001B1083"/>
    <w:rsid w:val="001B1796"/>
    <w:rsid w:val="001B1AC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50E5"/>
    <w:rsid w:val="001C5B75"/>
    <w:rsid w:val="001C5C8C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13ED"/>
    <w:rsid w:val="001E2096"/>
    <w:rsid w:val="001E2578"/>
    <w:rsid w:val="001E2A4A"/>
    <w:rsid w:val="001E4EC8"/>
    <w:rsid w:val="001E5E64"/>
    <w:rsid w:val="001E7000"/>
    <w:rsid w:val="001E74EB"/>
    <w:rsid w:val="001E7E86"/>
    <w:rsid w:val="001F0B5C"/>
    <w:rsid w:val="001F0E7C"/>
    <w:rsid w:val="001F0F90"/>
    <w:rsid w:val="001F1581"/>
    <w:rsid w:val="001F1654"/>
    <w:rsid w:val="001F179D"/>
    <w:rsid w:val="001F1C6D"/>
    <w:rsid w:val="001F2760"/>
    <w:rsid w:val="001F3699"/>
    <w:rsid w:val="001F3713"/>
    <w:rsid w:val="001F38E9"/>
    <w:rsid w:val="001F4262"/>
    <w:rsid w:val="001F4419"/>
    <w:rsid w:val="001F4D6B"/>
    <w:rsid w:val="001F50B6"/>
    <w:rsid w:val="001F5824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5614"/>
    <w:rsid w:val="00206BEC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2269"/>
    <w:rsid w:val="002222F2"/>
    <w:rsid w:val="00224266"/>
    <w:rsid w:val="00224597"/>
    <w:rsid w:val="00225C63"/>
    <w:rsid w:val="00225D31"/>
    <w:rsid w:val="00226EAA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40D"/>
    <w:rsid w:val="002346F8"/>
    <w:rsid w:val="002348AD"/>
    <w:rsid w:val="00235955"/>
    <w:rsid w:val="00235A8C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7B1"/>
    <w:rsid w:val="002429AE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3717"/>
    <w:rsid w:val="002A41F1"/>
    <w:rsid w:val="002A48C1"/>
    <w:rsid w:val="002A49B9"/>
    <w:rsid w:val="002A4A07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B7D45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DEE"/>
    <w:rsid w:val="002F6015"/>
    <w:rsid w:val="002F7016"/>
    <w:rsid w:val="00300951"/>
    <w:rsid w:val="003017A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404"/>
    <w:rsid w:val="00320FD2"/>
    <w:rsid w:val="00321663"/>
    <w:rsid w:val="003220C7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D7"/>
    <w:rsid w:val="00356773"/>
    <w:rsid w:val="0035693B"/>
    <w:rsid w:val="00356C9D"/>
    <w:rsid w:val="00357798"/>
    <w:rsid w:val="00357B8B"/>
    <w:rsid w:val="00360404"/>
    <w:rsid w:val="003616E2"/>
    <w:rsid w:val="00361B94"/>
    <w:rsid w:val="00362058"/>
    <w:rsid w:val="0036261E"/>
    <w:rsid w:val="00362C8B"/>
    <w:rsid w:val="0036316B"/>
    <w:rsid w:val="00363ABE"/>
    <w:rsid w:val="00365BA7"/>
    <w:rsid w:val="00365D60"/>
    <w:rsid w:val="00365F68"/>
    <w:rsid w:val="00366BFA"/>
    <w:rsid w:val="0036761F"/>
    <w:rsid w:val="003677B9"/>
    <w:rsid w:val="003677E4"/>
    <w:rsid w:val="0037080F"/>
    <w:rsid w:val="00370AFC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16F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1A3E"/>
    <w:rsid w:val="00392DF1"/>
    <w:rsid w:val="003930A7"/>
    <w:rsid w:val="00393389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F98"/>
    <w:rsid w:val="00397B38"/>
    <w:rsid w:val="00397D9E"/>
    <w:rsid w:val="003A07F4"/>
    <w:rsid w:val="003A1103"/>
    <w:rsid w:val="003A17C3"/>
    <w:rsid w:val="003A1BDA"/>
    <w:rsid w:val="003A214C"/>
    <w:rsid w:val="003A26A6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52A"/>
    <w:rsid w:val="003B37AB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238A"/>
    <w:rsid w:val="003F3323"/>
    <w:rsid w:val="003F3632"/>
    <w:rsid w:val="003F37D6"/>
    <w:rsid w:val="003F4638"/>
    <w:rsid w:val="003F4A19"/>
    <w:rsid w:val="003F4F02"/>
    <w:rsid w:val="003F511C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30EAB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EA3"/>
    <w:rsid w:val="00442FD4"/>
    <w:rsid w:val="0044347B"/>
    <w:rsid w:val="00444557"/>
    <w:rsid w:val="004449D7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30BF"/>
    <w:rsid w:val="00463D4B"/>
    <w:rsid w:val="0046450D"/>
    <w:rsid w:val="00464BEC"/>
    <w:rsid w:val="00464CA4"/>
    <w:rsid w:val="00465749"/>
    <w:rsid w:val="00466EA8"/>
    <w:rsid w:val="00467019"/>
    <w:rsid w:val="00467A65"/>
    <w:rsid w:val="00470ABA"/>
    <w:rsid w:val="00470AD3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B0241"/>
    <w:rsid w:val="004B0BC4"/>
    <w:rsid w:val="004B29AD"/>
    <w:rsid w:val="004B36C4"/>
    <w:rsid w:val="004B3AC3"/>
    <w:rsid w:val="004B42C7"/>
    <w:rsid w:val="004B49EB"/>
    <w:rsid w:val="004B5B56"/>
    <w:rsid w:val="004B5EB3"/>
    <w:rsid w:val="004B655D"/>
    <w:rsid w:val="004C0D39"/>
    <w:rsid w:val="004C15F9"/>
    <w:rsid w:val="004C182F"/>
    <w:rsid w:val="004C1F71"/>
    <w:rsid w:val="004C284E"/>
    <w:rsid w:val="004C2AC5"/>
    <w:rsid w:val="004C2EA9"/>
    <w:rsid w:val="004C3A56"/>
    <w:rsid w:val="004C3B1D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2475"/>
    <w:rsid w:val="004E28CD"/>
    <w:rsid w:val="004E2B10"/>
    <w:rsid w:val="004E33AD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310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CB3"/>
    <w:rsid w:val="00520E01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A5C"/>
    <w:rsid w:val="0055355C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873"/>
    <w:rsid w:val="00561BD5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4F9A"/>
    <w:rsid w:val="00574FE7"/>
    <w:rsid w:val="0057669B"/>
    <w:rsid w:val="00577459"/>
    <w:rsid w:val="005777C9"/>
    <w:rsid w:val="00580F99"/>
    <w:rsid w:val="00581626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5864"/>
    <w:rsid w:val="00585E99"/>
    <w:rsid w:val="005873E3"/>
    <w:rsid w:val="00590B60"/>
    <w:rsid w:val="00591210"/>
    <w:rsid w:val="005917C7"/>
    <w:rsid w:val="00591956"/>
    <w:rsid w:val="005931E3"/>
    <w:rsid w:val="0059340E"/>
    <w:rsid w:val="00593819"/>
    <w:rsid w:val="00593ACF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B03F5"/>
    <w:rsid w:val="005B0FFA"/>
    <w:rsid w:val="005B105B"/>
    <w:rsid w:val="005B213C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20C8"/>
    <w:rsid w:val="005D2BEA"/>
    <w:rsid w:val="005D3ECF"/>
    <w:rsid w:val="005D4729"/>
    <w:rsid w:val="005D510C"/>
    <w:rsid w:val="005D56D2"/>
    <w:rsid w:val="005D6393"/>
    <w:rsid w:val="005D652B"/>
    <w:rsid w:val="005D76D1"/>
    <w:rsid w:val="005E01B5"/>
    <w:rsid w:val="005E06ED"/>
    <w:rsid w:val="005E16E1"/>
    <w:rsid w:val="005E1E24"/>
    <w:rsid w:val="005E2C00"/>
    <w:rsid w:val="005E38E1"/>
    <w:rsid w:val="005E3C92"/>
    <w:rsid w:val="005E4D35"/>
    <w:rsid w:val="005E4F76"/>
    <w:rsid w:val="005E4FBE"/>
    <w:rsid w:val="005E4FD8"/>
    <w:rsid w:val="005E53EE"/>
    <w:rsid w:val="005E5A3E"/>
    <w:rsid w:val="005E6661"/>
    <w:rsid w:val="005E6F76"/>
    <w:rsid w:val="005E7157"/>
    <w:rsid w:val="005F01A4"/>
    <w:rsid w:val="005F046A"/>
    <w:rsid w:val="005F0A3E"/>
    <w:rsid w:val="005F0DD7"/>
    <w:rsid w:val="005F16F2"/>
    <w:rsid w:val="005F1CE3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6001D4"/>
    <w:rsid w:val="00600FE7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21AA"/>
    <w:rsid w:val="00612EF5"/>
    <w:rsid w:val="006130E6"/>
    <w:rsid w:val="006131BD"/>
    <w:rsid w:val="00613334"/>
    <w:rsid w:val="00613815"/>
    <w:rsid w:val="0061417D"/>
    <w:rsid w:val="00615018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623"/>
    <w:rsid w:val="006A1785"/>
    <w:rsid w:val="006A232F"/>
    <w:rsid w:val="006A2668"/>
    <w:rsid w:val="006A32B6"/>
    <w:rsid w:val="006A3832"/>
    <w:rsid w:val="006A404B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CA3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B"/>
    <w:rsid w:val="007170C6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DA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824"/>
    <w:rsid w:val="007629E2"/>
    <w:rsid w:val="00763155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96D"/>
    <w:rsid w:val="00772A5C"/>
    <w:rsid w:val="00772F95"/>
    <w:rsid w:val="007732A6"/>
    <w:rsid w:val="00774EB4"/>
    <w:rsid w:val="00775ED8"/>
    <w:rsid w:val="00776886"/>
    <w:rsid w:val="00776FF5"/>
    <w:rsid w:val="007770ED"/>
    <w:rsid w:val="00777CF0"/>
    <w:rsid w:val="00780155"/>
    <w:rsid w:val="007809FE"/>
    <w:rsid w:val="00780A72"/>
    <w:rsid w:val="00781243"/>
    <w:rsid w:val="00781759"/>
    <w:rsid w:val="00781F40"/>
    <w:rsid w:val="00782A7D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89D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75E9"/>
    <w:rsid w:val="00827707"/>
    <w:rsid w:val="00827BC8"/>
    <w:rsid w:val="00827E50"/>
    <w:rsid w:val="00827F5A"/>
    <w:rsid w:val="00830311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508"/>
    <w:rsid w:val="008477FD"/>
    <w:rsid w:val="00847AF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B22"/>
    <w:rsid w:val="00865CE4"/>
    <w:rsid w:val="00866BA8"/>
    <w:rsid w:val="00867317"/>
    <w:rsid w:val="0086758A"/>
    <w:rsid w:val="00867B45"/>
    <w:rsid w:val="0087025B"/>
    <w:rsid w:val="00870306"/>
    <w:rsid w:val="00871C40"/>
    <w:rsid w:val="00871CA7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644"/>
    <w:rsid w:val="00877DA6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FC7"/>
    <w:rsid w:val="008A7101"/>
    <w:rsid w:val="008A7113"/>
    <w:rsid w:val="008A748A"/>
    <w:rsid w:val="008A79D5"/>
    <w:rsid w:val="008A7A95"/>
    <w:rsid w:val="008B0F5C"/>
    <w:rsid w:val="008B102F"/>
    <w:rsid w:val="008B11E3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E1B"/>
    <w:rsid w:val="008C17A1"/>
    <w:rsid w:val="008C1E0B"/>
    <w:rsid w:val="008C1F70"/>
    <w:rsid w:val="008C37C2"/>
    <w:rsid w:val="008C42D1"/>
    <w:rsid w:val="008C4CA7"/>
    <w:rsid w:val="008C5D39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20"/>
    <w:rsid w:val="008D4FFE"/>
    <w:rsid w:val="008D52CE"/>
    <w:rsid w:val="008D5D2F"/>
    <w:rsid w:val="008D6432"/>
    <w:rsid w:val="008D6F1B"/>
    <w:rsid w:val="008D72E0"/>
    <w:rsid w:val="008E049A"/>
    <w:rsid w:val="008E0EBB"/>
    <w:rsid w:val="008E220F"/>
    <w:rsid w:val="008E39D8"/>
    <w:rsid w:val="008E427C"/>
    <w:rsid w:val="008E449C"/>
    <w:rsid w:val="008E49C8"/>
    <w:rsid w:val="008E53F8"/>
    <w:rsid w:val="008E62E5"/>
    <w:rsid w:val="008E6C43"/>
    <w:rsid w:val="008E7A08"/>
    <w:rsid w:val="008E7ED9"/>
    <w:rsid w:val="008F07B1"/>
    <w:rsid w:val="008F0D09"/>
    <w:rsid w:val="008F1077"/>
    <w:rsid w:val="008F1319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5AF"/>
    <w:rsid w:val="00907E28"/>
    <w:rsid w:val="00910B52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16E1"/>
    <w:rsid w:val="00934065"/>
    <w:rsid w:val="0093465F"/>
    <w:rsid w:val="0093548D"/>
    <w:rsid w:val="0093581E"/>
    <w:rsid w:val="00935F9F"/>
    <w:rsid w:val="009361C5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A8"/>
    <w:rsid w:val="009727FF"/>
    <w:rsid w:val="00972AB7"/>
    <w:rsid w:val="00972C23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D"/>
    <w:rsid w:val="00985063"/>
    <w:rsid w:val="00985677"/>
    <w:rsid w:val="009862D6"/>
    <w:rsid w:val="00986AF5"/>
    <w:rsid w:val="00987827"/>
    <w:rsid w:val="00990291"/>
    <w:rsid w:val="00990A18"/>
    <w:rsid w:val="0099100A"/>
    <w:rsid w:val="00991954"/>
    <w:rsid w:val="0099338D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6EC9"/>
    <w:rsid w:val="009B013A"/>
    <w:rsid w:val="009B0917"/>
    <w:rsid w:val="009B15D4"/>
    <w:rsid w:val="009B1CEF"/>
    <w:rsid w:val="009B229B"/>
    <w:rsid w:val="009B2F66"/>
    <w:rsid w:val="009B3009"/>
    <w:rsid w:val="009B343C"/>
    <w:rsid w:val="009B3EE2"/>
    <w:rsid w:val="009B4AD8"/>
    <w:rsid w:val="009B5142"/>
    <w:rsid w:val="009B5726"/>
    <w:rsid w:val="009B6251"/>
    <w:rsid w:val="009B62F7"/>
    <w:rsid w:val="009B6AE2"/>
    <w:rsid w:val="009B6F05"/>
    <w:rsid w:val="009C04BB"/>
    <w:rsid w:val="009C0D33"/>
    <w:rsid w:val="009C1BE3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D27"/>
    <w:rsid w:val="009D1764"/>
    <w:rsid w:val="009D1C36"/>
    <w:rsid w:val="009D1EDD"/>
    <w:rsid w:val="009D2244"/>
    <w:rsid w:val="009D28E5"/>
    <w:rsid w:val="009D34C3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51C5"/>
    <w:rsid w:val="009E590C"/>
    <w:rsid w:val="009E643C"/>
    <w:rsid w:val="009E685D"/>
    <w:rsid w:val="009E6C2A"/>
    <w:rsid w:val="009E6DCA"/>
    <w:rsid w:val="009E7B2C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839"/>
    <w:rsid w:val="00A25AAF"/>
    <w:rsid w:val="00A26176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3087"/>
    <w:rsid w:val="00A33A62"/>
    <w:rsid w:val="00A34588"/>
    <w:rsid w:val="00A34919"/>
    <w:rsid w:val="00A353AF"/>
    <w:rsid w:val="00A353CB"/>
    <w:rsid w:val="00A3688A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2716"/>
    <w:rsid w:val="00A442AB"/>
    <w:rsid w:val="00A44FD6"/>
    <w:rsid w:val="00A4552C"/>
    <w:rsid w:val="00A4553A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7FA"/>
    <w:rsid w:val="00A64854"/>
    <w:rsid w:val="00A65286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574A"/>
    <w:rsid w:val="00A75B55"/>
    <w:rsid w:val="00A763A5"/>
    <w:rsid w:val="00A76E4D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2E8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5A6"/>
    <w:rsid w:val="00AC2C0E"/>
    <w:rsid w:val="00AC2E24"/>
    <w:rsid w:val="00AC330C"/>
    <w:rsid w:val="00AC35C8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C0"/>
    <w:rsid w:val="00AF3CD2"/>
    <w:rsid w:val="00AF40C2"/>
    <w:rsid w:val="00AF4685"/>
    <w:rsid w:val="00AF46E2"/>
    <w:rsid w:val="00AF4864"/>
    <w:rsid w:val="00AF54E8"/>
    <w:rsid w:val="00AF550A"/>
    <w:rsid w:val="00AF5E44"/>
    <w:rsid w:val="00AF7C75"/>
    <w:rsid w:val="00AF7F36"/>
    <w:rsid w:val="00B0034C"/>
    <w:rsid w:val="00B006A5"/>
    <w:rsid w:val="00B00C6E"/>
    <w:rsid w:val="00B014D7"/>
    <w:rsid w:val="00B023C5"/>
    <w:rsid w:val="00B0294D"/>
    <w:rsid w:val="00B057F7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972"/>
    <w:rsid w:val="00B16A96"/>
    <w:rsid w:val="00B17D44"/>
    <w:rsid w:val="00B2077D"/>
    <w:rsid w:val="00B20975"/>
    <w:rsid w:val="00B20A21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5929"/>
    <w:rsid w:val="00B26703"/>
    <w:rsid w:val="00B26AB2"/>
    <w:rsid w:val="00B275DE"/>
    <w:rsid w:val="00B300A6"/>
    <w:rsid w:val="00B3064D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658"/>
    <w:rsid w:val="00B9796C"/>
    <w:rsid w:val="00B979FE"/>
    <w:rsid w:val="00B97C03"/>
    <w:rsid w:val="00BA0709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534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4DC9"/>
    <w:rsid w:val="00BD68DC"/>
    <w:rsid w:val="00BD692B"/>
    <w:rsid w:val="00BD7535"/>
    <w:rsid w:val="00BD7A68"/>
    <w:rsid w:val="00BD7D47"/>
    <w:rsid w:val="00BE166A"/>
    <w:rsid w:val="00BE2874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7D3"/>
    <w:rsid w:val="00BF105E"/>
    <w:rsid w:val="00BF1AD2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D20"/>
    <w:rsid w:val="00C0132E"/>
    <w:rsid w:val="00C015A6"/>
    <w:rsid w:val="00C016E4"/>
    <w:rsid w:val="00C01824"/>
    <w:rsid w:val="00C0237D"/>
    <w:rsid w:val="00C026D8"/>
    <w:rsid w:val="00C02824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2700"/>
    <w:rsid w:val="00C22AD6"/>
    <w:rsid w:val="00C22F97"/>
    <w:rsid w:val="00C232D4"/>
    <w:rsid w:val="00C24463"/>
    <w:rsid w:val="00C24508"/>
    <w:rsid w:val="00C24554"/>
    <w:rsid w:val="00C258E0"/>
    <w:rsid w:val="00C25E9A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32A9"/>
    <w:rsid w:val="00C43B90"/>
    <w:rsid w:val="00C43E2A"/>
    <w:rsid w:val="00C441DD"/>
    <w:rsid w:val="00C44372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6857"/>
    <w:rsid w:val="00C973BD"/>
    <w:rsid w:val="00C97F9B"/>
    <w:rsid w:val="00CA0A44"/>
    <w:rsid w:val="00CA0A85"/>
    <w:rsid w:val="00CA1B11"/>
    <w:rsid w:val="00CA21C2"/>
    <w:rsid w:val="00CA25AA"/>
    <w:rsid w:val="00CA33AF"/>
    <w:rsid w:val="00CA3744"/>
    <w:rsid w:val="00CA3B94"/>
    <w:rsid w:val="00CA3C7B"/>
    <w:rsid w:val="00CA3C9C"/>
    <w:rsid w:val="00CA52F1"/>
    <w:rsid w:val="00CA7207"/>
    <w:rsid w:val="00CA793C"/>
    <w:rsid w:val="00CB289E"/>
    <w:rsid w:val="00CB2B2B"/>
    <w:rsid w:val="00CB3D6A"/>
    <w:rsid w:val="00CB4660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550"/>
    <w:rsid w:val="00CE6BC7"/>
    <w:rsid w:val="00CE6C2D"/>
    <w:rsid w:val="00CE6C6E"/>
    <w:rsid w:val="00CE7045"/>
    <w:rsid w:val="00CF07FF"/>
    <w:rsid w:val="00CF0AEA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06C"/>
    <w:rsid w:val="00D42634"/>
    <w:rsid w:val="00D42B0F"/>
    <w:rsid w:val="00D432FB"/>
    <w:rsid w:val="00D439E7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DA6"/>
    <w:rsid w:val="00D953FB"/>
    <w:rsid w:val="00D95553"/>
    <w:rsid w:val="00D95D64"/>
    <w:rsid w:val="00D96086"/>
    <w:rsid w:val="00D96A0C"/>
    <w:rsid w:val="00D96A72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22FF"/>
    <w:rsid w:val="00DC252A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5BEC"/>
    <w:rsid w:val="00E05CF8"/>
    <w:rsid w:val="00E05E9A"/>
    <w:rsid w:val="00E06244"/>
    <w:rsid w:val="00E06400"/>
    <w:rsid w:val="00E06601"/>
    <w:rsid w:val="00E067F1"/>
    <w:rsid w:val="00E075AF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87B"/>
    <w:rsid w:val="00E168FC"/>
    <w:rsid w:val="00E16C15"/>
    <w:rsid w:val="00E16D88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6152E"/>
    <w:rsid w:val="00E61762"/>
    <w:rsid w:val="00E618DD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DC6"/>
    <w:rsid w:val="00E70212"/>
    <w:rsid w:val="00E71054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644C"/>
    <w:rsid w:val="00E76911"/>
    <w:rsid w:val="00E76E4F"/>
    <w:rsid w:val="00E779F1"/>
    <w:rsid w:val="00E77C29"/>
    <w:rsid w:val="00E808BB"/>
    <w:rsid w:val="00E813BD"/>
    <w:rsid w:val="00E81D17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FCB"/>
    <w:rsid w:val="00EA354E"/>
    <w:rsid w:val="00EA35C9"/>
    <w:rsid w:val="00EA4C16"/>
    <w:rsid w:val="00EA51F5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14D"/>
    <w:rsid w:val="00EB1E47"/>
    <w:rsid w:val="00EB1E87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2146"/>
    <w:rsid w:val="00ED3550"/>
    <w:rsid w:val="00ED37D0"/>
    <w:rsid w:val="00ED50CE"/>
    <w:rsid w:val="00ED636F"/>
    <w:rsid w:val="00ED6F6E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3D0C"/>
    <w:rsid w:val="00EE4050"/>
    <w:rsid w:val="00EE45EE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2175"/>
    <w:rsid w:val="00F321C8"/>
    <w:rsid w:val="00F3268B"/>
    <w:rsid w:val="00F327E4"/>
    <w:rsid w:val="00F32BA5"/>
    <w:rsid w:val="00F3330C"/>
    <w:rsid w:val="00F33752"/>
    <w:rsid w:val="00F33D01"/>
    <w:rsid w:val="00F3609D"/>
    <w:rsid w:val="00F3644B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20A"/>
    <w:rsid w:val="00F43D0A"/>
    <w:rsid w:val="00F44CCD"/>
    <w:rsid w:val="00F44D4E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6ED"/>
    <w:rsid w:val="00F637B1"/>
    <w:rsid w:val="00F643E6"/>
    <w:rsid w:val="00F644D8"/>
    <w:rsid w:val="00F6515F"/>
    <w:rsid w:val="00F6519C"/>
    <w:rsid w:val="00F651E6"/>
    <w:rsid w:val="00F66DCD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DBA"/>
    <w:rsid w:val="00F8002B"/>
    <w:rsid w:val="00F80FC8"/>
    <w:rsid w:val="00F8132B"/>
    <w:rsid w:val="00F81CD5"/>
    <w:rsid w:val="00F8256D"/>
    <w:rsid w:val="00F83977"/>
    <w:rsid w:val="00F83AA7"/>
    <w:rsid w:val="00F84839"/>
    <w:rsid w:val="00F86582"/>
    <w:rsid w:val="00F87168"/>
    <w:rsid w:val="00F8779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CE6"/>
    <w:rsid w:val="00FA793C"/>
    <w:rsid w:val="00FA7B67"/>
    <w:rsid w:val="00FB11BC"/>
    <w:rsid w:val="00FB182C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371"/>
    <w:rsid w:val="00FC3E34"/>
    <w:rsid w:val="00FC3FE5"/>
    <w:rsid w:val="00FC4785"/>
    <w:rsid w:val="00FC4E8D"/>
    <w:rsid w:val="00FC5FEC"/>
    <w:rsid w:val="00FC68D5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995"/>
    <w:rsid w:val="00FD6009"/>
    <w:rsid w:val="00FD6A23"/>
    <w:rsid w:val="00FD6B16"/>
    <w:rsid w:val="00FD74A9"/>
    <w:rsid w:val="00FE08F9"/>
    <w:rsid w:val="00FE1526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F0193"/>
    <w:rsid w:val="00FF0334"/>
    <w:rsid w:val="00FF15BF"/>
    <w:rsid w:val="00FF2686"/>
    <w:rsid w:val="00FF3740"/>
    <w:rsid w:val="00FF3D7D"/>
    <w:rsid w:val="00FF431C"/>
    <w:rsid w:val="00FF4E48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F7EEB49-FE9C-45BA-8B7D-0B0B3D140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1022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2022-03-25T08:48:00Z</dcterms:created>
  <dcterms:modified xsi:type="dcterms:W3CDTF">2022-03-28T12:20:00Z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