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722" w:rsidRPr="001D4722" w:rsidRDefault="00F551BA" w:rsidP="00F726DC">
      <w:pPr>
        <w:pStyle w:val="Nomdesocit"/>
        <w:bidi/>
        <w:spacing w:after="120" w:line="240" w:lineRule="auto"/>
        <w:jc w:val="center"/>
        <w:outlineLvl w:val="0"/>
        <w:rPr>
          <w:rFonts w:ascii="Courier New" w:hAnsi="Courier New" w:cs="Courier New"/>
          <w:b/>
          <w:bCs/>
          <w:color w:val="FFC000"/>
          <w:sz w:val="24"/>
          <w:szCs w:val="24"/>
          <w:rtl/>
          <w:lang w:bidi="ar-MA"/>
        </w:rPr>
      </w:pPr>
      <w:proofErr w:type="spellStart"/>
      <w:r w:rsidRPr="001D4722">
        <w:rPr>
          <w:rFonts w:ascii="Courier New" w:hAnsi="Courier New" w:cs="Courier New"/>
          <w:b/>
          <w:bCs/>
          <w:color w:val="FFC000"/>
          <w:sz w:val="24"/>
          <w:szCs w:val="24"/>
          <w:rtl/>
          <w:lang w:bidi="ar-MA"/>
        </w:rPr>
        <w:t>ا</w:t>
      </w:r>
      <w:r w:rsidR="001D4722" w:rsidRPr="001D4722">
        <w:rPr>
          <w:rFonts w:ascii="Courier New" w:hAnsi="Courier New" w:cs="Courier New"/>
          <w:b/>
          <w:bCs/>
          <w:color w:val="FFC000"/>
          <w:sz w:val="24"/>
          <w:szCs w:val="24"/>
          <w:rtl/>
          <w:lang w:bidi="ar-MA"/>
        </w:rPr>
        <w:t>لمملكةالمغربية</w:t>
      </w:r>
      <w:proofErr w:type="spellEnd"/>
    </w:p>
    <w:p w:rsidR="00693096" w:rsidRPr="00B833F0" w:rsidRDefault="00841008" w:rsidP="00F726DC">
      <w:pPr>
        <w:pStyle w:val="Nomdesocit"/>
        <w:spacing w:after="120" w:line="240" w:lineRule="auto"/>
        <w:jc w:val="center"/>
        <w:outlineLvl w:val="0"/>
        <w:rPr>
          <w:rFonts w:ascii="Cooper Black" w:hAnsi="Cooper Black"/>
          <w:color w:val="993366"/>
          <w:sz w:val="24"/>
          <w:szCs w:val="24"/>
        </w:rPr>
      </w:pPr>
      <w:r w:rsidRPr="00B833F0">
        <w:rPr>
          <w:rFonts w:ascii="Cooper Black" w:hAnsi="Cooper Black"/>
          <w:color w:val="993366"/>
          <w:sz w:val="24"/>
          <w:szCs w:val="24"/>
        </w:rPr>
        <w:t>ROYAUME DU</w:t>
      </w:r>
      <w:r w:rsidR="00693096" w:rsidRPr="00B833F0">
        <w:rPr>
          <w:rFonts w:ascii="Cooper Black" w:hAnsi="Cooper Black"/>
          <w:color w:val="993366"/>
          <w:sz w:val="24"/>
          <w:szCs w:val="24"/>
        </w:rPr>
        <w:t xml:space="preserve"> MAROC</w:t>
      </w:r>
    </w:p>
    <w:p w:rsidR="00693096" w:rsidRDefault="00CF32DD" w:rsidP="00F726DC">
      <w:pPr>
        <w:pStyle w:val="Nomdesocit"/>
        <w:spacing w:after="120" w:line="240" w:lineRule="auto"/>
        <w:jc w:val="center"/>
        <w:outlineLvl w:val="0"/>
        <w:rPr>
          <w:sz w:val="24"/>
          <w:szCs w:val="24"/>
        </w:rPr>
      </w:pPr>
      <w:r>
        <w:rPr>
          <w:noProof/>
          <w:sz w:val="28"/>
          <w:szCs w:val="28"/>
          <w:lang w:eastAsia="fr-FR"/>
        </w:rPr>
        <w:drawing>
          <wp:inline distT="0" distB="0" distL="0" distR="0">
            <wp:extent cx="1981200" cy="6477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81200" cy="647700"/>
                    </a:xfrm>
                    <a:prstGeom prst="rect">
                      <a:avLst/>
                    </a:prstGeom>
                    <a:noFill/>
                    <a:ln w="9525">
                      <a:noFill/>
                      <a:miter lim="800000"/>
                      <a:headEnd/>
                      <a:tailEnd/>
                    </a:ln>
                  </pic:spPr>
                </pic:pic>
              </a:graphicData>
            </a:graphic>
          </wp:inline>
        </w:drawing>
      </w:r>
    </w:p>
    <w:p w:rsidR="00A954ED" w:rsidRDefault="00A954ED" w:rsidP="00A954ED">
      <w:pPr>
        <w:pStyle w:val="Sous-titre"/>
      </w:pPr>
    </w:p>
    <w:tbl>
      <w:tblPr>
        <w:tblW w:w="8505" w:type="dxa"/>
        <w:jc w:val="center"/>
        <w:shd w:val="clear" w:color="auto" w:fill="FFCC99"/>
        <w:tblLook w:val="01E0"/>
      </w:tblPr>
      <w:tblGrid>
        <w:gridCol w:w="8505"/>
      </w:tblGrid>
      <w:tr w:rsidR="00693096" w:rsidRPr="001D4722" w:rsidTr="00402AD4">
        <w:trPr>
          <w:jc w:val="center"/>
        </w:trPr>
        <w:tc>
          <w:tcPr>
            <w:tcW w:w="8505" w:type="dxa"/>
            <w:shd w:val="clear" w:color="auto" w:fill="auto"/>
          </w:tcPr>
          <w:p w:rsidR="00107C4D" w:rsidRPr="00395407" w:rsidRDefault="00693096" w:rsidP="00395407">
            <w:pPr>
              <w:ind w:left="0"/>
              <w:jc w:val="center"/>
              <w:rPr>
                <w:rFonts w:ascii="Times New Roman" w:hAnsi="Times New Roman"/>
                <w:b/>
                <w:bCs/>
                <w:color w:val="993366"/>
                <w:sz w:val="40"/>
                <w:szCs w:val="40"/>
              </w:rPr>
            </w:pPr>
            <w:r w:rsidRPr="00395407">
              <w:rPr>
                <w:rFonts w:ascii="Times New Roman" w:hAnsi="Times New Roman"/>
                <w:b/>
                <w:bCs/>
                <w:color w:val="993366"/>
                <w:sz w:val="40"/>
                <w:szCs w:val="40"/>
              </w:rPr>
              <w:t>Note</w:t>
            </w:r>
            <w:r w:rsidR="00395407" w:rsidRPr="00395407">
              <w:rPr>
                <w:rFonts w:ascii="Times New Roman" w:hAnsi="Times New Roman"/>
                <w:b/>
                <w:bCs/>
                <w:color w:val="993366"/>
                <w:sz w:val="40"/>
                <w:szCs w:val="40"/>
              </w:rPr>
              <w:t xml:space="preserve"> s</w:t>
            </w:r>
            <w:r w:rsidR="00841008" w:rsidRPr="00395407">
              <w:rPr>
                <w:rFonts w:ascii="Times New Roman" w:hAnsi="Times New Roman"/>
                <w:b/>
                <w:bCs/>
                <w:color w:val="993366"/>
                <w:sz w:val="40"/>
                <w:szCs w:val="40"/>
              </w:rPr>
              <w:t>ur</w:t>
            </w:r>
            <w:r w:rsidR="00395407" w:rsidRPr="00395407">
              <w:rPr>
                <w:rFonts w:ascii="Times New Roman" w:hAnsi="Times New Roman"/>
                <w:b/>
                <w:bCs/>
                <w:color w:val="993366"/>
                <w:sz w:val="40"/>
                <w:szCs w:val="40"/>
              </w:rPr>
              <w:t xml:space="preserve"> </w:t>
            </w:r>
            <w:r w:rsidR="001D4722" w:rsidRPr="00395407">
              <w:rPr>
                <w:rFonts w:ascii="Times New Roman" w:hAnsi="Times New Roman"/>
                <w:b/>
                <w:bCs/>
                <w:color w:val="993366"/>
                <w:sz w:val="40"/>
                <w:szCs w:val="40"/>
              </w:rPr>
              <w:t>l’Indice</w:t>
            </w:r>
            <w:r w:rsidR="00D52A9D" w:rsidRPr="00395407">
              <w:rPr>
                <w:rFonts w:ascii="Times New Roman" w:hAnsi="Times New Roman"/>
                <w:b/>
                <w:bCs/>
                <w:color w:val="993366"/>
                <w:sz w:val="40"/>
                <w:szCs w:val="40"/>
              </w:rPr>
              <w:tab/>
            </w:r>
          </w:p>
          <w:p w:rsidR="00107C4D" w:rsidRDefault="00841008" w:rsidP="00395407">
            <w:pPr>
              <w:ind w:left="0"/>
              <w:jc w:val="center"/>
              <w:rPr>
                <w:rFonts w:ascii="Times New Roman" w:hAnsi="Times New Roman"/>
                <w:b/>
                <w:bCs/>
                <w:color w:val="993366"/>
                <w:sz w:val="40"/>
                <w:szCs w:val="40"/>
              </w:rPr>
            </w:pPr>
            <w:r w:rsidRPr="00395407">
              <w:rPr>
                <w:rFonts w:ascii="Times New Roman" w:hAnsi="Times New Roman"/>
                <w:b/>
                <w:bCs/>
                <w:color w:val="993366"/>
                <w:sz w:val="40"/>
                <w:szCs w:val="40"/>
              </w:rPr>
              <w:t>Des</w:t>
            </w:r>
            <w:r w:rsidR="001D4722" w:rsidRPr="00395407">
              <w:rPr>
                <w:rFonts w:ascii="Times New Roman" w:hAnsi="Times New Roman"/>
                <w:b/>
                <w:bCs/>
                <w:color w:val="993366"/>
                <w:sz w:val="40"/>
                <w:szCs w:val="40"/>
              </w:rPr>
              <w:t xml:space="preserve"> Prix à la Consommation (</w:t>
            </w:r>
            <w:r w:rsidR="00395407" w:rsidRPr="00395407">
              <w:rPr>
                <w:rFonts w:ascii="Times New Roman" w:hAnsi="Times New Roman"/>
                <w:b/>
                <w:bCs/>
                <w:color w:val="993366"/>
                <w:sz w:val="40"/>
                <w:szCs w:val="40"/>
              </w:rPr>
              <w:t>Base 100 : 2017</w:t>
            </w:r>
            <w:r w:rsidR="001D4722" w:rsidRPr="00395407">
              <w:rPr>
                <w:rFonts w:ascii="Times New Roman" w:hAnsi="Times New Roman"/>
                <w:b/>
                <w:bCs/>
                <w:color w:val="993366"/>
                <w:sz w:val="40"/>
                <w:szCs w:val="40"/>
              </w:rPr>
              <w:t>)</w:t>
            </w:r>
          </w:p>
          <w:p w:rsidR="00C43E2A" w:rsidRPr="00395407" w:rsidRDefault="00C43E2A" w:rsidP="00395407">
            <w:pPr>
              <w:ind w:left="0"/>
              <w:jc w:val="center"/>
              <w:rPr>
                <w:rFonts w:ascii="Times New Roman" w:hAnsi="Times New Roman"/>
                <w:b/>
                <w:bCs/>
                <w:color w:val="993366"/>
                <w:sz w:val="40"/>
                <w:szCs w:val="40"/>
              </w:rPr>
            </w:pPr>
            <w:r>
              <w:rPr>
                <w:rFonts w:ascii="Times New Roman" w:hAnsi="Times New Roman"/>
                <w:b/>
                <w:bCs/>
                <w:color w:val="993366"/>
                <w:sz w:val="40"/>
                <w:szCs w:val="40"/>
              </w:rPr>
              <w:t>De la ville de Kénitra</w:t>
            </w:r>
          </w:p>
          <w:p w:rsidR="00095727" w:rsidRPr="00395407" w:rsidRDefault="00095727" w:rsidP="00332534">
            <w:pPr>
              <w:ind w:left="0"/>
              <w:jc w:val="center"/>
              <w:rPr>
                <w:rFonts w:ascii="Times New Roman" w:hAnsi="Times New Roman"/>
                <w:b/>
                <w:bCs/>
                <w:color w:val="993366"/>
                <w:sz w:val="40"/>
                <w:szCs w:val="40"/>
              </w:rPr>
            </w:pPr>
          </w:p>
          <w:p w:rsidR="00693096" w:rsidRPr="00CC0C52" w:rsidRDefault="00E1713B" w:rsidP="00857B95">
            <w:pPr>
              <w:ind w:left="0"/>
              <w:jc w:val="center"/>
              <w:rPr>
                <w:rFonts w:ascii="Times New Roman" w:hAnsi="Times New Roman"/>
                <w:b/>
                <w:bCs/>
                <w:color w:val="999999"/>
                <w:sz w:val="44"/>
                <w:szCs w:val="44"/>
              </w:rPr>
            </w:pPr>
            <w:r>
              <w:rPr>
                <w:rFonts w:ascii="Times New Roman" w:hAnsi="Times New Roman"/>
                <w:b/>
                <w:bCs/>
                <w:color w:val="993366"/>
                <w:sz w:val="40"/>
                <w:szCs w:val="40"/>
              </w:rPr>
              <w:t>Févr</w:t>
            </w:r>
            <w:r w:rsidR="00395407" w:rsidRPr="00395407">
              <w:rPr>
                <w:rFonts w:ascii="Times New Roman" w:hAnsi="Times New Roman"/>
                <w:b/>
                <w:bCs/>
                <w:color w:val="993366"/>
                <w:sz w:val="40"/>
                <w:szCs w:val="40"/>
              </w:rPr>
              <w:t xml:space="preserve">ier </w:t>
            </w:r>
            <w:r w:rsidR="00693096" w:rsidRPr="00395407">
              <w:rPr>
                <w:rFonts w:ascii="Times New Roman" w:hAnsi="Times New Roman"/>
                <w:b/>
                <w:bCs/>
                <w:color w:val="993366"/>
                <w:sz w:val="40"/>
                <w:szCs w:val="40"/>
              </w:rPr>
              <w:t>20</w:t>
            </w:r>
            <w:r w:rsidR="00395407" w:rsidRPr="00395407">
              <w:rPr>
                <w:rFonts w:ascii="Times New Roman" w:hAnsi="Times New Roman"/>
                <w:b/>
                <w:bCs/>
                <w:color w:val="993366"/>
                <w:sz w:val="40"/>
                <w:szCs w:val="40"/>
              </w:rPr>
              <w:t>2</w:t>
            </w:r>
            <w:r w:rsidR="00857B95">
              <w:rPr>
                <w:rFonts w:ascii="Times New Roman" w:hAnsi="Times New Roman"/>
                <w:b/>
                <w:bCs/>
                <w:color w:val="993366"/>
                <w:sz w:val="40"/>
                <w:szCs w:val="40"/>
              </w:rPr>
              <w:t>2</w:t>
            </w:r>
          </w:p>
        </w:tc>
      </w:tr>
      <w:tr w:rsidR="00436F88" w:rsidRPr="001D4722" w:rsidTr="00402AD4">
        <w:trPr>
          <w:jc w:val="center"/>
        </w:trPr>
        <w:tc>
          <w:tcPr>
            <w:tcW w:w="8505" w:type="dxa"/>
            <w:shd w:val="clear" w:color="auto" w:fill="auto"/>
          </w:tcPr>
          <w:p w:rsidR="00436F88" w:rsidRPr="001D4722" w:rsidRDefault="00436F88" w:rsidP="00A954ED">
            <w:pPr>
              <w:ind w:left="0"/>
              <w:jc w:val="center"/>
              <w:rPr>
                <w:rFonts w:ascii="Times New Roman" w:hAnsi="Times New Roman"/>
                <w:b/>
                <w:bCs/>
                <w:color w:val="993366"/>
                <w:sz w:val="52"/>
                <w:szCs w:val="52"/>
              </w:rPr>
            </w:pPr>
          </w:p>
        </w:tc>
      </w:tr>
    </w:tbl>
    <w:p w:rsidR="00693096" w:rsidRDefault="00693096" w:rsidP="00693096"/>
    <w:p w:rsidR="00693096" w:rsidRPr="000A5E6E" w:rsidRDefault="00693096" w:rsidP="00693096">
      <w:pPr>
        <w:bidi/>
        <w:ind w:left="0"/>
        <w:jc w:val="center"/>
        <w:outlineLvl w:val="0"/>
        <w:rPr>
          <w:rStyle w:val="Accentuation"/>
          <w:color w:val="E36C0A"/>
          <w:sz w:val="24"/>
          <w:szCs w:val="28"/>
          <w:lang w:eastAsia="fr-FR"/>
        </w:rPr>
      </w:pPr>
      <w:r w:rsidRPr="000A5E6E">
        <w:rPr>
          <w:rStyle w:val="Accentuation"/>
          <w:color w:val="E36C0A"/>
          <w:sz w:val="24"/>
          <w:szCs w:val="28"/>
          <w:lang w:eastAsia="fr-FR"/>
        </w:rPr>
        <w:t>APERÇU MÉTHODOLOGIQUE</w:t>
      </w:r>
    </w:p>
    <w:p w:rsidR="00693096" w:rsidRPr="000A5E6E" w:rsidRDefault="00693096" w:rsidP="00693096">
      <w:pPr>
        <w:ind w:left="0"/>
        <w:jc w:val="lowKashida"/>
        <w:rPr>
          <w:rFonts w:ascii="Times New Roman" w:hAnsi="Times New Roman" w:cs="Arabic Transparent"/>
          <w:color w:val="E36C0A"/>
          <w:spacing w:val="0"/>
          <w:sz w:val="16"/>
          <w:szCs w:val="16"/>
          <w:lang w:eastAsia="fr-FR"/>
        </w:rPr>
      </w:pPr>
    </w:p>
    <w:p w:rsidR="00693096" w:rsidRPr="000A5E6E" w:rsidRDefault="0010373A" w:rsidP="003C7B50">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rPr>
          <w:sz w:val="22"/>
          <w:szCs w:val="22"/>
          <w:lang w:eastAsia="fr-FR"/>
        </w:rPr>
      </w:pPr>
      <w:r>
        <w:rPr>
          <w:noProof/>
          <w:sz w:val="22"/>
          <w:szCs w:val="22"/>
          <w:lang w:eastAsia="fr-FR"/>
        </w:rPr>
        <w:drawing>
          <wp:anchor distT="0" distB="0" distL="114300" distR="114300" simplePos="0" relativeHeight="251662336" behindDoc="1" locked="0" layoutInCell="1" allowOverlap="1">
            <wp:simplePos x="0" y="0"/>
            <wp:positionH relativeFrom="column">
              <wp:posOffset>-729615</wp:posOffset>
            </wp:positionH>
            <wp:positionV relativeFrom="paragraph">
              <wp:posOffset>117475</wp:posOffset>
            </wp:positionV>
            <wp:extent cx="7572375" cy="4829175"/>
            <wp:effectExtent l="19050" t="0" r="9525" b="0"/>
            <wp:wrapNone/>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572375" cy="4829175"/>
                    </a:xfrm>
                    <a:prstGeom prst="rect">
                      <a:avLst/>
                    </a:prstGeom>
                    <a:noFill/>
                    <a:ln w="9525">
                      <a:noFill/>
                      <a:miter lim="800000"/>
                      <a:headEnd/>
                      <a:tailEnd/>
                    </a:ln>
                  </pic:spPr>
                </pic:pic>
              </a:graphicData>
            </a:graphic>
          </wp:anchor>
        </w:drawing>
      </w:r>
      <w:r w:rsidR="00A954ED">
        <w:rPr>
          <w:sz w:val="22"/>
          <w:szCs w:val="22"/>
          <w:lang w:eastAsia="fr-FR"/>
        </w:rPr>
        <w:tab/>
      </w:r>
      <w:r w:rsidR="00693096" w:rsidRPr="000A5E6E">
        <w:rPr>
          <w:sz w:val="22"/>
          <w:szCs w:val="22"/>
          <w:lang w:eastAsia="fr-FR"/>
        </w:rPr>
        <w:t>L’Indice des Prix à la Consommation appelé IPC (base 100</w:t>
      </w:r>
      <w:r w:rsidR="003C7B50">
        <w:rPr>
          <w:sz w:val="22"/>
          <w:szCs w:val="22"/>
          <w:lang w:eastAsia="fr-FR"/>
        </w:rPr>
        <w:t> : 2017</w:t>
      </w:r>
      <w:r w:rsidR="00841008" w:rsidRPr="000A5E6E">
        <w:rPr>
          <w:sz w:val="22"/>
          <w:szCs w:val="22"/>
          <w:lang w:eastAsia="fr-FR"/>
        </w:rPr>
        <w:t>) mesure</w:t>
      </w:r>
      <w:r w:rsidR="00693096" w:rsidRPr="000A5E6E">
        <w:rPr>
          <w:sz w:val="22"/>
          <w:szCs w:val="22"/>
          <w:lang w:eastAsia="fr-FR"/>
        </w:rPr>
        <w:t xml:space="preserve"> l’évolution des prix de </w:t>
      </w:r>
      <w:r w:rsidR="00841008" w:rsidRPr="000A5E6E">
        <w:rPr>
          <w:sz w:val="22"/>
          <w:szCs w:val="22"/>
          <w:lang w:eastAsia="fr-FR"/>
        </w:rPr>
        <w:t>détail dans</w:t>
      </w:r>
      <w:r w:rsidR="00693096" w:rsidRPr="000A5E6E">
        <w:rPr>
          <w:sz w:val="22"/>
          <w:szCs w:val="22"/>
          <w:lang w:eastAsia="fr-FR"/>
        </w:rPr>
        <w:t xml:space="preserve"> le temps et dans l’espace. Sa population de référence est constituée de l’ensemble de la population urbaine marocaine.</w:t>
      </w:r>
    </w:p>
    <w:p w:rsidR="00693096" w:rsidRPr="000A5E6E" w:rsidRDefault="00693096" w:rsidP="003C7B50">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firstLine="646"/>
        <w:rPr>
          <w:sz w:val="22"/>
          <w:szCs w:val="22"/>
          <w:lang w:eastAsia="fr-FR"/>
        </w:rPr>
      </w:pPr>
      <w:r w:rsidRPr="000A5E6E">
        <w:rPr>
          <w:sz w:val="22"/>
          <w:szCs w:val="22"/>
          <w:lang w:eastAsia="fr-FR"/>
        </w:rPr>
        <w:t xml:space="preserve">Le </w:t>
      </w:r>
      <w:r w:rsidR="00841008" w:rsidRPr="000A5E6E">
        <w:rPr>
          <w:sz w:val="22"/>
          <w:szCs w:val="22"/>
          <w:lang w:eastAsia="fr-FR"/>
        </w:rPr>
        <w:t xml:space="preserve">panier </w:t>
      </w:r>
      <w:r w:rsidR="00BA3055" w:rsidRPr="000A5E6E">
        <w:rPr>
          <w:sz w:val="22"/>
          <w:szCs w:val="22"/>
          <w:lang w:eastAsia="fr-FR"/>
        </w:rPr>
        <w:t>de l’indice</w:t>
      </w:r>
      <w:r w:rsidR="00841008" w:rsidRPr="000A5E6E">
        <w:rPr>
          <w:sz w:val="22"/>
          <w:szCs w:val="22"/>
          <w:lang w:eastAsia="fr-FR"/>
        </w:rPr>
        <w:t xml:space="preserve"> contient </w:t>
      </w:r>
      <w:r w:rsidR="003C7B50">
        <w:rPr>
          <w:sz w:val="22"/>
          <w:szCs w:val="22"/>
          <w:lang w:eastAsia="fr-FR"/>
        </w:rPr>
        <w:t>près de 546</w:t>
      </w:r>
      <w:r w:rsidRPr="000A5E6E">
        <w:rPr>
          <w:sz w:val="22"/>
          <w:szCs w:val="22"/>
          <w:lang w:eastAsia="fr-FR"/>
        </w:rPr>
        <w:t xml:space="preserve"> articles, 1</w:t>
      </w:r>
      <w:r w:rsidR="003C7B50">
        <w:rPr>
          <w:sz w:val="22"/>
          <w:szCs w:val="22"/>
          <w:lang w:eastAsia="fr-FR"/>
        </w:rPr>
        <w:t>391</w:t>
      </w:r>
      <w:r w:rsidRPr="000A5E6E">
        <w:rPr>
          <w:sz w:val="22"/>
          <w:szCs w:val="22"/>
          <w:lang w:eastAsia="fr-FR"/>
        </w:rPr>
        <w:t xml:space="preserve"> variétés de produits de grande consommation par les ménages </w:t>
      </w:r>
      <w:r w:rsidR="002A5226">
        <w:rPr>
          <w:sz w:val="22"/>
          <w:szCs w:val="22"/>
          <w:lang w:eastAsia="fr-FR"/>
        </w:rPr>
        <w:t xml:space="preserve">urbains </w:t>
      </w:r>
      <w:r w:rsidRPr="000A5E6E">
        <w:rPr>
          <w:sz w:val="22"/>
          <w:szCs w:val="22"/>
          <w:lang w:eastAsia="fr-FR"/>
        </w:rPr>
        <w:t>marocains</w:t>
      </w:r>
      <w:r w:rsidR="002A5226">
        <w:rPr>
          <w:sz w:val="22"/>
          <w:szCs w:val="22"/>
          <w:lang w:eastAsia="fr-FR"/>
        </w:rPr>
        <w:t>, c</w:t>
      </w:r>
      <w:r w:rsidR="002A5226" w:rsidRPr="000A5E6E">
        <w:rPr>
          <w:sz w:val="22"/>
          <w:szCs w:val="22"/>
          <w:lang w:eastAsia="fr-FR"/>
        </w:rPr>
        <w:t xml:space="preserve">es articles sont classés en 12 divisions et 41 </w:t>
      </w:r>
      <w:r w:rsidR="00841008" w:rsidRPr="000A5E6E">
        <w:rPr>
          <w:sz w:val="22"/>
          <w:szCs w:val="22"/>
          <w:lang w:eastAsia="fr-FR"/>
        </w:rPr>
        <w:t>groupes</w:t>
      </w:r>
      <w:r w:rsidR="004C54F7">
        <w:rPr>
          <w:sz w:val="22"/>
          <w:szCs w:val="22"/>
          <w:lang w:eastAsia="fr-FR"/>
        </w:rPr>
        <w:t>.</w:t>
      </w:r>
      <w:r w:rsidRPr="000A5E6E">
        <w:rPr>
          <w:sz w:val="22"/>
          <w:szCs w:val="22"/>
          <w:lang w:eastAsia="fr-FR"/>
        </w:rPr>
        <w:t xml:space="preserve"> </w:t>
      </w:r>
    </w:p>
    <w:p w:rsidR="00693096" w:rsidRDefault="00A954ED" w:rsidP="005D0C75">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rPr>
          <w:sz w:val="22"/>
          <w:szCs w:val="22"/>
          <w:lang w:eastAsia="fr-FR"/>
        </w:rPr>
      </w:pPr>
      <w:r w:rsidRPr="000A5E6E">
        <w:rPr>
          <w:sz w:val="22"/>
          <w:szCs w:val="22"/>
          <w:lang w:eastAsia="fr-FR"/>
        </w:rPr>
        <w:tab/>
      </w:r>
      <w:r w:rsidR="00693096" w:rsidRPr="000A5E6E">
        <w:rPr>
          <w:sz w:val="22"/>
          <w:szCs w:val="22"/>
          <w:lang w:eastAsia="fr-FR"/>
        </w:rPr>
        <w:t xml:space="preserve"> L’Indice est </w:t>
      </w:r>
      <w:r w:rsidR="00841008" w:rsidRPr="000A5E6E">
        <w:rPr>
          <w:sz w:val="22"/>
          <w:szCs w:val="22"/>
          <w:lang w:eastAsia="fr-FR"/>
        </w:rPr>
        <w:t>publié mensuellement pour</w:t>
      </w:r>
      <w:r w:rsidR="00693096" w:rsidRPr="000A5E6E">
        <w:rPr>
          <w:sz w:val="22"/>
          <w:szCs w:val="22"/>
          <w:lang w:eastAsia="fr-FR"/>
        </w:rPr>
        <w:t xml:space="preserve"> les 1</w:t>
      </w:r>
      <w:r w:rsidR="003C7B50">
        <w:rPr>
          <w:sz w:val="22"/>
          <w:szCs w:val="22"/>
          <w:lang w:eastAsia="fr-FR"/>
        </w:rPr>
        <w:t>8</w:t>
      </w:r>
      <w:r w:rsidR="00693096" w:rsidRPr="000A5E6E">
        <w:rPr>
          <w:sz w:val="22"/>
          <w:szCs w:val="22"/>
          <w:lang w:eastAsia="fr-FR"/>
        </w:rPr>
        <w:t xml:space="preserve"> principales villes du Royaume</w:t>
      </w:r>
      <w:r w:rsidR="00332FD6">
        <w:rPr>
          <w:sz w:val="22"/>
          <w:szCs w:val="22"/>
          <w:lang w:eastAsia="fr-FR"/>
        </w:rPr>
        <w:t xml:space="preserve"> </w:t>
      </w:r>
      <w:r w:rsidR="003C7B50">
        <w:rPr>
          <w:sz w:val="22"/>
          <w:szCs w:val="22"/>
          <w:lang w:eastAsia="fr-FR"/>
        </w:rPr>
        <w:t>représent</w:t>
      </w:r>
      <w:r w:rsidR="005D0C75">
        <w:rPr>
          <w:sz w:val="22"/>
          <w:szCs w:val="22"/>
          <w:lang w:eastAsia="fr-FR"/>
        </w:rPr>
        <w:t>a</w:t>
      </w:r>
      <w:r w:rsidR="003C7B50">
        <w:rPr>
          <w:sz w:val="22"/>
          <w:szCs w:val="22"/>
          <w:lang w:eastAsia="fr-FR"/>
        </w:rPr>
        <w:t>nt les 12 régions économiques actuelles</w:t>
      </w:r>
      <w:r w:rsidR="00693096" w:rsidRPr="000A5E6E">
        <w:rPr>
          <w:sz w:val="22"/>
          <w:szCs w:val="22"/>
          <w:lang w:eastAsia="fr-FR"/>
        </w:rPr>
        <w:t>.</w:t>
      </w:r>
    </w:p>
    <w:p w:rsidR="00693096" w:rsidRDefault="00693096" w:rsidP="00693096">
      <w:pPr>
        <w:ind w:left="0"/>
      </w:pPr>
    </w:p>
    <w:p w:rsidR="001D4722" w:rsidRDefault="001D4722" w:rsidP="00693096">
      <w:pPr>
        <w:ind w:left="0"/>
      </w:pPr>
    </w:p>
    <w:p w:rsidR="001D4722" w:rsidRDefault="001D4722" w:rsidP="00693096">
      <w:pPr>
        <w:ind w:left="0"/>
      </w:pPr>
    </w:p>
    <w:p w:rsidR="00FB652B" w:rsidRDefault="00FB652B" w:rsidP="00693096">
      <w:pPr>
        <w:ind w:left="0"/>
      </w:pPr>
    </w:p>
    <w:p w:rsidR="00261930" w:rsidRDefault="00261930" w:rsidP="00693096">
      <w:pPr>
        <w:ind w:left="0"/>
      </w:pPr>
    </w:p>
    <w:p w:rsidR="00D42634" w:rsidRDefault="00D42634" w:rsidP="00693096">
      <w:pPr>
        <w:ind w:left="0"/>
      </w:pPr>
    </w:p>
    <w:p w:rsidR="00FB652B" w:rsidRDefault="00FB652B" w:rsidP="00693096">
      <w:pPr>
        <w:ind w:left="0"/>
      </w:pPr>
    </w:p>
    <w:p w:rsidR="00FB652B" w:rsidRDefault="00FB652B" w:rsidP="00693096">
      <w:pPr>
        <w:ind w:left="0"/>
      </w:pPr>
    </w:p>
    <w:p w:rsidR="00FB652B" w:rsidRDefault="00FB652B" w:rsidP="00693096">
      <w:pPr>
        <w:ind w:left="0"/>
      </w:pPr>
    </w:p>
    <w:p w:rsidR="001D4722" w:rsidRDefault="001D4722" w:rsidP="00693096">
      <w:pPr>
        <w:ind w:left="0"/>
      </w:pPr>
    </w:p>
    <w:p w:rsidR="002A0ED2" w:rsidRDefault="002A0ED2" w:rsidP="00693096">
      <w:pPr>
        <w:ind w:left="0"/>
      </w:pPr>
    </w:p>
    <w:p w:rsidR="001D4722" w:rsidRPr="001D4722" w:rsidRDefault="001D4722" w:rsidP="00395407">
      <w:pPr>
        <w:ind w:left="0"/>
        <w:jc w:val="center"/>
        <w:rPr>
          <w:rFonts w:ascii="Times New Roman" w:hAnsi="Times New Roman"/>
          <w:b/>
          <w:bCs/>
          <w:color w:val="993366"/>
          <w:sz w:val="22"/>
          <w:szCs w:val="22"/>
          <w:rtl/>
        </w:rPr>
      </w:pPr>
      <w:r w:rsidRPr="001D4722">
        <w:rPr>
          <w:rFonts w:ascii="Times New Roman" w:hAnsi="Times New Roman"/>
          <w:b/>
          <w:bCs/>
          <w:color w:val="993366"/>
          <w:sz w:val="22"/>
          <w:szCs w:val="22"/>
        </w:rPr>
        <w:t xml:space="preserve">DIRECTION </w:t>
      </w:r>
      <w:r w:rsidR="00395407">
        <w:rPr>
          <w:rFonts w:ascii="Times New Roman" w:hAnsi="Times New Roman"/>
          <w:b/>
          <w:bCs/>
          <w:color w:val="993366"/>
          <w:sz w:val="22"/>
          <w:szCs w:val="22"/>
        </w:rPr>
        <w:t>PROVINCIALE DE KENITRA</w:t>
      </w:r>
    </w:p>
    <w:p w:rsidR="001D4722" w:rsidRDefault="001D4722" w:rsidP="001D4722">
      <w:pPr>
        <w:ind w:left="0"/>
        <w:jc w:val="center"/>
        <w:rPr>
          <w:rFonts w:ascii="Cooper Black" w:hAnsi="Cooper Black"/>
          <w:color w:val="95B3D7"/>
          <w:sz w:val="24"/>
          <w:szCs w:val="24"/>
          <w:rtl/>
        </w:rPr>
      </w:pPr>
    </w:p>
    <w:p w:rsidR="001D4722" w:rsidRDefault="001D4722" w:rsidP="00A12BB4">
      <w:pPr>
        <w:ind w:left="0"/>
        <w:rPr>
          <w:color w:val="95B3D7"/>
        </w:rPr>
      </w:pPr>
    </w:p>
    <w:p w:rsidR="00D2208B" w:rsidRDefault="00D2208B" w:rsidP="00A12BB4">
      <w:pPr>
        <w:ind w:left="0"/>
        <w:rPr>
          <w:color w:val="95B3D7"/>
        </w:rPr>
      </w:pPr>
    </w:p>
    <w:p w:rsidR="00D2208B" w:rsidRDefault="00D2208B" w:rsidP="00A12BB4">
      <w:pPr>
        <w:ind w:left="0"/>
        <w:rPr>
          <w:color w:val="95B3D7"/>
        </w:rPr>
      </w:pPr>
    </w:p>
    <w:p w:rsidR="00D2208B" w:rsidRDefault="00D2208B" w:rsidP="00A12BB4">
      <w:pPr>
        <w:ind w:left="0"/>
        <w:rPr>
          <w:color w:val="95B3D7"/>
        </w:rPr>
      </w:pPr>
    </w:p>
    <w:p w:rsidR="00D2208B" w:rsidRDefault="00D2208B" w:rsidP="00A12BB4">
      <w:pPr>
        <w:ind w:left="0"/>
        <w:rPr>
          <w:color w:val="95B3D7"/>
        </w:rPr>
      </w:pPr>
    </w:p>
    <w:p w:rsidR="00D2208B" w:rsidRDefault="00D2208B" w:rsidP="00A12BB4">
      <w:pPr>
        <w:ind w:left="0"/>
        <w:rPr>
          <w:color w:val="95B3D7"/>
        </w:rPr>
      </w:pPr>
    </w:p>
    <w:p w:rsidR="00D2208B" w:rsidRDefault="00D2208B" w:rsidP="00A12BB4">
      <w:pPr>
        <w:ind w:left="0"/>
        <w:rPr>
          <w:color w:val="95B3D7"/>
        </w:rPr>
      </w:pPr>
    </w:p>
    <w:p w:rsidR="00D2208B" w:rsidRDefault="00D2208B" w:rsidP="00A12BB4">
      <w:pPr>
        <w:ind w:left="0"/>
        <w:rPr>
          <w:color w:val="95B3D7"/>
        </w:rPr>
      </w:pPr>
    </w:p>
    <w:p w:rsidR="00D2208B" w:rsidRDefault="00D2208B" w:rsidP="00A12BB4">
      <w:pPr>
        <w:ind w:left="0"/>
        <w:rPr>
          <w:color w:val="95B3D7"/>
        </w:rPr>
      </w:pPr>
    </w:p>
    <w:p w:rsidR="00D2208B" w:rsidRPr="004C54F7" w:rsidRDefault="008A7F45" w:rsidP="004C54F7">
      <w:pPr>
        <w:ind w:left="0"/>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Evolution mensuelle d</w:t>
      </w:r>
      <w:r w:rsidR="002B4717" w:rsidRPr="004C54F7">
        <w:rPr>
          <w:rFonts w:asciiTheme="majorBidi" w:hAnsiTheme="majorBidi" w:cstheme="majorBidi"/>
          <w:b/>
          <w:bCs/>
          <w:color w:val="000000" w:themeColor="text1"/>
          <w:sz w:val="24"/>
          <w:szCs w:val="24"/>
        </w:rPr>
        <w:t>e L’IPC (Base 100 : 2017) de la ville de Kenitra:</w:t>
      </w:r>
    </w:p>
    <w:p w:rsidR="002B4717" w:rsidRPr="0026493E" w:rsidRDefault="002B4717" w:rsidP="00857B95">
      <w:pPr>
        <w:spacing w:before="100" w:beforeAutospacing="1" w:after="100" w:afterAutospacing="1"/>
        <w:ind w:left="0"/>
        <w:jc w:val="both"/>
        <w:rPr>
          <w:rFonts w:asciiTheme="majorBidi" w:hAnsiTheme="majorBidi" w:cstheme="majorBidi"/>
          <w:sz w:val="22"/>
          <w:szCs w:val="22"/>
        </w:rPr>
      </w:pPr>
      <w:r w:rsidRPr="0026493E">
        <w:rPr>
          <w:rFonts w:asciiTheme="majorBidi" w:hAnsiTheme="majorBidi" w:cstheme="majorBidi"/>
          <w:sz w:val="22"/>
          <w:szCs w:val="22"/>
        </w:rPr>
        <w:t xml:space="preserve">Au terme du mois de </w:t>
      </w:r>
      <w:r w:rsidR="00E1713B" w:rsidRPr="0026493E">
        <w:rPr>
          <w:rFonts w:asciiTheme="majorBidi" w:hAnsiTheme="majorBidi" w:cstheme="majorBidi"/>
          <w:sz w:val="22"/>
          <w:szCs w:val="22"/>
        </w:rPr>
        <w:t xml:space="preserve">Février </w:t>
      </w:r>
      <w:r w:rsidRPr="0026493E">
        <w:rPr>
          <w:rFonts w:asciiTheme="majorBidi" w:hAnsiTheme="majorBidi" w:cstheme="majorBidi"/>
          <w:sz w:val="22"/>
          <w:szCs w:val="22"/>
        </w:rPr>
        <w:t xml:space="preserve"> 202</w:t>
      </w:r>
      <w:r w:rsidR="00857B95" w:rsidRPr="0026493E">
        <w:rPr>
          <w:rFonts w:asciiTheme="majorBidi" w:hAnsiTheme="majorBidi" w:cstheme="majorBidi"/>
          <w:sz w:val="22"/>
          <w:szCs w:val="22"/>
        </w:rPr>
        <w:t>2</w:t>
      </w:r>
      <w:r w:rsidRPr="0026493E">
        <w:rPr>
          <w:rFonts w:asciiTheme="majorBidi" w:hAnsiTheme="majorBidi" w:cstheme="majorBidi"/>
          <w:sz w:val="22"/>
          <w:szCs w:val="22"/>
        </w:rPr>
        <w:t xml:space="preserve">, l’IPC de la ville de </w:t>
      </w:r>
      <w:r w:rsidR="00746443" w:rsidRPr="0026493E">
        <w:rPr>
          <w:rFonts w:asciiTheme="majorBidi" w:hAnsiTheme="majorBidi" w:cstheme="majorBidi"/>
          <w:sz w:val="22"/>
          <w:szCs w:val="22"/>
        </w:rPr>
        <w:t>Kenitra</w:t>
      </w:r>
      <w:r w:rsidRPr="0026493E">
        <w:rPr>
          <w:rFonts w:asciiTheme="majorBidi" w:hAnsiTheme="majorBidi" w:cstheme="majorBidi"/>
          <w:sz w:val="22"/>
          <w:szCs w:val="22"/>
        </w:rPr>
        <w:t xml:space="preserve"> a </w:t>
      </w:r>
      <w:r w:rsidR="00857B95" w:rsidRPr="0026493E">
        <w:rPr>
          <w:rFonts w:asciiTheme="majorBidi" w:hAnsiTheme="majorBidi" w:cstheme="majorBidi"/>
          <w:sz w:val="22"/>
          <w:szCs w:val="22"/>
        </w:rPr>
        <w:t xml:space="preserve">augmenté </w:t>
      </w:r>
      <w:r w:rsidRPr="0026493E">
        <w:rPr>
          <w:rFonts w:asciiTheme="majorBidi" w:hAnsiTheme="majorBidi" w:cstheme="majorBidi"/>
          <w:sz w:val="22"/>
          <w:szCs w:val="22"/>
        </w:rPr>
        <w:t xml:space="preserve"> de 0,</w:t>
      </w:r>
      <w:r w:rsidR="00857B95" w:rsidRPr="0026493E">
        <w:rPr>
          <w:rFonts w:asciiTheme="majorBidi" w:hAnsiTheme="majorBidi" w:cstheme="majorBidi"/>
          <w:sz w:val="22"/>
          <w:szCs w:val="22"/>
        </w:rPr>
        <w:t>7</w:t>
      </w:r>
      <w:r w:rsidRPr="0026493E">
        <w:rPr>
          <w:rFonts w:asciiTheme="majorBidi" w:hAnsiTheme="majorBidi" w:cstheme="majorBidi"/>
          <w:sz w:val="22"/>
          <w:szCs w:val="22"/>
        </w:rPr>
        <w:t xml:space="preserve">% par rapport au mois de </w:t>
      </w:r>
      <w:r w:rsidR="00206DD9" w:rsidRPr="0026493E">
        <w:rPr>
          <w:rFonts w:asciiTheme="majorBidi" w:hAnsiTheme="majorBidi" w:cstheme="majorBidi"/>
          <w:sz w:val="22"/>
          <w:szCs w:val="22"/>
        </w:rPr>
        <w:t>Janvier</w:t>
      </w:r>
      <w:r w:rsidRPr="0026493E">
        <w:rPr>
          <w:rFonts w:asciiTheme="majorBidi" w:hAnsiTheme="majorBidi" w:cstheme="majorBidi"/>
          <w:sz w:val="22"/>
          <w:szCs w:val="22"/>
        </w:rPr>
        <w:t xml:space="preserve"> </w:t>
      </w:r>
      <w:r w:rsidR="00857B95" w:rsidRPr="0026493E">
        <w:rPr>
          <w:rFonts w:asciiTheme="majorBidi" w:hAnsiTheme="majorBidi" w:cstheme="majorBidi"/>
          <w:sz w:val="22"/>
          <w:szCs w:val="22"/>
        </w:rPr>
        <w:t>de la même année,</w:t>
      </w:r>
      <w:r w:rsidRPr="0026493E">
        <w:rPr>
          <w:rFonts w:asciiTheme="majorBidi" w:hAnsiTheme="majorBidi" w:cstheme="majorBidi"/>
          <w:sz w:val="22"/>
          <w:szCs w:val="22"/>
        </w:rPr>
        <w:t xml:space="preserve"> contre </w:t>
      </w:r>
      <w:r w:rsidR="00206DD9" w:rsidRPr="0026493E">
        <w:rPr>
          <w:rFonts w:asciiTheme="majorBidi" w:hAnsiTheme="majorBidi" w:cstheme="majorBidi"/>
          <w:sz w:val="22"/>
          <w:szCs w:val="22"/>
        </w:rPr>
        <w:t xml:space="preserve">une hausse de </w:t>
      </w:r>
      <w:r w:rsidRPr="0026493E">
        <w:rPr>
          <w:rFonts w:asciiTheme="majorBidi" w:hAnsiTheme="majorBidi" w:cstheme="majorBidi"/>
          <w:sz w:val="22"/>
          <w:szCs w:val="22"/>
        </w:rPr>
        <w:t>0,</w:t>
      </w:r>
      <w:r w:rsidR="00857B95" w:rsidRPr="0026493E">
        <w:rPr>
          <w:rFonts w:asciiTheme="majorBidi" w:hAnsiTheme="majorBidi" w:cstheme="majorBidi"/>
          <w:sz w:val="22"/>
          <w:szCs w:val="22"/>
        </w:rPr>
        <w:t>6</w:t>
      </w:r>
      <w:r w:rsidRPr="0026493E">
        <w:rPr>
          <w:rFonts w:asciiTheme="majorBidi" w:hAnsiTheme="majorBidi" w:cstheme="majorBidi"/>
          <w:sz w:val="22"/>
          <w:szCs w:val="22"/>
        </w:rPr>
        <w:t>% pour l’ensemble national.</w:t>
      </w:r>
    </w:p>
    <w:p w:rsidR="002B4717" w:rsidRPr="0026493E" w:rsidRDefault="002B4717" w:rsidP="00857B95">
      <w:pPr>
        <w:spacing w:before="100" w:beforeAutospacing="1" w:after="100" w:afterAutospacing="1"/>
        <w:ind w:left="0"/>
        <w:jc w:val="both"/>
        <w:rPr>
          <w:rFonts w:asciiTheme="majorBidi" w:hAnsiTheme="majorBidi" w:cstheme="majorBidi"/>
          <w:sz w:val="22"/>
          <w:szCs w:val="22"/>
        </w:rPr>
      </w:pPr>
      <w:r w:rsidRPr="0026493E">
        <w:rPr>
          <w:rFonts w:asciiTheme="majorBidi" w:hAnsiTheme="majorBidi" w:cstheme="majorBidi"/>
          <w:sz w:val="22"/>
          <w:szCs w:val="22"/>
        </w:rPr>
        <w:t xml:space="preserve">La variation de l’indice de Kénitra est </w:t>
      </w:r>
      <w:r w:rsidR="00206DD9" w:rsidRPr="0026493E">
        <w:rPr>
          <w:rFonts w:asciiTheme="majorBidi" w:hAnsiTheme="majorBidi" w:cstheme="majorBidi"/>
          <w:sz w:val="22"/>
          <w:szCs w:val="22"/>
        </w:rPr>
        <w:t>la résultante</w:t>
      </w:r>
      <w:r w:rsidRPr="0026493E">
        <w:rPr>
          <w:rFonts w:asciiTheme="majorBidi" w:hAnsiTheme="majorBidi" w:cstheme="majorBidi"/>
          <w:sz w:val="22"/>
          <w:szCs w:val="22"/>
        </w:rPr>
        <w:t xml:space="preserve"> de </w:t>
      </w:r>
      <w:r w:rsidR="00857B95" w:rsidRPr="0026493E">
        <w:rPr>
          <w:rFonts w:asciiTheme="majorBidi" w:hAnsiTheme="majorBidi" w:cstheme="majorBidi"/>
          <w:sz w:val="22"/>
          <w:szCs w:val="22"/>
        </w:rPr>
        <w:t>la hau</w:t>
      </w:r>
      <w:r w:rsidRPr="0026493E">
        <w:rPr>
          <w:rFonts w:asciiTheme="majorBidi" w:hAnsiTheme="majorBidi" w:cstheme="majorBidi"/>
          <w:sz w:val="22"/>
          <w:szCs w:val="22"/>
        </w:rPr>
        <w:t xml:space="preserve">sse des prix des produits alimentaires </w:t>
      </w:r>
      <w:r w:rsidR="00206DD9" w:rsidRPr="0026493E">
        <w:rPr>
          <w:rFonts w:asciiTheme="majorBidi" w:hAnsiTheme="majorBidi" w:cstheme="majorBidi"/>
          <w:sz w:val="22"/>
          <w:szCs w:val="22"/>
        </w:rPr>
        <w:t>de 0,</w:t>
      </w:r>
      <w:r w:rsidR="00857B95" w:rsidRPr="0026493E">
        <w:rPr>
          <w:rFonts w:asciiTheme="majorBidi" w:hAnsiTheme="majorBidi" w:cstheme="majorBidi"/>
          <w:sz w:val="22"/>
          <w:szCs w:val="22"/>
        </w:rPr>
        <w:t>8</w:t>
      </w:r>
      <w:r w:rsidR="00206DD9" w:rsidRPr="0026493E">
        <w:rPr>
          <w:rFonts w:asciiTheme="majorBidi" w:hAnsiTheme="majorBidi" w:cstheme="majorBidi"/>
          <w:sz w:val="22"/>
          <w:szCs w:val="22"/>
        </w:rPr>
        <w:t xml:space="preserve"> % </w:t>
      </w:r>
      <w:r w:rsidRPr="0026493E">
        <w:rPr>
          <w:rFonts w:asciiTheme="majorBidi" w:hAnsiTheme="majorBidi" w:cstheme="majorBidi"/>
          <w:sz w:val="22"/>
          <w:szCs w:val="22"/>
        </w:rPr>
        <w:t xml:space="preserve">et de </w:t>
      </w:r>
      <w:r w:rsidR="00857B95" w:rsidRPr="0026493E">
        <w:rPr>
          <w:rFonts w:asciiTheme="majorBidi" w:hAnsiTheme="majorBidi" w:cstheme="majorBidi"/>
          <w:sz w:val="22"/>
          <w:szCs w:val="22"/>
        </w:rPr>
        <w:t>celle</w:t>
      </w:r>
      <w:r w:rsidRPr="0026493E">
        <w:rPr>
          <w:rFonts w:asciiTheme="majorBidi" w:hAnsiTheme="majorBidi" w:cstheme="majorBidi"/>
          <w:sz w:val="22"/>
          <w:szCs w:val="22"/>
        </w:rPr>
        <w:t xml:space="preserve"> des produits non alimentaires</w:t>
      </w:r>
      <w:r w:rsidR="00206DD9" w:rsidRPr="0026493E">
        <w:rPr>
          <w:rFonts w:asciiTheme="majorBidi" w:hAnsiTheme="majorBidi" w:cstheme="majorBidi"/>
          <w:sz w:val="22"/>
          <w:szCs w:val="22"/>
        </w:rPr>
        <w:t xml:space="preserve"> de 0,</w:t>
      </w:r>
      <w:r w:rsidR="00857B95" w:rsidRPr="0026493E">
        <w:rPr>
          <w:rFonts w:asciiTheme="majorBidi" w:hAnsiTheme="majorBidi" w:cstheme="majorBidi"/>
          <w:sz w:val="22"/>
          <w:szCs w:val="22"/>
        </w:rPr>
        <w:t>5</w:t>
      </w:r>
      <w:r w:rsidR="00206DD9" w:rsidRPr="0026493E">
        <w:rPr>
          <w:rFonts w:asciiTheme="majorBidi" w:hAnsiTheme="majorBidi" w:cstheme="majorBidi"/>
          <w:sz w:val="22"/>
          <w:szCs w:val="22"/>
        </w:rPr>
        <w:t>%</w:t>
      </w:r>
      <w:r w:rsidRPr="0026493E">
        <w:rPr>
          <w:rFonts w:asciiTheme="majorBidi" w:hAnsiTheme="majorBidi" w:cstheme="majorBidi"/>
          <w:sz w:val="22"/>
          <w:szCs w:val="22"/>
        </w:rPr>
        <w:t>.</w:t>
      </w:r>
    </w:p>
    <w:p w:rsidR="004C45C2" w:rsidRPr="0026493E" w:rsidRDefault="004C45C2" w:rsidP="004C45C2">
      <w:pPr>
        <w:spacing w:before="100" w:beforeAutospacing="1" w:after="100" w:afterAutospacing="1"/>
        <w:ind w:left="0"/>
        <w:jc w:val="both"/>
        <w:rPr>
          <w:rFonts w:asciiTheme="majorBidi" w:hAnsiTheme="majorBidi" w:cstheme="majorBidi"/>
          <w:sz w:val="22"/>
          <w:szCs w:val="22"/>
        </w:rPr>
      </w:pPr>
      <w:r w:rsidRPr="0026493E">
        <w:rPr>
          <w:rFonts w:asciiTheme="majorBidi" w:hAnsiTheme="majorBidi" w:cstheme="majorBidi"/>
          <w:sz w:val="22"/>
          <w:szCs w:val="22"/>
        </w:rPr>
        <w:t>Les hausses de prix</w:t>
      </w:r>
      <w:r w:rsidR="008F519B" w:rsidRPr="0026493E">
        <w:rPr>
          <w:rFonts w:asciiTheme="majorBidi" w:hAnsiTheme="majorBidi" w:cstheme="majorBidi"/>
          <w:sz w:val="22"/>
          <w:szCs w:val="22"/>
        </w:rPr>
        <w:t xml:space="preserve"> des produits alimentaires</w:t>
      </w:r>
      <w:r w:rsidRPr="0026493E">
        <w:rPr>
          <w:rFonts w:asciiTheme="majorBidi" w:hAnsiTheme="majorBidi" w:cstheme="majorBidi"/>
          <w:sz w:val="22"/>
          <w:szCs w:val="22"/>
        </w:rPr>
        <w:t xml:space="preserve"> concernent les "Huiles et graisses" avec 3,1%</w:t>
      </w:r>
      <w:r w:rsidR="008F519B" w:rsidRPr="0026493E">
        <w:rPr>
          <w:rFonts w:asciiTheme="majorBidi" w:hAnsiTheme="majorBidi" w:cstheme="majorBidi"/>
          <w:sz w:val="22"/>
          <w:szCs w:val="22"/>
        </w:rPr>
        <w:t>,</w:t>
      </w:r>
      <w:r w:rsidRPr="0026493E">
        <w:rPr>
          <w:rFonts w:asciiTheme="majorBidi" w:hAnsiTheme="majorBidi" w:cstheme="majorBidi"/>
          <w:sz w:val="22"/>
          <w:szCs w:val="22"/>
        </w:rPr>
        <w:t xml:space="preserve"> les "Fruits" avec 3%, les "Pain et céréales" avec 1,1%, les "Légumes" avec 0,8% et</w:t>
      </w:r>
      <w:r w:rsidR="00520FB2" w:rsidRPr="0026493E">
        <w:rPr>
          <w:rFonts w:asciiTheme="majorBidi" w:hAnsiTheme="majorBidi" w:cstheme="majorBidi"/>
          <w:sz w:val="22"/>
          <w:szCs w:val="22"/>
        </w:rPr>
        <w:t xml:space="preserve"> </w:t>
      </w:r>
      <w:r w:rsidRPr="0026493E">
        <w:rPr>
          <w:rFonts w:asciiTheme="majorBidi" w:hAnsiTheme="majorBidi" w:cstheme="majorBidi"/>
          <w:sz w:val="22"/>
          <w:szCs w:val="22"/>
        </w:rPr>
        <w:t xml:space="preserve"> le "Café, thé et cacao" avec 0,2%. Quant aux baisses, elles ont touché : le </w:t>
      </w:r>
      <w:r w:rsidR="00520FB2" w:rsidRPr="0026493E">
        <w:rPr>
          <w:rFonts w:asciiTheme="majorBidi" w:hAnsiTheme="majorBidi" w:cstheme="majorBidi"/>
          <w:sz w:val="22"/>
          <w:szCs w:val="22"/>
        </w:rPr>
        <w:t>"</w:t>
      </w:r>
      <w:r w:rsidRPr="0026493E">
        <w:rPr>
          <w:rFonts w:asciiTheme="majorBidi" w:hAnsiTheme="majorBidi" w:cstheme="majorBidi"/>
          <w:sz w:val="22"/>
          <w:szCs w:val="22"/>
        </w:rPr>
        <w:t>Lait, fromage et œufs</w:t>
      </w:r>
      <w:r w:rsidR="00520FB2" w:rsidRPr="0026493E">
        <w:rPr>
          <w:rFonts w:asciiTheme="majorBidi" w:hAnsiTheme="majorBidi" w:cstheme="majorBidi"/>
          <w:sz w:val="22"/>
          <w:szCs w:val="22"/>
        </w:rPr>
        <w:t>"</w:t>
      </w:r>
      <w:r w:rsidRPr="0026493E">
        <w:rPr>
          <w:rFonts w:asciiTheme="majorBidi" w:hAnsiTheme="majorBidi" w:cstheme="majorBidi"/>
          <w:sz w:val="22"/>
          <w:szCs w:val="22"/>
        </w:rPr>
        <w:t xml:space="preserve"> avec (-0,5%), la </w:t>
      </w:r>
      <w:r w:rsidR="00520FB2" w:rsidRPr="0026493E">
        <w:rPr>
          <w:rFonts w:asciiTheme="majorBidi" w:hAnsiTheme="majorBidi" w:cstheme="majorBidi"/>
          <w:sz w:val="22"/>
          <w:szCs w:val="22"/>
        </w:rPr>
        <w:t>"</w:t>
      </w:r>
      <w:r w:rsidRPr="0026493E">
        <w:rPr>
          <w:rFonts w:asciiTheme="majorBidi" w:hAnsiTheme="majorBidi" w:cstheme="majorBidi"/>
          <w:sz w:val="22"/>
          <w:szCs w:val="22"/>
        </w:rPr>
        <w:t>Viande</w:t>
      </w:r>
      <w:r w:rsidR="00520FB2" w:rsidRPr="0026493E">
        <w:rPr>
          <w:rFonts w:asciiTheme="majorBidi" w:hAnsiTheme="majorBidi" w:cstheme="majorBidi"/>
          <w:sz w:val="22"/>
          <w:szCs w:val="22"/>
        </w:rPr>
        <w:t>"</w:t>
      </w:r>
      <w:r w:rsidRPr="0026493E">
        <w:rPr>
          <w:rFonts w:asciiTheme="majorBidi" w:hAnsiTheme="majorBidi" w:cstheme="majorBidi"/>
          <w:sz w:val="22"/>
          <w:szCs w:val="22"/>
        </w:rPr>
        <w:t xml:space="preserve"> avec (-0,2%), et  les "Poissons et fruits de mer" et les "Eaux minérales</w:t>
      </w:r>
      <w:r w:rsidRPr="0026493E">
        <w:rPr>
          <w:rFonts w:ascii="Times New Roman" w:hAnsi="Times New Roman"/>
          <w:spacing w:val="0"/>
          <w:sz w:val="24"/>
          <w:szCs w:val="24"/>
          <w:lang w:eastAsia="fr-FR"/>
        </w:rPr>
        <w:t>, boissons rafraichissantes, jus de fruits et de légumes"</w:t>
      </w:r>
      <w:r w:rsidRPr="0026493E">
        <w:rPr>
          <w:rFonts w:asciiTheme="majorBidi" w:hAnsiTheme="majorBidi" w:cstheme="majorBidi"/>
          <w:sz w:val="22"/>
          <w:szCs w:val="22"/>
        </w:rPr>
        <w:t xml:space="preserve"> avec  (-0,1%)</w:t>
      </w:r>
    </w:p>
    <w:p w:rsidR="007D5D8C" w:rsidRPr="0026493E" w:rsidRDefault="007D5D8C" w:rsidP="00520FB2">
      <w:pPr>
        <w:spacing w:before="100" w:beforeAutospacing="1" w:after="100" w:afterAutospacing="1"/>
        <w:ind w:left="0"/>
        <w:jc w:val="both"/>
        <w:rPr>
          <w:rFonts w:asciiTheme="majorBidi" w:hAnsiTheme="majorBidi" w:cstheme="majorBidi"/>
          <w:sz w:val="22"/>
          <w:szCs w:val="22"/>
        </w:rPr>
      </w:pPr>
      <w:r w:rsidRPr="0026493E">
        <w:rPr>
          <w:rFonts w:asciiTheme="majorBidi" w:hAnsiTheme="majorBidi" w:cstheme="majorBidi"/>
          <w:sz w:val="22"/>
          <w:szCs w:val="22"/>
        </w:rPr>
        <w:t xml:space="preserve"> </w:t>
      </w:r>
      <w:r w:rsidR="00520FB2" w:rsidRPr="0026493E">
        <w:rPr>
          <w:rFonts w:asciiTheme="majorBidi" w:hAnsiTheme="majorBidi" w:cstheme="majorBidi"/>
          <w:sz w:val="22"/>
          <w:szCs w:val="22"/>
        </w:rPr>
        <w:t>Pour ce qui est des produits non alimentaires, seules les divisions  "Articles d’habillement et chaussures", les "Transports" et les "Biens et services divers" ont vu leurs indices progresser respectivement de 0,5%, 2,1% et 0,1%, entre janvier et février 2022.</w:t>
      </w:r>
    </w:p>
    <w:p w:rsidR="004C54F7" w:rsidRPr="0026493E" w:rsidRDefault="004C54F7" w:rsidP="004C54F7">
      <w:pPr>
        <w:spacing w:before="100" w:beforeAutospacing="1" w:after="100" w:afterAutospacing="1"/>
        <w:ind w:left="0"/>
        <w:rPr>
          <w:rFonts w:asciiTheme="majorBidi" w:hAnsiTheme="majorBidi" w:cstheme="majorBidi"/>
          <w:b/>
          <w:bCs/>
          <w:sz w:val="24"/>
          <w:szCs w:val="24"/>
        </w:rPr>
      </w:pPr>
      <w:r w:rsidRPr="0026493E">
        <w:rPr>
          <w:rFonts w:asciiTheme="majorBidi" w:hAnsiTheme="majorBidi" w:cstheme="majorBidi"/>
          <w:b/>
          <w:bCs/>
          <w:sz w:val="24"/>
          <w:szCs w:val="24"/>
        </w:rPr>
        <w:t>Evolution annuelle</w:t>
      </w:r>
      <w:r w:rsidR="008A7F45" w:rsidRPr="0026493E">
        <w:rPr>
          <w:rFonts w:asciiTheme="majorBidi" w:hAnsiTheme="majorBidi" w:cstheme="majorBidi"/>
          <w:b/>
          <w:bCs/>
          <w:sz w:val="24"/>
          <w:szCs w:val="24"/>
        </w:rPr>
        <w:t xml:space="preserve"> d</w:t>
      </w:r>
      <w:r w:rsidRPr="0026493E">
        <w:rPr>
          <w:rFonts w:asciiTheme="majorBidi" w:hAnsiTheme="majorBidi" w:cstheme="majorBidi"/>
          <w:b/>
          <w:bCs/>
          <w:sz w:val="24"/>
          <w:szCs w:val="24"/>
        </w:rPr>
        <w:t>e L’IPC (Base 100 : 2017) de la ville de Kenitra:</w:t>
      </w:r>
    </w:p>
    <w:p w:rsidR="004C54F7" w:rsidRPr="0026493E" w:rsidRDefault="00717FDA" w:rsidP="00616205">
      <w:pPr>
        <w:spacing w:before="100" w:beforeAutospacing="1" w:after="100" w:afterAutospacing="1"/>
        <w:ind w:left="0"/>
        <w:jc w:val="both"/>
        <w:rPr>
          <w:rFonts w:asciiTheme="majorBidi" w:hAnsiTheme="majorBidi" w:cstheme="majorBidi"/>
          <w:sz w:val="24"/>
          <w:szCs w:val="24"/>
        </w:rPr>
      </w:pPr>
      <w:r w:rsidRPr="0026493E">
        <w:rPr>
          <w:rFonts w:asciiTheme="majorBidi" w:hAnsiTheme="majorBidi" w:cstheme="majorBidi"/>
          <w:sz w:val="24"/>
          <w:szCs w:val="24"/>
        </w:rPr>
        <w:t>En termes de glissement annuel</w:t>
      </w:r>
      <w:r w:rsidR="004C54F7" w:rsidRPr="0026493E">
        <w:rPr>
          <w:rFonts w:asciiTheme="majorBidi" w:hAnsiTheme="majorBidi" w:cstheme="majorBidi"/>
          <w:sz w:val="24"/>
          <w:szCs w:val="24"/>
        </w:rPr>
        <w:t>, l’indice des prix à la consommation</w:t>
      </w:r>
      <w:r w:rsidR="00520FB2" w:rsidRPr="0026493E">
        <w:rPr>
          <w:rFonts w:asciiTheme="majorBidi" w:hAnsiTheme="majorBidi" w:cstheme="majorBidi"/>
          <w:sz w:val="24"/>
          <w:szCs w:val="24"/>
        </w:rPr>
        <w:t xml:space="preserve"> de la ville de </w:t>
      </w:r>
      <w:proofErr w:type="spellStart"/>
      <w:r w:rsidR="00520FB2" w:rsidRPr="0026493E">
        <w:rPr>
          <w:rFonts w:asciiTheme="majorBidi" w:hAnsiTheme="majorBidi" w:cstheme="majorBidi"/>
          <w:sz w:val="24"/>
          <w:szCs w:val="24"/>
        </w:rPr>
        <w:t>Kénitra</w:t>
      </w:r>
      <w:proofErr w:type="spellEnd"/>
      <w:r w:rsidR="004C54F7" w:rsidRPr="0026493E">
        <w:rPr>
          <w:rFonts w:asciiTheme="majorBidi" w:hAnsiTheme="majorBidi" w:cstheme="majorBidi"/>
          <w:sz w:val="24"/>
          <w:szCs w:val="24"/>
        </w:rPr>
        <w:t xml:space="preserve"> a </w:t>
      </w:r>
      <w:r w:rsidR="00520FB2" w:rsidRPr="0026493E">
        <w:rPr>
          <w:rFonts w:asciiTheme="majorBidi" w:hAnsiTheme="majorBidi" w:cstheme="majorBidi"/>
          <w:sz w:val="24"/>
          <w:szCs w:val="24"/>
        </w:rPr>
        <w:t>crû</w:t>
      </w:r>
      <w:r w:rsidR="004C54F7" w:rsidRPr="0026493E">
        <w:rPr>
          <w:rFonts w:asciiTheme="majorBidi" w:hAnsiTheme="majorBidi" w:cstheme="majorBidi"/>
          <w:sz w:val="24"/>
          <w:szCs w:val="24"/>
        </w:rPr>
        <w:t xml:space="preserve"> de </w:t>
      </w:r>
      <w:r w:rsidR="00520FB2" w:rsidRPr="0026493E">
        <w:rPr>
          <w:rFonts w:asciiTheme="majorBidi" w:hAnsiTheme="majorBidi" w:cstheme="majorBidi"/>
          <w:sz w:val="24"/>
          <w:szCs w:val="24"/>
        </w:rPr>
        <w:t>4</w:t>
      </w:r>
      <w:r w:rsidR="004C54F7" w:rsidRPr="0026493E">
        <w:rPr>
          <w:rFonts w:asciiTheme="majorBidi" w:hAnsiTheme="majorBidi" w:cstheme="majorBidi"/>
          <w:sz w:val="24"/>
          <w:szCs w:val="24"/>
        </w:rPr>
        <w:t>,</w:t>
      </w:r>
      <w:r w:rsidR="00F37E7C" w:rsidRPr="0026493E">
        <w:rPr>
          <w:rFonts w:asciiTheme="majorBidi" w:hAnsiTheme="majorBidi" w:cstheme="majorBidi"/>
          <w:sz w:val="24"/>
          <w:szCs w:val="24"/>
        </w:rPr>
        <w:t>3</w:t>
      </w:r>
      <w:r w:rsidR="004C54F7" w:rsidRPr="0026493E">
        <w:rPr>
          <w:rFonts w:asciiTheme="majorBidi" w:hAnsiTheme="majorBidi" w:cstheme="majorBidi"/>
          <w:sz w:val="24"/>
          <w:szCs w:val="24"/>
        </w:rPr>
        <w:t>%</w:t>
      </w:r>
      <w:r w:rsidR="00201C28" w:rsidRPr="0026493E">
        <w:rPr>
          <w:rFonts w:asciiTheme="majorBidi" w:hAnsiTheme="majorBidi" w:cstheme="majorBidi"/>
          <w:sz w:val="24"/>
          <w:szCs w:val="24"/>
        </w:rPr>
        <w:t xml:space="preserve"> contre </w:t>
      </w:r>
      <w:r w:rsidR="00520FB2" w:rsidRPr="0026493E">
        <w:rPr>
          <w:rFonts w:asciiTheme="majorBidi" w:hAnsiTheme="majorBidi" w:cstheme="majorBidi"/>
          <w:sz w:val="24"/>
          <w:szCs w:val="24"/>
        </w:rPr>
        <w:t xml:space="preserve">3,6% </w:t>
      </w:r>
      <w:r w:rsidR="00201C28" w:rsidRPr="0026493E">
        <w:rPr>
          <w:rFonts w:asciiTheme="majorBidi" w:hAnsiTheme="majorBidi" w:cstheme="majorBidi"/>
          <w:sz w:val="24"/>
          <w:szCs w:val="24"/>
        </w:rPr>
        <w:t xml:space="preserve">pour </w:t>
      </w:r>
      <w:r w:rsidR="0088736E" w:rsidRPr="0026493E">
        <w:rPr>
          <w:rFonts w:asciiTheme="majorBidi" w:hAnsiTheme="majorBidi" w:cstheme="majorBidi"/>
          <w:sz w:val="24"/>
          <w:szCs w:val="24"/>
        </w:rPr>
        <w:t>la moyenne nationale</w:t>
      </w:r>
      <w:r w:rsidR="00201C28" w:rsidRPr="0026493E">
        <w:rPr>
          <w:rFonts w:asciiTheme="majorBidi" w:hAnsiTheme="majorBidi" w:cstheme="majorBidi"/>
          <w:sz w:val="24"/>
          <w:szCs w:val="24"/>
        </w:rPr>
        <w:t xml:space="preserve">. Ceci, </w:t>
      </w:r>
      <w:r w:rsidRPr="0026493E">
        <w:rPr>
          <w:rFonts w:asciiTheme="majorBidi" w:hAnsiTheme="majorBidi" w:cstheme="majorBidi"/>
          <w:sz w:val="24"/>
          <w:szCs w:val="24"/>
        </w:rPr>
        <w:t xml:space="preserve">est la conséquence </w:t>
      </w:r>
      <w:r w:rsidR="00616205" w:rsidRPr="0026493E">
        <w:rPr>
          <w:rFonts w:asciiTheme="majorBidi" w:hAnsiTheme="majorBidi" w:cstheme="majorBidi"/>
          <w:sz w:val="24"/>
          <w:szCs w:val="24"/>
        </w:rPr>
        <w:t xml:space="preserve">du relèvement </w:t>
      </w:r>
      <w:r w:rsidR="00201C28" w:rsidRPr="0026493E">
        <w:rPr>
          <w:rFonts w:asciiTheme="majorBidi" w:hAnsiTheme="majorBidi" w:cstheme="majorBidi"/>
          <w:sz w:val="24"/>
          <w:szCs w:val="24"/>
        </w:rPr>
        <w:t xml:space="preserve">des prix des produits alimentaires de </w:t>
      </w:r>
      <w:r w:rsidR="00616205" w:rsidRPr="0026493E">
        <w:rPr>
          <w:rFonts w:asciiTheme="majorBidi" w:hAnsiTheme="majorBidi" w:cstheme="majorBidi"/>
          <w:sz w:val="24"/>
          <w:szCs w:val="24"/>
        </w:rPr>
        <w:t>6,9</w:t>
      </w:r>
      <w:r w:rsidR="00201C28" w:rsidRPr="0026493E">
        <w:rPr>
          <w:rFonts w:asciiTheme="majorBidi" w:hAnsiTheme="majorBidi" w:cstheme="majorBidi"/>
          <w:sz w:val="24"/>
          <w:szCs w:val="24"/>
        </w:rPr>
        <w:t xml:space="preserve">% et </w:t>
      </w:r>
      <w:r w:rsidR="00616205" w:rsidRPr="0026493E">
        <w:rPr>
          <w:rFonts w:asciiTheme="majorBidi" w:hAnsiTheme="majorBidi" w:cstheme="majorBidi"/>
          <w:sz w:val="24"/>
          <w:szCs w:val="24"/>
        </w:rPr>
        <w:t xml:space="preserve">de ceux </w:t>
      </w:r>
      <w:r w:rsidR="00201C28" w:rsidRPr="0026493E">
        <w:rPr>
          <w:rFonts w:asciiTheme="majorBidi" w:hAnsiTheme="majorBidi" w:cstheme="majorBidi"/>
          <w:sz w:val="24"/>
          <w:szCs w:val="24"/>
        </w:rPr>
        <w:t xml:space="preserve"> des produits non alimentaires</w:t>
      </w:r>
      <w:r w:rsidR="003C3AFE" w:rsidRPr="0026493E">
        <w:rPr>
          <w:rFonts w:asciiTheme="majorBidi" w:hAnsiTheme="majorBidi" w:cstheme="majorBidi"/>
          <w:sz w:val="24"/>
          <w:szCs w:val="24"/>
        </w:rPr>
        <w:t xml:space="preserve"> de </w:t>
      </w:r>
      <w:r w:rsidR="00616205" w:rsidRPr="0026493E">
        <w:rPr>
          <w:rFonts w:asciiTheme="majorBidi" w:hAnsiTheme="majorBidi" w:cstheme="majorBidi"/>
          <w:sz w:val="24"/>
          <w:szCs w:val="24"/>
        </w:rPr>
        <w:t>2</w:t>
      </w:r>
      <w:r w:rsidR="003C3AFE" w:rsidRPr="0026493E">
        <w:rPr>
          <w:rFonts w:asciiTheme="majorBidi" w:hAnsiTheme="majorBidi" w:cstheme="majorBidi"/>
          <w:sz w:val="24"/>
          <w:szCs w:val="24"/>
        </w:rPr>
        <w:t>,</w:t>
      </w:r>
      <w:r w:rsidR="00616205" w:rsidRPr="0026493E">
        <w:rPr>
          <w:rFonts w:asciiTheme="majorBidi" w:hAnsiTheme="majorBidi" w:cstheme="majorBidi"/>
          <w:sz w:val="24"/>
          <w:szCs w:val="24"/>
        </w:rPr>
        <w:t>5</w:t>
      </w:r>
      <w:r w:rsidR="003C3AFE" w:rsidRPr="0026493E">
        <w:rPr>
          <w:rFonts w:asciiTheme="majorBidi" w:hAnsiTheme="majorBidi" w:cstheme="majorBidi"/>
          <w:sz w:val="24"/>
          <w:szCs w:val="24"/>
        </w:rPr>
        <w:t>%.</w:t>
      </w:r>
      <w:r w:rsidR="00201C28" w:rsidRPr="0026493E">
        <w:rPr>
          <w:rFonts w:asciiTheme="majorBidi" w:hAnsiTheme="majorBidi" w:cstheme="majorBidi"/>
          <w:sz w:val="24"/>
          <w:szCs w:val="24"/>
        </w:rPr>
        <w:t xml:space="preserve"> </w:t>
      </w:r>
    </w:p>
    <w:p w:rsidR="00616205" w:rsidRPr="0026493E" w:rsidRDefault="00616205" w:rsidP="00A51226">
      <w:pPr>
        <w:ind w:left="0"/>
        <w:jc w:val="both"/>
        <w:rPr>
          <w:rFonts w:asciiTheme="majorBidi" w:hAnsiTheme="majorBidi" w:cstheme="majorBidi"/>
          <w:sz w:val="24"/>
          <w:szCs w:val="24"/>
        </w:rPr>
      </w:pPr>
      <w:r w:rsidRPr="0026493E">
        <w:rPr>
          <w:rFonts w:asciiTheme="majorBidi" w:hAnsiTheme="majorBidi" w:cstheme="majorBidi"/>
          <w:sz w:val="24"/>
          <w:szCs w:val="24"/>
        </w:rPr>
        <w:t xml:space="preserve">Durant l’année écoulée, </w:t>
      </w:r>
      <w:r w:rsidR="00645405" w:rsidRPr="0026493E">
        <w:rPr>
          <w:rFonts w:asciiTheme="majorBidi" w:hAnsiTheme="majorBidi" w:cstheme="majorBidi"/>
          <w:sz w:val="24"/>
          <w:szCs w:val="24"/>
        </w:rPr>
        <w:t>les</w:t>
      </w:r>
      <w:r w:rsidR="00E67A50" w:rsidRPr="0026493E">
        <w:rPr>
          <w:rFonts w:asciiTheme="majorBidi" w:hAnsiTheme="majorBidi" w:cstheme="majorBidi"/>
          <w:sz w:val="24"/>
          <w:szCs w:val="24"/>
        </w:rPr>
        <w:t xml:space="preserve"> </w:t>
      </w:r>
      <w:r w:rsidR="00645405" w:rsidRPr="0026493E">
        <w:rPr>
          <w:rFonts w:asciiTheme="majorBidi" w:hAnsiTheme="majorBidi" w:cstheme="majorBidi"/>
          <w:sz w:val="24"/>
          <w:szCs w:val="24"/>
        </w:rPr>
        <w:t xml:space="preserve">prix </w:t>
      </w:r>
      <w:r w:rsidR="00E67A50" w:rsidRPr="0026493E">
        <w:rPr>
          <w:rFonts w:asciiTheme="majorBidi" w:hAnsiTheme="majorBidi" w:cstheme="majorBidi"/>
          <w:sz w:val="24"/>
          <w:szCs w:val="24"/>
        </w:rPr>
        <w:t>de</w:t>
      </w:r>
      <w:r w:rsidR="00801826" w:rsidRPr="0026493E">
        <w:rPr>
          <w:rFonts w:asciiTheme="majorBidi" w:hAnsiTheme="majorBidi" w:cstheme="majorBidi"/>
          <w:sz w:val="24"/>
          <w:szCs w:val="24"/>
        </w:rPr>
        <w:t>s</w:t>
      </w:r>
      <w:r w:rsidR="00E67A50" w:rsidRPr="0026493E">
        <w:rPr>
          <w:rFonts w:asciiTheme="majorBidi" w:hAnsiTheme="majorBidi" w:cstheme="majorBidi"/>
          <w:sz w:val="24"/>
          <w:szCs w:val="24"/>
        </w:rPr>
        <w:t xml:space="preserve"> </w:t>
      </w:r>
      <w:r w:rsidR="00C52B13" w:rsidRPr="0026493E">
        <w:rPr>
          <w:rFonts w:asciiTheme="majorBidi" w:hAnsiTheme="majorBidi" w:cstheme="majorBidi"/>
          <w:sz w:val="24"/>
          <w:szCs w:val="24"/>
        </w:rPr>
        <w:t xml:space="preserve">produits alimentaires </w:t>
      </w:r>
      <w:r w:rsidRPr="0026493E">
        <w:rPr>
          <w:rFonts w:asciiTheme="majorBidi" w:hAnsiTheme="majorBidi" w:cstheme="majorBidi"/>
          <w:sz w:val="24"/>
          <w:szCs w:val="24"/>
        </w:rPr>
        <w:t xml:space="preserve">ont fait l’objet de </w:t>
      </w:r>
      <w:r w:rsidR="00645405" w:rsidRPr="0026493E">
        <w:rPr>
          <w:rFonts w:asciiTheme="majorBidi" w:hAnsiTheme="majorBidi" w:cstheme="majorBidi"/>
          <w:sz w:val="24"/>
          <w:szCs w:val="24"/>
        </w:rPr>
        <w:t>plus</w:t>
      </w:r>
      <w:r w:rsidRPr="0026493E">
        <w:rPr>
          <w:rFonts w:asciiTheme="majorBidi" w:hAnsiTheme="majorBidi" w:cstheme="majorBidi"/>
          <w:sz w:val="24"/>
          <w:szCs w:val="24"/>
        </w:rPr>
        <w:t xml:space="preserve"> de hausses que de baisses. En effet,</w:t>
      </w:r>
      <w:r w:rsidR="00645405" w:rsidRPr="0026493E">
        <w:rPr>
          <w:rFonts w:asciiTheme="majorBidi" w:hAnsiTheme="majorBidi" w:cstheme="majorBidi"/>
          <w:sz w:val="24"/>
          <w:szCs w:val="24"/>
        </w:rPr>
        <w:t xml:space="preserve"> les classes dont les indices ont augmenté sont : les "Pain et céréales" 17,6%, la "Viande"</w:t>
      </w:r>
      <w:r w:rsidR="00745DCF" w:rsidRPr="0026493E">
        <w:rPr>
          <w:rFonts w:asciiTheme="majorBidi" w:hAnsiTheme="majorBidi" w:cstheme="majorBidi"/>
          <w:sz w:val="24"/>
          <w:szCs w:val="24"/>
        </w:rPr>
        <w:t xml:space="preserve"> </w:t>
      </w:r>
      <w:r w:rsidR="00645405" w:rsidRPr="0026493E">
        <w:rPr>
          <w:rFonts w:asciiTheme="majorBidi" w:hAnsiTheme="majorBidi" w:cstheme="majorBidi"/>
          <w:sz w:val="24"/>
          <w:szCs w:val="24"/>
        </w:rPr>
        <w:t xml:space="preserve"> 8%, les "Poissons et fruits de mer"</w:t>
      </w:r>
      <w:r w:rsidR="00745DCF" w:rsidRPr="0026493E">
        <w:rPr>
          <w:rFonts w:asciiTheme="majorBidi" w:hAnsiTheme="majorBidi" w:cstheme="majorBidi"/>
          <w:sz w:val="24"/>
          <w:szCs w:val="24"/>
        </w:rPr>
        <w:t xml:space="preserve"> </w:t>
      </w:r>
      <w:r w:rsidR="00645405" w:rsidRPr="0026493E">
        <w:rPr>
          <w:rFonts w:asciiTheme="majorBidi" w:hAnsiTheme="majorBidi" w:cstheme="majorBidi"/>
          <w:sz w:val="24"/>
          <w:szCs w:val="24"/>
        </w:rPr>
        <w:t xml:space="preserve"> 4%, les "Huiles et graisses" 18,3%, les "Légumes" 5,9%, le "S</w:t>
      </w:r>
      <w:r w:rsidR="00645405" w:rsidRPr="0026493E">
        <w:rPr>
          <w:rFonts w:ascii="Times New Roman" w:hAnsi="Times New Roman"/>
          <w:spacing w:val="0"/>
          <w:sz w:val="24"/>
          <w:szCs w:val="24"/>
          <w:lang w:eastAsia="fr-FR"/>
        </w:rPr>
        <w:t xml:space="preserve">ucre, confiture, miel, chocolat et confiserie" 3,9%, "café, thé et cacao" 0,9%, le "Vin et boissons fermentées" 1,8% et le "Tabac" 3,4%. </w:t>
      </w:r>
      <w:r w:rsidR="00A51226" w:rsidRPr="0026493E">
        <w:rPr>
          <w:rFonts w:ascii="Times New Roman" w:hAnsi="Times New Roman"/>
          <w:spacing w:val="0"/>
          <w:sz w:val="24"/>
          <w:szCs w:val="24"/>
          <w:lang w:eastAsia="fr-FR"/>
        </w:rPr>
        <w:t xml:space="preserve">Tandis que </w:t>
      </w:r>
      <w:r w:rsidRPr="0026493E">
        <w:rPr>
          <w:rFonts w:asciiTheme="majorBidi" w:hAnsiTheme="majorBidi" w:cstheme="majorBidi"/>
          <w:sz w:val="24"/>
          <w:szCs w:val="24"/>
        </w:rPr>
        <w:t xml:space="preserve"> </w:t>
      </w:r>
      <w:r w:rsidR="00801826" w:rsidRPr="0026493E">
        <w:rPr>
          <w:rFonts w:asciiTheme="majorBidi" w:hAnsiTheme="majorBidi" w:cstheme="majorBidi"/>
          <w:sz w:val="24"/>
          <w:szCs w:val="24"/>
        </w:rPr>
        <w:t xml:space="preserve">les </w:t>
      </w:r>
      <w:r w:rsidR="00A51226" w:rsidRPr="0026493E">
        <w:rPr>
          <w:rFonts w:asciiTheme="majorBidi" w:hAnsiTheme="majorBidi" w:cstheme="majorBidi"/>
          <w:sz w:val="24"/>
          <w:szCs w:val="24"/>
        </w:rPr>
        <w:t>"</w:t>
      </w:r>
      <w:r w:rsidR="00801826" w:rsidRPr="0026493E">
        <w:rPr>
          <w:rFonts w:asciiTheme="majorBidi" w:hAnsiTheme="majorBidi" w:cstheme="majorBidi"/>
          <w:sz w:val="24"/>
          <w:szCs w:val="24"/>
        </w:rPr>
        <w:t>Fruits</w:t>
      </w:r>
      <w:r w:rsidR="00A51226" w:rsidRPr="0026493E">
        <w:rPr>
          <w:rFonts w:asciiTheme="majorBidi" w:hAnsiTheme="majorBidi" w:cstheme="majorBidi"/>
          <w:sz w:val="24"/>
          <w:szCs w:val="24"/>
        </w:rPr>
        <w:t>"</w:t>
      </w:r>
      <w:r w:rsidR="00801826" w:rsidRPr="0026493E">
        <w:rPr>
          <w:rFonts w:asciiTheme="majorBidi" w:hAnsiTheme="majorBidi" w:cstheme="majorBidi"/>
          <w:sz w:val="24"/>
          <w:szCs w:val="24"/>
        </w:rPr>
        <w:t xml:space="preserve">, les </w:t>
      </w:r>
      <w:r w:rsidR="00801826" w:rsidRPr="0026493E">
        <w:rPr>
          <w:rFonts w:asciiTheme="majorBidi" w:hAnsiTheme="majorBidi" w:cstheme="majorBidi"/>
          <w:sz w:val="22"/>
          <w:szCs w:val="22"/>
        </w:rPr>
        <w:t>"</w:t>
      </w:r>
      <w:r w:rsidR="00801826" w:rsidRPr="0026493E">
        <w:rPr>
          <w:rFonts w:asciiTheme="majorBidi" w:hAnsiTheme="majorBidi" w:cstheme="majorBidi"/>
          <w:sz w:val="24"/>
          <w:szCs w:val="24"/>
        </w:rPr>
        <w:t>E</w:t>
      </w:r>
      <w:r w:rsidR="00801826" w:rsidRPr="0026493E">
        <w:rPr>
          <w:rFonts w:ascii="Times New Roman" w:hAnsi="Times New Roman"/>
          <w:spacing w:val="0"/>
          <w:sz w:val="22"/>
          <w:szCs w:val="22"/>
          <w:lang w:eastAsia="fr-FR"/>
        </w:rPr>
        <w:t>aux minérales, boissons rafraichissantes, jus de fruits et de légumes</w:t>
      </w:r>
      <w:r w:rsidR="00801826" w:rsidRPr="0026493E">
        <w:rPr>
          <w:rFonts w:asciiTheme="majorBidi" w:hAnsiTheme="majorBidi" w:cstheme="majorBidi"/>
          <w:sz w:val="22"/>
          <w:szCs w:val="22"/>
        </w:rPr>
        <w:t>"</w:t>
      </w:r>
      <w:r w:rsidR="00801826" w:rsidRPr="0026493E">
        <w:rPr>
          <w:rFonts w:ascii="Times New Roman" w:hAnsi="Times New Roman"/>
          <w:spacing w:val="0"/>
          <w:sz w:val="22"/>
          <w:szCs w:val="22"/>
          <w:lang w:eastAsia="fr-FR"/>
        </w:rPr>
        <w:t xml:space="preserve"> et le </w:t>
      </w:r>
      <w:r w:rsidR="00A51226" w:rsidRPr="0026493E">
        <w:rPr>
          <w:rFonts w:ascii="Times New Roman" w:hAnsi="Times New Roman"/>
          <w:spacing w:val="0"/>
          <w:sz w:val="22"/>
          <w:szCs w:val="22"/>
          <w:lang w:eastAsia="fr-FR"/>
        </w:rPr>
        <w:t>"</w:t>
      </w:r>
      <w:r w:rsidR="00801826" w:rsidRPr="0026493E">
        <w:rPr>
          <w:rFonts w:ascii="Times New Roman" w:hAnsi="Times New Roman"/>
          <w:spacing w:val="0"/>
          <w:sz w:val="22"/>
          <w:szCs w:val="22"/>
          <w:lang w:eastAsia="fr-FR"/>
        </w:rPr>
        <w:t>Lait, Fromage et œufs</w:t>
      </w:r>
      <w:r w:rsidR="00A51226" w:rsidRPr="0026493E">
        <w:rPr>
          <w:rFonts w:ascii="Times New Roman" w:hAnsi="Times New Roman"/>
          <w:spacing w:val="0"/>
          <w:sz w:val="22"/>
          <w:szCs w:val="22"/>
          <w:lang w:eastAsia="fr-FR"/>
        </w:rPr>
        <w:t>"</w:t>
      </w:r>
      <w:r w:rsidR="00801826" w:rsidRPr="0026493E">
        <w:rPr>
          <w:rFonts w:ascii="Times New Roman" w:hAnsi="Times New Roman"/>
          <w:spacing w:val="0"/>
          <w:sz w:val="22"/>
          <w:szCs w:val="22"/>
          <w:lang w:eastAsia="fr-FR"/>
        </w:rPr>
        <w:t xml:space="preserve"> sont les </w:t>
      </w:r>
      <w:r w:rsidR="00801826" w:rsidRPr="0026493E">
        <w:rPr>
          <w:rFonts w:asciiTheme="majorBidi" w:hAnsiTheme="majorBidi" w:cstheme="majorBidi"/>
          <w:sz w:val="24"/>
          <w:szCs w:val="24"/>
        </w:rPr>
        <w:t xml:space="preserve">seules classes </w:t>
      </w:r>
      <w:r w:rsidR="00A51226" w:rsidRPr="0026493E">
        <w:rPr>
          <w:rFonts w:asciiTheme="majorBidi" w:hAnsiTheme="majorBidi" w:cstheme="majorBidi"/>
          <w:sz w:val="24"/>
          <w:szCs w:val="24"/>
        </w:rPr>
        <w:t>dont les indices ont baissé</w:t>
      </w:r>
      <w:r w:rsidR="00801826" w:rsidRPr="0026493E">
        <w:rPr>
          <w:rFonts w:asciiTheme="majorBidi" w:hAnsiTheme="majorBidi" w:cstheme="majorBidi"/>
          <w:sz w:val="24"/>
          <w:szCs w:val="24"/>
        </w:rPr>
        <w:t>.</w:t>
      </w:r>
    </w:p>
    <w:p w:rsidR="00A708BE" w:rsidRPr="0026493E" w:rsidRDefault="00A708BE" w:rsidP="00A51226">
      <w:pPr>
        <w:spacing w:before="100" w:beforeAutospacing="1" w:after="100" w:afterAutospacing="1"/>
        <w:ind w:left="0"/>
        <w:jc w:val="both"/>
        <w:rPr>
          <w:rFonts w:asciiTheme="majorBidi" w:hAnsiTheme="majorBidi" w:cstheme="majorBidi"/>
          <w:sz w:val="22"/>
          <w:szCs w:val="22"/>
        </w:rPr>
      </w:pPr>
      <w:r w:rsidRPr="0026493E">
        <w:rPr>
          <w:rFonts w:ascii="Times New Roman" w:hAnsi="Times New Roman"/>
          <w:spacing w:val="0"/>
          <w:sz w:val="22"/>
          <w:szCs w:val="22"/>
          <w:lang w:eastAsia="fr-FR"/>
        </w:rPr>
        <w:t>Quant aux produits non alimentaires, la hausse de prix la plus élevée a été enregistrée par la division</w:t>
      </w:r>
      <w:r w:rsidRPr="0026493E">
        <w:rPr>
          <w:rFonts w:ascii="Times New Roman" w:hAnsi="Times New Roman"/>
          <w:b/>
          <w:bCs/>
          <w:spacing w:val="0"/>
          <w:sz w:val="16"/>
          <w:szCs w:val="16"/>
          <w:lang w:eastAsia="fr-FR"/>
        </w:rPr>
        <w:t xml:space="preserve"> </w:t>
      </w:r>
      <w:r w:rsidR="00A51226" w:rsidRPr="0026493E">
        <w:rPr>
          <w:rFonts w:ascii="Times New Roman" w:hAnsi="Times New Roman"/>
          <w:spacing w:val="0"/>
          <w:sz w:val="24"/>
          <w:szCs w:val="24"/>
          <w:lang w:eastAsia="fr-FR"/>
        </w:rPr>
        <w:t>des</w:t>
      </w:r>
      <w:r w:rsidR="00A51226" w:rsidRPr="0026493E">
        <w:rPr>
          <w:rFonts w:ascii="Times New Roman" w:hAnsi="Times New Roman"/>
          <w:b/>
          <w:bCs/>
          <w:spacing w:val="0"/>
          <w:sz w:val="16"/>
          <w:szCs w:val="16"/>
          <w:lang w:eastAsia="fr-FR"/>
        </w:rPr>
        <w:t xml:space="preserve"> </w:t>
      </w:r>
      <w:r w:rsidR="00A51226" w:rsidRPr="0026493E">
        <w:rPr>
          <w:rFonts w:asciiTheme="majorBidi" w:hAnsiTheme="majorBidi" w:cstheme="majorBidi"/>
          <w:sz w:val="22"/>
          <w:szCs w:val="22"/>
        </w:rPr>
        <w:t>"</w:t>
      </w:r>
      <w:r w:rsidR="00A51226" w:rsidRPr="0026493E">
        <w:rPr>
          <w:rFonts w:ascii="Times New Roman" w:hAnsi="Times New Roman"/>
          <w:spacing w:val="0"/>
          <w:sz w:val="24"/>
          <w:szCs w:val="24"/>
          <w:lang w:eastAsia="fr-FR"/>
        </w:rPr>
        <w:t>Biens et services divers</w:t>
      </w:r>
      <w:r w:rsidR="00A51226" w:rsidRPr="0026493E">
        <w:rPr>
          <w:rFonts w:asciiTheme="majorBidi" w:hAnsiTheme="majorBidi" w:cstheme="majorBidi"/>
          <w:sz w:val="22"/>
          <w:szCs w:val="22"/>
        </w:rPr>
        <w:t xml:space="preserve">" avec 8,4%, suivie des </w:t>
      </w:r>
      <w:r w:rsidR="00A51226" w:rsidRPr="0026493E">
        <w:rPr>
          <w:rFonts w:ascii="Times New Roman" w:hAnsi="Times New Roman"/>
          <w:b/>
          <w:bCs/>
          <w:spacing w:val="0"/>
          <w:sz w:val="16"/>
          <w:szCs w:val="16"/>
          <w:lang w:eastAsia="fr-FR"/>
        </w:rPr>
        <w:t xml:space="preserve"> </w:t>
      </w:r>
      <w:r w:rsidRPr="0026493E">
        <w:rPr>
          <w:rFonts w:asciiTheme="majorBidi" w:hAnsiTheme="majorBidi" w:cstheme="majorBidi"/>
          <w:sz w:val="22"/>
          <w:szCs w:val="22"/>
        </w:rPr>
        <w:t>"</w:t>
      </w:r>
      <w:r w:rsidR="00A51226" w:rsidRPr="0026493E">
        <w:rPr>
          <w:rFonts w:ascii="Times New Roman" w:hAnsi="Times New Roman"/>
          <w:spacing w:val="0"/>
          <w:sz w:val="22"/>
          <w:szCs w:val="22"/>
          <w:lang w:eastAsia="fr-FR"/>
        </w:rPr>
        <w:t>Transports</w:t>
      </w:r>
      <w:r w:rsidRPr="0026493E">
        <w:rPr>
          <w:rFonts w:asciiTheme="majorBidi" w:hAnsiTheme="majorBidi" w:cstheme="majorBidi"/>
          <w:sz w:val="22"/>
          <w:szCs w:val="22"/>
        </w:rPr>
        <w:t xml:space="preserve">" avec </w:t>
      </w:r>
      <w:r w:rsidR="00A51226" w:rsidRPr="0026493E">
        <w:rPr>
          <w:rFonts w:asciiTheme="majorBidi" w:hAnsiTheme="majorBidi" w:cstheme="majorBidi"/>
          <w:sz w:val="22"/>
          <w:szCs w:val="22"/>
        </w:rPr>
        <w:t>6</w:t>
      </w:r>
      <w:r w:rsidRPr="0026493E">
        <w:rPr>
          <w:rFonts w:asciiTheme="majorBidi" w:hAnsiTheme="majorBidi" w:cstheme="majorBidi"/>
          <w:sz w:val="22"/>
          <w:szCs w:val="22"/>
        </w:rPr>
        <w:t>,</w:t>
      </w:r>
      <w:r w:rsidR="00A51226" w:rsidRPr="0026493E">
        <w:rPr>
          <w:rFonts w:asciiTheme="majorBidi" w:hAnsiTheme="majorBidi" w:cstheme="majorBidi"/>
          <w:sz w:val="22"/>
          <w:szCs w:val="22"/>
        </w:rPr>
        <w:t>2</w:t>
      </w:r>
      <w:r w:rsidRPr="0026493E">
        <w:rPr>
          <w:rFonts w:asciiTheme="majorBidi" w:hAnsiTheme="majorBidi" w:cstheme="majorBidi"/>
          <w:sz w:val="22"/>
          <w:szCs w:val="22"/>
        </w:rPr>
        <w:t>%.</w:t>
      </w:r>
      <w:r w:rsidR="00745DCF" w:rsidRPr="0026493E">
        <w:rPr>
          <w:rFonts w:asciiTheme="majorBidi" w:hAnsiTheme="majorBidi" w:cstheme="majorBidi"/>
          <w:sz w:val="22"/>
          <w:szCs w:val="22"/>
        </w:rPr>
        <w:t xml:space="preserve"> Les</w:t>
      </w:r>
      <w:r w:rsidR="00A51226" w:rsidRPr="0026493E">
        <w:rPr>
          <w:rFonts w:asciiTheme="majorBidi" w:hAnsiTheme="majorBidi" w:cstheme="majorBidi"/>
          <w:sz w:val="22"/>
          <w:szCs w:val="22"/>
        </w:rPr>
        <w:t xml:space="preserve"> autres hausses varient entre 0,3% et 2,9%.</w:t>
      </w:r>
      <w:r w:rsidRPr="0026493E">
        <w:rPr>
          <w:rFonts w:asciiTheme="majorBidi" w:hAnsiTheme="majorBidi" w:cstheme="majorBidi"/>
          <w:sz w:val="22"/>
          <w:szCs w:val="22"/>
        </w:rPr>
        <w:t xml:space="preserve"> A l’opposé, </w:t>
      </w:r>
      <w:r w:rsidR="00A51226" w:rsidRPr="0026493E">
        <w:rPr>
          <w:rFonts w:asciiTheme="majorBidi" w:hAnsiTheme="majorBidi" w:cstheme="majorBidi"/>
          <w:sz w:val="22"/>
          <w:szCs w:val="22"/>
        </w:rPr>
        <w:t>seul l’indice de la Santé a baissé de (-0,3%)</w:t>
      </w:r>
      <w:r w:rsidRPr="0026493E">
        <w:rPr>
          <w:rFonts w:asciiTheme="majorBidi" w:hAnsiTheme="majorBidi" w:cstheme="majorBidi"/>
          <w:sz w:val="22"/>
          <w:szCs w:val="22"/>
        </w:rPr>
        <w:t>.</w:t>
      </w:r>
    </w:p>
    <w:p w:rsidR="00A708BE" w:rsidRPr="0026493E" w:rsidRDefault="007511E1" w:rsidP="00A708BE">
      <w:pPr>
        <w:spacing w:before="100" w:beforeAutospacing="1" w:after="100" w:afterAutospacing="1"/>
        <w:ind w:left="0"/>
        <w:jc w:val="both"/>
        <w:rPr>
          <w:rFonts w:ascii="Times New Roman" w:hAnsi="Times New Roman"/>
          <w:b/>
          <w:bCs/>
          <w:spacing w:val="0"/>
          <w:sz w:val="24"/>
          <w:szCs w:val="24"/>
          <w:lang w:eastAsia="fr-FR"/>
        </w:rPr>
      </w:pPr>
      <w:r w:rsidRPr="0026493E">
        <w:rPr>
          <w:rFonts w:ascii="Times New Roman" w:hAnsi="Times New Roman"/>
          <w:b/>
          <w:bCs/>
          <w:spacing w:val="0"/>
          <w:sz w:val="24"/>
          <w:szCs w:val="24"/>
          <w:lang w:eastAsia="fr-FR"/>
        </w:rPr>
        <w:t>Ville de Kenitra et contexte national :</w:t>
      </w:r>
    </w:p>
    <w:p w:rsidR="0026493E" w:rsidRPr="0026493E" w:rsidRDefault="002C41D1" w:rsidP="00745DCF">
      <w:pPr>
        <w:spacing w:before="100" w:beforeAutospacing="1" w:after="100" w:afterAutospacing="1"/>
        <w:ind w:left="0"/>
        <w:jc w:val="both"/>
        <w:rPr>
          <w:rFonts w:ascii="Times New Roman" w:hAnsi="Times New Roman"/>
          <w:spacing w:val="0"/>
          <w:sz w:val="22"/>
          <w:szCs w:val="22"/>
          <w:lang w:eastAsia="fr-FR"/>
        </w:rPr>
      </w:pPr>
      <w:r w:rsidRPr="0026493E">
        <w:rPr>
          <w:rFonts w:ascii="Times New Roman" w:hAnsi="Times New Roman"/>
          <w:spacing w:val="0"/>
          <w:sz w:val="22"/>
          <w:szCs w:val="22"/>
          <w:lang w:eastAsia="fr-FR"/>
        </w:rPr>
        <w:t xml:space="preserve">Entre Janvier et </w:t>
      </w:r>
      <w:r w:rsidR="00F87C7B" w:rsidRPr="0026493E">
        <w:rPr>
          <w:rFonts w:ascii="Times New Roman" w:hAnsi="Times New Roman"/>
          <w:spacing w:val="0"/>
          <w:sz w:val="22"/>
          <w:szCs w:val="22"/>
          <w:lang w:eastAsia="fr-FR"/>
        </w:rPr>
        <w:t>Février</w:t>
      </w:r>
      <w:r w:rsidRPr="0026493E">
        <w:rPr>
          <w:rFonts w:ascii="Times New Roman" w:hAnsi="Times New Roman"/>
          <w:spacing w:val="0"/>
          <w:sz w:val="22"/>
          <w:szCs w:val="22"/>
          <w:lang w:eastAsia="fr-FR"/>
        </w:rPr>
        <w:t xml:space="preserve"> 202</w:t>
      </w:r>
      <w:r w:rsidR="00745DCF" w:rsidRPr="0026493E">
        <w:rPr>
          <w:rFonts w:ascii="Times New Roman" w:hAnsi="Times New Roman"/>
          <w:spacing w:val="0"/>
          <w:sz w:val="22"/>
          <w:szCs w:val="22"/>
          <w:lang w:eastAsia="fr-FR"/>
        </w:rPr>
        <w:t>2</w:t>
      </w:r>
      <w:r w:rsidRPr="0026493E">
        <w:rPr>
          <w:rFonts w:ascii="Times New Roman" w:hAnsi="Times New Roman"/>
          <w:spacing w:val="0"/>
          <w:sz w:val="22"/>
          <w:szCs w:val="22"/>
          <w:lang w:eastAsia="fr-FR"/>
        </w:rPr>
        <w:t xml:space="preserve">, l’IPC a connu une baisse </w:t>
      </w:r>
      <w:r w:rsidR="00593BED" w:rsidRPr="0026493E">
        <w:rPr>
          <w:rFonts w:ascii="Times New Roman" w:hAnsi="Times New Roman"/>
          <w:spacing w:val="0"/>
          <w:sz w:val="22"/>
          <w:szCs w:val="22"/>
          <w:lang w:eastAsia="fr-FR"/>
        </w:rPr>
        <w:t>du</w:t>
      </w:r>
      <w:r w:rsidRPr="0026493E">
        <w:rPr>
          <w:rFonts w:ascii="Times New Roman" w:hAnsi="Times New Roman"/>
          <w:spacing w:val="0"/>
          <w:sz w:val="22"/>
          <w:szCs w:val="22"/>
          <w:lang w:eastAsia="fr-FR"/>
        </w:rPr>
        <w:t xml:space="preserve"> niveau général des prix dans </w:t>
      </w:r>
      <w:r w:rsidR="00745DCF" w:rsidRPr="0026493E">
        <w:rPr>
          <w:rFonts w:ascii="Times New Roman" w:hAnsi="Times New Roman"/>
          <w:spacing w:val="0"/>
          <w:sz w:val="22"/>
          <w:szCs w:val="22"/>
          <w:lang w:eastAsia="fr-FR"/>
        </w:rPr>
        <w:t xml:space="preserve">seulement deux </w:t>
      </w:r>
      <w:r w:rsidRPr="0026493E">
        <w:rPr>
          <w:rFonts w:ascii="Times New Roman" w:hAnsi="Times New Roman"/>
          <w:spacing w:val="0"/>
          <w:sz w:val="22"/>
          <w:szCs w:val="22"/>
          <w:lang w:eastAsia="fr-FR"/>
        </w:rPr>
        <w:t>villes</w:t>
      </w:r>
      <w:r w:rsidR="00745DCF" w:rsidRPr="0026493E">
        <w:rPr>
          <w:rFonts w:ascii="Times New Roman" w:hAnsi="Times New Roman"/>
          <w:spacing w:val="0"/>
          <w:sz w:val="22"/>
          <w:szCs w:val="22"/>
          <w:lang w:eastAsia="fr-FR"/>
        </w:rPr>
        <w:t xml:space="preserve"> : Casablanca et </w:t>
      </w:r>
      <w:proofErr w:type="spellStart"/>
      <w:r w:rsidR="00745DCF" w:rsidRPr="0026493E">
        <w:rPr>
          <w:rFonts w:ascii="Times New Roman" w:hAnsi="Times New Roman"/>
          <w:spacing w:val="0"/>
          <w:sz w:val="22"/>
          <w:szCs w:val="22"/>
          <w:lang w:eastAsia="fr-FR"/>
        </w:rPr>
        <w:t>Errachidia</w:t>
      </w:r>
      <w:proofErr w:type="spellEnd"/>
      <w:r w:rsidR="00745DCF" w:rsidRPr="0026493E">
        <w:rPr>
          <w:rFonts w:ascii="Times New Roman" w:hAnsi="Times New Roman"/>
          <w:spacing w:val="0"/>
          <w:sz w:val="22"/>
          <w:szCs w:val="22"/>
          <w:lang w:eastAsia="fr-FR"/>
        </w:rPr>
        <w:t xml:space="preserve"> avec (-0,1%). Quant au reste des villes, excepté la ville de Settat qui a connu une stagnation de son indice, il a enregistré des taux d’inflation positifs dont neuf sont supérieurs à la moyenne nationale (0,6%).</w:t>
      </w:r>
    </w:p>
    <w:p w:rsidR="00F87C7B" w:rsidRPr="0026493E" w:rsidRDefault="00745DCF" w:rsidP="0026493E">
      <w:pPr>
        <w:spacing w:before="100" w:beforeAutospacing="1" w:after="100" w:afterAutospacing="1"/>
        <w:ind w:left="0"/>
        <w:jc w:val="both"/>
        <w:rPr>
          <w:rFonts w:ascii="Times New Roman" w:hAnsi="Times New Roman"/>
          <w:spacing w:val="0"/>
          <w:sz w:val="22"/>
          <w:szCs w:val="22"/>
          <w:lang w:eastAsia="fr-FR"/>
        </w:rPr>
      </w:pPr>
      <w:r w:rsidRPr="0026493E">
        <w:rPr>
          <w:rFonts w:ascii="Times New Roman" w:hAnsi="Times New Roman"/>
          <w:spacing w:val="0"/>
          <w:sz w:val="22"/>
          <w:szCs w:val="22"/>
          <w:lang w:eastAsia="fr-FR"/>
        </w:rPr>
        <w:t xml:space="preserve"> A noter que la ville de </w:t>
      </w:r>
      <w:proofErr w:type="spellStart"/>
      <w:r w:rsidRPr="0026493E">
        <w:rPr>
          <w:rFonts w:ascii="Times New Roman" w:hAnsi="Times New Roman"/>
          <w:spacing w:val="0"/>
          <w:sz w:val="22"/>
          <w:szCs w:val="22"/>
          <w:lang w:eastAsia="fr-FR"/>
        </w:rPr>
        <w:t>Kénitra</w:t>
      </w:r>
      <w:proofErr w:type="spellEnd"/>
      <w:r w:rsidRPr="0026493E">
        <w:rPr>
          <w:rFonts w:ascii="Times New Roman" w:hAnsi="Times New Roman"/>
          <w:spacing w:val="0"/>
          <w:sz w:val="22"/>
          <w:szCs w:val="22"/>
          <w:lang w:eastAsia="fr-FR"/>
        </w:rPr>
        <w:t xml:space="preserve"> fait partie de ces villes avec un taux de 0,7%.</w:t>
      </w:r>
      <w:r w:rsidR="0026493E" w:rsidRPr="0026493E">
        <w:rPr>
          <w:rFonts w:ascii="Times New Roman" w:hAnsi="Times New Roman"/>
          <w:spacing w:val="0"/>
          <w:sz w:val="22"/>
          <w:szCs w:val="22"/>
          <w:lang w:eastAsia="fr-FR"/>
        </w:rPr>
        <w:t xml:space="preserve"> Il est à signaler, également, que le taux d’inflation le plus </w:t>
      </w:r>
      <w:r w:rsidR="00F87C7B" w:rsidRPr="0026493E">
        <w:rPr>
          <w:rFonts w:ascii="Times New Roman" w:hAnsi="Times New Roman"/>
          <w:spacing w:val="0"/>
          <w:sz w:val="22"/>
          <w:szCs w:val="22"/>
          <w:lang w:eastAsia="fr-FR"/>
        </w:rPr>
        <w:t xml:space="preserve"> </w:t>
      </w:r>
      <w:r w:rsidR="0026493E" w:rsidRPr="0026493E">
        <w:rPr>
          <w:rFonts w:ascii="Times New Roman" w:hAnsi="Times New Roman"/>
          <w:spacing w:val="0"/>
          <w:sz w:val="22"/>
          <w:szCs w:val="22"/>
          <w:lang w:eastAsia="fr-FR"/>
        </w:rPr>
        <w:t>élevé a été observé dans la ville de Marrakech avec 1,3%.</w:t>
      </w:r>
    </w:p>
    <w:p w:rsidR="00442FD4" w:rsidRPr="0026493E" w:rsidRDefault="00442FD4" w:rsidP="00442FD4">
      <w:pPr>
        <w:spacing w:before="100" w:beforeAutospacing="1" w:after="100" w:afterAutospacing="1"/>
        <w:ind w:left="0"/>
        <w:jc w:val="both"/>
        <w:rPr>
          <w:rFonts w:asciiTheme="majorBidi" w:hAnsiTheme="majorBidi" w:cstheme="majorBidi"/>
          <w:sz w:val="22"/>
          <w:szCs w:val="22"/>
        </w:rPr>
      </w:pPr>
    </w:p>
    <w:p w:rsidR="004C54F7" w:rsidRPr="004C54F7" w:rsidRDefault="004C54F7" w:rsidP="004C54F7">
      <w:pPr>
        <w:spacing w:before="100" w:beforeAutospacing="1" w:after="100" w:afterAutospacing="1"/>
        <w:ind w:left="0"/>
        <w:jc w:val="both"/>
        <w:rPr>
          <w:rFonts w:asciiTheme="majorBidi" w:hAnsiTheme="majorBidi" w:cstheme="majorBidi"/>
          <w:color w:val="000000" w:themeColor="text1"/>
          <w:sz w:val="22"/>
          <w:szCs w:val="22"/>
        </w:rPr>
      </w:pPr>
    </w:p>
    <w:p w:rsidR="002B4717" w:rsidRDefault="002B4717" w:rsidP="002B4717">
      <w:pPr>
        <w:ind w:left="0"/>
        <w:rPr>
          <w:rFonts w:asciiTheme="majorBidi" w:hAnsiTheme="majorBidi" w:cstheme="majorBidi"/>
          <w:b/>
          <w:bCs/>
          <w:color w:val="000000" w:themeColor="text1"/>
          <w:sz w:val="24"/>
          <w:szCs w:val="24"/>
        </w:rPr>
      </w:pPr>
    </w:p>
    <w:p w:rsidR="00801826" w:rsidRDefault="00801826" w:rsidP="002B4717">
      <w:pPr>
        <w:ind w:left="0"/>
        <w:rPr>
          <w:rFonts w:asciiTheme="majorBidi" w:hAnsiTheme="majorBidi" w:cstheme="majorBidi"/>
          <w:b/>
          <w:bCs/>
          <w:color w:val="000000" w:themeColor="text1"/>
          <w:sz w:val="24"/>
          <w:szCs w:val="24"/>
        </w:rPr>
      </w:pPr>
    </w:p>
    <w:p w:rsidR="00801826" w:rsidRDefault="00801826" w:rsidP="002B4717">
      <w:pPr>
        <w:ind w:left="0"/>
        <w:rPr>
          <w:rFonts w:asciiTheme="majorBidi" w:hAnsiTheme="majorBidi" w:cstheme="majorBidi"/>
          <w:b/>
          <w:bCs/>
          <w:color w:val="000000" w:themeColor="text1"/>
          <w:sz w:val="24"/>
          <w:szCs w:val="24"/>
        </w:rPr>
      </w:pPr>
    </w:p>
    <w:p w:rsidR="005311B4" w:rsidRDefault="005311B4" w:rsidP="00746443">
      <w:pPr>
        <w:ind w:left="0"/>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Evolution de l’IPC (base 100 : 2017) par  division</w:t>
      </w:r>
      <w:r w:rsidR="00C43E2A">
        <w:rPr>
          <w:rFonts w:asciiTheme="majorBidi" w:hAnsiTheme="majorBidi" w:cstheme="majorBidi"/>
          <w:b/>
          <w:bCs/>
          <w:color w:val="000000" w:themeColor="text1"/>
          <w:sz w:val="24"/>
          <w:szCs w:val="24"/>
        </w:rPr>
        <w:t xml:space="preserve"> – ville de </w:t>
      </w:r>
      <w:proofErr w:type="spellStart"/>
      <w:r w:rsidR="00C43E2A">
        <w:rPr>
          <w:rFonts w:asciiTheme="majorBidi" w:hAnsiTheme="majorBidi" w:cstheme="majorBidi"/>
          <w:b/>
          <w:bCs/>
          <w:color w:val="000000" w:themeColor="text1"/>
          <w:sz w:val="24"/>
          <w:szCs w:val="24"/>
        </w:rPr>
        <w:t>Kénitra</w:t>
      </w:r>
      <w:proofErr w:type="spellEnd"/>
      <w:r w:rsidR="00C43E2A">
        <w:rPr>
          <w:rFonts w:asciiTheme="majorBidi" w:hAnsiTheme="majorBidi" w:cstheme="majorBidi"/>
          <w:b/>
          <w:bCs/>
          <w:color w:val="000000" w:themeColor="text1"/>
          <w:sz w:val="24"/>
          <w:szCs w:val="24"/>
        </w:rPr>
        <w:t xml:space="preserve"> -</w:t>
      </w:r>
    </w:p>
    <w:tbl>
      <w:tblPr>
        <w:tblW w:w="5000" w:type="pct"/>
        <w:tblBorders>
          <w:top w:val="single" w:sz="8" w:space="0" w:color="auto"/>
          <w:bottom w:val="single" w:sz="8" w:space="0" w:color="auto"/>
          <w:insideH w:val="single" w:sz="4" w:space="0" w:color="auto"/>
        </w:tblBorders>
        <w:tblCellMar>
          <w:left w:w="70" w:type="dxa"/>
          <w:right w:w="70" w:type="dxa"/>
        </w:tblCellMar>
        <w:tblLook w:val="04A0"/>
      </w:tblPr>
      <w:tblGrid>
        <w:gridCol w:w="4483"/>
        <w:gridCol w:w="1054"/>
        <w:gridCol w:w="1054"/>
        <w:gridCol w:w="1055"/>
        <w:gridCol w:w="1180"/>
        <w:gridCol w:w="1061"/>
      </w:tblGrid>
      <w:tr w:rsidR="00857B95" w:rsidRPr="00857B95" w:rsidTr="00857B95">
        <w:trPr>
          <w:trHeight w:val="315"/>
        </w:trPr>
        <w:tc>
          <w:tcPr>
            <w:tcW w:w="2278" w:type="pct"/>
            <w:vMerge w:val="restart"/>
            <w:shd w:val="clear" w:color="auto" w:fill="FABF8F" w:themeFill="accent6" w:themeFillTint="99"/>
            <w:noWrap/>
            <w:vAlign w:val="center"/>
            <w:hideMark/>
          </w:tcPr>
          <w:p w:rsidR="00857B95" w:rsidRPr="00857B95" w:rsidRDefault="00857B95" w:rsidP="00857B95">
            <w:pPr>
              <w:ind w:left="0"/>
              <w:jc w:val="center"/>
              <w:rPr>
                <w:rFonts w:ascii="Times New Roman" w:hAnsi="Times New Roman"/>
                <w:b/>
                <w:bCs/>
                <w:spacing w:val="0"/>
                <w:sz w:val="24"/>
                <w:szCs w:val="24"/>
                <w:lang w:eastAsia="fr-FR"/>
              </w:rPr>
            </w:pPr>
            <w:r w:rsidRPr="00857B95">
              <w:rPr>
                <w:rFonts w:ascii="Times New Roman" w:hAnsi="Times New Roman"/>
                <w:b/>
                <w:bCs/>
                <w:spacing w:val="0"/>
                <w:sz w:val="24"/>
                <w:szCs w:val="24"/>
                <w:lang w:eastAsia="fr-FR"/>
              </w:rPr>
              <w:t>DIVISIONS</w:t>
            </w:r>
          </w:p>
        </w:tc>
        <w:tc>
          <w:tcPr>
            <w:tcW w:w="544" w:type="pct"/>
            <w:shd w:val="clear" w:color="auto" w:fill="FABF8F" w:themeFill="accent6" w:themeFillTint="99"/>
            <w:noWrap/>
            <w:vAlign w:val="center"/>
            <w:hideMark/>
          </w:tcPr>
          <w:p w:rsidR="00857B95" w:rsidRPr="00857B95" w:rsidRDefault="00857B95" w:rsidP="00857B95">
            <w:pPr>
              <w:ind w:left="0"/>
              <w:jc w:val="center"/>
              <w:rPr>
                <w:rFonts w:ascii="Times New Roman" w:hAnsi="Times New Roman"/>
                <w:b/>
                <w:bCs/>
                <w:spacing w:val="0"/>
                <w:sz w:val="24"/>
                <w:szCs w:val="24"/>
                <w:lang w:eastAsia="fr-FR"/>
              </w:rPr>
            </w:pPr>
            <w:proofErr w:type="spellStart"/>
            <w:r w:rsidRPr="00857B95">
              <w:rPr>
                <w:rFonts w:ascii="Times New Roman" w:hAnsi="Times New Roman"/>
                <w:b/>
                <w:bCs/>
                <w:spacing w:val="0"/>
                <w:sz w:val="24"/>
                <w:szCs w:val="24"/>
                <w:lang w:eastAsia="fr-FR"/>
              </w:rPr>
              <w:t>Fév</w:t>
            </w:r>
            <w:proofErr w:type="spellEnd"/>
          </w:p>
        </w:tc>
        <w:tc>
          <w:tcPr>
            <w:tcW w:w="544" w:type="pct"/>
            <w:shd w:val="clear" w:color="auto" w:fill="FABF8F" w:themeFill="accent6" w:themeFillTint="99"/>
            <w:noWrap/>
            <w:vAlign w:val="center"/>
            <w:hideMark/>
          </w:tcPr>
          <w:p w:rsidR="00857B95" w:rsidRPr="00857B95" w:rsidRDefault="00857B95" w:rsidP="00857B95">
            <w:pPr>
              <w:ind w:left="0"/>
              <w:jc w:val="center"/>
              <w:rPr>
                <w:rFonts w:ascii="Times New Roman" w:hAnsi="Times New Roman"/>
                <w:b/>
                <w:bCs/>
                <w:spacing w:val="0"/>
                <w:sz w:val="24"/>
                <w:szCs w:val="24"/>
                <w:lang w:eastAsia="fr-FR"/>
              </w:rPr>
            </w:pPr>
            <w:proofErr w:type="spellStart"/>
            <w:r w:rsidRPr="00857B95">
              <w:rPr>
                <w:rFonts w:ascii="Times New Roman" w:hAnsi="Times New Roman"/>
                <w:b/>
                <w:bCs/>
                <w:spacing w:val="0"/>
                <w:sz w:val="24"/>
                <w:szCs w:val="24"/>
                <w:lang w:eastAsia="fr-FR"/>
              </w:rPr>
              <w:t>Janv</w:t>
            </w:r>
            <w:proofErr w:type="spellEnd"/>
          </w:p>
        </w:tc>
        <w:tc>
          <w:tcPr>
            <w:tcW w:w="544" w:type="pct"/>
            <w:shd w:val="clear" w:color="auto" w:fill="FABF8F" w:themeFill="accent6" w:themeFillTint="99"/>
            <w:noWrap/>
            <w:vAlign w:val="center"/>
            <w:hideMark/>
          </w:tcPr>
          <w:p w:rsidR="00857B95" w:rsidRPr="00857B95" w:rsidRDefault="00857B95" w:rsidP="00857B95">
            <w:pPr>
              <w:ind w:left="0"/>
              <w:jc w:val="center"/>
              <w:rPr>
                <w:rFonts w:ascii="Times New Roman" w:hAnsi="Times New Roman"/>
                <w:b/>
                <w:bCs/>
                <w:spacing w:val="0"/>
                <w:sz w:val="24"/>
                <w:szCs w:val="24"/>
                <w:lang w:eastAsia="fr-FR"/>
              </w:rPr>
            </w:pPr>
            <w:proofErr w:type="spellStart"/>
            <w:r w:rsidRPr="00857B95">
              <w:rPr>
                <w:rFonts w:ascii="Times New Roman" w:hAnsi="Times New Roman"/>
                <w:b/>
                <w:bCs/>
                <w:spacing w:val="0"/>
                <w:sz w:val="24"/>
                <w:szCs w:val="24"/>
                <w:lang w:eastAsia="fr-FR"/>
              </w:rPr>
              <w:t>Fév</w:t>
            </w:r>
            <w:proofErr w:type="spellEnd"/>
          </w:p>
        </w:tc>
        <w:tc>
          <w:tcPr>
            <w:tcW w:w="1089" w:type="pct"/>
            <w:gridSpan w:val="2"/>
            <w:shd w:val="clear" w:color="auto" w:fill="FABF8F" w:themeFill="accent6" w:themeFillTint="99"/>
            <w:noWrap/>
            <w:vAlign w:val="center"/>
            <w:hideMark/>
          </w:tcPr>
          <w:p w:rsidR="00857B95" w:rsidRPr="00857B95" w:rsidRDefault="00857B95" w:rsidP="00857B95">
            <w:pPr>
              <w:ind w:left="0"/>
              <w:jc w:val="center"/>
              <w:rPr>
                <w:rFonts w:ascii="Times New Roman" w:hAnsi="Times New Roman"/>
                <w:b/>
                <w:bCs/>
                <w:spacing w:val="0"/>
                <w:sz w:val="24"/>
                <w:szCs w:val="24"/>
                <w:lang w:eastAsia="fr-FR"/>
              </w:rPr>
            </w:pPr>
            <w:r w:rsidRPr="00857B95">
              <w:rPr>
                <w:rFonts w:ascii="Times New Roman" w:hAnsi="Times New Roman"/>
                <w:b/>
                <w:bCs/>
                <w:spacing w:val="0"/>
                <w:sz w:val="24"/>
                <w:szCs w:val="24"/>
                <w:lang w:eastAsia="fr-FR"/>
              </w:rPr>
              <w:t>VARIATION (%)</w:t>
            </w:r>
          </w:p>
        </w:tc>
      </w:tr>
      <w:tr w:rsidR="00857B95" w:rsidRPr="00857B95" w:rsidTr="00857B95">
        <w:trPr>
          <w:trHeight w:val="525"/>
        </w:trPr>
        <w:tc>
          <w:tcPr>
            <w:tcW w:w="2278" w:type="pct"/>
            <w:vMerge/>
            <w:shd w:val="clear" w:color="auto" w:fill="FABF8F" w:themeFill="accent6" w:themeFillTint="99"/>
            <w:vAlign w:val="center"/>
            <w:hideMark/>
          </w:tcPr>
          <w:p w:rsidR="00857B95" w:rsidRPr="00857B95" w:rsidRDefault="00857B95" w:rsidP="00857B95">
            <w:pPr>
              <w:ind w:left="0"/>
              <w:rPr>
                <w:rFonts w:ascii="Times New Roman" w:hAnsi="Times New Roman"/>
                <w:b/>
                <w:bCs/>
                <w:spacing w:val="0"/>
                <w:sz w:val="24"/>
                <w:szCs w:val="24"/>
                <w:lang w:eastAsia="fr-FR"/>
              </w:rPr>
            </w:pPr>
          </w:p>
        </w:tc>
        <w:tc>
          <w:tcPr>
            <w:tcW w:w="544" w:type="pct"/>
            <w:shd w:val="clear" w:color="auto" w:fill="FABF8F" w:themeFill="accent6" w:themeFillTint="99"/>
            <w:noWrap/>
            <w:vAlign w:val="center"/>
            <w:hideMark/>
          </w:tcPr>
          <w:p w:rsidR="00857B95" w:rsidRPr="00857B95" w:rsidRDefault="00857B95" w:rsidP="00857B95">
            <w:pPr>
              <w:ind w:left="0"/>
              <w:jc w:val="center"/>
              <w:rPr>
                <w:rFonts w:ascii="Times New Roman" w:hAnsi="Times New Roman"/>
                <w:b/>
                <w:bCs/>
                <w:spacing w:val="0"/>
                <w:sz w:val="24"/>
                <w:szCs w:val="24"/>
                <w:lang w:eastAsia="fr-FR"/>
              </w:rPr>
            </w:pPr>
            <w:r w:rsidRPr="00857B95">
              <w:rPr>
                <w:rFonts w:ascii="Times New Roman" w:hAnsi="Times New Roman"/>
                <w:b/>
                <w:bCs/>
                <w:spacing w:val="0"/>
                <w:sz w:val="24"/>
                <w:szCs w:val="24"/>
                <w:lang w:eastAsia="fr-FR"/>
              </w:rPr>
              <w:t>2021</w:t>
            </w:r>
          </w:p>
        </w:tc>
        <w:tc>
          <w:tcPr>
            <w:tcW w:w="544" w:type="pct"/>
            <w:shd w:val="clear" w:color="auto" w:fill="FABF8F" w:themeFill="accent6" w:themeFillTint="99"/>
            <w:noWrap/>
            <w:vAlign w:val="center"/>
            <w:hideMark/>
          </w:tcPr>
          <w:p w:rsidR="00857B95" w:rsidRPr="00857B95" w:rsidRDefault="00857B95" w:rsidP="00857B95">
            <w:pPr>
              <w:ind w:left="0"/>
              <w:jc w:val="center"/>
              <w:rPr>
                <w:rFonts w:ascii="Times New Roman" w:hAnsi="Times New Roman"/>
                <w:b/>
                <w:bCs/>
                <w:spacing w:val="0"/>
                <w:sz w:val="24"/>
                <w:szCs w:val="24"/>
                <w:lang w:eastAsia="fr-FR"/>
              </w:rPr>
            </w:pPr>
            <w:r w:rsidRPr="00857B95">
              <w:rPr>
                <w:rFonts w:ascii="Times New Roman" w:hAnsi="Times New Roman"/>
                <w:b/>
                <w:bCs/>
                <w:spacing w:val="0"/>
                <w:sz w:val="24"/>
                <w:szCs w:val="24"/>
                <w:lang w:eastAsia="fr-FR"/>
              </w:rPr>
              <w:t>2022</w:t>
            </w:r>
          </w:p>
        </w:tc>
        <w:tc>
          <w:tcPr>
            <w:tcW w:w="544" w:type="pct"/>
            <w:shd w:val="clear" w:color="auto" w:fill="FABF8F" w:themeFill="accent6" w:themeFillTint="99"/>
            <w:noWrap/>
            <w:vAlign w:val="center"/>
            <w:hideMark/>
          </w:tcPr>
          <w:p w:rsidR="00857B95" w:rsidRPr="00857B95" w:rsidRDefault="00857B95" w:rsidP="00857B95">
            <w:pPr>
              <w:ind w:left="0"/>
              <w:jc w:val="center"/>
              <w:rPr>
                <w:rFonts w:ascii="Times New Roman" w:hAnsi="Times New Roman"/>
                <w:b/>
                <w:bCs/>
                <w:spacing w:val="0"/>
                <w:sz w:val="24"/>
                <w:szCs w:val="24"/>
                <w:lang w:eastAsia="fr-FR"/>
              </w:rPr>
            </w:pPr>
            <w:r w:rsidRPr="00857B95">
              <w:rPr>
                <w:rFonts w:ascii="Times New Roman" w:hAnsi="Times New Roman"/>
                <w:b/>
                <w:bCs/>
                <w:spacing w:val="0"/>
                <w:sz w:val="24"/>
                <w:szCs w:val="24"/>
                <w:lang w:eastAsia="fr-FR"/>
              </w:rPr>
              <w:t>2022</w:t>
            </w:r>
          </w:p>
        </w:tc>
        <w:tc>
          <w:tcPr>
            <w:tcW w:w="577" w:type="pct"/>
            <w:shd w:val="clear" w:color="auto" w:fill="FABF8F" w:themeFill="accent6" w:themeFillTint="99"/>
            <w:noWrap/>
            <w:vAlign w:val="center"/>
            <w:hideMark/>
          </w:tcPr>
          <w:p w:rsidR="00857B95" w:rsidRPr="00857B95" w:rsidRDefault="00857B95" w:rsidP="00857B95">
            <w:pPr>
              <w:ind w:left="0"/>
              <w:jc w:val="center"/>
              <w:rPr>
                <w:rFonts w:ascii="Times New Roman" w:hAnsi="Times New Roman"/>
                <w:b/>
                <w:bCs/>
                <w:spacing w:val="0"/>
                <w:sz w:val="24"/>
                <w:szCs w:val="24"/>
                <w:lang w:eastAsia="fr-FR"/>
              </w:rPr>
            </w:pPr>
            <w:r w:rsidRPr="00857B95">
              <w:rPr>
                <w:rFonts w:ascii="Times New Roman" w:hAnsi="Times New Roman"/>
                <w:b/>
                <w:bCs/>
                <w:spacing w:val="0"/>
                <w:sz w:val="24"/>
                <w:szCs w:val="24"/>
                <w:lang w:eastAsia="fr-FR"/>
              </w:rPr>
              <w:t>Mensuelle</w:t>
            </w:r>
          </w:p>
        </w:tc>
        <w:tc>
          <w:tcPr>
            <w:tcW w:w="512" w:type="pct"/>
            <w:shd w:val="clear" w:color="auto" w:fill="FABF8F" w:themeFill="accent6" w:themeFillTint="99"/>
            <w:noWrap/>
            <w:vAlign w:val="center"/>
            <w:hideMark/>
          </w:tcPr>
          <w:p w:rsidR="00857B95" w:rsidRPr="00857B95" w:rsidRDefault="00857B95" w:rsidP="00857B95">
            <w:pPr>
              <w:ind w:left="0"/>
              <w:jc w:val="center"/>
              <w:rPr>
                <w:rFonts w:ascii="Times New Roman" w:hAnsi="Times New Roman"/>
                <w:b/>
                <w:bCs/>
                <w:spacing w:val="0"/>
                <w:sz w:val="24"/>
                <w:szCs w:val="24"/>
                <w:lang w:eastAsia="fr-FR"/>
              </w:rPr>
            </w:pPr>
            <w:r w:rsidRPr="00857B95">
              <w:rPr>
                <w:rFonts w:ascii="Times New Roman" w:hAnsi="Times New Roman"/>
                <w:b/>
                <w:bCs/>
                <w:spacing w:val="0"/>
                <w:sz w:val="24"/>
                <w:szCs w:val="24"/>
                <w:lang w:eastAsia="fr-FR"/>
              </w:rPr>
              <w:t>Annuelle</w:t>
            </w:r>
          </w:p>
        </w:tc>
      </w:tr>
      <w:tr w:rsidR="00857B95" w:rsidRPr="00857B95" w:rsidTr="00857B95">
        <w:trPr>
          <w:trHeight w:val="499"/>
        </w:trPr>
        <w:tc>
          <w:tcPr>
            <w:tcW w:w="2278" w:type="pct"/>
            <w:shd w:val="clear" w:color="000000" w:fill="FFFFFF"/>
            <w:vAlign w:val="center"/>
            <w:hideMark/>
          </w:tcPr>
          <w:p w:rsidR="00857B95" w:rsidRPr="00857B95" w:rsidRDefault="00857B95" w:rsidP="00857B95">
            <w:pPr>
              <w:ind w:left="0"/>
              <w:rPr>
                <w:rFonts w:ascii="Times New Roman" w:hAnsi="Times New Roman"/>
                <w:b/>
                <w:bCs/>
                <w:spacing w:val="0"/>
                <w:sz w:val="16"/>
                <w:szCs w:val="16"/>
                <w:lang w:eastAsia="fr-FR"/>
              </w:rPr>
            </w:pPr>
            <w:r w:rsidRPr="00857B95">
              <w:rPr>
                <w:rFonts w:ascii="Times New Roman" w:hAnsi="Times New Roman"/>
                <w:b/>
                <w:bCs/>
                <w:spacing w:val="0"/>
                <w:sz w:val="16"/>
                <w:szCs w:val="16"/>
                <w:lang w:eastAsia="fr-FR"/>
              </w:rPr>
              <w:t>01. PRODUITS ALIMENTAIRES ET BOISSONS NON ALCOOLISÉES</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97,0</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103,0</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103,9</w:t>
            </w:r>
          </w:p>
        </w:tc>
        <w:tc>
          <w:tcPr>
            <w:tcW w:w="577" w:type="pct"/>
            <w:shd w:val="clear" w:color="000000" w:fill="FFFFFF"/>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0,9</w:t>
            </w:r>
          </w:p>
        </w:tc>
        <w:tc>
          <w:tcPr>
            <w:tcW w:w="512" w:type="pct"/>
            <w:shd w:val="clear" w:color="000000" w:fill="FFFFFF"/>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7,1</w:t>
            </w:r>
          </w:p>
        </w:tc>
      </w:tr>
      <w:tr w:rsidR="00857B95" w:rsidRPr="00857B95" w:rsidTr="00857B95">
        <w:trPr>
          <w:trHeight w:val="499"/>
        </w:trPr>
        <w:tc>
          <w:tcPr>
            <w:tcW w:w="2278" w:type="pct"/>
            <w:shd w:val="clear" w:color="000000" w:fill="FFFFFF"/>
            <w:vAlign w:val="center"/>
            <w:hideMark/>
          </w:tcPr>
          <w:p w:rsidR="00857B95" w:rsidRPr="00857B95" w:rsidRDefault="00857B95" w:rsidP="00637D0F">
            <w:pPr>
              <w:ind w:left="0"/>
              <w:rPr>
                <w:rFonts w:ascii="Times New Roman" w:hAnsi="Times New Roman"/>
                <w:b/>
                <w:bCs/>
                <w:spacing w:val="0"/>
                <w:sz w:val="16"/>
                <w:szCs w:val="16"/>
                <w:lang w:eastAsia="fr-FR"/>
              </w:rPr>
            </w:pPr>
            <w:r w:rsidRPr="00857B95">
              <w:rPr>
                <w:rFonts w:ascii="Times New Roman" w:hAnsi="Times New Roman"/>
                <w:b/>
                <w:bCs/>
                <w:spacing w:val="0"/>
                <w:sz w:val="16"/>
                <w:szCs w:val="16"/>
                <w:lang w:eastAsia="fr-FR"/>
              </w:rPr>
              <w:t>02. BOISSONS ALCOOLISÉES</w:t>
            </w:r>
            <w:r w:rsidR="00637D0F">
              <w:rPr>
                <w:rFonts w:ascii="Times New Roman" w:hAnsi="Times New Roman"/>
                <w:b/>
                <w:bCs/>
                <w:spacing w:val="0"/>
                <w:sz w:val="16"/>
                <w:szCs w:val="16"/>
                <w:lang w:eastAsia="fr-FR"/>
              </w:rPr>
              <w:t xml:space="preserve">  ET</w:t>
            </w:r>
            <w:r w:rsidRPr="00857B95">
              <w:rPr>
                <w:rFonts w:ascii="Times New Roman" w:hAnsi="Times New Roman"/>
                <w:b/>
                <w:bCs/>
                <w:spacing w:val="0"/>
                <w:sz w:val="16"/>
                <w:szCs w:val="16"/>
                <w:lang w:eastAsia="fr-FR"/>
              </w:rPr>
              <w:t xml:space="preserve"> TABAC </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124,9</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129,1</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129,1</w:t>
            </w:r>
          </w:p>
        </w:tc>
        <w:tc>
          <w:tcPr>
            <w:tcW w:w="577" w:type="pct"/>
            <w:shd w:val="clear" w:color="000000" w:fill="FFFFFF"/>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0,0</w:t>
            </w:r>
          </w:p>
        </w:tc>
        <w:tc>
          <w:tcPr>
            <w:tcW w:w="512" w:type="pct"/>
            <w:shd w:val="clear" w:color="000000" w:fill="FFFFFF"/>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3,4</w:t>
            </w:r>
          </w:p>
        </w:tc>
      </w:tr>
      <w:tr w:rsidR="00857B95" w:rsidRPr="00857B95" w:rsidTr="00857B95">
        <w:trPr>
          <w:trHeight w:val="499"/>
        </w:trPr>
        <w:tc>
          <w:tcPr>
            <w:tcW w:w="2278" w:type="pct"/>
            <w:shd w:val="clear" w:color="auto" w:fill="FBD4B4" w:themeFill="accent6" w:themeFillTint="66"/>
            <w:noWrap/>
            <w:vAlign w:val="center"/>
            <w:hideMark/>
          </w:tcPr>
          <w:p w:rsidR="00857B95" w:rsidRPr="00857B95" w:rsidRDefault="00857B95" w:rsidP="00857B95">
            <w:pPr>
              <w:ind w:left="0"/>
              <w:rPr>
                <w:rFonts w:ascii="Times New Roman" w:hAnsi="Times New Roman"/>
                <w:b/>
                <w:bCs/>
                <w:spacing w:val="0"/>
                <w:sz w:val="24"/>
                <w:szCs w:val="24"/>
                <w:lang w:eastAsia="fr-FR"/>
              </w:rPr>
            </w:pPr>
            <w:r w:rsidRPr="00857B95">
              <w:rPr>
                <w:rFonts w:ascii="Times New Roman" w:hAnsi="Times New Roman"/>
                <w:b/>
                <w:bCs/>
                <w:spacing w:val="0"/>
                <w:sz w:val="24"/>
                <w:szCs w:val="24"/>
                <w:lang w:eastAsia="fr-FR"/>
              </w:rPr>
              <w:t>Indices des Produits alimentaires</w:t>
            </w:r>
          </w:p>
        </w:tc>
        <w:tc>
          <w:tcPr>
            <w:tcW w:w="544" w:type="pct"/>
            <w:shd w:val="clear" w:color="auto" w:fill="FBD4B4" w:themeFill="accent6" w:themeFillTint="66"/>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98,0</w:t>
            </w:r>
          </w:p>
        </w:tc>
        <w:tc>
          <w:tcPr>
            <w:tcW w:w="544" w:type="pct"/>
            <w:shd w:val="clear" w:color="auto" w:fill="FBD4B4" w:themeFill="accent6" w:themeFillTint="66"/>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103,9</w:t>
            </w:r>
          </w:p>
        </w:tc>
        <w:tc>
          <w:tcPr>
            <w:tcW w:w="544" w:type="pct"/>
            <w:shd w:val="clear" w:color="auto" w:fill="FBD4B4" w:themeFill="accent6" w:themeFillTint="66"/>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104,8</w:t>
            </w:r>
          </w:p>
        </w:tc>
        <w:tc>
          <w:tcPr>
            <w:tcW w:w="577" w:type="pct"/>
            <w:shd w:val="clear" w:color="auto" w:fill="FBD4B4" w:themeFill="accent6" w:themeFillTint="66"/>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0,8</w:t>
            </w:r>
          </w:p>
        </w:tc>
        <w:tc>
          <w:tcPr>
            <w:tcW w:w="512" w:type="pct"/>
            <w:shd w:val="clear" w:color="auto" w:fill="FBD4B4" w:themeFill="accent6" w:themeFillTint="66"/>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6,9</w:t>
            </w:r>
          </w:p>
        </w:tc>
      </w:tr>
      <w:tr w:rsidR="00857B95" w:rsidRPr="00857B95" w:rsidTr="00857B95">
        <w:trPr>
          <w:trHeight w:val="499"/>
        </w:trPr>
        <w:tc>
          <w:tcPr>
            <w:tcW w:w="2278" w:type="pct"/>
            <w:shd w:val="clear" w:color="000000" w:fill="FFFFFF"/>
            <w:vAlign w:val="center"/>
            <w:hideMark/>
          </w:tcPr>
          <w:p w:rsidR="00857B95" w:rsidRPr="00857B95" w:rsidRDefault="00857B95" w:rsidP="00857B95">
            <w:pPr>
              <w:ind w:left="0"/>
              <w:rPr>
                <w:rFonts w:ascii="Times New Roman" w:hAnsi="Times New Roman"/>
                <w:b/>
                <w:bCs/>
                <w:spacing w:val="0"/>
                <w:sz w:val="16"/>
                <w:szCs w:val="16"/>
                <w:lang w:eastAsia="fr-FR"/>
              </w:rPr>
            </w:pPr>
            <w:r w:rsidRPr="00857B95">
              <w:rPr>
                <w:rFonts w:ascii="Times New Roman" w:hAnsi="Times New Roman"/>
                <w:b/>
                <w:bCs/>
                <w:spacing w:val="0"/>
                <w:sz w:val="16"/>
                <w:szCs w:val="16"/>
                <w:lang w:eastAsia="fr-FR"/>
              </w:rPr>
              <w:t>03. ARTICLES D'HABILLEMENT ET CHAUSSURES</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106,1</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107,4</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107,9</w:t>
            </w:r>
          </w:p>
        </w:tc>
        <w:tc>
          <w:tcPr>
            <w:tcW w:w="577" w:type="pct"/>
            <w:shd w:val="clear" w:color="000000" w:fill="FFFFFF"/>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0,5</w:t>
            </w:r>
          </w:p>
        </w:tc>
        <w:tc>
          <w:tcPr>
            <w:tcW w:w="512" w:type="pct"/>
            <w:shd w:val="clear" w:color="000000" w:fill="FFFFFF"/>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1,7</w:t>
            </w:r>
          </w:p>
        </w:tc>
      </w:tr>
      <w:tr w:rsidR="00857B95" w:rsidRPr="00857B95" w:rsidTr="00857B95">
        <w:trPr>
          <w:trHeight w:val="499"/>
        </w:trPr>
        <w:tc>
          <w:tcPr>
            <w:tcW w:w="2278" w:type="pct"/>
            <w:shd w:val="clear" w:color="000000" w:fill="FFFFFF"/>
            <w:vAlign w:val="center"/>
            <w:hideMark/>
          </w:tcPr>
          <w:p w:rsidR="00857B95" w:rsidRPr="00857B95" w:rsidRDefault="00857B95" w:rsidP="00857B95">
            <w:pPr>
              <w:ind w:left="0"/>
              <w:rPr>
                <w:rFonts w:ascii="Times New Roman" w:hAnsi="Times New Roman"/>
                <w:b/>
                <w:bCs/>
                <w:spacing w:val="0"/>
                <w:sz w:val="16"/>
                <w:szCs w:val="16"/>
                <w:lang w:eastAsia="fr-FR"/>
              </w:rPr>
            </w:pPr>
            <w:r w:rsidRPr="00857B95">
              <w:rPr>
                <w:rFonts w:ascii="Times New Roman" w:hAnsi="Times New Roman"/>
                <w:b/>
                <w:bCs/>
                <w:spacing w:val="0"/>
                <w:sz w:val="16"/>
                <w:szCs w:val="16"/>
                <w:lang w:eastAsia="fr-FR"/>
              </w:rPr>
              <w:t>04. LOGEMENT, EAU, GAZ, ELECTRICITE ET AUTRES COMBUSTIBLES</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102,9</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103,2</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103,2</w:t>
            </w:r>
          </w:p>
        </w:tc>
        <w:tc>
          <w:tcPr>
            <w:tcW w:w="577" w:type="pct"/>
            <w:shd w:val="clear" w:color="000000" w:fill="FFFFFF"/>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0,0</w:t>
            </w:r>
          </w:p>
        </w:tc>
        <w:tc>
          <w:tcPr>
            <w:tcW w:w="512" w:type="pct"/>
            <w:shd w:val="clear" w:color="000000" w:fill="FFFFFF"/>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0,3</w:t>
            </w:r>
          </w:p>
        </w:tc>
      </w:tr>
      <w:tr w:rsidR="00857B95" w:rsidRPr="00857B95" w:rsidTr="00857B95">
        <w:trPr>
          <w:trHeight w:val="499"/>
        </w:trPr>
        <w:tc>
          <w:tcPr>
            <w:tcW w:w="2278" w:type="pct"/>
            <w:shd w:val="clear" w:color="000000" w:fill="FFFFFF"/>
            <w:vAlign w:val="center"/>
            <w:hideMark/>
          </w:tcPr>
          <w:p w:rsidR="00857B95" w:rsidRPr="00857B95" w:rsidRDefault="00857B95" w:rsidP="00857B95">
            <w:pPr>
              <w:ind w:left="0"/>
              <w:rPr>
                <w:rFonts w:ascii="Times New Roman" w:hAnsi="Times New Roman"/>
                <w:b/>
                <w:bCs/>
                <w:spacing w:val="0"/>
                <w:sz w:val="16"/>
                <w:szCs w:val="16"/>
                <w:lang w:eastAsia="fr-FR"/>
              </w:rPr>
            </w:pPr>
            <w:r w:rsidRPr="00857B95">
              <w:rPr>
                <w:rFonts w:ascii="Times New Roman" w:hAnsi="Times New Roman"/>
                <w:b/>
                <w:bCs/>
                <w:spacing w:val="0"/>
                <w:sz w:val="16"/>
                <w:szCs w:val="16"/>
                <w:lang w:eastAsia="fr-FR"/>
              </w:rPr>
              <w:t>05. MEUBLES, ARTICLES DE MENAGE ET ENTRETIEN COURANT DU FOYER</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103,2</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104,5</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104,5</w:t>
            </w:r>
          </w:p>
        </w:tc>
        <w:tc>
          <w:tcPr>
            <w:tcW w:w="577" w:type="pct"/>
            <w:shd w:val="clear" w:color="000000" w:fill="FFFFFF"/>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0,0</w:t>
            </w:r>
          </w:p>
        </w:tc>
        <w:tc>
          <w:tcPr>
            <w:tcW w:w="512" w:type="pct"/>
            <w:shd w:val="clear" w:color="000000" w:fill="FFFFFF"/>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1,3</w:t>
            </w:r>
          </w:p>
        </w:tc>
      </w:tr>
      <w:tr w:rsidR="00857B95" w:rsidRPr="00857B95" w:rsidTr="00857B95">
        <w:trPr>
          <w:trHeight w:val="499"/>
        </w:trPr>
        <w:tc>
          <w:tcPr>
            <w:tcW w:w="2278" w:type="pct"/>
            <w:shd w:val="clear" w:color="000000" w:fill="FFFFFF"/>
            <w:vAlign w:val="center"/>
            <w:hideMark/>
          </w:tcPr>
          <w:p w:rsidR="00857B95" w:rsidRPr="00857B95" w:rsidRDefault="00857B95" w:rsidP="00857B95">
            <w:pPr>
              <w:ind w:left="0"/>
              <w:rPr>
                <w:rFonts w:ascii="Times New Roman" w:hAnsi="Times New Roman"/>
                <w:b/>
                <w:bCs/>
                <w:spacing w:val="0"/>
                <w:sz w:val="16"/>
                <w:szCs w:val="16"/>
                <w:lang w:eastAsia="fr-FR"/>
              </w:rPr>
            </w:pPr>
            <w:r w:rsidRPr="00857B95">
              <w:rPr>
                <w:rFonts w:ascii="Times New Roman" w:hAnsi="Times New Roman"/>
                <w:b/>
                <w:bCs/>
                <w:spacing w:val="0"/>
                <w:sz w:val="16"/>
                <w:szCs w:val="16"/>
                <w:lang w:eastAsia="fr-FR"/>
              </w:rPr>
              <w:t>06. SANTÉ</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99,4</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99,1</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99,1</w:t>
            </w:r>
          </w:p>
        </w:tc>
        <w:tc>
          <w:tcPr>
            <w:tcW w:w="577" w:type="pct"/>
            <w:shd w:val="clear" w:color="000000" w:fill="FFFFFF"/>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0,0</w:t>
            </w:r>
          </w:p>
        </w:tc>
        <w:tc>
          <w:tcPr>
            <w:tcW w:w="512" w:type="pct"/>
            <w:shd w:val="clear" w:color="000000" w:fill="FFFFFF"/>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-0,3</w:t>
            </w:r>
          </w:p>
        </w:tc>
      </w:tr>
      <w:tr w:rsidR="00857B95" w:rsidRPr="00857B95" w:rsidTr="00857B95">
        <w:trPr>
          <w:trHeight w:val="499"/>
        </w:trPr>
        <w:tc>
          <w:tcPr>
            <w:tcW w:w="2278" w:type="pct"/>
            <w:shd w:val="clear" w:color="000000" w:fill="FFFFFF"/>
            <w:vAlign w:val="center"/>
            <w:hideMark/>
          </w:tcPr>
          <w:p w:rsidR="00857B95" w:rsidRPr="00857B95" w:rsidRDefault="00857B95" w:rsidP="00857B95">
            <w:pPr>
              <w:ind w:left="0"/>
              <w:rPr>
                <w:rFonts w:ascii="Times New Roman" w:hAnsi="Times New Roman"/>
                <w:b/>
                <w:bCs/>
                <w:spacing w:val="0"/>
                <w:sz w:val="16"/>
                <w:szCs w:val="16"/>
                <w:lang w:eastAsia="fr-FR"/>
              </w:rPr>
            </w:pPr>
            <w:r w:rsidRPr="00857B95">
              <w:rPr>
                <w:rFonts w:ascii="Times New Roman" w:hAnsi="Times New Roman"/>
                <w:b/>
                <w:bCs/>
                <w:spacing w:val="0"/>
                <w:sz w:val="16"/>
                <w:szCs w:val="16"/>
                <w:lang w:eastAsia="fr-FR"/>
              </w:rPr>
              <w:t>07. TRANSPORTS</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105,0</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109,2</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111,5</w:t>
            </w:r>
          </w:p>
        </w:tc>
        <w:tc>
          <w:tcPr>
            <w:tcW w:w="577" w:type="pct"/>
            <w:shd w:val="clear" w:color="000000" w:fill="FFFFFF"/>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2,1</w:t>
            </w:r>
          </w:p>
        </w:tc>
        <w:tc>
          <w:tcPr>
            <w:tcW w:w="512" w:type="pct"/>
            <w:shd w:val="clear" w:color="000000" w:fill="FFFFFF"/>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6,2</w:t>
            </w:r>
          </w:p>
        </w:tc>
      </w:tr>
      <w:tr w:rsidR="00857B95" w:rsidRPr="00857B95" w:rsidTr="00857B95">
        <w:trPr>
          <w:trHeight w:val="499"/>
        </w:trPr>
        <w:tc>
          <w:tcPr>
            <w:tcW w:w="2278" w:type="pct"/>
            <w:shd w:val="clear" w:color="000000" w:fill="FFFFFF"/>
            <w:vAlign w:val="center"/>
            <w:hideMark/>
          </w:tcPr>
          <w:p w:rsidR="00857B95" w:rsidRPr="00857B95" w:rsidRDefault="00857B95" w:rsidP="00857B95">
            <w:pPr>
              <w:ind w:left="0"/>
              <w:rPr>
                <w:rFonts w:ascii="Times New Roman" w:hAnsi="Times New Roman"/>
                <w:b/>
                <w:bCs/>
                <w:spacing w:val="0"/>
                <w:sz w:val="16"/>
                <w:szCs w:val="16"/>
                <w:lang w:eastAsia="fr-FR"/>
              </w:rPr>
            </w:pPr>
            <w:r w:rsidRPr="00857B95">
              <w:rPr>
                <w:rFonts w:ascii="Times New Roman" w:hAnsi="Times New Roman"/>
                <w:b/>
                <w:bCs/>
                <w:spacing w:val="0"/>
                <w:sz w:val="16"/>
                <w:szCs w:val="16"/>
                <w:lang w:eastAsia="fr-FR"/>
              </w:rPr>
              <w:t>08. COMMUNICATIONS</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106,4</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106,4</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106,4</w:t>
            </w:r>
          </w:p>
        </w:tc>
        <w:tc>
          <w:tcPr>
            <w:tcW w:w="577" w:type="pct"/>
            <w:shd w:val="clear" w:color="000000" w:fill="FFFFFF"/>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0,0</w:t>
            </w:r>
          </w:p>
        </w:tc>
        <w:tc>
          <w:tcPr>
            <w:tcW w:w="512" w:type="pct"/>
            <w:shd w:val="clear" w:color="000000" w:fill="FFFFFF"/>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0,0</w:t>
            </w:r>
          </w:p>
        </w:tc>
      </w:tr>
      <w:tr w:rsidR="00857B95" w:rsidRPr="00857B95" w:rsidTr="00857B95">
        <w:trPr>
          <w:trHeight w:val="499"/>
        </w:trPr>
        <w:tc>
          <w:tcPr>
            <w:tcW w:w="2278" w:type="pct"/>
            <w:shd w:val="clear" w:color="000000" w:fill="FFFFFF"/>
            <w:vAlign w:val="center"/>
            <w:hideMark/>
          </w:tcPr>
          <w:p w:rsidR="00857B95" w:rsidRPr="00857B95" w:rsidRDefault="00857B95" w:rsidP="00857B95">
            <w:pPr>
              <w:ind w:left="0"/>
              <w:rPr>
                <w:rFonts w:ascii="Times New Roman" w:hAnsi="Times New Roman"/>
                <w:b/>
                <w:bCs/>
                <w:spacing w:val="0"/>
                <w:sz w:val="16"/>
                <w:szCs w:val="16"/>
                <w:lang w:eastAsia="fr-FR"/>
              </w:rPr>
            </w:pPr>
            <w:r w:rsidRPr="00857B95">
              <w:rPr>
                <w:rFonts w:ascii="Times New Roman" w:hAnsi="Times New Roman"/>
                <w:b/>
                <w:bCs/>
                <w:spacing w:val="0"/>
                <w:sz w:val="16"/>
                <w:szCs w:val="16"/>
                <w:lang w:eastAsia="fr-FR"/>
              </w:rPr>
              <w:t>09. LOISIRS ET CULTURE</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98,2</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101,0</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101,0</w:t>
            </w:r>
          </w:p>
        </w:tc>
        <w:tc>
          <w:tcPr>
            <w:tcW w:w="577" w:type="pct"/>
            <w:shd w:val="clear" w:color="000000" w:fill="FFFFFF"/>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0,0</w:t>
            </w:r>
          </w:p>
        </w:tc>
        <w:tc>
          <w:tcPr>
            <w:tcW w:w="512" w:type="pct"/>
            <w:shd w:val="clear" w:color="000000" w:fill="FFFFFF"/>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2,9</w:t>
            </w:r>
          </w:p>
        </w:tc>
      </w:tr>
      <w:tr w:rsidR="00857B95" w:rsidRPr="00857B95" w:rsidTr="00857B95">
        <w:trPr>
          <w:trHeight w:val="499"/>
        </w:trPr>
        <w:tc>
          <w:tcPr>
            <w:tcW w:w="2278" w:type="pct"/>
            <w:shd w:val="clear" w:color="000000" w:fill="FFFFFF"/>
            <w:vAlign w:val="center"/>
            <w:hideMark/>
          </w:tcPr>
          <w:p w:rsidR="00857B95" w:rsidRPr="00857B95" w:rsidRDefault="00857B95" w:rsidP="00857B95">
            <w:pPr>
              <w:ind w:left="0"/>
              <w:rPr>
                <w:rFonts w:ascii="Times New Roman" w:hAnsi="Times New Roman"/>
                <w:b/>
                <w:bCs/>
                <w:spacing w:val="0"/>
                <w:sz w:val="16"/>
                <w:szCs w:val="16"/>
                <w:lang w:eastAsia="fr-FR"/>
              </w:rPr>
            </w:pPr>
            <w:r w:rsidRPr="00857B95">
              <w:rPr>
                <w:rFonts w:ascii="Times New Roman" w:hAnsi="Times New Roman"/>
                <w:b/>
                <w:bCs/>
                <w:spacing w:val="0"/>
                <w:sz w:val="16"/>
                <w:szCs w:val="16"/>
                <w:lang w:eastAsia="fr-FR"/>
              </w:rPr>
              <w:t>10. ENSEIGNEMENT</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111,0</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111,0</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111,0</w:t>
            </w:r>
          </w:p>
        </w:tc>
        <w:tc>
          <w:tcPr>
            <w:tcW w:w="577" w:type="pct"/>
            <w:shd w:val="clear" w:color="000000" w:fill="FFFFFF"/>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0,0</w:t>
            </w:r>
          </w:p>
        </w:tc>
        <w:tc>
          <w:tcPr>
            <w:tcW w:w="512" w:type="pct"/>
            <w:shd w:val="clear" w:color="000000" w:fill="FFFFFF"/>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0,0</w:t>
            </w:r>
          </w:p>
        </w:tc>
      </w:tr>
      <w:tr w:rsidR="00857B95" w:rsidRPr="00857B95" w:rsidTr="00857B95">
        <w:trPr>
          <w:trHeight w:val="499"/>
        </w:trPr>
        <w:tc>
          <w:tcPr>
            <w:tcW w:w="2278" w:type="pct"/>
            <w:shd w:val="clear" w:color="000000" w:fill="FFFFFF"/>
            <w:vAlign w:val="center"/>
            <w:hideMark/>
          </w:tcPr>
          <w:p w:rsidR="00857B95" w:rsidRPr="00857B95" w:rsidRDefault="00857B95" w:rsidP="00857B95">
            <w:pPr>
              <w:ind w:left="0"/>
              <w:rPr>
                <w:rFonts w:ascii="Times New Roman" w:hAnsi="Times New Roman"/>
                <w:b/>
                <w:bCs/>
                <w:spacing w:val="0"/>
                <w:sz w:val="16"/>
                <w:szCs w:val="16"/>
                <w:lang w:eastAsia="fr-FR"/>
              </w:rPr>
            </w:pPr>
            <w:r w:rsidRPr="00857B95">
              <w:rPr>
                <w:rFonts w:ascii="Times New Roman" w:hAnsi="Times New Roman"/>
                <w:b/>
                <w:bCs/>
                <w:spacing w:val="0"/>
                <w:sz w:val="16"/>
                <w:szCs w:val="16"/>
                <w:lang w:eastAsia="fr-FR"/>
              </w:rPr>
              <w:t>11. RESTAURANTS ET HÔTELS</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105,5</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105,5</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105,5</w:t>
            </w:r>
          </w:p>
        </w:tc>
        <w:tc>
          <w:tcPr>
            <w:tcW w:w="577" w:type="pct"/>
            <w:shd w:val="clear" w:color="000000" w:fill="FFFFFF"/>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0,0</w:t>
            </w:r>
          </w:p>
        </w:tc>
        <w:tc>
          <w:tcPr>
            <w:tcW w:w="512" w:type="pct"/>
            <w:shd w:val="clear" w:color="000000" w:fill="FFFFFF"/>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0,0</w:t>
            </w:r>
          </w:p>
        </w:tc>
      </w:tr>
      <w:tr w:rsidR="00857B95" w:rsidRPr="00857B95" w:rsidTr="00857B95">
        <w:trPr>
          <w:trHeight w:val="499"/>
        </w:trPr>
        <w:tc>
          <w:tcPr>
            <w:tcW w:w="2278" w:type="pct"/>
            <w:shd w:val="clear" w:color="000000" w:fill="FFFFFF"/>
            <w:vAlign w:val="center"/>
            <w:hideMark/>
          </w:tcPr>
          <w:p w:rsidR="00857B95" w:rsidRPr="00857B95" w:rsidRDefault="00857B95" w:rsidP="00857B95">
            <w:pPr>
              <w:ind w:left="0"/>
              <w:rPr>
                <w:rFonts w:ascii="Times New Roman" w:hAnsi="Times New Roman"/>
                <w:b/>
                <w:bCs/>
                <w:spacing w:val="0"/>
                <w:sz w:val="16"/>
                <w:szCs w:val="16"/>
                <w:lang w:eastAsia="fr-FR"/>
              </w:rPr>
            </w:pPr>
            <w:r w:rsidRPr="00857B95">
              <w:rPr>
                <w:rFonts w:ascii="Times New Roman" w:hAnsi="Times New Roman"/>
                <w:b/>
                <w:bCs/>
                <w:spacing w:val="0"/>
                <w:sz w:val="16"/>
                <w:szCs w:val="16"/>
                <w:lang w:eastAsia="fr-FR"/>
              </w:rPr>
              <w:t>12. BIENS ET SERVICES DIVERS</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103,3</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111,9</w:t>
            </w:r>
          </w:p>
        </w:tc>
        <w:tc>
          <w:tcPr>
            <w:tcW w:w="544" w:type="pct"/>
            <w:shd w:val="clear" w:color="auto" w:fill="auto"/>
            <w:noWrap/>
            <w:vAlign w:val="center"/>
            <w:hideMark/>
          </w:tcPr>
          <w:p w:rsidR="00857B95" w:rsidRPr="00857B95" w:rsidRDefault="00857B95" w:rsidP="00857B95">
            <w:pPr>
              <w:ind w:left="0"/>
              <w:jc w:val="right"/>
              <w:rPr>
                <w:rFonts w:ascii="Times New Roman" w:hAnsi="Times New Roman"/>
                <w:spacing w:val="0"/>
                <w:lang w:eastAsia="fr-FR"/>
              </w:rPr>
            </w:pPr>
            <w:r w:rsidRPr="00857B95">
              <w:rPr>
                <w:rFonts w:ascii="Times New Roman" w:hAnsi="Times New Roman"/>
                <w:spacing w:val="0"/>
                <w:lang w:eastAsia="fr-FR"/>
              </w:rPr>
              <w:t>112,0</w:t>
            </w:r>
          </w:p>
        </w:tc>
        <w:tc>
          <w:tcPr>
            <w:tcW w:w="577" w:type="pct"/>
            <w:shd w:val="clear" w:color="000000" w:fill="FFFFFF"/>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0,1</w:t>
            </w:r>
          </w:p>
        </w:tc>
        <w:tc>
          <w:tcPr>
            <w:tcW w:w="512" w:type="pct"/>
            <w:shd w:val="clear" w:color="000000" w:fill="FFFFFF"/>
            <w:noWrap/>
            <w:vAlign w:val="center"/>
            <w:hideMark/>
          </w:tcPr>
          <w:p w:rsidR="00857B95" w:rsidRPr="00857B95" w:rsidRDefault="00857B95" w:rsidP="00857B95">
            <w:pPr>
              <w:ind w:left="0"/>
              <w:jc w:val="right"/>
              <w:rPr>
                <w:rFonts w:ascii="Times New Roman" w:hAnsi="Times New Roman"/>
                <w:b/>
                <w:bCs/>
                <w:spacing w:val="0"/>
                <w:lang w:eastAsia="fr-FR"/>
              </w:rPr>
            </w:pPr>
            <w:r w:rsidRPr="00857B95">
              <w:rPr>
                <w:rFonts w:ascii="Times New Roman" w:hAnsi="Times New Roman"/>
                <w:b/>
                <w:bCs/>
                <w:spacing w:val="0"/>
                <w:lang w:eastAsia="fr-FR"/>
              </w:rPr>
              <w:t>8,4</w:t>
            </w:r>
          </w:p>
        </w:tc>
      </w:tr>
      <w:tr w:rsidR="00857B95" w:rsidRPr="00857B95" w:rsidTr="00857B95">
        <w:trPr>
          <w:trHeight w:val="499"/>
        </w:trPr>
        <w:tc>
          <w:tcPr>
            <w:tcW w:w="2278" w:type="pct"/>
            <w:shd w:val="clear" w:color="auto" w:fill="FBD4B4" w:themeFill="accent6" w:themeFillTint="66"/>
            <w:noWrap/>
            <w:vAlign w:val="center"/>
            <w:hideMark/>
          </w:tcPr>
          <w:p w:rsidR="00857B95" w:rsidRPr="00857B95" w:rsidRDefault="00857B95" w:rsidP="00857B95">
            <w:pPr>
              <w:ind w:left="0"/>
              <w:rPr>
                <w:rFonts w:ascii="Times New Roman" w:hAnsi="Times New Roman"/>
                <w:b/>
                <w:bCs/>
                <w:spacing w:val="0"/>
                <w:sz w:val="24"/>
                <w:szCs w:val="24"/>
                <w:lang w:eastAsia="fr-FR"/>
              </w:rPr>
            </w:pPr>
            <w:r w:rsidRPr="00857B95">
              <w:rPr>
                <w:rFonts w:ascii="Times New Roman" w:hAnsi="Times New Roman"/>
                <w:b/>
                <w:bCs/>
                <w:spacing w:val="0"/>
                <w:sz w:val="24"/>
                <w:szCs w:val="24"/>
                <w:lang w:eastAsia="fr-FR"/>
              </w:rPr>
              <w:t>Indices des Produits non alimentaires</w:t>
            </w:r>
          </w:p>
        </w:tc>
        <w:tc>
          <w:tcPr>
            <w:tcW w:w="544" w:type="pct"/>
            <w:shd w:val="clear" w:color="auto" w:fill="FBD4B4" w:themeFill="accent6" w:themeFillTint="66"/>
            <w:noWrap/>
            <w:vAlign w:val="center"/>
            <w:hideMark/>
          </w:tcPr>
          <w:p w:rsidR="00857B95" w:rsidRPr="00857B95" w:rsidRDefault="00857B95" w:rsidP="00857B95">
            <w:pPr>
              <w:ind w:left="0"/>
              <w:jc w:val="right"/>
              <w:rPr>
                <w:rFonts w:ascii="Times New Roman" w:hAnsi="Times New Roman"/>
                <w:b/>
                <w:bCs/>
                <w:spacing w:val="0"/>
                <w:sz w:val="24"/>
                <w:szCs w:val="24"/>
                <w:lang w:eastAsia="fr-FR"/>
              </w:rPr>
            </w:pPr>
            <w:r w:rsidRPr="00857B95">
              <w:rPr>
                <w:rFonts w:ascii="Times New Roman" w:hAnsi="Times New Roman"/>
                <w:b/>
                <w:bCs/>
                <w:spacing w:val="0"/>
                <w:sz w:val="24"/>
                <w:szCs w:val="24"/>
                <w:lang w:eastAsia="fr-FR"/>
              </w:rPr>
              <w:t>103,8</w:t>
            </w:r>
          </w:p>
        </w:tc>
        <w:tc>
          <w:tcPr>
            <w:tcW w:w="544" w:type="pct"/>
            <w:shd w:val="clear" w:color="auto" w:fill="FBD4B4" w:themeFill="accent6" w:themeFillTint="66"/>
            <w:noWrap/>
            <w:vAlign w:val="center"/>
            <w:hideMark/>
          </w:tcPr>
          <w:p w:rsidR="00857B95" w:rsidRPr="00857B95" w:rsidRDefault="00857B95" w:rsidP="00857B95">
            <w:pPr>
              <w:ind w:left="0"/>
              <w:jc w:val="right"/>
              <w:rPr>
                <w:rFonts w:ascii="Times New Roman" w:hAnsi="Times New Roman"/>
                <w:b/>
                <w:bCs/>
                <w:spacing w:val="0"/>
                <w:sz w:val="24"/>
                <w:szCs w:val="24"/>
                <w:lang w:eastAsia="fr-FR"/>
              </w:rPr>
            </w:pPr>
            <w:r w:rsidRPr="00857B95">
              <w:rPr>
                <w:rFonts w:ascii="Times New Roman" w:hAnsi="Times New Roman"/>
                <w:b/>
                <w:bCs/>
                <w:spacing w:val="0"/>
                <w:sz w:val="24"/>
                <w:szCs w:val="24"/>
                <w:lang w:eastAsia="fr-FR"/>
              </w:rPr>
              <w:t>105,8</w:t>
            </w:r>
          </w:p>
        </w:tc>
        <w:tc>
          <w:tcPr>
            <w:tcW w:w="544" w:type="pct"/>
            <w:shd w:val="clear" w:color="auto" w:fill="FBD4B4" w:themeFill="accent6" w:themeFillTint="66"/>
            <w:noWrap/>
            <w:vAlign w:val="center"/>
            <w:hideMark/>
          </w:tcPr>
          <w:p w:rsidR="00857B95" w:rsidRPr="00857B95" w:rsidRDefault="00857B95" w:rsidP="00857B95">
            <w:pPr>
              <w:ind w:left="0"/>
              <w:jc w:val="right"/>
              <w:rPr>
                <w:rFonts w:ascii="Times New Roman" w:hAnsi="Times New Roman"/>
                <w:b/>
                <w:bCs/>
                <w:spacing w:val="0"/>
                <w:sz w:val="24"/>
                <w:szCs w:val="24"/>
                <w:lang w:eastAsia="fr-FR"/>
              </w:rPr>
            </w:pPr>
            <w:r w:rsidRPr="00857B95">
              <w:rPr>
                <w:rFonts w:ascii="Times New Roman" w:hAnsi="Times New Roman"/>
                <w:b/>
                <w:bCs/>
                <w:spacing w:val="0"/>
                <w:sz w:val="24"/>
                <w:szCs w:val="24"/>
                <w:lang w:eastAsia="fr-FR"/>
              </w:rPr>
              <w:t>106,4</w:t>
            </w:r>
          </w:p>
        </w:tc>
        <w:tc>
          <w:tcPr>
            <w:tcW w:w="577" w:type="pct"/>
            <w:shd w:val="clear" w:color="auto" w:fill="FBD4B4" w:themeFill="accent6" w:themeFillTint="66"/>
            <w:noWrap/>
            <w:vAlign w:val="center"/>
            <w:hideMark/>
          </w:tcPr>
          <w:p w:rsidR="00857B95" w:rsidRPr="00857B95" w:rsidRDefault="00857B95" w:rsidP="00857B95">
            <w:pPr>
              <w:ind w:left="0"/>
              <w:jc w:val="right"/>
              <w:rPr>
                <w:rFonts w:ascii="Times New Roman" w:hAnsi="Times New Roman"/>
                <w:b/>
                <w:bCs/>
                <w:spacing w:val="0"/>
                <w:sz w:val="24"/>
                <w:szCs w:val="24"/>
                <w:lang w:eastAsia="fr-FR"/>
              </w:rPr>
            </w:pPr>
            <w:r w:rsidRPr="00857B95">
              <w:rPr>
                <w:rFonts w:ascii="Times New Roman" w:hAnsi="Times New Roman"/>
                <w:b/>
                <w:bCs/>
                <w:spacing w:val="0"/>
                <w:sz w:val="24"/>
                <w:szCs w:val="24"/>
                <w:lang w:eastAsia="fr-FR"/>
              </w:rPr>
              <w:t>0,5</w:t>
            </w:r>
          </w:p>
        </w:tc>
        <w:tc>
          <w:tcPr>
            <w:tcW w:w="512" w:type="pct"/>
            <w:shd w:val="clear" w:color="auto" w:fill="FBD4B4" w:themeFill="accent6" w:themeFillTint="66"/>
            <w:noWrap/>
            <w:vAlign w:val="center"/>
            <w:hideMark/>
          </w:tcPr>
          <w:p w:rsidR="00857B95" w:rsidRPr="00857B95" w:rsidRDefault="00857B95" w:rsidP="00857B95">
            <w:pPr>
              <w:ind w:left="0"/>
              <w:jc w:val="right"/>
              <w:rPr>
                <w:rFonts w:ascii="Times New Roman" w:hAnsi="Times New Roman"/>
                <w:b/>
                <w:bCs/>
                <w:spacing w:val="0"/>
                <w:sz w:val="24"/>
                <w:szCs w:val="24"/>
                <w:lang w:eastAsia="fr-FR"/>
              </w:rPr>
            </w:pPr>
            <w:r w:rsidRPr="00857B95">
              <w:rPr>
                <w:rFonts w:ascii="Times New Roman" w:hAnsi="Times New Roman"/>
                <w:b/>
                <w:bCs/>
                <w:spacing w:val="0"/>
                <w:sz w:val="24"/>
                <w:szCs w:val="24"/>
                <w:lang w:eastAsia="fr-FR"/>
              </w:rPr>
              <w:t>2,5</w:t>
            </w:r>
          </w:p>
        </w:tc>
      </w:tr>
      <w:tr w:rsidR="00857B95" w:rsidRPr="00857B95" w:rsidTr="00857B95">
        <w:trPr>
          <w:trHeight w:val="499"/>
        </w:trPr>
        <w:tc>
          <w:tcPr>
            <w:tcW w:w="2278" w:type="pct"/>
            <w:shd w:val="clear" w:color="auto" w:fill="FABF8F" w:themeFill="accent6" w:themeFillTint="99"/>
            <w:vAlign w:val="center"/>
            <w:hideMark/>
          </w:tcPr>
          <w:p w:rsidR="00857B95" w:rsidRPr="00857B95" w:rsidRDefault="00857B95" w:rsidP="00857B95">
            <w:pPr>
              <w:ind w:left="0"/>
              <w:rPr>
                <w:rFonts w:ascii="Times New Roman" w:hAnsi="Times New Roman"/>
                <w:b/>
                <w:bCs/>
                <w:spacing w:val="0"/>
                <w:sz w:val="24"/>
                <w:szCs w:val="24"/>
                <w:lang w:eastAsia="fr-FR"/>
              </w:rPr>
            </w:pPr>
            <w:r w:rsidRPr="00857B95">
              <w:rPr>
                <w:rFonts w:ascii="Times New Roman" w:hAnsi="Times New Roman"/>
                <w:b/>
                <w:bCs/>
                <w:spacing w:val="0"/>
                <w:sz w:val="24"/>
                <w:szCs w:val="24"/>
                <w:lang w:eastAsia="fr-FR"/>
              </w:rPr>
              <w:t xml:space="preserve">INDICE  GENERAL (KENITRA)    </w:t>
            </w:r>
          </w:p>
        </w:tc>
        <w:tc>
          <w:tcPr>
            <w:tcW w:w="544" w:type="pct"/>
            <w:shd w:val="clear" w:color="auto" w:fill="FABF8F" w:themeFill="accent6" w:themeFillTint="99"/>
            <w:noWrap/>
            <w:vAlign w:val="center"/>
            <w:hideMark/>
          </w:tcPr>
          <w:p w:rsidR="00857B95" w:rsidRPr="00857B95" w:rsidRDefault="00857B95" w:rsidP="00857B95">
            <w:pPr>
              <w:ind w:left="0"/>
              <w:jc w:val="right"/>
              <w:rPr>
                <w:rFonts w:ascii="Times New Roman" w:hAnsi="Times New Roman"/>
                <w:b/>
                <w:bCs/>
                <w:spacing w:val="0"/>
                <w:sz w:val="22"/>
                <w:szCs w:val="22"/>
                <w:lang w:eastAsia="fr-FR"/>
              </w:rPr>
            </w:pPr>
            <w:r w:rsidRPr="00857B95">
              <w:rPr>
                <w:rFonts w:ascii="Times New Roman" w:hAnsi="Times New Roman"/>
                <w:b/>
                <w:bCs/>
                <w:spacing w:val="0"/>
                <w:sz w:val="22"/>
                <w:szCs w:val="22"/>
                <w:lang w:eastAsia="fr-FR"/>
              </w:rPr>
              <w:t>101,3</w:t>
            </w:r>
          </w:p>
        </w:tc>
        <w:tc>
          <w:tcPr>
            <w:tcW w:w="544" w:type="pct"/>
            <w:shd w:val="clear" w:color="auto" w:fill="FABF8F" w:themeFill="accent6" w:themeFillTint="99"/>
            <w:noWrap/>
            <w:vAlign w:val="center"/>
            <w:hideMark/>
          </w:tcPr>
          <w:p w:rsidR="00857B95" w:rsidRPr="00857B95" w:rsidRDefault="00857B95" w:rsidP="00857B95">
            <w:pPr>
              <w:ind w:left="0"/>
              <w:jc w:val="right"/>
              <w:rPr>
                <w:rFonts w:ascii="Times New Roman" w:hAnsi="Times New Roman"/>
                <w:b/>
                <w:bCs/>
                <w:spacing w:val="0"/>
                <w:sz w:val="22"/>
                <w:szCs w:val="22"/>
                <w:lang w:eastAsia="fr-FR"/>
              </w:rPr>
            </w:pPr>
            <w:r w:rsidRPr="00857B95">
              <w:rPr>
                <w:rFonts w:ascii="Times New Roman" w:hAnsi="Times New Roman"/>
                <w:b/>
                <w:bCs/>
                <w:spacing w:val="0"/>
                <w:sz w:val="22"/>
                <w:szCs w:val="22"/>
                <w:lang w:eastAsia="fr-FR"/>
              </w:rPr>
              <w:t>105,0</w:t>
            </w:r>
          </w:p>
        </w:tc>
        <w:tc>
          <w:tcPr>
            <w:tcW w:w="544" w:type="pct"/>
            <w:shd w:val="clear" w:color="auto" w:fill="FABF8F" w:themeFill="accent6" w:themeFillTint="99"/>
            <w:noWrap/>
            <w:vAlign w:val="center"/>
            <w:hideMark/>
          </w:tcPr>
          <w:p w:rsidR="00857B95" w:rsidRPr="00857B95" w:rsidRDefault="00857B95" w:rsidP="00857B95">
            <w:pPr>
              <w:ind w:left="0"/>
              <w:jc w:val="right"/>
              <w:rPr>
                <w:rFonts w:ascii="Times New Roman" w:hAnsi="Times New Roman"/>
                <w:b/>
                <w:bCs/>
                <w:spacing w:val="0"/>
                <w:sz w:val="22"/>
                <w:szCs w:val="22"/>
                <w:lang w:eastAsia="fr-FR"/>
              </w:rPr>
            </w:pPr>
            <w:r w:rsidRPr="00857B95">
              <w:rPr>
                <w:rFonts w:ascii="Times New Roman" w:hAnsi="Times New Roman"/>
                <w:b/>
                <w:bCs/>
                <w:spacing w:val="0"/>
                <w:sz w:val="22"/>
                <w:szCs w:val="22"/>
                <w:lang w:eastAsia="fr-FR"/>
              </w:rPr>
              <w:t>105,7</w:t>
            </w:r>
          </w:p>
        </w:tc>
        <w:tc>
          <w:tcPr>
            <w:tcW w:w="577" w:type="pct"/>
            <w:shd w:val="clear" w:color="auto" w:fill="FABF8F" w:themeFill="accent6" w:themeFillTint="99"/>
            <w:noWrap/>
            <w:vAlign w:val="center"/>
            <w:hideMark/>
          </w:tcPr>
          <w:p w:rsidR="00857B95" w:rsidRPr="00857B95" w:rsidRDefault="00857B95" w:rsidP="00857B95">
            <w:pPr>
              <w:ind w:left="0"/>
              <w:jc w:val="right"/>
              <w:rPr>
                <w:rFonts w:ascii="Times New Roman" w:hAnsi="Times New Roman"/>
                <w:b/>
                <w:bCs/>
                <w:spacing w:val="0"/>
                <w:sz w:val="22"/>
                <w:szCs w:val="22"/>
                <w:lang w:eastAsia="fr-FR"/>
              </w:rPr>
            </w:pPr>
            <w:r w:rsidRPr="00857B95">
              <w:rPr>
                <w:rFonts w:ascii="Times New Roman" w:hAnsi="Times New Roman"/>
                <w:b/>
                <w:bCs/>
                <w:spacing w:val="0"/>
                <w:sz w:val="22"/>
                <w:szCs w:val="22"/>
                <w:lang w:eastAsia="fr-FR"/>
              </w:rPr>
              <w:t>0,7</w:t>
            </w:r>
          </w:p>
        </w:tc>
        <w:tc>
          <w:tcPr>
            <w:tcW w:w="512" w:type="pct"/>
            <w:shd w:val="clear" w:color="auto" w:fill="FABF8F" w:themeFill="accent6" w:themeFillTint="99"/>
            <w:noWrap/>
            <w:vAlign w:val="center"/>
            <w:hideMark/>
          </w:tcPr>
          <w:p w:rsidR="00857B95" w:rsidRPr="00857B95" w:rsidRDefault="00857B95" w:rsidP="00857B95">
            <w:pPr>
              <w:ind w:left="0"/>
              <w:jc w:val="right"/>
              <w:rPr>
                <w:rFonts w:ascii="Times New Roman" w:hAnsi="Times New Roman"/>
                <w:b/>
                <w:bCs/>
                <w:spacing w:val="0"/>
                <w:sz w:val="22"/>
                <w:szCs w:val="22"/>
                <w:lang w:eastAsia="fr-FR"/>
              </w:rPr>
            </w:pPr>
            <w:r w:rsidRPr="00857B95">
              <w:rPr>
                <w:rFonts w:ascii="Times New Roman" w:hAnsi="Times New Roman"/>
                <w:b/>
                <w:bCs/>
                <w:spacing w:val="0"/>
                <w:sz w:val="22"/>
                <w:szCs w:val="22"/>
                <w:lang w:eastAsia="fr-FR"/>
              </w:rPr>
              <w:t>4,3</w:t>
            </w:r>
          </w:p>
        </w:tc>
      </w:tr>
      <w:tr w:rsidR="00857B95" w:rsidRPr="00857B95" w:rsidTr="00857B95">
        <w:trPr>
          <w:trHeight w:val="499"/>
        </w:trPr>
        <w:tc>
          <w:tcPr>
            <w:tcW w:w="2278" w:type="pct"/>
            <w:shd w:val="clear" w:color="auto" w:fill="FABF8F" w:themeFill="accent6" w:themeFillTint="99"/>
            <w:vAlign w:val="center"/>
            <w:hideMark/>
          </w:tcPr>
          <w:p w:rsidR="00857B95" w:rsidRPr="00857B95" w:rsidRDefault="00857B95" w:rsidP="00857B95">
            <w:pPr>
              <w:ind w:left="0"/>
              <w:rPr>
                <w:rFonts w:ascii="Times New Roman" w:hAnsi="Times New Roman"/>
                <w:b/>
                <w:bCs/>
                <w:spacing w:val="0"/>
                <w:sz w:val="24"/>
                <w:szCs w:val="24"/>
                <w:lang w:eastAsia="fr-FR"/>
              </w:rPr>
            </w:pPr>
            <w:r w:rsidRPr="00857B95">
              <w:rPr>
                <w:rFonts w:ascii="Times New Roman" w:hAnsi="Times New Roman"/>
                <w:b/>
                <w:bCs/>
                <w:spacing w:val="0"/>
                <w:sz w:val="24"/>
                <w:szCs w:val="24"/>
                <w:lang w:eastAsia="fr-FR"/>
              </w:rPr>
              <w:t xml:space="preserve">INDICE  GENERAL (NATIONAL)    </w:t>
            </w:r>
          </w:p>
        </w:tc>
        <w:tc>
          <w:tcPr>
            <w:tcW w:w="544" w:type="pct"/>
            <w:shd w:val="clear" w:color="auto" w:fill="FABF8F" w:themeFill="accent6" w:themeFillTint="99"/>
            <w:noWrap/>
            <w:vAlign w:val="center"/>
            <w:hideMark/>
          </w:tcPr>
          <w:p w:rsidR="00857B95" w:rsidRPr="00857B95" w:rsidRDefault="00857B95" w:rsidP="00857B95">
            <w:pPr>
              <w:ind w:left="0"/>
              <w:jc w:val="right"/>
              <w:rPr>
                <w:rFonts w:ascii="Times New Roman" w:hAnsi="Times New Roman"/>
                <w:b/>
                <w:bCs/>
                <w:spacing w:val="0"/>
                <w:sz w:val="22"/>
                <w:szCs w:val="22"/>
                <w:lang w:eastAsia="fr-FR"/>
              </w:rPr>
            </w:pPr>
            <w:r w:rsidRPr="00857B95">
              <w:rPr>
                <w:rFonts w:ascii="Times New Roman" w:hAnsi="Times New Roman"/>
                <w:b/>
                <w:bCs/>
                <w:spacing w:val="0"/>
                <w:sz w:val="22"/>
                <w:szCs w:val="22"/>
                <w:lang w:eastAsia="fr-FR"/>
              </w:rPr>
              <w:t>102,4</w:t>
            </w:r>
          </w:p>
        </w:tc>
        <w:tc>
          <w:tcPr>
            <w:tcW w:w="544" w:type="pct"/>
            <w:shd w:val="clear" w:color="auto" w:fill="FABF8F" w:themeFill="accent6" w:themeFillTint="99"/>
            <w:noWrap/>
            <w:vAlign w:val="center"/>
            <w:hideMark/>
          </w:tcPr>
          <w:p w:rsidR="00857B95" w:rsidRPr="00857B95" w:rsidRDefault="00857B95" w:rsidP="00857B95">
            <w:pPr>
              <w:ind w:left="0"/>
              <w:jc w:val="right"/>
              <w:rPr>
                <w:rFonts w:ascii="Times New Roman" w:hAnsi="Times New Roman"/>
                <w:b/>
                <w:bCs/>
                <w:spacing w:val="0"/>
                <w:sz w:val="22"/>
                <w:szCs w:val="22"/>
                <w:lang w:eastAsia="fr-FR"/>
              </w:rPr>
            </w:pPr>
            <w:r w:rsidRPr="00857B95">
              <w:rPr>
                <w:rFonts w:ascii="Times New Roman" w:hAnsi="Times New Roman"/>
                <w:b/>
                <w:bCs/>
                <w:spacing w:val="0"/>
                <w:sz w:val="22"/>
                <w:szCs w:val="22"/>
                <w:lang w:eastAsia="fr-FR"/>
              </w:rPr>
              <w:t>105,5</w:t>
            </w:r>
          </w:p>
        </w:tc>
        <w:tc>
          <w:tcPr>
            <w:tcW w:w="544" w:type="pct"/>
            <w:shd w:val="clear" w:color="auto" w:fill="FABF8F" w:themeFill="accent6" w:themeFillTint="99"/>
            <w:noWrap/>
            <w:vAlign w:val="center"/>
            <w:hideMark/>
          </w:tcPr>
          <w:p w:rsidR="00857B95" w:rsidRPr="00857B95" w:rsidRDefault="00857B95" w:rsidP="00857B95">
            <w:pPr>
              <w:ind w:left="0"/>
              <w:jc w:val="right"/>
              <w:rPr>
                <w:rFonts w:ascii="Times New Roman" w:hAnsi="Times New Roman"/>
                <w:b/>
                <w:bCs/>
                <w:spacing w:val="0"/>
                <w:sz w:val="22"/>
                <w:szCs w:val="22"/>
                <w:lang w:eastAsia="fr-FR"/>
              </w:rPr>
            </w:pPr>
            <w:r w:rsidRPr="00857B95">
              <w:rPr>
                <w:rFonts w:ascii="Times New Roman" w:hAnsi="Times New Roman"/>
                <w:b/>
                <w:bCs/>
                <w:spacing w:val="0"/>
                <w:sz w:val="22"/>
                <w:szCs w:val="22"/>
                <w:lang w:eastAsia="fr-FR"/>
              </w:rPr>
              <w:t>106,1</w:t>
            </w:r>
          </w:p>
        </w:tc>
        <w:tc>
          <w:tcPr>
            <w:tcW w:w="577" w:type="pct"/>
            <w:shd w:val="clear" w:color="auto" w:fill="FABF8F" w:themeFill="accent6" w:themeFillTint="99"/>
            <w:noWrap/>
            <w:vAlign w:val="center"/>
            <w:hideMark/>
          </w:tcPr>
          <w:p w:rsidR="00857B95" w:rsidRPr="00857B95" w:rsidRDefault="00857B95" w:rsidP="00857B95">
            <w:pPr>
              <w:ind w:left="0"/>
              <w:jc w:val="right"/>
              <w:rPr>
                <w:rFonts w:ascii="Times New Roman" w:hAnsi="Times New Roman"/>
                <w:b/>
                <w:bCs/>
                <w:spacing w:val="0"/>
                <w:sz w:val="22"/>
                <w:szCs w:val="22"/>
                <w:lang w:eastAsia="fr-FR"/>
              </w:rPr>
            </w:pPr>
            <w:r w:rsidRPr="00857B95">
              <w:rPr>
                <w:rFonts w:ascii="Times New Roman" w:hAnsi="Times New Roman"/>
                <w:b/>
                <w:bCs/>
                <w:spacing w:val="0"/>
                <w:sz w:val="22"/>
                <w:szCs w:val="22"/>
                <w:lang w:eastAsia="fr-FR"/>
              </w:rPr>
              <w:t>0,6</w:t>
            </w:r>
          </w:p>
        </w:tc>
        <w:tc>
          <w:tcPr>
            <w:tcW w:w="512" w:type="pct"/>
            <w:shd w:val="clear" w:color="auto" w:fill="FABF8F" w:themeFill="accent6" w:themeFillTint="99"/>
            <w:noWrap/>
            <w:vAlign w:val="center"/>
            <w:hideMark/>
          </w:tcPr>
          <w:p w:rsidR="00857B95" w:rsidRPr="00857B95" w:rsidRDefault="00857B95" w:rsidP="00857B95">
            <w:pPr>
              <w:ind w:left="0"/>
              <w:jc w:val="right"/>
              <w:rPr>
                <w:rFonts w:ascii="Times New Roman" w:hAnsi="Times New Roman"/>
                <w:b/>
                <w:bCs/>
                <w:spacing w:val="0"/>
                <w:sz w:val="22"/>
                <w:szCs w:val="22"/>
                <w:lang w:eastAsia="fr-FR"/>
              </w:rPr>
            </w:pPr>
            <w:r w:rsidRPr="00857B95">
              <w:rPr>
                <w:rFonts w:ascii="Times New Roman" w:hAnsi="Times New Roman"/>
                <w:b/>
                <w:bCs/>
                <w:spacing w:val="0"/>
                <w:sz w:val="22"/>
                <w:szCs w:val="22"/>
                <w:lang w:eastAsia="fr-FR"/>
              </w:rPr>
              <w:t>3,6</w:t>
            </w:r>
          </w:p>
        </w:tc>
      </w:tr>
    </w:tbl>
    <w:p w:rsidR="00307D13" w:rsidRPr="00307D13" w:rsidRDefault="00307D13" w:rsidP="00307D13">
      <w:pPr>
        <w:spacing w:before="100" w:beforeAutospacing="1" w:after="100" w:afterAutospacing="1"/>
        <w:ind w:left="0"/>
        <w:contextualSpacing/>
        <w:rPr>
          <w:rFonts w:ascii="Times New Roman" w:eastAsia="Gulim" w:hAnsi="Times New Roman"/>
          <w:i/>
          <w:iCs/>
        </w:rPr>
      </w:pPr>
      <w:r w:rsidRPr="00307D13">
        <w:rPr>
          <w:rFonts w:ascii="Times New Roman" w:eastAsia="Gulim" w:hAnsi="Times New Roman"/>
          <w:i/>
          <w:iCs/>
        </w:rPr>
        <w:t>Source : HCP</w:t>
      </w:r>
    </w:p>
    <w:p w:rsidR="00C97F9B" w:rsidRDefault="00C97F9B" w:rsidP="00E921B8">
      <w:pPr>
        <w:spacing w:before="100" w:beforeAutospacing="1" w:after="100" w:afterAutospacing="1"/>
        <w:ind w:left="0" w:firstLine="720"/>
        <w:jc w:val="both"/>
        <w:rPr>
          <w:rFonts w:ascii="Times New Roman" w:eastAsia="Gulim" w:hAnsi="Times New Roman"/>
          <w:sz w:val="28"/>
          <w:szCs w:val="28"/>
        </w:rPr>
      </w:pPr>
    </w:p>
    <w:p w:rsidR="00C43E2A" w:rsidRDefault="00C43E2A" w:rsidP="00746443">
      <w:pPr>
        <w:ind w:left="0"/>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Evolution de l’</w:t>
      </w:r>
      <w:r w:rsidR="00746443">
        <w:rPr>
          <w:rFonts w:asciiTheme="majorBidi" w:hAnsiTheme="majorBidi" w:cstheme="majorBidi"/>
          <w:b/>
          <w:bCs/>
          <w:color w:val="000000" w:themeColor="text1"/>
          <w:sz w:val="24"/>
          <w:szCs w:val="24"/>
        </w:rPr>
        <w:t>Indice des Produits Alimentaires</w:t>
      </w:r>
      <w:r>
        <w:rPr>
          <w:rFonts w:asciiTheme="majorBidi" w:hAnsiTheme="majorBidi" w:cstheme="majorBidi"/>
          <w:b/>
          <w:bCs/>
          <w:color w:val="000000" w:themeColor="text1"/>
          <w:sz w:val="24"/>
          <w:szCs w:val="24"/>
        </w:rPr>
        <w:t xml:space="preserve"> (base 100 : 2017) par division, groupe et classe de produits - ville de </w:t>
      </w:r>
      <w:proofErr w:type="spellStart"/>
      <w:r>
        <w:rPr>
          <w:rFonts w:asciiTheme="majorBidi" w:hAnsiTheme="majorBidi" w:cstheme="majorBidi"/>
          <w:b/>
          <w:bCs/>
          <w:color w:val="000000" w:themeColor="text1"/>
          <w:sz w:val="24"/>
          <w:szCs w:val="24"/>
        </w:rPr>
        <w:t>Kénitra</w:t>
      </w:r>
      <w:proofErr w:type="spellEnd"/>
      <w:r>
        <w:rPr>
          <w:rFonts w:asciiTheme="majorBidi" w:hAnsiTheme="majorBidi" w:cstheme="majorBidi"/>
          <w:b/>
          <w:bCs/>
          <w:color w:val="000000" w:themeColor="text1"/>
          <w:sz w:val="24"/>
          <w:szCs w:val="24"/>
        </w:rPr>
        <w:t xml:space="preserve"> -</w:t>
      </w:r>
    </w:p>
    <w:tbl>
      <w:tblPr>
        <w:tblW w:w="5000" w:type="pct"/>
        <w:tblCellMar>
          <w:left w:w="70" w:type="dxa"/>
          <w:right w:w="70" w:type="dxa"/>
        </w:tblCellMar>
        <w:tblLook w:val="04A0"/>
      </w:tblPr>
      <w:tblGrid>
        <w:gridCol w:w="3974"/>
        <w:gridCol w:w="1341"/>
        <w:gridCol w:w="947"/>
        <w:gridCol w:w="947"/>
        <w:gridCol w:w="947"/>
        <w:gridCol w:w="947"/>
        <w:gridCol w:w="784"/>
      </w:tblGrid>
      <w:tr w:rsidR="00857B95" w:rsidRPr="00857B95" w:rsidTr="00857B95">
        <w:trPr>
          <w:trHeight w:val="465"/>
          <w:tblHeader/>
        </w:trPr>
        <w:tc>
          <w:tcPr>
            <w:tcW w:w="2030" w:type="pct"/>
            <w:tcBorders>
              <w:top w:val="single" w:sz="8" w:space="0" w:color="auto"/>
              <w:left w:val="nil"/>
              <w:bottom w:val="nil"/>
              <w:right w:val="nil"/>
            </w:tcBorders>
            <w:shd w:val="clear" w:color="000000" w:fill="FABF8F"/>
            <w:vAlign w:val="bottom"/>
            <w:hideMark/>
          </w:tcPr>
          <w:p w:rsidR="00857B95" w:rsidRPr="00857B95" w:rsidRDefault="00857B95" w:rsidP="00857B95">
            <w:pPr>
              <w:ind w:left="0"/>
              <w:jc w:val="center"/>
              <w:rPr>
                <w:rFonts w:ascii="Times New Roman" w:hAnsi="Times New Roman"/>
                <w:b/>
                <w:bCs/>
                <w:color w:val="000000"/>
                <w:spacing w:val="0"/>
                <w:sz w:val="16"/>
                <w:szCs w:val="16"/>
                <w:lang w:eastAsia="fr-FR"/>
              </w:rPr>
            </w:pPr>
            <w:r w:rsidRPr="00857B95">
              <w:rPr>
                <w:rFonts w:ascii="Times New Roman" w:hAnsi="Times New Roman"/>
                <w:b/>
                <w:bCs/>
                <w:color w:val="000000"/>
                <w:spacing w:val="0"/>
                <w:sz w:val="16"/>
                <w:szCs w:val="16"/>
                <w:lang w:eastAsia="fr-FR"/>
              </w:rPr>
              <w:t>DIVISION/GROUPE/CLASSE DE PRODUITS</w:t>
            </w:r>
          </w:p>
        </w:tc>
        <w:tc>
          <w:tcPr>
            <w:tcW w:w="558" w:type="pct"/>
            <w:tcBorders>
              <w:top w:val="single" w:sz="8" w:space="0" w:color="auto"/>
              <w:left w:val="nil"/>
              <w:bottom w:val="nil"/>
              <w:right w:val="nil"/>
            </w:tcBorders>
            <w:shd w:val="clear" w:color="000000" w:fill="FABF8F"/>
            <w:noWrap/>
            <w:vAlign w:val="bottom"/>
            <w:hideMark/>
          </w:tcPr>
          <w:p w:rsidR="00857B95" w:rsidRPr="00857B95" w:rsidRDefault="00857B95" w:rsidP="00857B95">
            <w:pPr>
              <w:ind w:left="0"/>
              <w:jc w:val="center"/>
              <w:rPr>
                <w:rFonts w:ascii="Times New Roman" w:hAnsi="Times New Roman"/>
                <w:b/>
                <w:bCs/>
                <w:color w:val="000000"/>
                <w:spacing w:val="0"/>
                <w:sz w:val="16"/>
                <w:szCs w:val="16"/>
                <w:lang w:eastAsia="fr-FR"/>
              </w:rPr>
            </w:pPr>
            <w:r w:rsidRPr="00857B95">
              <w:rPr>
                <w:rFonts w:ascii="Times New Roman" w:hAnsi="Times New Roman"/>
                <w:b/>
                <w:bCs/>
                <w:color w:val="000000"/>
                <w:spacing w:val="0"/>
                <w:sz w:val="16"/>
                <w:szCs w:val="16"/>
                <w:lang w:eastAsia="fr-FR"/>
              </w:rPr>
              <w:t>PONDERATION</w:t>
            </w:r>
          </w:p>
        </w:tc>
        <w:tc>
          <w:tcPr>
            <w:tcW w:w="499" w:type="pct"/>
            <w:tcBorders>
              <w:top w:val="single" w:sz="8" w:space="0" w:color="auto"/>
              <w:left w:val="nil"/>
              <w:bottom w:val="single" w:sz="8" w:space="0" w:color="auto"/>
              <w:right w:val="nil"/>
            </w:tcBorders>
            <w:shd w:val="clear" w:color="000000" w:fill="FABF8F"/>
            <w:noWrap/>
            <w:vAlign w:val="bottom"/>
            <w:hideMark/>
          </w:tcPr>
          <w:p w:rsidR="00857B95" w:rsidRPr="00857B95" w:rsidRDefault="00857B95" w:rsidP="00857B95">
            <w:pPr>
              <w:ind w:left="0"/>
              <w:jc w:val="center"/>
              <w:rPr>
                <w:rFonts w:ascii="Times New Roman" w:hAnsi="Times New Roman"/>
                <w:b/>
                <w:bCs/>
                <w:color w:val="000000"/>
                <w:spacing w:val="0"/>
                <w:sz w:val="16"/>
                <w:szCs w:val="16"/>
                <w:lang w:eastAsia="fr-FR"/>
              </w:rPr>
            </w:pPr>
            <w:r w:rsidRPr="00857B95">
              <w:rPr>
                <w:rFonts w:ascii="Times New Roman" w:hAnsi="Times New Roman"/>
                <w:b/>
                <w:bCs/>
                <w:color w:val="000000"/>
                <w:spacing w:val="0"/>
                <w:sz w:val="16"/>
                <w:szCs w:val="16"/>
                <w:lang w:eastAsia="fr-FR"/>
              </w:rPr>
              <w:t>FEVRIER</w:t>
            </w:r>
          </w:p>
        </w:tc>
        <w:tc>
          <w:tcPr>
            <w:tcW w:w="499" w:type="pct"/>
            <w:tcBorders>
              <w:top w:val="single" w:sz="8" w:space="0" w:color="auto"/>
              <w:left w:val="nil"/>
              <w:bottom w:val="single" w:sz="8" w:space="0" w:color="auto"/>
              <w:right w:val="nil"/>
            </w:tcBorders>
            <w:shd w:val="clear" w:color="000000" w:fill="FABF8F"/>
            <w:noWrap/>
            <w:vAlign w:val="bottom"/>
            <w:hideMark/>
          </w:tcPr>
          <w:p w:rsidR="00857B95" w:rsidRPr="00857B95" w:rsidRDefault="00857B95" w:rsidP="00857B95">
            <w:pPr>
              <w:ind w:left="0"/>
              <w:jc w:val="center"/>
              <w:rPr>
                <w:rFonts w:ascii="Times New Roman" w:hAnsi="Times New Roman"/>
                <w:b/>
                <w:bCs/>
                <w:color w:val="000000"/>
                <w:spacing w:val="0"/>
                <w:sz w:val="16"/>
                <w:szCs w:val="16"/>
                <w:lang w:eastAsia="fr-FR"/>
              </w:rPr>
            </w:pPr>
            <w:r w:rsidRPr="00857B95">
              <w:rPr>
                <w:rFonts w:ascii="Times New Roman" w:hAnsi="Times New Roman"/>
                <w:b/>
                <w:bCs/>
                <w:color w:val="000000"/>
                <w:spacing w:val="0"/>
                <w:sz w:val="16"/>
                <w:szCs w:val="16"/>
                <w:lang w:eastAsia="fr-FR"/>
              </w:rPr>
              <w:t>JANVIER</w:t>
            </w:r>
          </w:p>
        </w:tc>
        <w:tc>
          <w:tcPr>
            <w:tcW w:w="499" w:type="pct"/>
            <w:tcBorders>
              <w:top w:val="single" w:sz="8" w:space="0" w:color="auto"/>
              <w:left w:val="nil"/>
              <w:bottom w:val="single" w:sz="8" w:space="0" w:color="auto"/>
              <w:right w:val="nil"/>
            </w:tcBorders>
            <w:shd w:val="clear" w:color="000000" w:fill="FABF8F"/>
            <w:noWrap/>
            <w:vAlign w:val="bottom"/>
            <w:hideMark/>
          </w:tcPr>
          <w:p w:rsidR="00857B95" w:rsidRPr="00857B95" w:rsidRDefault="00857B95" w:rsidP="00857B95">
            <w:pPr>
              <w:ind w:left="0"/>
              <w:jc w:val="center"/>
              <w:rPr>
                <w:rFonts w:ascii="Times New Roman" w:hAnsi="Times New Roman"/>
                <w:b/>
                <w:bCs/>
                <w:color w:val="000000"/>
                <w:spacing w:val="0"/>
                <w:sz w:val="16"/>
                <w:szCs w:val="16"/>
                <w:lang w:eastAsia="fr-FR"/>
              </w:rPr>
            </w:pPr>
            <w:r w:rsidRPr="00857B95">
              <w:rPr>
                <w:rFonts w:ascii="Times New Roman" w:hAnsi="Times New Roman"/>
                <w:b/>
                <w:bCs/>
                <w:color w:val="000000"/>
                <w:spacing w:val="0"/>
                <w:sz w:val="16"/>
                <w:szCs w:val="16"/>
                <w:lang w:eastAsia="fr-FR"/>
              </w:rPr>
              <w:t>FEVRIER</w:t>
            </w:r>
          </w:p>
        </w:tc>
        <w:tc>
          <w:tcPr>
            <w:tcW w:w="915" w:type="pct"/>
            <w:gridSpan w:val="2"/>
            <w:tcBorders>
              <w:top w:val="single" w:sz="8" w:space="0" w:color="auto"/>
              <w:left w:val="nil"/>
              <w:bottom w:val="single" w:sz="8" w:space="0" w:color="auto"/>
              <w:right w:val="nil"/>
            </w:tcBorders>
            <w:shd w:val="clear" w:color="000000" w:fill="FABF8F"/>
            <w:noWrap/>
            <w:vAlign w:val="bottom"/>
            <w:hideMark/>
          </w:tcPr>
          <w:p w:rsidR="00857B95" w:rsidRPr="00857B95" w:rsidRDefault="00857B95" w:rsidP="00857B95">
            <w:pPr>
              <w:ind w:left="0"/>
              <w:jc w:val="center"/>
              <w:rPr>
                <w:rFonts w:ascii="Times New Roman" w:hAnsi="Times New Roman"/>
                <w:b/>
                <w:bCs/>
                <w:color w:val="000000"/>
                <w:spacing w:val="0"/>
                <w:sz w:val="16"/>
                <w:szCs w:val="16"/>
                <w:lang w:eastAsia="fr-FR"/>
              </w:rPr>
            </w:pPr>
            <w:r w:rsidRPr="00857B95">
              <w:rPr>
                <w:rFonts w:ascii="Times New Roman" w:hAnsi="Times New Roman"/>
                <w:b/>
                <w:bCs/>
                <w:color w:val="000000"/>
                <w:spacing w:val="0"/>
                <w:sz w:val="16"/>
                <w:szCs w:val="16"/>
                <w:lang w:eastAsia="fr-FR"/>
              </w:rPr>
              <w:t>VARIATION (%)</w:t>
            </w:r>
          </w:p>
        </w:tc>
      </w:tr>
      <w:tr w:rsidR="00857B95" w:rsidRPr="00857B95" w:rsidTr="00857B95">
        <w:trPr>
          <w:trHeight w:val="525"/>
          <w:tblHeader/>
        </w:trPr>
        <w:tc>
          <w:tcPr>
            <w:tcW w:w="2030" w:type="pct"/>
            <w:tcBorders>
              <w:top w:val="nil"/>
              <w:left w:val="nil"/>
              <w:bottom w:val="single" w:sz="8" w:space="0" w:color="auto"/>
              <w:right w:val="nil"/>
            </w:tcBorders>
            <w:shd w:val="clear" w:color="000000" w:fill="FABF8F"/>
            <w:vAlign w:val="bottom"/>
            <w:hideMark/>
          </w:tcPr>
          <w:p w:rsidR="00857B95" w:rsidRPr="00857B95" w:rsidRDefault="00857B95" w:rsidP="00857B95">
            <w:pPr>
              <w:ind w:left="0"/>
              <w:jc w:val="center"/>
              <w:rPr>
                <w:rFonts w:ascii="Times New Roman" w:hAnsi="Times New Roman"/>
                <w:b/>
                <w:bCs/>
                <w:color w:val="000000"/>
                <w:spacing w:val="0"/>
                <w:sz w:val="16"/>
                <w:szCs w:val="16"/>
                <w:lang w:eastAsia="fr-FR"/>
              </w:rPr>
            </w:pPr>
            <w:r w:rsidRPr="00857B95">
              <w:rPr>
                <w:rFonts w:ascii="Times New Roman" w:hAnsi="Times New Roman"/>
                <w:b/>
                <w:bCs/>
                <w:color w:val="000000"/>
                <w:spacing w:val="0"/>
                <w:sz w:val="16"/>
                <w:szCs w:val="16"/>
                <w:lang w:eastAsia="fr-FR"/>
              </w:rPr>
              <w:t> </w:t>
            </w:r>
          </w:p>
        </w:tc>
        <w:tc>
          <w:tcPr>
            <w:tcW w:w="558" w:type="pct"/>
            <w:tcBorders>
              <w:top w:val="nil"/>
              <w:left w:val="nil"/>
              <w:bottom w:val="single" w:sz="8" w:space="0" w:color="auto"/>
              <w:right w:val="nil"/>
            </w:tcBorders>
            <w:shd w:val="clear" w:color="000000" w:fill="FABF8F"/>
            <w:noWrap/>
            <w:vAlign w:val="bottom"/>
            <w:hideMark/>
          </w:tcPr>
          <w:p w:rsidR="00857B95" w:rsidRPr="00857B95" w:rsidRDefault="00857B95" w:rsidP="00857B95">
            <w:pPr>
              <w:ind w:left="0"/>
              <w:jc w:val="center"/>
              <w:rPr>
                <w:rFonts w:ascii="Times New Roman" w:hAnsi="Times New Roman"/>
                <w:b/>
                <w:bCs/>
                <w:color w:val="000000"/>
                <w:spacing w:val="0"/>
                <w:sz w:val="16"/>
                <w:szCs w:val="16"/>
                <w:lang w:eastAsia="fr-FR"/>
              </w:rPr>
            </w:pPr>
            <w:r w:rsidRPr="00857B95">
              <w:rPr>
                <w:rFonts w:ascii="Times New Roman" w:hAnsi="Times New Roman"/>
                <w:b/>
                <w:bCs/>
                <w:color w:val="000000"/>
                <w:spacing w:val="0"/>
                <w:sz w:val="16"/>
                <w:szCs w:val="16"/>
                <w:lang w:eastAsia="fr-FR"/>
              </w:rPr>
              <w:t> </w:t>
            </w:r>
          </w:p>
        </w:tc>
        <w:tc>
          <w:tcPr>
            <w:tcW w:w="499" w:type="pct"/>
            <w:tcBorders>
              <w:top w:val="nil"/>
              <w:left w:val="nil"/>
              <w:bottom w:val="single" w:sz="8" w:space="0" w:color="auto"/>
              <w:right w:val="nil"/>
            </w:tcBorders>
            <w:shd w:val="clear" w:color="000000" w:fill="FABF8F"/>
            <w:vAlign w:val="bottom"/>
            <w:hideMark/>
          </w:tcPr>
          <w:p w:rsidR="00857B95" w:rsidRPr="00857B95" w:rsidRDefault="00857B95" w:rsidP="00857B95">
            <w:pPr>
              <w:ind w:left="0"/>
              <w:jc w:val="center"/>
              <w:rPr>
                <w:rFonts w:ascii="Times New Roman" w:hAnsi="Times New Roman"/>
                <w:b/>
                <w:bCs/>
                <w:color w:val="000000"/>
                <w:spacing w:val="0"/>
                <w:sz w:val="16"/>
                <w:szCs w:val="16"/>
                <w:lang w:eastAsia="fr-FR"/>
              </w:rPr>
            </w:pPr>
            <w:r w:rsidRPr="00857B95">
              <w:rPr>
                <w:rFonts w:ascii="Times New Roman" w:hAnsi="Times New Roman"/>
                <w:b/>
                <w:bCs/>
                <w:color w:val="000000"/>
                <w:spacing w:val="0"/>
                <w:sz w:val="16"/>
                <w:szCs w:val="16"/>
                <w:lang w:eastAsia="fr-FR"/>
              </w:rPr>
              <w:t>2020</w:t>
            </w:r>
          </w:p>
        </w:tc>
        <w:tc>
          <w:tcPr>
            <w:tcW w:w="499" w:type="pct"/>
            <w:tcBorders>
              <w:top w:val="nil"/>
              <w:left w:val="nil"/>
              <w:bottom w:val="single" w:sz="8" w:space="0" w:color="auto"/>
              <w:right w:val="nil"/>
            </w:tcBorders>
            <w:shd w:val="clear" w:color="000000" w:fill="FABF8F"/>
            <w:vAlign w:val="bottom"/>
            <w:hideMark/>
          </w:tcPr>
          <w:p w:rsidR="00857B95" w:rsidRPr="00857B95" w:rsidRDefault="00857B95" w:rsidP="00857B95">
            <w:pPr>
              <w:ind w:left="0"/>
              <w:jc w:val="center"/>
              <w:rPr>
                <w:rFonts w:ascii="Times New Roman" w:hAnsi="Times New Roman"/>
                <w:b/>
                <w:bCs/>
                <w:color w:val="000000"/>
                <w:spacing w:val="0"/>
                <w:sz w:val="16"/>
                <w:szCs w:val="16"/>
                <w:lang w:eastAsia="fr-FR"/>
              </w:rPr>
            </w:pPr>
            <w:r w:rsidRPr="00857B95">
              <w:rPr>
                <w:rFonts w:ascii="Times New Roman" w:hAnsi="Times New Roman"/>
                <w:b/>
                <w:bCs/>
                <w:color w:val="000000"/>
                <w:spacing w:val="0"/>
                <w:sz w:val="16"/>
                <w:szCs w:val="16"/>
                <w:lang w:eastAsia="fr-FR"/>
              </w:rPr>
              <w:t>2022</w:t>
            </w:r>
          </w:p>
        </w:tc>
        <w:tc>
          <w:tcPr>
            <w:tcW w:w="499" w:type="pct"/>
            <w:tcBorders>
              <w:top w:val="nil"/>
              <w:left w:val="nil"/>
              <w:bottom w:val="single" w:sz="8" w:space="0" w:color="auto"/>
              <w:right w:val="nil"/>
            </w:tcBorders>
            <w:shd w:val="clear" w:color="000000" w:fill="FABF8F"/>
            <w:vAlign w:val="bottom"/>
            <w:hideMark/>
          </w:tcPr>
          <w:p w:rsidR="00857B95" w:rsidRPr="00857B95" w:rsidRDefault="00857B95" w:rsidP="00857B95">
            <w:pPr>
              <w:ind w:left="0"/>
              <w:jc w:val="center"/>
              <w:rPr>
                <w:rFonts w:ascii="Times New Roman" w:hAnsi="Times New Roman"/>
                <w:b/>
                <w:bCs/>
                <w:color w:val="000000"/>
                <w:spacing w:val="0"/>
                <w:sz w:val="16"/>
                <w:szCs w:val="16"/>
                <w:lang w:eastAsia="fr-FR"/>
              </w:rPr>
            </w:pPr>
            <w:r w:rsidRPr="00857B95">
              <w:rPr>
                <w:rFonts w:ascii="Times New Roman" w:hAnsi="Times New Roman"/>
                <w:b/>
                <w:bCs/>
                <w:color w:val="000000"/>
                <w:spacing w:val="0"/>
                <w:sz w:val="16"/>
                <w:szCs w:val="16"/>
                <w:lang w:eastAsia="fr-FR"/>
              </w:rPr>
              <w:t>2022</w:t>
            </w:r>
          </w:p>
        </w:tc>
        <w:tc>
          <w:tcPr>
            <w:tcW w:w="499" w:type="pct"/>
            <w:tcBorders>
              <w:top w:val="nil"/>
              <w:left w:val="nil"/>
              <w:bottom w:val="single" w:sz="8" w:space="0" w:color="auto"/>
              <w:right w:val="nil"/>
            </w:tcBorders>
            <w:shd w:val="clear" w:color="000000" w:fill="FABF8F"/>
            <w:vAlign w:val="bottom"/>
            <w:hideMark/>
          </w:tcPr>
          <w:p w:rsidR="00857B95" w:rsidRPr="00857B95" w:rsidRDefault="00857B95" w:rsidP="00857B95">
            <w:pPr>
              <w:ind w:left="0"/>
              <w:jc w:val="center"/>
              <w:rPr>
                <w:rFonts w:ascii="Times New Roman" w:hAnsi="Times New Roman"/>
                <w:b/>
                <w:bCs/>
                <w:color w:val="000000"/>
                <w:spacing w:val="0"/>
                <w:sz w:val="16"/>
                <w:szCs w:val="16"/>
                <w:lang w:eastAsia="fr-FR"/>
              </w:rPr>
            </w:pPr>
            <w:r w:rsidRPr="00857B95">
              <w:rPr>
                <w:rFonts w:ascii="Times New Roman" w:hAnsi="Times New Roman"/>
                <w:b/>
                <w:bCs/>
                <w:color w:val="000000"/>
                <w:spacing w:val="0"/>
                <w:sz w:val="16"/>
                <w:szCs w:val="16"/>
                <w:lang w:eastAsia="fr-FR"/>
              </w:rPr>
              <w:t>Mensuelle</w:t>
            </w:r>
          </w:p>
        </w:tc>
        <w:tc>
          <w:tcPr>
            <w:tcW w:w="416" w:type="pct"/>
            <w:tcBorders>
              <w:top w:val="nil"/>
              <w:left w:val="nil"/>
              <w:bottom w:val="single" w:sz="8" w:space="0" w:color="auto"/>
              <w:right w:val="nil"/>
            </w:tcBorders>
            <w:shd w:val="clear" w:color="000000" w:fill="FABF8F"/>
            <w:vAlign w:val="bottom"/>
            <w:hideMark/>
          </w:tcPr>
          <w:p w:rsidR="00857B95" w:rsidRPr="00857B95" w:rsidRDefault="00857B95" w:rsidP="00857B95">
            <w:pPr>
              <w:ind w:left="0"/>
              <w:jc w:val="center"/>
              <w:rPr>
                <w:rFonts w:ascii="Times New Roman" w:hAnsi="Times New Roman"/>
                <w:b/>
                <w:bCs/>
                <w:color w:val="000000"/>
                <w:spacing w:val="0"/>
                <w:sz w:val="16"/>
                <w:szCs w:val="16"/>
                <w:lang w:eastAsia="fr-FR"/>
              </w:rPr>
            </w:pPr>
            <w:r w:rsidRPr="00857B95">
              <w:rPr>
                <w:rFonts w:ascii="Times New Roman" w:hAnsi="Times New Roman"/>
                <w:b/>
                <w:bCs/>
                <w:color w:val="000000"/>
                <w:spacing w:val="0"/>
                <w:sz w:val="16"/>
                <w:szCs w:val="16"/>
                <w:lang w:eastAsia="fr-FR"/>
              </w:rPr>
              <w:t>Annuelle</w:t>
            </w:r>
          </w:p>
        </w:tc>
      </w:tr>
      <w:tr w:rsidR="00857B95" w:rsidRPr="00857B95" w:rsidTr="00857B95">
        <w:trPr>
          <w:trHeight w:val="435"/>
        </w:trPr>
        <w:tc>
          <w:tcPr>
            <w:tcW w:w="2030" w:type="pct"/>
            <w:tcBorders>
              <w:top w:val="nil"/>
              <w:left w:val="nil"/>
              <w:bottom w:val="single" w:sz="8" w:space="0" w:color="auto"/>
              <w:right w:val="nil"/>
            </w:tcBorders>
            <w:shd w:val="clear" w:color="000000" w:fill="FBD4B4"/>
            <w:vAlign w:val="center"/>
            <w:hideMark/>
          </w:tcPr>
          <w:p w:rsidR="00857B95" w:rsidRPr="00857B95" w:rsidRDefault="00857B95" w:rsidP="00857B95">
            <w:pPr>
              <w:ind w:left="0"/>
              <w:rPr>
                <w:rFonts w:ascii="Times New Roman" w:hAnsi="Times New Roman"/>
                <w:b/>
                <w:bCs/>
                <w:color w:val="000000"/>
                <w:spacing w:val="0"/>
                <w:sz w:val="16"/>
                <w:szCs w:val="16"/>
                <w:lang w:eastAsia="fr-FR"/>
              </w:rPr>
            </w:pPr>
            <w:r w:rsidRPr="00857B95">
              <w:rPr>
                <w:rFonts w:ascii="Times New Roman" w:hAnsi="Times New Roman"/>
                <w:b/>
                <w:bCs/>
                <w:color w:val="000000"/>
                <w:spacing w:val="0"/>
                <w:sz w:val="16"/>
                <w:szCs w:val="16"/>
                <w:lang w:eastAsia="fr-FR"/>
              </w:rPr>
              <w:t>01. PRODUITS ALIMENTAIRES ET BOISSONS NON ALCOOLISEES</w:t>
            </w:r>
          </w:p>
        </w:tc>
        <w:tc>
          <w:tcPr>
            <w:tcW w:w="558" w:type="pct"/>
            <w:tcBorders>
              <w:top w:val="nil"/>
              <w:left w:val="nil"/>
              <w:bottom w:val="single" w:sz="8" w:space="0" w:color="auto"/>
              <w:right w:val="nil"/>
            </w:tcBorders>
            <w:shd w:val="clear" w:color="000000" w:fill="FBD4B4"/>
            <w:noWrap/>
            <w:vAlign w:val="center"/>
            <w:hideMark/>
          </w:tcPr>
          <w:p w:rsidR="00857B95" w:rsidRPr="00857B95" w:rsidRDefault="00857B95" w:rsidP="00857B95">
            <w:pPr>
              <w:ind w:left="0"/>
              <w:jc w:val="right"/>
              <w:rPr>
                <w:rFonts w:ascii="Times New Roman" w:hAnsi="Times New Roman"/>
                <w:b/>
                <w:bCs/>
                <w:color w:val="000000"/>
                <w:spacing w:val="0"/>
                <w:sz w:val="16"/>
                <w:szCs w:val="16"/>
                <w:lang w:eastAsia="fr-FR"/>
              </w:rPr>
            </w:pPr>
            <w:r w:rsidRPr="00857B95">
              <w:rPr>
                <w:rFonts w:ascii="Times New Roman" w:hAnsi="Times New Roman"/>
                <w:b/>
                <w:bCs/>
                <w:color w:val="000000"/>
                <w:spacing w:val="0"/>
                <w:sz w:val="16"/>
                <w:szCs w:val="16"/>
                <w:lang w:eastAsia="fr-FR"/>
              </w:rPr>
              <w:t>41,2</w:t>
            </w:r>
          </w:p>
        </w:tc>
        <w:tc>
          <w:tcPr>
            <w:tcW w:w="499" w:type="pct"/>
            <w:tcBorders>
              <w:top w:val="nil"/>
              <w:left w:val="nil"/>
              <w:bottom w:val="single" w:sz="8" w:space="0" w:color="auto"/>
              <w:right w:val="nil"/>
            </w:tcBorders>
            <w:shd w:val="clear" w:color="000000" w:fill="FBD4B4"/>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97,0</w:t>
            </w:r>
          </w:p>
        </w:tc>
        <w:tc>
          <w:tcPr>
            <w:tcW w:w="499" w:type="pct"/>
            <w:tcBorders>
              <w:top w:val="nil"/>
              <w:left w:val="nil"/>
              <w:bottom w:val="single" w:sz="8" w:space="0" w:color="auto"/>
              <w:right w:val="nil"/>
            </w:tcBorders>
            <w:shd w:val="clear" w:color="000000" w:fill="FBD4B4"/>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103,0</w:t>
            </w:r>
          </w:p>
        </w:tc>
        <w:tc>
          <w:tcPr>
            <w:tcW w:w="499" w:type="pct"/>
            <w:tcBorders>
              <w:top w:val="nil"/>
              <w:left w:val="nil"/>
              <w:bottom w:val="single" w:sz="8" w:space="0" w:color="auto"/>
              <w:right w:val="nil"/>
            </w:tcBorders>
            <w:shd w:val="clear" w:color="000000" w:fill="FBD4B4"/>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103,9</w:t>
            </w:r>
          </w:p>
        </w:tc>
        <w:tc>
          <w:tcPr>
            <w:tcW w:w="499" w:type="pct"/>
            <w:tcBorders>
              <w:top w:val="nil"/>
              <w:left w:val="nil"/>
              <w:bottom w:val="single" w:sz="8" w:space="0" w:color="auto"/>
              <w:right w:val="nil"/>
            </w:tcBorders>
            <w:shd w:val="clear" w:color="000000" w:fill="FBD4B4"/>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0,9</w:t>
            </w:r>
          </w:p>
        </w:tc>
        <w:tc>
          <w:tcPr>
            <w:tcW w:w="416" w:type="pct"/>
            <w:tcBorders>
              <w:top w:val="nil"/>
              <w:left w:val="nil"/>
              <w:bottom w:val="single" w:sz="8" w:space="0" w:color="auto"/>
              <w:right w:val="nil"/>
            </w:tcBorders>
            <w:shd w:val="clear" w:color="000000" w:fill="FBD4B4"/>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7,1</w:t>
            </w:r>
          </w:p>
        </w:tc>
      </w:tr>
      <w:tr w:rsidR="00857B95" w:rsidRPr="00857B95" w:rsidTr="00857B95">
        <w:trPr>
          <w:trHeight w:val="315"/>
        </w:trPr>
        <w:tc>
          <w:tcPr>
            <w:tcW w:w="2030" w:type="pct"/>
            <w:tcBorders>
              <w:top w:val="nil"/>
              <w:left w:val="nil"/>
              <w:bottom w:val="single" w:sz="8" w:space="0" w:color="auto"/>
              <w:right w:val="nil"/>
            </w:tcBorders>
            <w:shd w:val="clear" w:color="auto" w:fill="auto"/>
            <w:vAlign w:val="center"/>
            <w:hideMark/>
          </w:tcPr>
          <w:p w:rsidR="00857B95" w:rsidRPr="00857B95" w:rsidRDefault="00857B95" w:rsidP="00857B95">
            <w:pPr>
              <w:ind w:left="0"/>
              <w:rPr>
                <w:rFonts w:ascii="Times New Roman" w:hAnsi="Times New Roman"/>
                <w:b/>
                <w:bCs/>
                <w:i/>
                <w:iCs/>
                <w:color w:val="000000"/>
                <w:spacing w:val="0"/>
                <w:sz w:val="16"/>
                <w:szCs w:val="16"/>
                <w:lang w:eastAsia="fr-FR"/>
              </w:rPr>
            </w:pPr>
            <w:r w:rsidRPr="00857B95">
              <w:rPr>
                <w:rFonts w:ascii="Times New Roman" w:hAnsi="Times New Roman"/>
                <w:b/>
                <w:bCs/>
                <w:i/>
                <w:iCs/>
                <w:color w:val="000000"/>
                <w:spacing w:val="0"/>
                <w:sz w:val="16"/>
                <w:szCs w:val="16"/>
                <w:lang w:eastAsia="fr-FR"/>
              </w:rPr>
              <w:t>PRODUITS ALIMENTAIRES</w:t>
            </w:r>
          </w:p>
        </w:tc>
        <w:tc>
          <w:tcPr>
            <w:tcW w:w="558"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b/>
                <w:bCs/>
                <w:i/>
                <w:iCs/>
                <w:color w:val="000000"/>
                <w:spacing w:val="0"/>
                <w:sz w:val="16"/>
                <w:szCs w:val="16"/>
                <w:lang w:eastAsia="fr-FR"/>
              </w:rPr>
            </w:pPr>
            <w:r w:rsidRPr="00857B95">
              <w:rPr>
                <w:rFonts w:ascii="Times New Roman" w:hAnsi="Times New Roman"/>
                <w:b/>
                <w:bCs/>
                <w:i/>
                <w:iCs/>
                <w:color w:val="000000"/>
                <w:spacing w:val="0"/>
                <w:sz w:val="16"/>
                <w:szCs w:val="16"/>
                <w:lang w:eastAsia="fr-FR"/>
              </w:rPr>
              <w:t>38,8</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96,7</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103,1</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104,0</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0,9</w:t>
            </w:r>
          </w:p>
        </w:tc>
        <w:tc>
          <w:tcPr>
            <w:tcW w:w="416"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7,5</w:t>
            </w:r>
          </w:p>
        </w:tc>
      </w:tr>
      <w:tr w:rsidR="00857B95" w:rsidRPr="00857B95" w:rsidTr="00857B95">
        <w:trPr>
          <w:trHeight w:val="315"/>
        </w:trPr>
        <w:tc>
          <w:tcPr>
            <w:tcW w:w="2030" w:type="pct"/>
            <w:tcBorders>
              <w:top w:val="nil"/>
              <w:left w:val="nil"/>
              <w:bottom w:val="single" w:sz="8" w:space="0" w:color="auto"/>
              <w:right w:val="nil"/>
            </w:tcBorders>
            <w:shd w:val="clear" w:color="auto" w:fill="auto"/>
            <w:vAlign w:val="center"/>
            <w:hideMark/>
          </w:tcPr>
          <w:p w:rsidR="00857B95" w:rsidRPr="00857B95" w:rsidRDefault="00857B95" w:rsidP="00857B95">
            <w:pPr>
              <w:ind w:left="0"/>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PAIN ET CEREALES</w:t>
            </w:r>
          </w:p>
        </w:tc>
        <w:tc>
          <w:tcPr>
            <w:tcW w:w="558"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7,8</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99,0</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115,1</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116,4</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1,1</w:t>
            </w:r>
          </w:p>
        </w:tc>
        <w:tc>
          <w:tcPr>
            <w:tcW w:w="416"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17,6</w:t>
            </w:r>
          </w:p>
        </w:tc>
      </w:tr>
      <w:tr w:rsidR="00857B95" w:rsidRPr="00857B95" w:rsidTr="00857B95">
        <w:trPr>
          <w:trHeight w:val="420"/>
        </w:trPr>
        <w:tc>
          <w:tcPr>
            <w:tcW w:w="2030" w:type="pct"/>
            <w:tcBorders>
              <w:top w:val="nil"/>
              <w:left w:val="nil"/>
              <w:bottom w:val="single" w:sz="8" w:space="0" w:color="auto"/>
              <w:right w:val="nil"/>
            </w:tcBorders>
            <w:shd w:val="clear" w:color="auto" w:fill="auto"/>
            <w:vAlign w:val="center"/>
            <w:hideMark/>
          </w:tcPr>
          <w:p w:rsidR="00857B95" w:rsidRPr="00857B95" w:rsidRDefault="00857B95" w:rsidP="00857B95">
            <w:pPr>
              <w:ind w:left="0"/>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VIANDE</w:t>
            </w:r>
          </w:p>
        </w:tc>
        <w:tc>
          <w:tcPr>
            <w:tcW w:w="558"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7,4</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92,0</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99,6</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99,4</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-0,2</w:t>
            </w:r>
          </w:p>
        </w:tc>
        <w:tc>
          <w:tcPr>
            <w:tcW w:w="416"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8,0</w:t>
            </w:r>
          </w:p>
        </w:tc>
      </w:tr>
      <w:tr w:rsidR="00857B95" w:rsidRPr="00857B95" w:rsidTr="00857B95">
        <w:trPr>
          <w:trHeight w:val="495"/>
        </w:trPr>
        <w:tc>
          <w:tcPr>
            <w:tcW w:w="2030" w:type="pct"/>
            <w:tcBorders>
              <w:top w:val="nil"/>
              <w:left w:val="nil"/>
              <w:bottom w:val="single" w:sz="8" w:space="0" w:color="auto"/>
              <w:right w:val="nil"/>
            </w:tcBorders>
            <w:shd w:val="clear" w:color="auto" w:fill="auto"/>
            <w:vAlign w:val="center"/>
            <w:hideMark/>
          </w:tcPr>
          <w:p w:rsidR="00857B95" w:rsidRPr="00857B95" w:rsidRDefault="00857B95" w:rsidP="00857B95">
            <w:pPr>
              <w:ind w:left="0"/>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POISSON ET FRUITS DE MER</w:t>
            </w:r>
          </w:p>
        </w:tc>
        <w:tc>
          <w:tcPr>
            <w:tcW w:w="558"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2,2</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95,5</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99,4</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99,3</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-0,1</w:t>
            </w:r>
          </w:p>
        </w:tc>
        <w:tc>
          <w:tcPr>
            <w:tcW w:w="416"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4,0</w:t>
            </w:r>
          </w:p>
        </w:tc>
      </w:tr>
      <w:tr w:rsidR="00857B95" w:rsidRPr="00857B95" w:rsidTr="00857B95">
        <w:trPr>
          <w:trHeight w:val="390"/>
        </w:trPr>
        <w:tc>
          <w:tcPr>
            <w:tcW w:w="2030" w:type="pct"/>
            <w:tcBorders>
              <w:top w:val="nil"/>
              <w:left w:val="nil"/>
              <w:bottom w:val="single" w:sz="8" w:space="0" w:color="auto"/>
              <w:right w:val="nil"/>
            </w:tcBorders>
            <w:shd w:val="clear" w:color="auto" w:fill="auto"/>
            <w:vAlign w:val="center"/>
            <w:hideMark/>
          </w:tcPr>
          <w:p w:rsidR="00857B95" w:rsidRPr="00857B95" w:rsidRDefault="00857B95" w:rsidP="00857B95">
            <w:pPr>
              <w:ind w:left="0"/>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lastRenderedPageBreak/>
              <w:t>LAIT, FROMAGE ET OEUFS</w:t>
            </w:r>
          </w:p>
        </w:tc>
        <w:tc>
          <w:tcPr>
            <w:tcW w:w="558"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4,3</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100,4</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100,1</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99,6</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-0,5</w:t>
            </w:r>
          </w:p>
        </w:tc>
        <w:tc>
          <w:tcPr>
            <w:tcW w:w="416"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-0,8</w:t>
            </w:r>
          </w:p>
        </w:tc>
      </w:tr>
      <w:tr w:rsidR="00857B95" w:rsidRPr="00857B95" w:rsidTr="00857B95">
        <w:trPr>
          <w:trHeight w:val="420"/>
        </w:trPr>
        <w:tc>
          <w:tcPr>
            <w:tcW w:w="2030" w:type="pct"/>
            <w:tcBorders>
              <w:top w:val="nil"/>
              <w:left w:val="nil"/>
              <w:bottom w:val="single" w:sz="8" w:space="0" w:color="auto"/>
              <w:right w:val="nil"/>
            </w:tcBorders>
            <w:shd w:val="clear" w:color="auto" w:fill="auto"/>
            <w:vAlign w:val="center"/>
            <w:hideMark/>
          </w:tcPr>
          <w:p w:rsidR="00857B95" w:rsidRPr="00857B95" w:rsidRDefault="00857B95" w:rsidP="00857B95">
            <w:pPr>
              <w:ind w:left="0"/>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HUILES ET GRAISSES</w:t>
            </w:r>
          </w:p>
        </w:tc>
        <w:tc>
          <w:tcPr>
            <w:tcW w:w="558"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4,6</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99,8</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114,6</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118,1</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3,1</w:t>
            </w:r>
          </w:p>
        </w:tc>
        <w:tc>
          <w:tcPr>
            <w:tcW w:w="416"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18,3</w:t>
            </w:r>
          </w:p>
        </w:tc>
      </w:tr>
      <w:tr w:rsidR="00857B95" w:rsidRPr="00857B95" w:rsidTr="00857B95">
        <w:trPr>
          <w:trHeight w:val="435"/>
        </w:trPr>
        <w:tc>
          <w:tcPr>
            <w:tcW w:w="2030" w:type="pct"/>
            <w:tcBorders>
              <w:top w:val="nil"/>
              <w:left w:val="nil"/>
              <w:bottom w:val="single" w:sz="8" w:space="0" w:color="auto"/>
              <w:right w:val="nil"/>
            </w:tcBorders>
            <w:shd w:val="clear" w:color="auto" w:fill="auto"/>
            <w:vAlign w:val="center"/>
            <w:hideMark/>
          </w:tcPr>
          <w:p w:rsidR="00857B95" w:rsidRPr="00857B95" w:rsidRDefault="00857B95" w:rsidP="00857B95">
            <w:pPr>
              <w:ind w:left="0"/>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FRUITS</w:t>
            </w:r>
          </w:p>
        </w:tc>
        <w:tc>
          <w:tcPr>
            <w:tcW w:w="558"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3,5</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102,7</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91,1</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93,8</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3,0</w:t>
            </w:r>
          </w:p>
        </w:tc>
        <w:tc>
          <w:tcPr>
            <w:tcW w:w="416"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-8,7</w:t>
            </w:r>
          </w:p>
        </w:tc>
      </w:tr>
      <w:tr w:rsidR="00857B95" w:rsidRPr="00857B95" w:rsidTr="00857B95">
        <w:trPr>
          <w:trHeight w:val="390"/>
        </w:trPr>
        <w:tc>
          <w:tcPr>
            <w:tcW w:w="2030" w:type="pct"/>
            <w:tcBorders>
              <w:top w:val="nil"/>
              <w:left w:val="nil"/>
              <w:bottom w:val="single" w:sz="8" w:space="0" w:color="auto"/>
              <w:right w:val="nil"/>
            </w:tcBorders>
            <w:shd w:val="clear" w:color="auto" w:fill="auto"/>
            <w:vAlign w:val="center"/>
            <w:hideMark/>
          </w:tcPr>
          <w:p w:rsidR="00857B95" w:rsidRPr="00857B95" w:rsidRDefault="00857B95" w:rsidP="00857B95">
            <w:pPr>
              <w:ind w:left="0"/>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LEGUMES</w:t>
            </w:r>
          </w:p>
        </w:tc>
        <w:tc>
          <w:tcPr>
            <w:tcW w:w="558"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5,7</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92,9</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97,6</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98,4</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0,8</w:t>
            </w:r>
          </w:p>
        </w:tc>
        <w:tc>
          <w:tcPr>
            <w:tcW w:w="416"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5,9</w:t>
            </w:r>
          </w:p>
        </w:tc>
      </w:tr>
      <w:tr w:rsidR="00857B95" w:rsidRPr="00857B95" w:rsidTr="00857B95">
        <w:trPr>
          <w:trHeight w:val="315"/>
        </w:trPr>
        <w:tc>
          <w:tcPr>
            <w:tcW w:w="2030" w:type="pct"/>
            <w:tcBorders>
              <w:top w:val="nil"/>
              <w:left w:val="nil"/>
              <w:bottom w:val="single" w:sz="8" w:space="0" w:color="auto"/>
              <w:right w:val="nil"/>
            </w:tcBorders>
            <w:shd w:val="clear" w:color="auto" w:fill="auto"/>
            <w:vAlign w:val="center"/>
            <w:hideMark/>
          </w:tcPr>
          <w:p w:rsidR="00857B95" w:rsidRPr="00857B95" w:rsidRDefault="00857B95" w:rsidP="00857B95">
            <w:pPr>
              <w:ind w:left="0"/>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SUCRE, CONFITURE, MIEL, CHOCOLAT ET CONFESERIE</w:t>
            </w:r>
          </w:p>
        </w:tc>
        <w:tc>
          <w:tcPr>
            <w:tcW w:w="558"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1,6</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101,7</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105,7</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105,7</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0,0</w:t>
            </w:r>
          </w:p>
        </w:tc>
        <w:tc>
          <w:tcPr>
            <w:tcW w:w="416"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3,9</w:t>
            </w:r>
          </w:p>
        </w:tc>
      </w:tr>
      <w:tr w:rsidR="00857B95" w:rsidRPr="00857B95" w:rsidTr="00857B95">
        <w:trPr>
          <w:trHeight w:val="525"/>
        </w:trPr>
        <w:tc>
          <w:tcPr>
            <w:tcW w:w="2030" w:type="pct"/>
            <w:tcBorders>
              <w:top w:val="nil"/>
              <w:left w:val="nil"/>
              <w:bottom w:val="single" w:sz="8" w:space="0" w:color="auto"/>
              <w:right w:val="nil"/>
            </w:tcBorders>
            <w:shd w:val="clear" w:color="auto" w:fill="auto"/>
            <w:vAlign w:val="center"/>
            <w:hideMark/>
          </w:tcPr>
          <w:p w:rsidR="00857B95" w:rsidRPr="00857B95" w:rsidRDefault="00857B95" w:rsidP="00857B95">
            <w:pPr>
              <w:ind w:left="0"/>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PRODUITS ALIMENTAIRES N.C.A.</w:t>
            </w:r>
          </w:p>
        </w:tc>
        <w:tc>
          <w:tcPr>
            <w:tcW w:w="558"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1,7</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84,9</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86,3</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86,4</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0,1</w:t>
            </w:r>
          </w:p>
        </w:tc>
        <w:tc>
          <w:tcPr>
            <w:tcW w:w="416"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1,8</w:t>
            </w:r>
          </w:p>
        </w:tc>
      </w:tr>
      <w:tr w:rsidR="00857B95" w:rsidRPr="00857B95" w:rsidTr="00857B95">
        <w:trPr>
          <w:trHeight w:val="450"/>
        </w:trPr>
        <w:tc>
          <w:tcPr>
            <w:tcW w:w="2030" w:type="pct"/>
            <w:tcBorders>
              <w:top w:val="nil"/>
              <w:left w:val="nil"/>
              <w:bottom w:val="single" w:sz="8" w:space="0" w:color="auto"/>
              <w:right w:val="nil"/>
            </w:tcBorders>
            <w:shd w:val="clear" w:color="auto" w:fill="auto"/>
            <w:vAlign w:val="center"/>
            <w:hideMark/>
          </w:tcPr>
          <w:p w:rsidR="00857B95" w:rsidRPr="00857B95" w:rsidRDefault="00857B95" w:rsidP="00857B95">
            <w:pPr>
              <w:ind w:left="0"/>
              <w:rPr>
                <w:rFonts w:ascii="Times New Roman" w:hAnsi="Times New Roman"/>
                <w:b/>
                <w:bCs/>
                <w:i/>
                <w:iCs/>
                <w:color w:val="000000"/>
                <w:spacing w:val="0"/>
                <w:sz w:val="16"/>
                <w:szCs w:val="16"/>
                <w:lang w:eastAsia="fr-FR"/>
              </w:rPr>
            </w:pPr>
            <w:r w:rsidRPr="00857B95">
              <w:rPr>
                <w:rFonts w:ascii="Times New Roman" w:hAnsi="Times New Roman"/>
                <w:b/>
                <w:bCs/>
                <w:i/>
                <w:iCs/>
                <w:color w:val="000000"/>
                <w:spacing w:val="0"/>
                <w:sz w:val="16"/>
                <w:szCs w:val="16"/>
                <w:lang w:eastAsia="fr-FR"/>
              </w:rPr>
              <w:t>BOISSONS NON ALCOOLISEES</w:t>
            </w:r>
          </w:p>
        </w:tc>
        <w:tc>
          <w:tcPr>
            <w:tcW w:w="558"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b/>
                <w:bCs/>
                <w:i/>
                <w:iCs/>
                <w:color w:val="000000"/>
                <w:spacing w:val="0"/>
                <w:sz w:val="16"/>
                <w:szCs w:val="16"/>
                <w:lang w:eastAsia="fr-FR"/>
              </w:rPr>
            </w:pPr>
            <w:r w:rsidRPr="00857B95">
              <w:rPr>
                <w:rFonts w:ascii="Times New Roman" w:hAnsi="Times New Roman"/>
                <w:b/>
                <w:bCs/>
                <w:i/>
                <w:iCs/>
                <w:color w:val="000000"/>
                <w:spacing w:val="0"/>
                <w:sz w:val="16"/>
                <w:szCs w:val="16"/>
                <w:lang w:eastAsia="fr-FR"/>
              </w:rPr>
              <w:t>2,3</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101,2</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101,1</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101,1</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0,0</w:t>
            </w:r>
          </w:p>
        </w:tc>
        <w:tc>
          <w:tcPr>
            <w:tcW w:w="416"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-0,1</w:t>
            </w:r>
          </w:p>
        </w:tc>
      </w:tr>
      <w:tr w:rsidR="00857B95" w:rsidRPr="00857B95" w:rsidTr="00857B95">
        <w:trPr>
          <w:trHeight w:val="540"/>
        </w:trPr>
        <w:tc>
          <w:tcPr>
            <w:tcW w:w="2030" w:type="pct"/>
            <w:tcBorders>
              <w:top w:val="nil"/>
              <w:left w:val="nil"/>
              <w:bottom w:val="single" w:sz="8" w:space="0" w:color="auto"/>
              <w:right w:val="nil"/>
            </w:tcBorders>
            <w:shd w:val="clear" w:color="auto" w:fill="auto"/>
            <w:vAlign w:val="center"/>
            <w:hideMark/>
          </w:tcPr>
          <w:p w:rsidR="00857B95" w:rsidRPr="00857B95" w:rsidRDefault="00857B95" w:rsidP="00857B95">
            <w:pPr>
              <w:ind w:left="0"/>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CAFE, THE ET CACAO</w:t>
            </w:r>
          </w:p>
        </w:tc>
        <w:tc>
          <w:tcPr>
            <w:tcW w:w="558"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1,7</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103,0</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103,7</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103,9</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0,2</w:t>
            </w:r>
          </w:p>
        </w:tc>
        <w:tc>
          <w:tcPr>
            <w:tcW w:w="416"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0,9</w:t>
            </w:r>
          </w:p>
        </w:tc>
      </w:tr>
      <w:tr w:rsidR="00857B95" w:rsidRPr="00857B95" w:rsidTr="00857B95">
        <w:trPr>
          <w:trHeight w:val="780"/>
        </w:trPr>
        <w:tc>
          <w:tcPr>
            <w:tcW w:w="2030" w:type="pct"/>
            <w:tcBorders>
              <w:top w:val="nil"/>
              <w:left w:val="nil"/>
              <w:bottom w:val="single" w:sz="8" w:space="0" w:color="auto"/>
              <w:right w:val="nil"/>
            </w:tcBorders>
            <w:shd w:val="clear" w:color="auto" w:fill="auto"/>
            <w:vAlign w:val="center"/>
            <w:hideMark/>
          </w:tcPr>
          <w:p w:rsidR="00857B95" w:rsidRPr="00857B95" w:rsidRDefault="00857B95" w:rsidP="00857B95">
            <w:pPr>
              <w:ind w:left="0"/>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EAUX MINERALES, BOISSONS RAFRAICHISSANTES, JUS DE FRUITS ET DE LEGUMES (ND)</w:t>
            </w:r>
          </w:p>
        </w:tc>
        <w:tc>
          <w:tcPr>
            <w:tcW w:w="558"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0,7</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96,8</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94,4</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94,3</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-0,1</w:t>
            </w:r>
          </w:p>
        </w:tc>
        <w:tc>
          <w:tcPr>
            <w:tcW w:w="416"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-2,6</w:t>
            </w:r>
          </w:p>
        </w:tc>
      </w:tr>
      <w:tr w:rsidR="00857B95" w:rsidRPr="00857B95" w:rsidTr="00857B95">
        <w:trPr>
          <w:trHeight w:val="825"/>
        </w:trPr>
        <w:tc>
          <w:tcPr>
            <w:tcW w:w="2030" w:type="pct"/>
            <w:tcBorders>
              <w:top w:val="nil"/>
              <w:left w:val="nil"/>
              <w:bottom w:val="single" w:sz="8" w:space="0" w:color="auto"/>
              <w:right w:val="nil"/>
            </w:tcBorders>
            <w:shd w:val="clear" w:color="000000" w:fill="FBD4B4"/>
            <w:vAlign w:val="center"/>
            <w:hideMark/>
          </w:tcPr>
          <w:p w:rsidR="00857B95" w:rsidRPr="00857B95" w:rsidRDefault="00857B95" w:rsidP="00857B95">
            <w:pPr>
              <w:ind w:left="0"/>
              <w:rPr>
                <w:rFonts w:ascii="Times New Roman" w:hAnsi="Times New Roman"/>
                <w:b/>
                <w:bCs/>
                <w:color w:val="000000"/>
                <w:spacing w:val="0"/>
                <w:sz w:val="16"/>
                <w:szCs w:val="16"/>
                <w:lang w:eastAsia="fr-FR"/>
              </w:rPr>
            </w:pPr>
            <w:r w:rsidRPr="00857B95">
              <w:rPr>
                <w:rFonts w:ascii="Times New Roman" w:hAnsi="Times New Roman"/>
                <w:b/>
                <w:bCs/>
                <w:color w:val="000000"/>
                <w:spacing w:val="0"/>
                <w:sz w:val="16"/>
                <w:szCs w:val="16"/>
                <w:lang w:eastAsia="fr-FR"/>
              </w:rPr>
              <w:t>02. BOISSONS ALCOOLISEES, TABAC ET STUPEFIANTS</w:t>
            </w:r>
          </w:p>
        </w:tc>
        <w:tc>
          <w:tcPr>
            <w:tcW w:w="558" w:type="pct"/>
            <w:tcBorders>
              <w:top w:val="nil"/>
              <w:left w:val="nil"/>
              <w:bottom w:val="single" w:sz="8" w:space="0" w:color="auto"/>
              <w:right w:val="nil"/>
            </w:tcBorders>
            <w:shd w:val="clear" w:color="000000" w:fill="FBD4B4"/>
            <w:noWrap/>
            <w:vAlign w:val="center"/>
            <w:hideMark/>
          </w:tcPr>
          <w:p w:rsidR="00857B95" w:rsidRPr="00857B95" w:rsidRDefault="00857B95" w:rsidP="00857B95">
            <w:pPr>
              <w:ind w:left="0"/>
              <w:jc w:val="right"/>
              <w:rPr>
                <w:rFonts w:ascii="Times New Roman" w:hAnsi="Times New Roman"/>
                <w:b/>
                <w:bCs/>
                <w:color w:val="000000"/>
                <w:spacing w:val="0"/>
                <w:sz w:val="16"/>
                <w:szCs w:val="16"/>
                <w:lang w:eastAsia="fr-FR"/>
              </w:rPr>
            </w:pPr>
            <w:r w:rsidRPr="00857B95">
              <w:rPr>
                <w:rFonts w:ascii="Times New Roman" w:hAnsi="Times New Roman"/>
                <w:b/>
                <w:bCs/>
                <w:color w:val="000000"/>
                <w:spacing w:val="0"/>
                <w:sz w:val="16"/>
                <w:szCs w:val="16"/>
                <w:lang w:eastAsia="fr-FR"/>
              </w:rPr>
              <w:t>1,5</w:t>
            </w:r>
          </w:p>
        </w:tc>
        <w:tc>
          <w:tcPr>
            <w:tcW w:w="499" w:type="pct"/>
            <w:tcBorders>
              <w:top w:val="nil"/>
              <w:left w:val="nil"/>
              <w:bottom w:val="single" w:sz="8" w:space="0" w:color="auto"/>
              <w:right w:val="nil"/>
            </w:tcBorders>
            <w:shd w:val="clear" w:color="000000" w:fill="FBD4B4"/>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124,9</w:t>
            </w:r>
          </w:p>
        </w:tc>
        <w:tc>
          <w:tcPr>
            <w:tcW w:w="499" w:type="pct"/>
            <w:tcBorders>
              <w:top w:val="nil"/>
              <w:left w:val="nil"/>
              <w:bottom w:val="single" w:sz="8" w:space="0" w:color="auto"/>
              <w:right w:val="nil"/>
            </w:tcBorders>
            <w:shd w:val="clear" w:color="000000" w:fill="FBD4B4"/>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129,1</w:t>
            </w:r>
          </w:p>
        </w:tc>
        <w:tc>
          <w:tcPr>
            <w:tcW w:w="499" w:type="pct"/>
            <w:tcBorders>
              <w:top w:val="nil"/>
              <w:left w:val="nil"/>
              <w:bottom w:val="single" w:sz="8" w:space="0" w:color="auto"/>
              <w:right w:val="nil"/>
            </w:tcBorders>
            <w:shd w:val="clear" w:color="000000" w:fill="FBD4B4"/>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129,1</w:t>
            </w:r>
          </w:p>
        </w:tc>
        <w:tc>
          <w:tcPr>
            <w:tcW w:w="499" w:type="pct"/>
            <w:tcBorders>
              <w:top w:val="nil"/>
              <w:left w:val="nil"/>
              <w:bottom w:val="single" w:sz="8" w:space="0" w:color="auto"/>
              <w:right w:val="nil"/>
            </w:tcBorders>
            <w:shd w:val="clear" w:color="000000" w:fill="FBD4B4"/>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0,0</w:t>
            </w:r>
          </w:p>
        </w:tc>
        <w:tc>
          <w:tcPr>
            <w:tcW w:w="416" w:type="pct"/>
            <w:tcBorders>
              <w:top w:val="nil"/>
              <w:left w:val="nil"/>
              <w:bottom w:val="single" w:sz="8" w:space="0" w:color="auto"/>
              <w:right w:val="nil"/>
            </w:tcBorders>
            <w:shd w:val="clear" w:color="000000" w:fill="FBD4B4"/>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3,4</w:t>
            </w:r>
          </w:p>
        </w:tc>
      </w:tr>
      <w:tr w:rsidR="00857B95" w:rsidRPr="00857B95" w:rsidTr="00857B95">
        <w:trPr>
          <w:trHeight w:val="360"/>
        </w:trPr>
        <w:tc>
          <w:tcPr>
            <w:tcW w:w="2030" w:type="pct"/>
            <w:tcBorders>
              <w:top w:val="nil"/>
              <w:left w:val="nil"/>
              <w:bottom w:val="single" w:sz="8" w:space="0" w:color="auto"/>
              <w:right w:val="nil"/>
            </w:tcBorders>
            <w:shd w:val="clear" w:color="auto" w:fill="auto"/>
            <w:vAlign w:val="center"/>
            <w:hideMark/>
          </w:tcPr>
          <w:p w:rsidR="00857B95" w:rsidRPr="00857B95" w:rsidRDefault="00857B95" w:rsidP="00857B95">
            <w:pPr>
              <w:ind w:left="0"/>
              <w:rPr>
                <w:rFonts w:ascii="Times New Roman" w:hAnsi="Times New Roman"/>
                <w:b/>
                <w:bCs/>
                <w:i/>
                <w:iCs/>
                <w:color w:val="000000"/>
                <w:spacing w:val="0"/>
                <w:sz w:val="16"/>
                <w:szCs w:val="16"/>
                <w:lang w:eastAsia="fr-FR"/>
              </w:rPr>
            </w:pPr>
            <w:r w:rsidRPr="00857B95">
              <w:rPr>
                <w:rFonts w:ascii="Times New Roman" w:hAnsi="Times New Roman"/>
                <w:b/>
                <w:bCs/>
                <w:i/>
                <w:iCs/>
                <w:color w:val="000000"/>
                <w:spacing w:val="0"/>
                <w:sz w:val="16"/>
                <w:szCs w:val="16"/>
                <w:lang w:eastAsia="fr-FR"/>
              </w:rPr>
              <w:t>BOISSONS ALCOOLISEES</w:t>
            </w:r>
          </w:p>
        </w:tc>
        <w:tc>
          <w:tcPr>
            <w:tcW w:w="558"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b/>
                <w:bCs/>
                <w:i/>
                <w:iCs/>
                <w:color w:val="000000"/>
                <w:spacing w:val="0"/>
                <w:sz w:val="16"/>
                <w:szCs w:val="16"/>
                <w:lang w:eastAsia="fr-FR"/>
              </w:rPr>
            </w:pPr>
            <w:r w:rsidRPr="00857B95">
              <w:rPr>
                <w:rFonts w:ascii="Times New Roman" w:hAnsi="Times New Roman"/>
                <w:b/>
                <w:bCs/>
                <w:i/>
                <w:iCs/>
                <w:color w:val="000000"/>
                <w:spacing w:val="0"/>
                <w:sz w:val="16"/>
                <w:szCs w:val="16"/>
                <w:lang w:eastAsia="fr-FR"/>
              </w:rPr>
              <w:t>0,1</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101,4</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102,0</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102,0</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0,0</w:t>
            </w:r>
          </w:p>
        </w:tc>
        <w:tc>
          <w:tcPr>
            <w:tcW w:w="416"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0,6</w:t>
            </w:r>
          </w:p>
        </w:tc>
      </w:tr>
      <w:tr w:rsidR="00857B95" w:rsidRPr="00857B95" w:rsidTr="00857B95">
        <w:trPr>
          <w:trHeight w:val="375"/>
        </w:trPr>
        <w:tc>
          <w:tcPr>
            <w:tcW w:w="2030" w:type="pct"/>
            <w:tcBorders>
              <w:top w:val="nil"/>
              <w:left w:val="nil"/>
              <w:bottom w:val="single" w:sz="8" w:space="0" w:color="auto"/>
              <w:right w:val="nil"/>
            </w:tcBorders>
            <w:shd w:val="clear" w:color="auto" w:fill="auto"/>
            <w:vAlign w:val="center"/>
            <w:hideMark/>
          </w:tcPr>
          <w:p w:rsidR="00857B95" w:rsidRPr="00857B95" w:rsidRDefault="00857B95" w:rsidP="00857B95">
            <w:pPr>
              <w:ind w:left="0"/>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SPIRITUEUX</w:t>
            </w:r>
          </w:p>
        </w:tc>
        <w:tc>
          <w:tcPr>
            <w:tcW w:w="558"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0,1</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100,0</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100,0</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100,0</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0,0</w:t>
            </w:r>
          </w:p>
        </w:tc>
        <w:tc>
          <w:tcPr>
            <w:tcW w:w="416"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0,0</w:t>
            </w:r>
          </w:p>
        </w:tc>
      </w:tr>
      <w:tr w:rsidR="00857B95" w:rsidRPr="00857B95" w:rsidTr="00857B95">
        <w:trPr>
          <w:trHeight w:val="360"/>
        </w:trPr>
        <w:tc>
          <w:tcPr>
            <w:tcW w:w="2030" w:type="pct"/>
            <w:tcBorders>
              <w:top w:val="nil"/>
              <w:left w:val="nil"/>
              <w:bottom w:val="single" w:sz="8" w:space="0" w:color="auto"/>
              <w:right w:val="nil"/>
            </w:tcBorders>
            <w:shd w:val="clear" w:color="auto" w:fill="auto"/>
            <w:vAlign w:val="center"/>
            <w:hideMark/>
          </w:tcPr>
          <w:p w:rsidR="00857B95" w:rsidRPr="00857B95" w:rsidRDefault="00857B95" w:rsidP="00857B95">
            <w:pPr>
              <w:ind w:left="0"/>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VIN ET BOISSONS FERMENTEES</w:t>
            </w:r>
          </w:p>
        </w:tc>
        <w:tc>
          <w:tcPr>
            <w:tcW w:w="558"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0</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103,5</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105,4</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105,4</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0,0</w:t>
            </w:r>
          </w:p>
        </w:tc>
        <w:tc>
          <w:tcPr>
            <w:tcW w:w="416"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1,8</w:t>
            </w:r>
          </w:p>
        </w:tc>
      </w:tr>
      <w:tr w:rsidR="00857B95" w:rsidRPr="00857B95" w:rsidTr="00857B95">
        <w:trPr>
          <w:trHeight w:val="345"/>
        </w:trPr>
        <w:tc>
          <w:tcPr>
            <w:tcW w:w="2030" w:type="pct"/>
            <w:tcBorders>
              <w:top w:val="nil"/>
              <w:left w:val="nil"/>
              <w:bottom w:val="single" w:sz="8" w:space="0" w:color="auto"/>
              <w:right w:val="nil"/>
            </w:tcBorders>
            <w:shd w:val="clear" w:color="auto" w:fill="auto"/>
            <w:vAlign w:val="center"/>
            <w:hideMark/>
          </w:tcPr>
          <w:p w:rsidR="00857B95" w:rsidRPr="00857B95" w:rsidRDefault="00857B95" w:rsidP="00857B95">
            <w:pPr>
              <w:ind w:left="0"/>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BIERE</w:t>
            </w:r>
          </w:p>
        </w:tc>
        <w:tc>
          <w:tcPr>
            <w:tcW w:w="558"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0</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103,8</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103,8</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103,8</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0,0</w:t>
            </w:r>
          </w:p>
        </w:tc>
        <w:tc>
          <w:tcPr>
            <w:tcW w:w="416"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0,0</w:t>
            </w:r>
          </w:p>
        </w:tc>
      </w:tr>
      <w:tr w:rsidR="00857B95" w:rsidRPr="00857B95" w:rsidTr="00857B95">
        <w:trPr>
          <w:trHeight w:val="390"/>
        </w:trPr>
        <w:tc>
          <w:tcPr>
            <w:tcW w:w="2030" w:type="pct"/>
            <w:tcBorders>
              <w:top w:val="nil"/>
              <w:left w:val="nil"/>
              <w:bottom w:val="single" w:sz="8" w:space="0" w:color="auto"/>
              <w:right w:val="nil"/>
            </w:tcBorders>
            <w:shd w:val="clear" w:color="auto" w:fill="auto"/>
            <w:vAlign w:val="center"/>
            <w:hideMark/>
          </w:tcPr>
          <w:p w:rsidR="00857B95" w:rsidRPr="00857B95" w:rsidRDefault="00857B95" w:rsidP="00857B95">
            <w:pPr>
              <w:ind w:left="0"/>
              <w:rPr>
                <w:rFonts w:ascii="Times New Roman" w:hAnsi="Times New Roman"/>
                <w:b/>
                <w:bCs/>
                <w:i/>
                <w:iCs/>
                <w:color w:val="000000"/>
                <w:spacing w:val="0"/>
                <w:sz w:val="16"/>
                <w:szCs w:val="16"/>
                <w:lang w:eastAsia="fr-FR"/>
              </w:rPr>
            </w:pPr>
            <w:r w:rsidRPr="00857B95">
              <w:rPr>
                <w:rFonts w:ascii="Times New Roman" w:hAnsi="Times New Roman"/>
                <w:b/>
                <w:bCs/>
                <w:i/>
                <w:iCs/>
                <w:color w:val="000000"/>
                <w:spacing w:val="0"/>
                <w:sz w:val="16"/>
                <w:szCs w:val="16"/>
                <w:lang w:eastAsia="fr-FR"/>
              </w:rPr>
              <w:t>TABAC</w:t>
            </w:r>
          </w:p>
        </w:tc>
        <w:tc>
          <w:tcPr>
            <w:tcW w:w="558"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b/>
                <w:bCs/>
                <w:i/>
                <w:iCs/>
                <w:color w:val="000000"/>
                <w:spacing w:val="0"/>
                <w:sz w:val="16"/>
                <w:szCs w:val="16"/>
                <w:lang w:eastAsia="fr-FR"/>
              </w:rPr>
            </w:pPr>
            <w:r w:rsidRPr="00857B95">
              <w:rPr>
                <w:rFonts w:ascii="Times New Roman" w:hAnsi="Times New Roman"/>
                <w:b/>
                <w:bCs/>
                <w:i/>
                <w:iCs/>
                <w:color w:val="000000"/>
                <w:spacing w:val="0"/>
                <w:sz w:val="16"/>
                <w:szCs w:val="16"/>
                <w:lang w:eastAsia="fr-FR"/>
              </w:rPr>
              <w:t>1,4</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126,5</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130,8</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130,8</w:t>
            </w:r>
          </w:p>
        </w:tc>
        <w:tc>
          <w:tcPr>
            <w:tcW w:w="499"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0,0</w:t>
            </w:r>
          </w:p>
        </w:tc>
        <w:tc>
          <w:tcPr>
            <w:tcW w:w="416" w:type="pct"/>
            <w:tcBorders>
              <w:top w:val="nil"/>
              <w:left w:val="nil"/>
              <w:bottom w:val="single" w:sz="8" w:space="0" w:color="auto"/>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3,4</w:t>
            </w:r>
          </w:p>
        </w:tc>
      </w:tr>
      <w:tr w:rsidR="00857B95" w:rsidRPr="00857B95" w:rsidTr="00857B95">
        <w:trPr>
          <w:trHeight w:val="300"/>
        </w:trPr>
        <w:tc>
          <w:tcPr>
            <w:tcW w:w="2030" w:type="pct"/>
            <w:tcBorders>
              <w:top w:val="nil"/>
              <w:left w:val="nil"/>
              <w:bottom w:val="nil"/>
              <w:right w:val="nil"/>
            </w:tcBorders>
            <w:shd w:val="clear" w:color="auto" w:fill="auto"/>
            <w:vAlign w:val="center"/>
            <w:hideMark/>
          </w:tcPr>
          <w:p w:rsidR="00857B95" w:rsidRPr="00857B95" w:rsidRDefault="00857B95" w:rsidP="00857B95">
            <w:pPr>
              <w:ind w:left="0"/>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TABAC</w:t>
            </w:r>
          </w:p>
        </w:tc>
        <w:tc>
          <w:tcPr>
            <w:tcW w:w="558" w:type="pct"/>
            <w:tcBorders>
              <w:top w:val="nil"/>
              <w:left w:val="nil"/>
              <w:bottom w:val="nil"/>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sz w:val="16"/>
                <w:szCs w:val="16"/>
                <w:lang w:eastAsia="fr-FR"/>
              </w:rPr>
            </w:pPr>
            <w:r w:rsidRPr="00857B95">
              <w:rPr>
                <w:rFonts w:ascii="Times New Roman" w:hAnsi="Times New Roman"/>
                <w:color w:val="000000"/>
                <w:spacing w:val="0"/>
                <w:sz w:val="16"/>
                <w:szCs w:val="16"/>
                <w:lang w:eastAsia="fr-FR"/>
              </w:rPr>
              <w:t>1,4</w:t>
            </w:r>
          </w:p>
        </w:tc>
        <w:tc>
          <w:tcPr>
            <w:tcW w:w="499" w:type="pct"/>
            <w:tcBorders>
              <w:top w:val="nil"/>
              <w:left w:val="nil"/>
              <w:bottom w:val="nil"/>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126,5</w:t>
            </w:r>
          </w:p>
        </w:tc>
        <w:tc>
          <w:tcPr>
            <w:tcW w:w="499" w:type="pct"/>
            <w:tcBorders>
              <w:top w:val="nil"/>
              <w:left w:val="nil"/>
              <w:bottom w:val="nil"/>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130,8</w:t>
            </w:r>
          </w:p>
        </w:tc>
        <w:tc>
          <w:tcPr>
            <w:tcW w:w="499" w:type="pct"/>
            <w:tcBorders>
              <w:top w:val="nil"/>
              <w:left w:val="nil"/>
              <w:bottom w:val="nil"/>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130,8</w:t>
            </w:r>
          </w:p>
        </w:tc>
        <w:tc>
          <w:tcPr>
            <w:tcW w:w="499" w:type="pct"/>
            <w:tcBorders>
              <w:top w:val="nil"/>
              <w:left w:val="nil"/>
              <w:bottom w:val="nil"/>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0,0</w:t>
            </w:r>
          </w:p>
        </w:tc>
        <w:tc>
          <w:tcPr>
            <w:tcW w:w="416" w:type="pct"/>
            <w:tcBorders>
              <w:top w:val="nil"/>
              <w:left w:val="nil"/>
              <w:bottom w:val="nil"/>
              <w:right w:val="nil"/>
            </w:tcBorders>
            <w:shd w:val="clear" w:color="auto" w:fill="auto"/>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3,4</w:t>
            </w:r>
          </w:p>
        </w:tc>
      </w:tr>
      <w:tr w:rsidR="00857B95" w:rsidRPr="00857B95" w:rsidTr="00857B95">
        <w:trPr>
          <w:trHeight w:val="450"/>
        </w:trPr>
        <w:tc>
          <w:tcPr>
            <w:tcW w:w="2030" w:type="pct"/>
            <w:tcBorders>
              <w:top w:val="nil"/>
              <w:left w:val="nil"/>
              <w:bottom w:val="single" w:sz="8" w:space="0" w:color="auto"/>
              <w:right w:val="nil"/>
            </w:tcBorders>
            <w:shd w:val="clear" w:color="000000" w:fill="FCD5B4"/>
            <w:vAlign w:val="center"/>
            <w:hideMark/>
          </w:tcPr>
          <w:p w:rsidR="00857B95" w:rsidRPr="00857B95" w:rsidRDefault="00857B95" w:rsidP="00857B95">
            <w:pPr>
              <w:ind w:left="0"/>
              <w:rPr>
                <w:rFonts w:ascii="Times New Roman" w:hAnsi="Times New Roman"/>
                <w:b/>
                <w:bCs/>
                <w:color w:val="000000"/>
                <w:spacing w:val="0"/>
                <w:lang w:eastAsia="fr-FR"/>
              </w:rPr>
            </w:pPr>
            <w:r w:rsidRPr="00857B95">
              <w:rPr>
                <w:rFonts w:ascii="Times New Roman" w:hAnsi="Times New Roman"/>
                <w:b/>
                <w:bCs/>
                <w:color w:val="000000"/>
                <w:spacing w:val="0"/>
                <w:lang w:eastAsia="fr-FR"/>
              </w:rPr>
              <w:t>INDICE DES PRODUITS ALIMENTAIRES</w:t>
            </w:r>
          </w:p>
        </w:tc>
        <w:tc>
          <w:tcPr>
            <w:tcW w:w="558" w:type="pct"/>
            <w:tcBorders>
              <w:top w:val="nil"/>
              <w:left w:val="nil"/>
              <w:bottom w:val="single" w:sz="8" w:space="0" w:color="auto"/>
              <w:right w:val="nil"/>
            </w:tcBorders>
            <w:shd w:val="clear" w:color="000000" w:fill="FCD5B4"/>
            <w:noWrap/>
            <w:vAlign w:val="center"/>
            <w:hideMark/>
          </w:tcPr>
          <w:p w:rsidR="00857B95" w:rsidRPr="00857B95" w:rsidRDefault="00857B95" w:rsidP="00857B95">
            <w:pPr>
              <w:ind w:left="0"/>
              <w:jc w:val="right"/>
              <w:rPr>
                <w:rFonts w:ascii="Times New Roman" w:hAnsi="Times New Roman"/>
                <w:b/>
                <w:bCs/>
                <w:color w:val="000000"/>
                <w:spacing w:val="0"/>
                <w:lang w:eastAsia="fr-FR"/>
              </w:rPr>
            </w:pPr>
            <w:r w:rsidRPr="00857B95">
              <w:rPr>
                <w:rFonts w:ascii="Times New Roman" w:hAnsi="Times New Roman"/>
                <w:b/>
                <w:bCs/>
                <w:color w:val="000000"/>
                <w:spacing w:val="0"/>
                <w:lang w:eastAsia="fr-FR"/>
              </w:rPr>
              <w:t>42,7</w:t>
            </w:r>
          </w:p>
        </w:tc>
        <w:tc>
          <w:tcPr>
            <w:tcW w:w="499" w:type="pct"/>
            <w:tcBorders>
              <w:top w:val="nil"/>
              <w:left w:val="nil"/>
              <w:bottom w:val="single" w:sz="8" w:space="0" w:color="auto"/>
              <w:right w:val="nil"/>
            </w:tcBorders>
            <w:shd w:val="clear" w:color="000000" w:fill="FCD5B4"/>
            <w:noWrap/>
            <w:vAlign w:val="center"/>
            <w:hideMark/>
          </w:tcPr>
          <w:p w:rsidR="00857B95" w:rsidRPr="00857B95" w:rsidRDefault="00857B95" w:rsidP="00857B95">
            <w:pPr>
              <w:ind w:left="0"/>
              <w:jc w:val="right"/>
              <w:rPr>
                <w:rFonts w:ascii="Times New Roman" w:hAnsi="Times New Roman"/>
                <w:b/>
                <w:bCs/>
                <w:color w:val="000000"/>
                <w:spacing w:val="0"/>
                <w:lang w:eastAsia="fr-FR"/>
              </w:rPr>
            </w:pPr>
            <w:r w:rsidRPr="00857B95">
              <w:rPr>
                <w:rFonts w:ascii="Times New Roman" w:hAnsi="Times New Roman"/>
                <w:b/>
                <w:bCs/>
                <w:color w:val="000000"/>
                <w:spacing w:val="0"/>
                <w:lang w:eastAsia="fr-FR"/>
              </w:rPr>
              <w:t>98,0</w:t>
            </w:r>
          </w:p>
        </w:tc>
        <w:tc>
          <w:tcPr>
            <w:tcW w:w="499" w:type="pct"/>
            <w:tcBorders>
              <w:top w:val="nil"/>
              <w:left w:val="nil"/>
              <w:bottom w:val="single" w:sz="8" w:space="0" w:color="auto"/>
              <w:right w:val="nil"/>
            </w:tcBorders>
            <w:shd w:val="clear" w:color="000000" w:fill="FCD5B4"/>
            <w:noWrap/>
            <w:vAlign w:val="center"/>
            <w:hideMark/>
          </w:tcPr>
          <w:p w:rsidR="00857B95" w:rsidRPr="00857B95" w:rsidRDefault="00857B95" w:rsidP="00857B95">
            <w:pPr>
              <w:ind w:left="0"/>
              <w:jc w:val="right"/>
              <w:rPr>
                <w:rFonts w:ascii="Times New Roman" w:hAnsi="Times New Roman"/>
                <w:b/>
                <w:bCs/>
                <w:color w:val="000000"/>
                <w:spacing w:val="0"/>
                <w:lang w:eastAsia="fr-FR"/>
              </w:rPr>
            </w:pPr>
            <w:r w:rsidRPr="00857B95">
              <w:rPr>
                <w:rFonts w:ascii="Times New Roman" w:hAnsi="Times New Roman"/>
                <w:b/>
                <w:bCs/>
                <w:color w:val="000000"/>
                <w:spacing w:val="0"/>
                <w:lang w:eastAsia="fr-FR"/>
              </w:rPr>
              <w:t>103,9</w:t>
            </w:r>
          </w:p>
        </w:tc>
        <w:tc>
          <w:tcPr>
            <w:tcW w:w="499" w:type="pct"/>
            <w:tcBorders>
              <w:top w:val="nil"/>
              <w:left w:val="nil"/>
              <w:bottom w:val="single" w:sz="8" w:space="0" w:color="auto"/>
              <w:right w:val="nil"/>
            </w:tcBorders>
            <w:shd w:val="clear" w:color="000000" w:fill="FCD5B4"/>
            <w:noWrap/>
            <w:vAlign w:val="center"/>
            <w:hideMark/>
          </w:tcPr>
          <w:p w:rsidR="00857B95" w:rsidRPr="00857B95" w:rsidRDefault="00857B95" w:rsidP="00857B95">
            <w:pPr>
              <w:ind w:left="0"/>
              <w:jc w:val="right"/>
              <w:rPr>
                <w:rFonts w:ascii="Times New Roman" w:hAnsi="Times New Roman"/>
                <w:b/>
                <w:bCs/>
                <w:color w:val="000000"/>
                <w:spacing w:val="0"/>
                <w:lang w:eastAsia="fr-FR"/>
              </w:rPr>
            </w:pPr>
            <w:r w:rsidRPr="00857B95">
              <w:rPr>
                <w:rFonts w:ascii="Times New Roman" w:hAnsi="Times New Roman"/>
                <w:b/>
                <w:bCs/>
                <w:color w:val="000000"/>
                <w:spacing w:val="0"/>
                <w:lang w:eastAsia="fr-FR"/>
              </w:rPr>
              <w:t>104,8</w:t>
            </w:r>
          </w:p>
        </w:tc>
        <w:tc>
          <w:tcPr>
            <w:tcW w:w="499" w:type="pct"/>
            <w:tcBorders>
              <w:top w:val="nil"/>
              <w:left w:val="nil"/>
              <w:bottom w:val="single" w:sz="8" w:space="0" w:color="auto"/>
              <w:right w:val="nil"/>
            </w:tcBorders>
            <w:shd w:val="clear" w:color="000000" w:fill="FCD5B4"/>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0,8</w:t>
            </w:r>
          </w:p>
        </w:tc>
        <w:tc>
          <w:tcPr>
            <w:tcW w:w="416" w:type="pct"/>
            <w:tcBorders>
              <w:top w:val="nil"/>
              <w:left w:val="nil"/>
              <w:bottom w:val="single" w:sz="8" w:space="0" w:color="auto"/>
              <w:right w:val="nil"/>
            </w:tcBorders>
            <w:shd w:val="clear" w:color="000000" w:fill="FCD5B4"/>
            <w:noWrap/>
            <w:vAlign w:val="center"/>
            <w:hideMark/>
          </w:tcPr>
          <w:p w:rsidR="00857B95" w:rsidRPr="00857B95" w:rsidRDefault="00857B95" w:rsidP="00857B95">
            <w:pPr>
              <w:ind w:left="0"/>
              <w:jc w:val="right"/>
              <w:rPr>
                <w:rFonts w:ascii="Times New Roman" w:hAnsi="Times New Roman"/>
                <w:color w:val="000000"/>
                <w:spacing w:val="0"/>
                <w:lang w:eastAsia="fr-FR"/>
              </w:rPr>
            </w:pPr>
            <w:r w:rsidRPr="00857B95">
              <w:rPr>
                <w:rFonts w:ascii="Times New Roman" w:hAnsi="Times New Roman"/>
                <w:color w:val="000000"/>
                <w:spacing w:val="0"/>
                <w:lang w:eastAsia="fr-FR"/>
              </w:rPr>
              <w:t>6,9</w:t>
            </w:r>
          </w:p>
        </w:tc>
      </w:tr>
      <w:tr w:rsidR="00857B95" w:rsidRPr="00857B95" w:rsidTr="00857B95">
        <w:trPr>
          <w:trHeight w:val="630"/>
        </w:trPr>
        <w:tc>
          <w:tcPr>
            <w:tcW w:w="2030" w:type="pct"/>
            <w:tcBorders>
              <w:top w:val="nil"/>
              <w:left w:val="nil"/>
              <w:bottom w:val="single" w:sz="8" w:space="0" w:color="auto"/>
              <w:right w:val="nil"/>
            </w:tcBorders>
            <w:shd w:val="clear" w:color="000000" w:fill="FAC090"/>
            <w:vAlign w:val="center"/>
            <w:hideMark/>
          </w:tcPr>
          <w:p w:rsidR="00857B95" w:rsidRPr="00857B95" w:rsidRDefault="00857B95" w:rsidP="00857B95">
            <w:pPr>
              <w:ind w:left="0"/>
              <w:rPr>
                <w:rFonts w:ascii="Times New Roman" w:hAnsi="Times New Roman"/>
                <w:b/>
                <w:bCs/>
                <w:color w:val="000000"/>
                <w:spacing w:val="0"/>
                <w:lang w:eastAsia="fr-FR"/>
              </w:rPr>
            </w:pPr>
            <w:r w:rsidRPr="00857B95">
              <w:rPr>
                <w:rFonts w:ascii="Times New Roman" w:hAnsi="Times New Roman"/>
                <w:b/>
                <w:bCs/>
                <w:color w:val="000000"/>
                <w:spacing w:val="0"/>
                <w:lang w:eastAsia="fr-FR"/>
              </w:rPr>
              <w:t>GENERAL</w:t>
            </w:r>
          </w:p>
        </w:tc>
        <w:tc>
          <w:tcPr>
            <w:tcW w:w="558" w:type="pct"/>
            <w:tcBorders>
              <w:top w:val="nil"/>
              <w:left w:val="nil"/>
              <w:bottom w:val="single" w:sz="8" w:space="0" w:color="auto"/>
              <w:right w:val="nil"/>
            </w:tcBorders>
            <w:shd w:val="clear" w:color="000000" w:fill="FAC090"/>
            <w:noWrap/>
            <w:vAlign w:val="center"/>
            <w:hideMark/>
          </w:tcPr>
          <w:p w:rsidR="00857B95" w:rsidRPr="00857B95" w:rsidRDefault="00857B95" w:rsidP="00857B95">
            <w:pPr>
              <w:ind w:left="0"/>
              <w:jc w:val="right"/>
              <w:rPr>
                <w:rFonts w:ascii="Times New Roman" w:hAnsi="Times New Roman"/>
                <w:b/>
                <w:bCs/>
                <w:color w:val="000000"/>
                <w:spacing w:val="0"/>
                <w:sz w:val="24"/>
                <w:szCs w:val="24"/>
                <w:lang w:eastAsia="fr-FR"/>
              </w:rPr>
            </w:pPr>
            <w:r w:rsidRPr="00857B95">
              <w:rPr>
                <w:rFonts w:ascii="Times New Roman" w:hAnsi="Times New Roman"/>
                <w:b/>
                <w:bCs/>
                <w:color w:val="000000"/>
                <w:spacing w:val="0"/>
                <w:sz w:val="24"/>
                <w:szCs w:val="24"/>
                <w:lang w:eastAsia="fr-FR"/>
              </w:rPr>
              <w:t>100</w:t>
            </w:r>
          </w:p>
        </w:tc>
        <w:tc>
          <w:tcPr>
            <w:tcW w:w="499" w:type="pct"/>
            <w:tcBorders>
              <w:top w:val="nil"/>
              <w:left w:val="nil"/>
              <w:bottom w:val="single" w:sz="8" w:space="0" w:color="auto"/>
              <w:right w:val="nil"/>
            </w:tcBorders>
            <w:shd w:val="clear" w:color="000000" w:fill="FAC090"/>
            <w:noWrap/>
            <w:vAlign w:val="center"/>
            <w:hideMark/>
          </w:tcPr>
          <w:p w:rsidR="00857B95" w:rsidRPr="00857B95" w:rsidRDefault="00857B95" w:rsidP="00857B95">
            <w:pPr>
              <w:ind w:left="0"/>
              <w:jc w:val="right"/>
              <w:rPr>
                <w:rFonts w:ascii="Times New Roman" w:hAnsi="Times New Roman"/>
                <w:b/>
                <w:bCs/>
                <w:color w:val="000000"/>
                <w:spacing w:val="0"/>
                <w:sz w:val="24"/>
                <w:szCs w:val="24"/>
                <w:lang w:eastAsia="fr-FR"/>
              </w:rPr>
            </w:pPr>
            <w:r w:rsidRPr="00857B95">
              <w:rPr>
                <w:rFonts w:ascii="Times New Roman" w:hAnsi="Times New Roman"/>
                <w:b/>
                <w:bCs/>
                <w:color w:val="000000"/>
                <w:spacing w:val="0"/>
                <w:sz w:val="24"/>
                <w:szCs w:val="24"/>
                <w:lang w:eastAsia="fr-FR"/>
              </w:rPr>
              <w:t>101,3</w:t>
            </w:r>
          </w:p>
        </w:tc>
        <w:tc>
          <w:tcPr>
            <w:tcW w:w="499" w:type="pct"/>
            <w:tcBorders>
              <w:top w:val="nil"/>
              <w:left w:val="nil"/>
              <w:bottom w:val="single" w:sz="8" w:space="0" w:color="auto"/>
              <w:right w:val="nil"/>
            </w:tcBorders>
            <w:shd w:val="clear" w:color="000000" w:fill="FAC090"/>
            <w:noWrap/>
            <w:vAlign w:val="center"/>
            <w:hideMark/>
          </w:tcPr>
          <w:p w:rsidR="00857B95" w:rsidRPr="00857B95" w:rsidRDefault="00857B95" w:rsidP="00857B95">
            <w:pPr>
              <w:ind w:left="0"/>
              <w:jc w:val="right"/>
              <w:rPr>
                <w:rFonts w:ascii="Times New Roman" w:hAnsi="Times New Roman"/>
                <w:b/>
                <w:bCs/>
                <w:color w:val="000000"/>
                <w:spacing w:val="0"/>
                <w:sz w:val="24"/>
                <w:szCs w:val="24"/>
                <w:lang w:eastAsia="fr-FR"/>
              </w:rPr>
            </w:pPr>
            <w:r w:rsidRPr="00857B95">
              <w:rPr>
                <w:rFonts w:ascii="Times New Roman" w:hAnsi="Times New Roman"/>
                <w:b/>
                <w:bCs/>
                <w:color w:val="000000"/>
                <w:spacing w:val="0"/>
                <w:sz w:val="24"/>
                <w:szCs w:val="24"/>
                <w:lang w:eastAsia="fr-FR"/>
              </w:rPr>
              <w:t>105,0</w:t>
            </w:r>
          </w:p>
        </w:tc>
        <w:tc>
          <w:tcPr>
            <w:tcW w:w="499" w:type="pct"/>
            <w:tcBorders>
              <w:top w:val="nil"/>
              <w:left w:val="nil"/>
              <w:bottom w:val="single" w:sz="8" w:space="0" w:color="auto"/>
              <w:right w:val="nil"/>
            </w:tcBorders>
            <w:shd w:val="clear" w:color="000000" w:fill="FAC090"/>
            <w:noWrap/>
            <w:vAlign w:val="center"/>
            <w:hideMark/>
          </w:tcPr>
          <w:p w:rsidR="00857B95" w:rsidRPr="00857B95" w:rsidRDefault="00857B95" w:rsidP="00857B95">
            <w:pPr>
              <w:ind w:left="0"/>
              <w:jc w:val="right"/>
              <w:rPr>
                <w:rFonts w:ascii="Times New Roman" w:hAnsi="Times New Roman"/>
                <w:b/>
                <w:bCs/>
                <w:color w:val="000000"/>
                <w:spacing w:val="0"/>
                <w:sz w:val="24"/>
                <w:szCs w:val="24"/>
                <w:lang w:eastAsia="fr-FR"/>
              </w:rPr>
            </w:pPr>
            <w:r w:rsidRPr="00857B95">
              <w:rPr>
                <w:rFonts w:ascii="Times New Roman" w:hAnsi="Times New Roman"/>
                <w:b/>
                <w:bCs/>
                <w:color w:val="000000"/>
                <w:spacing w:val="0"/>
                <w:sz w:val="24"/>
                <w:szCs w:val="24"/>
                <w:lang w:eastAsia="fr-FR"/>
              </w:rPr>
              <w:t>105,7</w:t>
            </w:r>
          </w:p>
        </w:tc>
        <w:tc>
          <w:tcPr>
            <w:tcW w:w="499" w:type="pct"/>
            <w:tcBorders>
              <w:top w:val="nil"/>
              <w:left w:val="nil"/>
              <w:bottom w:val="single" w:sz="8" w:space="0" w:color="auto"/>
              <w:right w:val="nil"/>
            </w:tcBorders>
            <w:shd w:val="clear" w:color="000000" w:fill="FAC090"/>
            <w:noWrap/>
            <w:vAlign w:val="center"/>
            <w:hideMark/>
          </w:tcPr>
          <w:p w:rsidR="00857B95" w:rsidRPr="00857B95" w:rsidRDefault="00857B95" w:rsidP="00857B95">
            <w:pPr>
              <w:ind w:left="0"/>
              <w:jc w:val="right"/>
              <w:rPr>
                <w:rFonts w:ascii="Times New Roman" w:hAnsi="Times New Roman"/>
                <w:b/>
                <w:bCs/>
                <w:color w:val="000000"/>
                <w:spacing w:val="0"/>
                <w:sz w:val="24"/>
                <w:szCs w:val="24"/>
                <w:lang w:eastAsia="fr-FR"/>
              </w:rPr>
            </w:pPr>
            <w:r w:rsidRPr="00857B95">
              <w:rPr>
                <w:rFonts w:ascii="Times New Roman" w:hAnsi="Times New Roman"/>
                <w:b/>
                <w:bCs/>
                <w:color w:val="000000"/>
                <w:spacing w:val="0"/>
                <w:sz w:val="24"/>
                <w:szCs w:val="24"/>
                <w:lang w:eastAsia="fr-FR"/>
              </w:rPr>
              <w:t>0,7</w:t>
            </w:r>
          </w:p>
        </w:tc>
        <w:tc>
          <w:tcPr>
            <w:tcW w:w="416" w:type="pct"/>
            <w:tcBorders>
              <w:top w:val="nil"/>
              <w:left w:val="nil"/>
              <w:bottom w:val="single" w:sz="8" w:space="0" w:color="auto"/>
              <w:right w:val="nil"/>
            </w:tcBorders>
            <w:shd w:val="clear" w:color="000000" w:fill="FAC090"/>
            <w:noWrap/>
            <w:vAlign w:val="center"/>
            <w:hideMark/>
          </w:tcPr>
          <w:p w:rsidR="00857B95" w:rsidRPr="00857B95" w:rsidRDefault="00857B95" w:rsidP="00857B95">
            <w:pPr>
              <w:ind w:left="0"/>
              <w:jc w:val="right"/>
              <w:rPr>
                <w:rFonts w:ascii="Times New Roman" w:hAnsi="Times New Roman"/>
                <w:b/>
                <w:bCs/>
                <w:color w:val="000000"/>
                <w:spacing w:val="0"/>
                <w:sz w:val="24"/>
                <w:szCs w:val="24"/>
                <w:lang w:eastAsia="fr-FR"/>
              </w:rPr>
            </w:pPr>
            <w:r w:rsidRPr="00857B95">
              <w:rPr>
                <w:rFonts w:ascii="Times New Roman" w:hAnsi="Times New Roman"/>
                <w:b/>
                <w:bCs/>
                <w:color w:val="000000"/>
                <w:spacing w:val="0"/>
                <w:sz w:val="24"/>
                <w:szCs w:val="24"/>
                <w:lang w:eastAsia="fr-FR"/>
              </w:rPr>
              <w:t>4,3</w:t>
            </w:r>
          </w:p>
        </w:tc>
      </w:tr>
    </w:tbl>
    <w:p w:rsidR="00D2208B" w:rsidRPr="00307D13" w:rsidRDefault="00307D13" w:rsidP="00307D13">
      <w:pPr>
        <w:spacing w:before="100" w:beforeAutospacing="1" w:after="100" w:afterAutospacing="1"/>
        <w:ind w:left="0"/>
        <w:contextualSpacing/>
        <w:rPr>
          <w:rFonts w:ascii="Times New Roman" w:eastAsia="Gulim" w:hAnsi="Times New Roman"/>
          <w:i/>
          <w:iCs/>
        </w:rPr>
      </w:pPr>
      <w:r w:rsidRPr="00307D13">
        <w:rPr>
          <w:rFonts w:ascii="Times New Roman" w:eastAsia="Gulim" w:hAnsi="Times New Roman"/>
          <w:i/>
          <w:iCs/>
        </w:rPr>
        <w:t>Source : HCP</w:t>
      </w:r>
    </w:p>
    <w:sectPr w:rsidR="00D2208B" w:rsidRPr="00307D13" w:rsidSect="00C2438D">
      <w:footerReference w:type="even" r:id="rId10"/>
      <w:footerReference w:type="default" r:id="rId11"/>
      <w:footerReference w:type="first" r:id="rId12"/>
      <w:pgSz w:w="11907" w:h="16839" w:code="9"/>
      <w:pgMar w:top="1440" w:right="1080" w:bottom="1440" w:left="1080" w:header="964" w:footer="567"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B70" w:rsidRDefault="00386B70">
      <w:r>
        <w:separator/>
      </w:r>
    </w:p>
    <w:p w:rsidR="00386B70" w:rsidRDefault="00386B70"/>
  </w:endnote>
  <w:endnote w:type="continuationSeparator" w:id="0">
    <w:p w:rsidR="00386B70" w:rsidRDefault="00386B70">
      <w:r>
        <w:continuationSeparator/>
      </w:r>
    </w:p>
    <w:p w:rsidR="00386B70" w:rsidRDefault="00386B7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ooper Black">
    <w:panose1 w:val="0208090404030B020404"/>
    <w:charset w:val="00"/>
    <w:family w:val="roman"/>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36E" w:rsidRDefault="00B25EB1">
    <w:pPr>
      <w:pStyle w:val="Pieddepage"/>
      <w:framePr w:wrap="none" w:vAnchor="text" w:hAnchor="margin" w:xAlign="center" w:y="1"/>
      <w:rPr>
        <w:rStyle w:val="Numrodepage"/>
      </w:rPr>
    </w:pPr>
    <w:r>
      <w:rPr>
        <w:rStyle w:val="Numrodepage"/>
      </w:rPr>
      <w:fldChar w:fldCharType="begin"/>
    </w:r>
    <w:r w:rsidR="0088736E">
      <w:rPr>
        <w:rStyle w:val="Numrodepage"/>
      </w:rPr>
      <w:instrText xml:space="preserve">PAGE  </w:instrText>
    </w:r>
    <w:r>
      <w:rPr>
        <w:rStyle w:val="Numrodepage"/>
      </w:rPr>
      <w:fldChar w:fldCharType="separate"/>
    </w:r>
    <w:r w:rsidR="0088736E">
      <w:rPr>
        <w:rStyle w:val="Numrodepage"/>
      </w:rPr>
      <w:t>2</w:t>
    </w:r>
    <w:r>
      <w:rPr>
        <w:rStyle w:val="Numrodepage"/>
      </w:rPr>
      <w:fldChar w:fldCharType="end"/>
    </w:r>
  </w:p>
  <w:p w:rsidR="0088736E" w:rsidRDefault="0088736E">
    <w:pPr>
      <w:ind w:left="-1080"/>
    </w:pPr>
  </w:p>
  <w:p w:rsidR="0088736E" w:rsidRDefault="0088736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36E" w:rsidRDefault="0088736E" w:rsidP="006326BC">
    <w:pPr>
      <w:pStyle w:val="Pieddepage"/>
      <w:spacing w:line="240" w:lineRule="auto"/>
      <w:ind w:left="0"/>
    </w:pPr>
  </w:p>
  <w:p w:rsidR="0088736E" w:rsidRPr="009B15D4" w:rsidRDefault="0088736E" w:rsidP="009B15D4">
    <w:pPr>
      <w:ind w:left="0"/>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36E" w:rsidRDefault="0088736E" w:rsidP="00756E13">
    <w:pPr>
      <w:pStyle w:val="Pieddepage"/>
      <w:spacing w:line="240" w:lineRule="auto"/>
      <w:ind w:left="0"/>
      <w:jc w:val="center"/>
    </w:pPr>
  </w:p>
  <w:p w:rsidR="0088736E" w:rsidRPr="00756E13" w:rsidRDefault="0088736E" w:rsidP="00756E13">
    <w:pPr>
      <w:pStyle w:val="Pieddepage"/>
      <w:spacing w:line="240" w:lineRule="auto"/>
      <w:ind w:left="0"/>
      <w:contextualSpacing/>
      <w:jc w:val="center"/>
      <w:rPr>
        <w:b/>
        <w:bCs/>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B70" w:rsidRDefault="00386B70">
      <w:r>
        <w:separator/>
      </w:r>
    </w:p>
    <w:p w:rsidR="00386B70" w:rsidRDefault="00386B70"/>
  </w:footnote>
  <w:footnote w:type="continuationSeparator" w:id="0">
    <w:p w:rsidR="00386B70" w:rsidRDefault="00386B70">
      <w:r>
        <w:continuationSeparator/>
      </w:r>
    </w:p>
    <w:p w:rsidR="00386B70" w:rsidRDefault="00386B7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http://app.ushopcomp.com/a/usr/logo.png?t=2015217&amp;usertype=active&amp;hid=E268DB99-5EF5-4F48-81E8-5FAA2AEC700F&amp;partid=king_qc_firstimage&amp;subid=1049816" style="width:.75pt;height:.75pt;visibility:visible;mso-wrap-style:square" o:bullet="t">
        <v:imagedata r:id="rId1" o:title="logo"/>
      </v:shape>
    </w:pict>
  </w:numPicBullet>
  <w:abstractNum w:abstractNumId="0">
    <w:nsid w:val="FFFFFF7C"/>
    <w:multiLevelType w:val="singleLevel"/>
    <w:tmpl w:val="34502AD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744EBE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7E830B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39C8A8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2E241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1263F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F7074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CE7D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B84FD2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0888FDE"/>
    <w:lvl w:ilvl="0">
      <w:start w:val="1"/>
      <w:numFmt w:val="bullet"/>
      <w:lvlText w:val=""/>
      <w:lvlJc w:val="left"/>
      <w:pPr>
        <w:tabs>
          <w:tab w:val="num" w:pos="360"/>
        </w:tabs>
        <w:ind w:left="360" w:hanging="360"/>
      </w:pPr>
      <w:rPr>
        <w:rFonts w:ascii="Symbol" w:hAnsi="Symbol" w:hint="default"/>
      </w:rPr>
    </w:lvl>
  </w:abstractNum>
  <w:abstractNum w:abstractNumId="10">
    <w:nsid w:val="4B170563"/>
    <w:multiLevelType w:val="singleLevel"/>
    <w:tmpl w:val="4A84109C"/>
    <w:lvl w:ilvl="0">
      <w:start w:val="1"/>
      <w:numFmt w:val="bullet"/>
      <w:pStyle w:val="Listepuces"/>
      <w:lvlText w:val=""/>
      <w:lvlJc w:val="left"/>
      <w:pPr>
        <w:tabs>
          <w:tab w:val="num" w:pos="1440"/>
        </w:tabs>
        <w:ind w:left="1440" w:hanging="360"/>
      </w:pPr>
      <w:rPr>
        <w:rFonts w:ascii="Wingdings" w:hAnsi="Wingdings" w:hint="default"/>
        <w:sz w:val="16"/>
      </w:rPr>
    </w:lvl>
  </w:abstractNum>
  <w:abstractNum w:abstractNumId="11">
    <w:nsid w:val="4FFC4840"/>
    <w:multiLevelType w:val="hybridMultilevel"/>
    <w:tmpl w:val="0EFE7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isplayBackgroundShape/>
  <w:proofState w:spelling="clean" w:grammar="clean"/>
  <w:attachedTemplate r:id="rId1"/>
  <w:stylePaneFormatFilter w:val="3F01"/>
  <w:defaultTabStop w:val="720"/>
  <w:hyphenationZone w:val="425"/>
  <w:drawingGridHorizontalSpacing w:val="195"/>
  <w:drawingGridVerticalSpacing w:val="136"/>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962D0D"/>
    <w:rsid w:val="0000028E"/>
    <w:rsid w:val="000002B3"/>
    <w:rsid w:val="00000A75"/>
    <w:rsid w:val="00001339"/>
    <w:rsid w:val="0000136B"/>
    <w:rsid w:val="000016C1"/>
    <w:rsid w:val="000017F0"/>
    <w:rsid w:val="00002D88"/>
    <w:rsid w:val="000030B6"/>
    <w:rsid w:val="000032DE"/>
    <w:rsid w:val="00003520"/>
    <w:rsid w:val="00003C46"/>
    <w:rsid w:val="00004083"/>
    <w:rsid w:val="00005ED3"/>
    <w:rsid w:val="000062AB"/>
    <w:rsid w:val="00007EBA"/>
    <w:rsid w:val="0001074C"/>
    <w:rsid w:val="000122C3"/>
    <w:rsid w:val="00012886"/>
    <w:rsid w:val="0001290A"/>
    <w:rsid w:val="0001346B"/>
    <w:rsid w:val="00013C48"/>
    <w:rsid w:val="000142D2"/>
    <w:rsid w:val="00014DDA"/>
    <w:rsid w:val="000154A1"/>
    <w:rsid w:val="000157DA"/>
    <w:rsid w:val="00015D29"/>
    <w:rsid w:val="00015F06"/>
    <w:rsid w:val="000169A0"/>
    <w:rsid w:val="00017579"/>
    <w:rsid w:val="00017C1D"/>
    <w:rsid w:val="00017FF3"/>
    <w:rsid w:val="00020602"/>
    <w:rsid w:val="00020866"/>
    <w:rsid w:val="00020AA8"/>
    <w:rsid w:val="000210EE"/>
    <w:rsid w:val="000212F9"/>
    <w:rsid w:val="00021FB3"/>
    <w:rsid w:val="0002284B"/>
    <w:rsid w:val="000233EB"/>
    <w:rsid w:val="000238D8"/>
    <w:rsid w:val="00023E63"/>
    <w:rsid w:val="00024293"/>
    <w:rsid w:val="0002600D"/>
    <w:rsid w:val="000272DA"/>
    <w:rsid w:val="0002753A"/>
    <w:rsid w:val="000303CF"/>
    <w:rsid w:val="00031068"/>
    <w:rsid w:val="00031B0C"/>
    <w:rsid w:val="00032189"/>
    <w:rsid w:val="000321D6"/>
    <w:rsid w:val="00033547"/>
    <w:rsid w:val="0003399D"/>
    <w:rsid w:val="00033DAE"/>
    <w:rsid w:val="00033F43"/>
    <w:rsid w:val="00034B9D"/>
    <w:rsid w:val="00035080"/>
    <w:rsid w:val="000355BD"/>
    <w:rsid w:val="00035710"/>
    <w:rsid w:val="00035859"/>
    <w:rsid w:val="0003653C"/>
    <w:rsid w:val="00036781"/>
    <w:rsid w:val="00036F86"/>
    <w:rsid w:val="0004039E"/>
    <w:rsid w:val="000426A1"/>
    <w:rsid w:val="00046CE3"/>
    <w:rsid w:val="00047130"/>
    <w:rsid w:val="00047F74"/>
    <w:rsid w:val="000503C2"/>
    <w:rsid w:val="00050951"/>
    <w:rsid w:val="00050C50"/>
    <w:rsid w:val="00050E83"/>
    <w:rsid w:val="00050F20"/>
    <w:rsid w:val="00051F75"/>
    <w:rsid w:val="000520BB"/>
    <w:rsid w:val="0005272F"/>
    <w:rsid w:val="00052E7B"/>
    <w:rsid w:val="00053184"/>
    <w:rsid w:val="00053473"/>
    <w:rsid w:val="00055248"/>
    <w:rsid w:val="00056BA2"/>
    <w:rsid w:val="00056F45"/>
    <w:rsid w:val="00057467"/>
    <w:rsid w:val="00057BCD"/>
    <w:rsid w:val="00057C0C"/>
    <w:rsid w:val="0006085F"/>
    <w:rsid w:val="00060D20"/>
    <w:rsid w:val="000626E2"/>
    <w:rsid w:val="000627B8"/>
    <w:rsid w:val="0006311E"/>
    <w:rsid w:val="00063E5A"/>
    <w:rsid w:val="0006573E"/>
    <w:rsid w:val="00065BAE"/>
    <w:rsid w:val="00065BC9"/>
    <w:rsid w:val="00066AAA"/>
    <w:rsid w:val="00066BD7"/>
    <w:rsid w:val="00066DAA"/>
    <w:rsid w:val="000678BA"/>
    <w:rsid w:val="00070067"/>
    <w:rsid w:val="000705ED"/>
    <w:rsid w:val="00071310"/>
    <w:rsid w:val="00071CCB"/>
    <w:rsid w:val="000731E1"/>
    <w:rsid w:val="000737E3"/>
    <w:rsid w:val="00073B5D"/>
    <w:rsid w:val="00073FFA"/>
    <w:rsid w:val="00074F5B"/>
    <w:rsid w:val="00075332"/>
    <w:rsid w:val="00075B52"/>
    <w:rsid w:val="00075BAB"/>
    <w:rsid w:val="00075DC5"/>
    <w:rsid w:val="00075F9B"/>
    <w:rsid w:val="0007663C"/>
    <w:rsid w:val="0007682B"/>
    <w:rsid w:val="000779A8"/>
    <w:rsid w:val="00077A15"/>
    <w:rsid w:val="000804A3"/>
    <w:rsid w:val="000804C8"/>
    <w:rsid w:val="00082025"/>
    <w:rsid w:val="00082340"/>
    <w:rsid w:val="000837AF"/>
    <w:rsid w:val="00083E99"/>
    <w:rsid w:val="00084125"/>
    <w:rsid w:val="00085BFE"/>
    <w:rsid w:val="00085F69"/>
    <w:rsid w:val="00086858"/>
    <w:rsid w:val="000874FB"/>
    <w:rsid w:val="000877FE"/>
    <w:rsid w:val="0009081A"/>
    <w:rsid w:val="00092747"/>
    <w:rsid w:val="00092E56"/>
    <w:rsid w:val="00092F4E"/>
    <w:rsid w:val="0009326E"/>
    <w:rsid w:val="00093AE7"/>
    <w:rsid w:val="00093E01"/>
    <w:rsid w:val="000946C0"/>
    <w:rsid w:val="000946FC"/>
    <w:rsid w:val="00094AE0"/>
    <w:rsid w:val="00094C87"/>
    <w:rsid w:val="00095727"/>
    <w:rsid w:val="000966EE"/>
    <w:rsid w:val="000A1C4C"/>
    <w:rsid w:val="000A1E87"/>
    <w:rsid w:val="000A1EA4"/>
    <w:rsid w:val="000A3094"/>
    <w:rsid w:val="000A322E"/>
    <w:rsid w:val="000A44B2"/>
    <w:rsid w:val="000A46FE"/>
    <w:rsid w:val="000A507D"/>
    <w:rsid w:val="000A5342"/>
    <w:rsid w:val="000A5363"/>
    <w:rsid w:val="000A5546"/>
    <w:rsid w:val="000A5973"/>
    <w:rsid w:val="000A5E6E"/>
    <w:rsid w:val="000A69A7"/>
    <w:rsid w:val="000A6A51"/>
    <w:rsid w:val="000B01BA"/>
    <w:rsid w:val="000B0542"/>
    <w:rsid w:val="000B0FF9"/>
    <w:rsid w:val="000B1161"/>
    <w:rsid w:val="000B1712"/>
    <w:rsid w:val="000B2553"/>
    <w:rsid w:val="000B2944"/>
    <w:rsid w:val="000B332E"/>
    <w:rsid w:val="000B34BB"/>
    <w:rsid w:val="000B384D"/>
    <w:rsid w:val="000B4D74"/>
    <w:rsid w:val="000B5E58"/>
    <w:rsid w:val="000B67A3"/>
    <w:rsid w:val="000B6966"/>
    <w:rsid w:val="000B6DAF"/>
    <w:rsid w:val="000B6DBB"/>
    <w:rsid w:val="000B7013"/>
    <w:rsid w:val="000B758A"/>
    <w:rsid w:val="000B7835"/>
    <w:rsid w:val="000B7F73"/>
    <w:rsid w:val="000C1B60"/>
    <w:rsid w:val="000C20D7"/>
    <w:rsid w:val="000C26E8"/>
    <w:rsid w:val="000C2926"/>
    <w:rsid w:val="000C3828"/>
    <w:rsid w:val="000C4B99"/>
    <w:rsid w:val="000C4E91"/>
    <w:rsid w:val="000C54C3"/>
    <w:rsid w:val="000C561A"/>
    <w:rsid w:val="000C5CC5"/>
    <w:rsid w:val="000C5CE3"/>
    <w:rsid w:val="000C5CE7"/>
    <w:rsid w:val="000C65B5"/>
    <w:rsid w:val="000C727E"/>
    <w:rsid w:val="000C73BB"/>
    <w:rsid w:val="000C7BD9"/>
    <w:rsid w:val="000C7E27"/>
    <w:rsid w:val="000D0031"/>
    <w:rsid w:val="000D076A"/>
    <w:rsid w:val="000D086D"/>
    <w:rsid w:val="000D09D2"/>
    <w:rsid w:val="000D0D49"/>
    <w:rsid w:val="000D2395"/>
    <w:rsid w:val="000D270B"/>
    <w:rsid w:val="000D2E6A"/>
    <w:rsid w:val="000D2EDF"/>
    <w:rsid w:val="000D3344"/>
    <w:rsid w:val="000D3727"/>
    <w:rsid w:val="000D3785"/>
    <w:rsid w:val="000D38DA"/>
    <w:rsid w:val="000D3FE9"/>
    <w:rsid w:val="000D4BF7"/>
    <w:rsid w:val="000D753E"/>
    <w:rsid w:val="000D7FCD"/>
    <w:rsid w:val="000E17CE"/>
    <w:rsid w:val="000E1AF6"/>
    <w:rsid w:val="000E1E68"/>
    <w:rsid w:val="000E3991"/>
    <w:rsid w:val="000E3BA7"/>
    <w:rsid w:val="000E4308"/>
    <w:rsid w:val="000E50B3"/>
    <w:rsid w:val="000E6499"/>
    <w:rsid w:val="000E655D"/>
    <w:rsid w:val="000E6587"/>
    <w:rsid w:val="000E6AAD"/>
    <w:rsid w:val="000E6E3F"/>
    <w:rsid w:val="000E71A0"/>
    <w:rsid w:val="000E7599"/>
    <w:rsid w:val="000E76C7"/>
    <w:rsid w:val="000F0C99"/>
    <w:rsid w:val="000F130A"/>
    <w:rsid w:val="000F172D"/>
    <w:rsid w:val="000F1FEF"/>
    <w:rsid w:val="000F25E1"/>
    <w:rsid w:val="000F26CD"/>
    <w:rsid w:val="000F3232"/>
    <w:rsid w:val="000F3737"/>
    <w:rsid w:val="000F3B63"/>
    <w:rsid w:val="000F41B6"/>
    <w:rsid w:val="000F4299"/>
    <w:rsid w:val="000F47A1"/>
    <w:rsid w:val="000F47F6"/>
    <w:rsid w:val="000F4D76"/>
    <w:rsid w:val="000F539B"/>
    <w:rsid w:val="000F541B"/>
    <w:rsid w:val="000F6AAA"/>
    <w:rsid w:val="000F6C73"/>
    <w:rsid w:val="000F7388"/>
    <w:rsid w:val="000F79BC"/>
    <w:rsid w:val="001003A4"/>
    <w:rsid w:val="00100A91"/>
    <w:rsid w:val="00100C5E"/>
    <w:rsid w:val="00100D7E"/>
    <w:rsid w:val="00100FEB"/>
    <w:rsid w:val="001016A9"/>
    <w:rsid w:val="00101D0C"/>
    <w:rsid w:val="0010248C"/>
    <w:rsid w:val="0010253D"/>
    <w:rsid w:val="00102854"/>
    <w:rsid w:val="0010371A"/>
    <w:rsid w:val="0010373A"/>
    <w:rsid w:val="00103EB2"/>
    <w:rsid w:val="001044CF"/>
    <w:rsid w:val="0010506D"/>
    <w:rsid w:val="00105DB4"/>
    <w:rsid w:val="00105E77"/>
    <w:rsid w:val="0010604E"/>
    <w:rsid w:val="00106CE8"/>
    <w:rsid w:val="001076DE"/>
    <w:rsid w:val="00107C4D"/>
    <w:rsid w:val="0011023F"/>
    <w:rsid w:val="0011049D"/>
    <w:rsid w:val="0011063E"/>
    <w:rsid w:val="001108D6"/>
    <w:rsid w:val="001116E1"/>
    <w:rsid w:val="00111D45"/>
    <w:rsid w:val="00111F52"/>
    <w:rsid w:val="001122DC"/>
    <w:rsid w:val="00112CCA"/>
    <w:rsid w:val="0011309A"/>
    <w:rsid w:val="00113F4F"/>
    <w:rsid w:val="001140BC"/>
    <w:rsid w:val="0011456D"/>
    <w:rsid w:val="00114BCB"/>
    <w:rsid w:val="00114FC6"/>
    <w:rsid w:val="001157C5"/>
    <w:rsid w:val="00115A58"/>
    <w:rsid w:val="001166B9"/>
    <w:rsid w:val="00117CA5"/>
    <w:rsid w:val="00120428"/>
    <w:rsid w:val="001212D2"/>
    <w:rsid w:val="00121554"/>
    <w:rsid w:val="001257A7"/>
    <w:rsid w:val="0012581B"/>
    <w:rsid w:val="00125946"/>
    <w:rsid w:val="00125C01"/>
    <w:rsid w:val="0012630E"/>
    <w:rsid w:val="001265E0"/>
    <w:rsid w:val="00126931"/>
    <w:rsid w:val="001270FB"/>
    <w:rsid w:val="00127F73"/>
    <w:rsid w:val="00127FD9"/>
    <w:rsid w:val="00131929"/>
    <w:rsid w:val="001319EC"/>
    <w:rsid w:val="00131B1A"/>
    <w:rsid w:val="001321E6"/>
    <w:rsid w:val="001324F6"/>
    <w:rsid w:val="00132F3D"/>
    <w:rsid w:val="00133809"/>
    <w:rsid w:val="00134B8A"/>
    <w:rsid w:val="00135921"/>
    <w:rsid w:val="00135954"/>
    <w:rsid w:val="00135973"/>
    <w:rsid w:val="00135DFF"/>
    <w:rsid w:val="00136ECA"/>
    <w:rsid w:val="00137D3D"/>
    <w:rsid w:val="00137EBE"/>
    <w:rsid w:val="00140671"/>
    <w:rsid w:val="00140C7F"/>
    <w:rsid w:val="00140E96"/>
    <w:rsid w:val="00140F94"/>
    <w:rsid w:val="00141A1F"/>
    <w:rsid w:val="00141B7E"/>
    <w:rsid w:val="00141BE8"/>
    <w:rsid w:val="00142DFE"/>
    <w:rsid w:val="00142E91"/>
    <w:rsid w:val="00142EBE"/>
    <w:rsid w:val="0014327D"/>
    <w:rsid w:val="001433E6"/>
    <w:rsid w:val="001434DC"/>
    <w:rsid w:val="00143BD9"/>
    <w:rsid w:val="00143D8E"/>
    <w:rsid w:val="00144A66"/>
    <w:rsid w:val="00145A01"/>
    <w:rsid w:val="00145CA9"/>
    <w:rsid w:val="00146704"/>
    <w:rsid w:val="00146978"/>
    <w:rsid w:val="00146F72"/>
    <w:rsid w:val="00147A10"/>
    <w:rsid w:val="00147A86"/>
    <w:rsid w:val="00147ACB"/>
    <w:rsid w:val="001505FF"/>
    <w:rsid w:val="00150A46"/>
    <w:rsid w:val="00150AD1"/>
    <w:rsid w:val="0015156C"/>
    <w:rsid w:val="0015231A"/>
    <w:rsid w:val="00152338"/>
    <w:rsid w:val="001535CE"/>
    <w:rsid w:val="0015397A"/>
    <w:rsid w:val="00153B40"/>
    <w:rsid w:val="001547B5"/>
    <w:rsid w:val="00154853"/>
    <w:rsid w:val="00155403"/>
    <w:rsid w:val="0015557D"/>
    <w:rsid w:val="001578ED"/>
    <w:rsid w:val="0015797E"/>
    <w:rsid w:val="00160903"/>
    <w:rsid w:val="00160EC1"/>
    <w:rsid w:val="00161885"/>
    <w:rsid w:val="00162732"/>
    <w:rsid w:val="001628E0"/>
    <w:rsid w:val="00162B79"/>
    <w:rsid w:val="00162C0D"/>
    <w:rsid w:val="00162F8C"/>
    <w:rsid w:val="00163510"/>
    <w:rsid w:val="00163D76"/>
    <w:rsid w:val="00163F5D"/>
    <w:rsid w:val="00164143"/>
    <w:rsid w:val="001642FB"/>
    <w:rsid w:val="00165CCD"/>
    <w:rsid w:val="001667BE"/>
    <w:rsid w:val="00166B4A"/>
    <w:rsid w:val="0016795E"/>
    <w:rsid w:val="00170334"/>
    <w:rsid w:val="00170678"/>
    <w:rsid w:val="001711CE"/>
    <w:rsid w:val="001715A1"/>
    <w:rsid w:val="001719F9"/>
    <w:rsid w:val="001719FF"/>
    <w:rsid w:val="00172958"/>
    <w:rsid w:val="00172A9F"/>
    <w:rsid w:val="00174B6B"/>
    <w:rsid w:val="00174BCF"/>
    <w:rsid w:val="00174CE4"/>
    <w:rsid w:val="00174F40"/>
    <w:rsid w:val="00175954"/>
    <w:rsid w:val="001759BD"/>
    <w:rsid w:val="00175C68"/>
    <w:rsid w:val="00176852"/>
    <w:rsid w:val="001769D8"/>
    <w:rsid w:val="00177549"/>
    <w:rsid w:val="00177FCE"/>
    <w:rsid w:val="00180B9A"/>
    <w:rsid w:val="00181324"/>
    <w:rsid w:val="001821BF"/>
    <w:rsid w:val="001822B6"/>
    <w:rsid w:val="001822D5"/>
    <w:rsid w:val="00182C41"/>
    <w:rsid w:val="00182E71"/>
    <w:rsid w:val="00183F0D"/>
    <w:rsid w:val="00184A0A"/>
    <w:rsid w:val="00185026"/>
    <w:rsid w:val="00185A2F"/>
    <w:rsid w:val="00186A1B"/>
    <w:rsid w:val="00186CF7"/>
    <w:rsid w:val="00186E75"/>
    <w:rsid w:val="001879D2"/>
    <w:rsid w:val="00187A51"/>
    <w:rsid w:val="00192A0C"/>
    <w:rsid w:val="0019438F"/>
    <w:rsid w:val="0019443B"/>
    <w:rsid w:val="001946A3"/>
    <w:rsid w:val="00194950"/>
    <w:rsid w:val="001951FE"/>
    <w:rsid w:val="00196051"/>
    <w:rsid w:val="0019626B"/>
    <w:rsid w:val="00196406"/>
    <w:rsid w:val="0019697A"/>
    <w:rsid w:val="00196A82"/>
    <w:rsid w:val="00196BBF"/>
    <w:rsid w:val="001972BE"/>
    <w:rsid w:val="00197603"/>
    <w:rsid w:val="00197938"/>
    <w:rsid w:val="00197C5E"/>
    <w:rsid w:val="00197D93"/>
    <w:rsid w:val="00197E74"/>
    <w:rsid w:val="001A107E"/>
    <w:rsid w:val="001A1309"/>
    <w:rsid w:val="001A15B7"/>
    <w:rsid w:val="001A1DDC"/>
    <w:rsid w:val="001A2FB1"/>
    <w:rsid w:val="001A32A0"/>
    <w:rsid w:val="001A4173"/>
    <w:rsid w:val="001A4A7D"/>
    <w:rsid w:val="001A6488"/>
    <w:rsid w:val="001A6C0F"/>
    <w:rsid w:val="001A76A8"/>
    <w:rsid w:val="001A7ABF"/>
    <w:rsid w:val="001B0163"/>
    <w:rsid w:val="001B01E1"/>
    <w:rsid w:val="001B1083"/>
    <w:rsid w:val="001B1796"/>
    <w:rsid w:val="001B1EA1"/>
    <w:rsid w:val="001B2809"/>
    <w:rsid w:val="001B2FB0"/>
    <w:rsid w:val="001B3089"/>
    <w:rsid w:val="001B39EE"/>
    <w:rsid w:val="001B3D3D"/>
    <w:rsid w:val="001B5148"/>
    <w:rsid w:val="001B5338"/>
    <w:rsid w:val="001B53E7"/>
    <w:rsid w:val="001B58F2"/>
    <w:rsid w:val="001B62CB"/>
    <w:rsid w:val="001B6789"/>
    <w:rsid w:val="001B6B04"/>
    <w:rsid w:val="001B6CCD"/>
    <w:rsid w:val="001B7085"/>
    <w:rsid w:val="001B777B"/>
    <w:rsid w:val="001B7DA7"/>
    <w:rsid w:val="001C0487"/>
    <w:rsid w:val="001C10CF"/>
    <w:rsid w:val="001C12DF"/>
    <w:rsid w:val="001C1691"/>
    <w:rsid w:val="001C1F6E"/>
    <w:rsid w:val="001C3738"/>
    <w:rsid w:val="001C50E5"/>
    <w:rsid w:val="001C5B75"/>
    <w:rsid w:val="001C5C8C"/>
    <w:rsid w:val="001C759C"/>
    <w:rsid w:val="001C7908"/>
    <w:rsid w:val="001C79BC"/>
    <w:rsid w:val="001C7CCF"/>
    <w:rsid w:val="001D0EE5"/>
    <w:rsid w:val="001D370F"/>
    <w:rsid w:val="001D37E4"/>
    <w:rsid w:val="001D392E"/>
    <w:rsid w:val="001D3DE4"/>
    <w:rsid w:val="001D4722"/>
    <w:rsid w:val="001D4D9F"/>
    <w:rsid w:val="001D51F7"/>
    <w:rsid w:val="001D533B"/>
    <w:rsid w:val="001D6A28"/>
    <w:rsid w:val="001D72A8"/>
    <w:rsid w:val="001D7B44"/>
    <w:rsid w:val="001E13ED"/>
    <w:rsid w:val="001E1881"/>
    <w:rsid w:val="001E2096"/>
    <w:rsid w:val="001E2578"/>
    <w:rsid w:val="001E2A4A"/>
    <w:rsid w:val="001E4EC8"/>
    <w:rsid w:val="001E5E64"/>
    <w:rsid w:val="001E7000"/>
    <w:rsid w:val="001E74EB"/>
    <w:rsid w:val="001E7E86"/>
    <w:rsid w:val="001F0B5C"/>
    <w:rsid w:val="001F0E7C"/>
    <w:rsid w:val="001F0F90"/>
    <w:rsid w:val="001F1581"/>
    <w:rsid w:val="001F1654"/>
    <w:rsid w:val="001F179D"/>
    <w:rsid w:val="001F1C6D"/>
    <w:rsid w:val="001F2760"/>
    <w:rsid w:val="001F3699"/>
    <w:rsid w:val="001F3713"/>
    <w:rsid w:val="001F38E9"/>
    <w:rsid w:val="001F4262"/>
    <w:rsid w:val="001F4419"/>
    <w:rsid w:val="001F4D6B"/>
    <w:rsid w:val="001F50B6"/>
    <w:rsid w:val="001F5824"/>
    <w:rsid w:val="001F5DA6"/>
    <w:rsid w:val="001F5E83"/>
    <w:rsid w:val="001F5EA9"/>
    <w:rsid w:val="001F64EB"/>
    <w:rsid w:val="001F6B62"/>
    <w:rsid w:val="001F77C8"/>
    <w:rsid w:val="001F7A4E"/>
    <w:rsid w:val="00200750"/>
    <w:rsid w:val="00200A8B"/>
    <w:rsid w:val="00200AE5"/>
    <w:rsid w:val="00200C10"/>
    <w:rsid w:val="00200DAE"/>
    <w:rsid w:val="0020181A"/>
    <w:rsid w:val="00201C28"/>
    <w:rsid w:val="00201FBB"/>
    <w:rsid w:val="00202D97"/>
    <w:rsid w:val="002034FA"/>
    <w:rsid w:val="00203841"/>
    <w:rsid w:val="002038F1"/>
    <w:rsid w:val="00204259"/>
    <w:rsid w:val="00204833"/>
    <w:rsid w:val="00204A35"/>
    <w:rsid w:val="00205614"/>
    <w:rsid w:val="00206BEC"/>
    <w:rsid w:val="00206DD9"/>
    <w:rsid w:val="00206FC0"/>
    <w:rsid w:val="00207149"/>
    <w:rsid w:val="002076F4"/>
    <w:rsid w:val="00210119"/>
    <w:rsid w:val="00210374"/>
    <w:rsid w:val="00210F68"/>
    <w:rsid w:val="002111E7"/>
    <w:rsid w:val="00211ABA"/>
    <w:rsid w:val="00212819"/>
    <w:rsid w:val="00212851"/>
    <w:rsid w:val="00212AAF"/>
    <w:rsid w:val="00212D9D"/>
    <w:rsid w:val="00212DC3"/>
    <w:rsid w:val="00213360"/>
    <w:rsid w:val="00213E03"/>
    <w:rsid w:val="00214AAF"/>
    <w:rsid w:val="00214AC0"/>
    <w:rsid w:val="00215534"/>
    <w:rsid w:val="002155AB"/>
    <w:rsid w:val="00215636"/>
    <w:rsid w:val="002169BF"/>
    <w:rsid w:val="002169F0"/>
    <w:rsid w:val="002203DD"/>
    <w:rsid w:val="00220806"/>
    <w:rsid w:val="0022093F"/>
    <w:rsid w:val="00222269"/>
    <w:rsid w:val="002222F2"/>
    <w:rsid w:val="00224266"/>
    <w:rsid w:val="00224597"/>
    <w:rsid w:val="00225C63"/>
    <w:rsid w:val="00225D31"/>
    <w:rsid w:val="002277FE"/>
    <w:rsid w:val="002307A2"/>
    <w:rsid w:val="00230A74"/>
    <w:rsid w:val="00231C93"/>
    <w:rsid w:val="0023233D"/>
    <w:rsid w:val="00232419"/>
    <w:rsid w:val="00232B13"/>
    <w:rsid w:val="00232E67"/>
    <w:rsid w:val="00232F6C"/>
    <w:rsid w:val="0023355D"/>
    <w:rsid w:val="002336C5"/>
    <w:rsid w:val="00234087"/>
    <w:rsid w:val="0023440D"/>
    <w:rsid w:val="002346F8"/>
    <w:rsid w:val="002348AD"/>
    <w:rsid w:val="00235955"/>
    <w:rsid w:val="00235A8C"/>
    <w:rsid w:val="00236E2B"/>
    <w:rsid w:val="00236EE2"/>
    <w:rsid w:val="002372EA"/>
    <w:rsid w:val="002373B8"/>
    <w:rsid w:val="00237D6F"/>
    <w:rsid w:val="00240118"/>
    <w:rsid w:val="00240A0F"/>
    <w:rsid w:val="00240EF7"/>
    <w:rsid w:val="002412E0"/>
    <w:rsid w:val="00241365"/>
    <w:rsid w:val="002413D0"/>
    <w:rsid w:val="0024246A"/>
    <w:rsid w:val="00242549"/>
    <w:rsid w:val="00242573"/>
    <w:rsid w:val="002429AE"/>
    <w:rsid w:val="00245034"/>
    <w:rsid w:val="00245119"/>
    <w:rsid w:val="00245C8E"/>
    <w:rsid w:val="00246265"/>
    <w:rsid w:val="0024670B"/>
    <w:rsid w:val="002472EE"/>
    <w:rsid w:val="002479AB"/>
    <w:rsid w:val="00247EF5"/>
    <w:rsid w:val="0025008C"/>
    <w:rsid w:val="00250601"/>
    <w:rsid w:val="0025078A"/>
    <w:rsid w:val="002508E9"/>
    <w:rsid w:val="00250BDA"/>
    <w:rsid w:val="00251BDF"/>
    <w:rsid w:val="0025265A"/>
    <w:rsid w:val="002526D9"/>
    <w:rsid w:val="002532CE"/>
    <w:rsid w:val="0025331F"/>
    <w:rsid w:val="0025356A"/>
    <w:rsid w:val="00253923"/>
    <w:rsid w:val="002541B1"/>
    <w:rsid w:val="002544A5"/>
    <w:rsid w:val="00254AF1"/>
    <w:rsid w:val="00254C19"/>
    <w:rsid w:val="00254E3F"/>
    <w:rsid w:val="00255895"/>
    <w:rsid w:val="00256465"/>
    <w:rsid w:val="00256772"/>
    <w:rsid w:val="002569EA"/>
    <w:rsid w:val="002573FE"/>
    <w:rsid w:val="002576B4"/>
    <w:rsid w:val="00257A02"/>
    <w:rsid w:val="00260293"/>
    <w:rsid w:val="00260987"/>
    <w:rsid w:val="00260A52"/>
    <w:rsid w:val="00260EDE"/>
    <w:rsid w:val="00261930"/>
    <w:rsid w:val="0026295A"/>
    <w:rsid w:val="00262993"/>
    <w:rsid w:val="002629D0"/>
    <w:rsid w:val="002643DD"/>
    <w:rsid w:val="002647C7"/>
    <w:rsid w:val="0026493E"/>
    <w:rsid w:val="00264CBB"/>
    <w:rsid w:val="002660D7"/>
    <w:rsid w:val="00266939"/>
    <w:rsid w:val="00266A2D"/>
    <w:rsid w:val="00266E01"/>
    <w:rsid w:val="00267311"/>
    <w:rsid w:val="00267822"/>
    <w:rsid w:val="00270C91"/>
    <w:rsid w:val="00270EBB"/>
    <w:rsid w:val="0027175B"/>
    <w:rsid w:val="002723DA"/>
    <w:rsid w:val="0027252A"/>
    <w:rsid w:val="002726F6"/>
    <w:rsid w:val="00272A6A"/>
    <w:rsid w:val="00272B7B"/>
    <w:rsid w:val="00272FA7"/>
    <w:rsid w:val="002730BC"/>
    <w:rsid w:val="0027360C"/>
    <w:rsid w:val="00273951"/>
    <w:rsid w:val="00274E53"/>
    <w:rsid w:val="002752F3"/>
    <w:rsid w:val="002760A6"/>
    <w:rsid w:val="00276578"/>
    <w:rsid w:val="002766B1"/>
    <w:rsid w:val="00276A5E"/>
    <w:rsid w:val="00277E6A"/>
    <w:rsid w:val="002800F6"/>
    <w:rsid w:val="002807EF"/>
    <w:rsid w:val="00280953"/>
    <w:rsid w:val="00280BB2"/>
    <w:rsid w:val="00281B4F"/>
    <w:rsid w:val="00283BDF"/>
    <w:rsid w:val="00283D93"/>
    <w:rsid w:val="002849CC"/>
    <w:rsid w:val="00284C3C"/>
    <w:rsid w:val="002863A5"/>
    <w:rsid w:val="002867E9"/>
    <w:rsid w:val="002868E3"/>
    <w:rsid w:val="0028730B"/>
    <w:rsid w:val="00287947"/>
    <w:rsid w:val="002902DB"/>
    <w:rsid w:val="0029035E"/>
    <w:rsid w:val="00290445"/>
    <w:rsid w:val="00290A79"/>
    <w:rsid w:val="00290E3B"/>
    <w:rsid w:val="00292444"/>
    <w:rsid w:val="00292503"/>
    <w:rsid w:val="0029265E"/>
    <w:rsid w:val="00292B66"/>
    <w:rsid w:val="00292D54"/>
    <w:rsid w:val="002937C7"/>
    <w:rsid w:val="00294407"/>
    <w:rsid w:val="00294F2F"/>
    <w:rsid w:val="00295247"/>
    <w:rsid w:val="002955CA"/>
    <w:rsid w:val="002957DE"/>
    <w:rsid w:val="0029619D"/>
    <w:rsid w:val="002969E7"/>
    <w:rsid w:val="00296D27"/>
    <w:rsid w:val="00297BE8"/>
    <w:rsid w:val="00297CA3"/>
    <w:rsid w:val="002A0C25"/>
    <w:rsid w:val="002A0ED2"/>
    <w:rsid w:val="002A1006"/>
    <w:rsid w:val="002A1489"/>
    <w:rsid w:val="002A1933"/>
    <w:rsid w:val="002A1A4A"/>
    <w:rsid w:val="002A227A"/>
    <w:rsid w:val="002A2310"/>
    <w:rsid w:val="002A2B85"/>
    <w:rsid w:val="002A2D9E"/>
    <w:rsid w:val="002A2EA1"/>
    <w:rsid w:val="002A3717"/>
    <w:rsid w:val="002A41F1"/>
    <w:rsid w:val="002A48C1"/>
    <w:rsid w:val="002A49B9"/>
    <w:rsid w:val="002A4A07"/>
    <w:rsid w:val="002A516F"/>
    <w:rsid w:val="002A5226"/>
    <w:rsid w:val="002A695F"/>
    <w:rsid w:val="002B044E"/>
    <w:rsid w:val="002B04E2"/>
    <w:rsid w:val="002B0720"/>
    <w:rsid w:val="002B125A"/>
    <w:rsid w:val="002B1355"/>
    <w:rsid w:val="002B2595"/>
    <w:rsid w:val="002B2CCA"/>
    <w:rsid w:val="002B335E"/>
    <w:rsid w:val="002B3562"/>
    <w:rsid w:val="002B35C8"/>
    <w:rsid w:val="002B4717"/>
    <w:rsid w:val="002B4A08"/>
    <w:rsid w:val="002B4A0A"/>
    <w:rsid w:val="002B6EAB"/>
    <w:rsid w:val="002B7466"/>
    <w:rsid w:val="002B7852"/>
    <w:rsid w:val="002C03CF"/>
    <w:rsid w:val="002C04C4"/>
    <w:rsid w:val="002C08A6"/>
    <w:rsid w:val="002C11A6"/>
    <w:rsid w:val="002C152A"/>
    <w:rsid w:val="002C1AE4"/>
    <w:rsid w:val="002C233D"/>
    <w:rsid w:val="002C25A0"/>
    <w:rsid w:val="002C2746"/>
    <w:rsid w:val="002C2F69"/>
    <w:rsid w:val="002C341C"/>
    <w:rsid w:val="002C3760"/>
    <w:rsid w:val="002C38E4"/>
    <w:rsid w:val="002C41D1"/>
    <w:rsid w:val="002C4F7C"/>
    <w:rsid w:val="002C586F"/>
    <w:rsid w:val="002C5CC6"/>
    <w:rsid w:val="002C5DEA"/>
    <w:rsid w:val="002C619A"/>
    <w:rsid w:val="002C647D"/>
    <w:rsid w:val="002C65E6"/>
    <w:rsid w:val="002C6999"/>
    <w:rsid w:val="002C6AB9"/>
    <w:rsid w:val="002C6DC6"/>
    <w:rsid w:val="002C6E07"/>
    <w:rsid w:val="002C6FB6"/>
    <w:rsid w:val="002C7AA5"/>
    <w:rsid w:val="002C7D00"/>
    <w:rsid w:val="002D0FDB"/>
    <w:rsid w:val="002D11F0"/>
    <w:rsid w:val="002D1B9D"/>
    <w:rsid w:val="002D2388"/>
    <w:rsid w:val="002D243B"/>
    <w:rsid w:val="002D2DF7"/>
    <w:rsid w:val="002D330A"/>
    <w:rsid w:val="002D37FE"/>
    <w:rsid w:val="002D38B2"/>
    <w:rsid w:val="002D4C33"/>
    <w:rsid w:val="002D5120"/>
    <w:rsid w:val="002D568D"/>
    <w:rsid w:val="002D5BFD"/>
    <w:rsid w:val="002D681C"/>
    <w:rsid w:val="002D7425"/>
    <w:rsid w:val="002D75CA"/>
    <w:rsid w:val="002E0943"/>
    <w:rsid w:val="002E14E8"/>
    <w:rsid w:val="002E18E5"/>
    <w:rsid w:val="002E19C7"/>
    <w:rsid w:val="002E30A3"/>
    <w:rsid w:val="002E3D82"/>
    <w:rsid w:val="002E4AFF"/>
    <w:rsid w:val="002E4CE1"/>
    <w:rsid w:val="002E4F56"/>
    <w:rsid w:val="002E698A"/>
    <w:rsid w:val="002E72E1"/>
    <w:rsid w:val="002E7596"/>
    <w:rsid w:val="002F0279"/>
    <w:rsid w:val="002F103C"/>
    <w:rsid w:val="002F1A16"/>
    <w:rsid w:val="002F22CC"/>
    <w:rsid w:val="002F3070"/>
    <w:rsid w:val="002F30D0"/>
    <w:rsid w:val="002F39D3"/>
    <w:rsid w:val="002F4DEE"/>
    <w:rsid w:val="002F6015"/>
    <w:rsid w:val="002F7016"/>
    <w:rsid w:val="00300951"/>
    <w:rsid w:val="003017A6"/>
    <w:rsid w:val="00302873"/>
    <w:rsid w:val="0030363D"/>
    <w:rsid w:val="003039DB"/>
    <w:rsid w:val="00303C71"/>
    <w:rsid w:val="00303FC6"/>
    <w:rsid w:val="003040C2"/>
    <w:rsid w:val="003045B2"/>
    <w:rsid w:val="00304C82"/>
    <w:rsid w:val="0030525E"/>
    <w:rsid w:val="00305310"/>
    <w:rsid w:val="003056DE"/>
    <w:rsid w:val="003058FE"/>
    <w:rsid w:val="00306263"/>
    <w:rsid w:val="003069A0"/>
    <w:rsid w:val="00306C83"/>
    <w:rsid w:val="00307611"/>
    <w:rsid w:val="00307D13"/>
    <w:rsid w:val="00307D2A"/>
    <w:rsid w:val="00310348"/>
    <w:rsid w:val="003105C4"/>
    <w:rsid w:val="003109A6"/>
    <w:rsid w:val="00310B56"/>
    <w:rsid w:val="00310DA1"/>
    <w:rsid w:val="003112CD"/>
    <w:rsid w:val="003113D7"/>
    <w:rsid w:val="00311AC1"/>
    <w:rsid w:val="00311B75"/>
    <w:rsid w:val="00311D25"/>
    <w:rsid w:val="003124E3"/>
    <w:rsid w:val="00313BB4"/>
    <w:rsid w:val="00313E21"/>
    <w:rsid w:val="00314233"/>
    <w:rsid w:val="00314309"/>
    <w:rsid w:val="00315249"/>
    <w:rsid w:val="003156B5"/>
    <w:rsid w:val="00315FCE"/>
    <w:rsid w:val="00316711"/>
    <w:rsid w:val="00317404"/>
    <w:rsid w:val="00320FD2"/>
    <w:rsid w:val="00321663"/>
    <w:rsid w:val="003220C7"/>
    <w:rsid w:val="00322F56"/>
    <w:rsid w:val="0032314D"/>
    <w:rsid w:val="003235D7"/>
    <w:rsid w:val="00323DFA"/>
    <w:rsid w:val="00323FE2"/>
    <w:rsid w:val="0032406A"/>
    <w:rsid w:val="0032465F"/>
    <w:rsid w:val="00324FCA"/>
    <w:rsid w:val="00325C1F"/>
    <w:rsid w:val="0032643B"/>
    <w:rsid w:val="00326533"/>
    <w:rsid w:val="0032698E"/>
    <w:rsid w:val="00326C66"/>
    <w:rsid w:val="00326DCB"/>
    <w:rsid w:val="00326F03"/>
    <w:rsid w:val="0032783A"/>
    <w:rsid w:val="00327C4B"/>
    <w:rsid w:val="0033057C"/>
    <w:rsid w:val="00330910"/>
    <w:rsid w:val="003315F2"/>
    <w:rsid w:val="00331CCC"/>
    <w:rsid w:val="00331D9E"/>
    <w:rsid w:val="00331DE6"/>
    <w:rsid w:val="00332378"/>
    <w:rsid w:val="00332534"/>
    <w:rsid w:val="00332A34"/>
    <w:rsid w:val="00332AAA"/>
    <w:rsid w:val="00332DDB"/>
    <w:rsid w:val="00332FD6"/>
    <w:rsid w:val="003331B9"/>
    <w:rsid w:val="003336CD"/>
    <w:rsid w:val="00334C8C"/>
    <w:rsid w:val="003350BA"/>
    <w:rsid w:val="00335C71"/>
    <w:rsid w:val="00336B5C"/>
    <w:rsid w:val="00337AE4"/>
    <w:rsid w:val="0034019E"/>
    <w:rsid w:val="0034040E"/>
    <w:rsid w:val="00340E29"/>
    <w:rsid w:val="003415D3"/>
    <w:rsid w:val="003416D4"/>
    <w:rsid w:val="0034206B"/>
    <w:rsid w:val="003424A7"/>
    <w:rsid w:val="00342C3E"/>
    <w:rsid w:val="0034340C"/>
    <w:rsid w:val="00343F57"/>
    <w:rsid w:val="00344511"/>
    <w:rsid w:val="00344F74"/>
    <w:rsid w:val="003450BA"/>
    <w:rsid w:val="0034569F"/>
    <w:rsid w:val="00345B72"/>
    <w:rsid w:val="00345EEE"/>
    <w:rsid w:val="00346184"/>
    <w:rsid w:val="0034709D"/>
    <w:rsid w:val="00347132"/>
    <w:rsid w:val="00347553"/>
    <w:rsid w:val="003475BD"/>
    <w:rsid w:val="0034767D"/>
    <w:rsid w:val="00347E7C"/>
    <w:rsid w:val="0035009A"/>
    <w:rsid w:val="003504BD"/>
    <w:rsid w:val="003507CE"/>
    <w:rsid w:val="00350A2A"/>
    <w:rsid w:val="00350FE8"/>
    <w:rsid w:val="003511CA"/>
    <w:rsid w:val="003512A4"/>
    <w:rsid w:val="003518CB"/>
    <w:rsid w:val="00352A3D"/>
    <w:rsid w:val="00352E02"/>
    <w:rsid w:val="00353783"/>
    <w:rsid w:val="003538E1"/>
    <w:rsid w:val="003539CF"/>
    <w:rsid w:val="00353A52"/>
    <w:rsid w:val="00353F55"/>
    <w:rsid w:val="00354DEA"/>
    <w:rsid w:val="00354F56"/>
    <w:rsid w:val="0035607F"/>
    <w:rsid w:val="003562D7"/>
    <w:rsid w:val="00356773"/>
    <w:rsid w:val="0035693B"/>
    <w:rsid w:val="00356C9D"/>
    <w:rsid w:val="00357798"/>
    <w:rsid w:val="00357B8B"/>
    <w:rsid w:val="00360404"/>
    <w:rsid w:val="00360AF0"/>
    <w:rsid w:val="003616E2"/>
    <w:rsid w:val="00361B94"/>
    <w:rsid w:val="00362058"/>
    <w:rsid w:val="0036261E"/>
    <w:rsid w:val="00362C8B"/>
    <w:rsid w:val="0036316B"/>
    <w:rsid w:val="00363ABE"/>
    <w:rsid w:val="00365BA7"/>
    <w:rsid w:val="00365D60"/>
    <w:rsid w:val="00365F68"/>
    <w:rsid w:val="00366BFA"/>
    <w:rsid w:val="0036761F"/>
    <w:rsid w:val="003677B9"/>
    <w:rsid w:val="003677E4"/>
    <w:rsid w:val="0037080F"/>
    <w:rsid w:val="00370AFC"/>
    <w:rsid w:val="00370CDB"/>
    <w:rsid w:val="00370D9F"/>
    <w:rsid w:val="00371398"/>
    <w:rsid w:val="003717E9"/>
    <w:rsid w:val="003725AF"/>
    <w:rsid w:val="00373080"/>
    <w:rsid w:val="00373171"/>
    <w:rsid w:val="00374354"/>
    <w:rsid w:val="003745F1"/>
    <w:rsid w:val="00374609"/>
    <w:rsid w:val="00374926"/>
    <w:rsid w:val="00375406"/>
    <w:rsid w:val="0037558F"/>
    <w:rsid w:val="00375C36"/>
    <w:rsid w:val="00375E6B"/>
    <w:rsid w:val="00376F67"/>
    <w:rsid w:val="003809E5"/>
    <w:rsid w:val="00380E69"/>
    <w:rsid w:val="0038185C"/>
    <w:rsid w:val="003818E9"/>
    <w:rsid w:val="00381A0C"/>
    <w:rsid w:val="00382443"/>
    <w:rsid w:val="00383704"/>
    <w:rsid w:val="00383940"/>
    <w:rsid w:val="00383F08"/>
    <w:rsid w:val="00383F11"/>
    <w:rsid w:val="003840C4"/>
    <w:rsid w:val="003842E9"/>
    <w:rsid w:val="00384E47"/>
    <w:rsid w:val="00385133"/>
    <w:rsid w:val="003859C9"/>
    <w:rsid w:val="003859D1"/>
    <w:rsid w:val="00385D6A"/>
    <w:rsid w:val="00386B70"/>
    <w:rsid w:val="00387142"/>
    <w:rsid w:val="0038746D"/>
    <w:rsid w:val="00387AB1"/>
    <w:rsid w:val="00387F92"/>
    <w:rsid w:val="00390187"/>
    <w:rsid w:val="00390421"/>
    <w:rsid w:val="00390789"/>
    <w:rsid w:val="00390EE9"/>
    <w:rsid w:val="00391109"/>
    <w:rsid w:val="00391850"/>
    <w:rsid w:val="00391888"/>
    <w:rsid w:val="00392DF1"/>
    <w:rsid w:val="003930A7"/>
    <w:rsid w:val="00393CB0"/>
    <w:rsid w:val="003943E2"/>
    <w:rsid w:val="00394578"/>
    <w:rsid w:val="003948F5"/>
    <w:rsid w:val="00394EA4"/>
    <w:rsid w:val="00395407"/>
    <w:rsid w:val="00395D20"/>
    <w:rsid w:val="0039616B"/>
    <w:rsid w:val="003965C9"/>
    <w:rsid w:val="00396F98"/>
    <w:rsid w:val="00397B38"/>
    <w:rsid w:val="00397D9E"/>
    <w:rsid w:val="003A07F4"/>
    <w:rsid w:val="003A1103"/>
    <w:rsid w:val="003A17C3"/>
    <w:rsid w:val="003A1BDA"/>
    <w:rsid w:val="003A214C"/>
    <w:rsid w:val="003A26A6"/>
    <w:rsid w:val="003A2B44"/>
    <w:rsid w:val="003A430E"/>
    <w:rsid w:val="003A4502"/>
    <w:rsid w:val="003A457C"/>
    <w:rsid w:val="003A4953"/>
    <w:rsid w:val="003A50DA"/>
    <w:rsid w:val="003A5C6E"/>
    <w:rsid w:val="003A5F0F"/>
    <w:rsid w:val="003A6A40"/>
    <w:rsid w:val="003A7D24"/>
    <w:rsid w:val="003B0467"/>
    <w:rsid w:val="003B077A"/>
    <w:rsid w:val="003B0F8A"/>
    <w:rsid w:val="003B13B9"/>
    <w:rsid w:val="003B352A"/>
    <w:rsid w:val="003B37AB"/>
    <w:rsid w:val="003B4266"/>
    <w:rsid w:val="003B433C"/>
    <w:rsid w:val="003B4FF3"/>
    <w:rsid w:val="003B53D1"/>
    <w:rsid w:val="003B65E5"/>
    <w:rsid w:val="003B71A3"/>
    <w:rsid w:val="003B7819"/>
    <w:rsid w:val="003C120B"/>
    <w:rsid w:val="003C1267"/>
    <w:rsid w:val="003C1E1C"/>
    <w:rsid w:val="003C1F6D"/>
    <w:rsid w:val="003C2BD7"/>
    <w:rsid w:val="003C3906"/>
    <w:rsid w:val="003C3AFE"/>
    <w:rsid w:val="003C4269"/>
    <w:rsid w:val="003C4DF9"/>
    <w:rsid w:val="003C66C9"/>
    <w:rsid w:val="003C6788"/>
    <w:rsid w:val="003C6DD7"/>
    <w:rsid w:val="003C7AA0"/>
    <w:rsid w:val="003C7B50"/>
    <w:rsid w:val="003D004D"/>
    <w:rsid w:val="003D015D"/>
    <w:rsid w:val="003D1394"/>
    <w:rsid w:val="003D15A8"/>
    <w:rsid w:val="003D218C"/>
    <w:rsid w:val="003D2A3A"/>
    <w:rsid w:val="003D2A88"/>
    <w:rsid w:val="003D3382"/>
    <w:rsid w:val="003D34B8"/>
    <w:rsid w:val="003D36C2"/>
    <w:rsid w:val="003D433D"/>
    <w:rsid w:val="003D4B2B"/>
    <w:rsid w:val="003D4BB7"/>
    <w:rsid w:val="003D4E37"/>
    <w:rsid w:val="003D729A"/>
    <w:rsid w:val="003D75BD"/>
    <w:rsid w:val="003D7868"/>
    <w:rsid w:val="003D79AD"/>
    <w:rsid w:val="003D7EFF"/>
    <w:rsid w:val="003E0AFF"/>
    <w:rsid w:val="003E0EBE"/>
    <w:rsid w:val="003E13B3"/>
    <w:rsid w:val="003E2F9F"/>
    <w:rsid w:val="003E3728"/>
    <w:rsid w:val="003E4331"/>
    <w:rsid w:val="003E5EA0"/>
    <w:rsid w:val="003E6AA4"/>
    <w:rsid w:val="003E7274"/>
    <w:rsid w:val="003E7C11"/>
    <w:rsid w:val="003E7CE4"/>
    <w:rsid w:val="003E7FF5"/>
    <w:rsid w:val="003F03E3"/>
    <w:rsid w:val="003F0673"/>
    <w:rsid w:val="003F074A"/>
    <w:rsid w:val="003F10DC"/>
    <w:rsid w:val="003F144F"/>
    <w:rsid w:val="003F1799"/>
    <w:rsid w:val="003F238A"/>
    <w:rsid w:val="003F2545"/>
    <w:rsid w:val="003F3323"/>
    <w:rsid w:val="003F3632"/>
    <w:rsid w:val="003F37D6"/>
    <w:rsid w:val="003F4638"/>
    <w:rsid w:val="003F4A19"/>
    <w:rsid w:val="003F4F02"/>
    <w:rsid w:val="003F511C"/>
    <w:rsid w:val="003F5E57"/>
    <w:rsid w:val="003F63B0"/>
    <w:rsid w:val="003F66E0"/>
    <w:rsid w:val="003F671F"/>
    <w:rsid w:val="003F6BA7"/>
    <w:rsid w:val="003F6C15"/>
    <w:rsid w:val="003F7015"/>
    <w:rsid w:val="003F7BC4"/>
    <w:rsid w:val="003F7CBE"/>
    <w:rsid w:val="00400583"/>
    <w:rsid w:val="004006AD"/>
    <w:rsid w:val="004024D1"/>
    <w:rsid w:val="00402AAB"/>
    <w:rsid w:val="00402AD4"/>
    <w:rsid w:val="00402C26"/>
    <w:rsid w:val="00402C71"/>
    <w:rsid w:val="00402D0E"/>
    <w:rsid w:val="00403264"/>
    <w:rsid w:val="00403906"/>
    <w:rsid w:val="00404197"/>
    <w:rsid w:val="0040458D"/>
    <w:rsid w:val="00404828"/>
    <w:rsid w:val="00404885"/>
    <w:rsid w:val="00404ACF"/>
    <w:rsid w:val="004051D7"/>
    <w:rsid w:val="004052D7"/>
    <w:rsid w:val="0040543A"/>
    <w:rsid w:val="004057EA"/>
    <w:rsid w:val="00405B12"/>
    <w:rsid w:val="0040709F"/>
    <w:rsid w:val="00407583"/>
    <w:rsid w:val="004078BA"/>
    <w:rsid w:val="00407D64"/>
    <w:rsid w:val="00410441"/>
    <w:rsid w:val="0041167B"/>
    <w:rsid w:val="00411BD6"/>
    <w:rsid w:val="00411CB4"/>
    <w:rsid w:val="00412958"/>
    <w:rsid w:val="004132F4"/>
    <w:rsid w:val="004133D0"/>
    <w:rsid w:val="004133FB"/>
    <w:rsid w:val="00413DC6"/>
    <w:rsid w:val="00413EDB"/>
    <w:rsid w:val="00414221"/>
    <w:rsid w:val="004158EE"/>
    <w:rsid w:val="00416555"/>
    <w:rsid w:val="00417910"/>
    <w:rsid w:val="00417E25"/>
    <w:rsid w:val="00420706"/>
    <w:rsid w:val="004208D7"/>
    <w:rsid w:val="00422B67"/>
    <w:rsid w:val="0042340F"/>
    <w:rsid w:val="0042365E"/>
    <w:rsid w:val="00423BCB"/>
    <w:rsid w:val="004247FB"/>
    <w:rsid w:val="00424E9D"/>
    <w:rsid w:val="004253BE"/>
    <w:rsid w:val="00426841"/>
    <w:rsid w:val="0042703D"/>
    <w:rsid w:val="0042752A"/>
    <w:rsid w:val="004275FA"/>
    <w:rsid w:val="00427698"/>
    <w:rsid w:val="00430EAB"/>
    <w:rsid w:val="00431930"/>
    <w:rsid w:val="00431CE6"/>
    <w:rsid w:val="00431E28"/>
    <w:rsid w:val="00432563"/>
    <w:rsid w:val="0043376F"/>
    <w:rsid w:val="00433D38"/>
    <w:rsid w:val="004348F1"/>
    <w:rsid w:val="00434D33"/>
    <w:rsid w:val="004357A0"/>
    <w:rsid w:val="0043664D"/>
    <w:rsid w:val="00436F88"/>
    <w:rsid w:val="00437114"/>
    <w:rsid w:val="0043740B"/>
    <w:rsid w:val="00437504"/>
    <w:rsid w:val="00437830"/>
    <w:rsid w:val="00437A04"/>
    <w:rsid w:val="004409C6"/>
    <w:rsid w:val="00440A42"/>
    <w:rsid w:val="00440E30"/>
    <w:rsid w:val="0044137E"/>
    <w:rsid w:val="00441ADA"/>
    <w:rsid w:val="0044257D"/>
    <w:rsid w:val="00442EA3"/>
    <w:rsid w:val="00442FD4"/>
    <w:rsid w:val="0044347B"/>
    <w:rsid w:val="00444557"/>
    <w:rsid w:val="004449D7"/>
    <w:rsid w:val="00444ED7"/>
    <w:rsid w:val="00445296"/>
    <w:rsid w:val="00445381"/>
    <w:rsid w:val="004455A0"/>
    <w:rsid w:val="00445756"/>
    <w:rsid w:val="00445A79"/>
    <w:rsid w:val="00445B54"/>
    <w:rsid w:val="00446F24"/>
    <w:rsid w:val="00450072"/>
    <w:rsid w:val="00450153"/>
    <w:rsid w:val="004516A8"/>
    <w:rsid w:val="00451B4D"/>
    <w:rsid w:val="0045232E"/>
    <w:rsid w:val="00453486"/>
    <w:rsid w:val="004542CA"/>
    <w:rsid w:val="0045443C"/>
    <w:rsid w:val="004545AF"/>
    <w:rsid w:val="004547BD"/>
    <w:rsid w:val="00454917"/>
    <w:rsid w:val="00454C5D"/>
    <w:rsid w:val="00455251"/>
    <w:rsid w:val="00455329"/>
    <w:rsid w:val="0045532B"/>
    <w:rsid w:val="00455F95"/>
    <w:rsid w:val="00456033"/>
    <w:rsid w:val="004560DA"/>
    <w:rsid w:val="00456B96"/>
    <w:rsid w:val="00456E0A"/>
    <w:rsid w:val="00456E32"/>
    <w:rsid w:val="00456FD6"/>
    <w:rsid w:val="00457527"/>
    <w:rsid w:val="00457D30"/>
    <w:rsid w:val="0046025C"/>
    <w:rsid w:val="0046051F"/>
    <w:rsid w:val="0046172C"/>
    <w:rsid w:val="004620D2"/>
    <w:rsid w:val="004623B1"/>
    <w:rsid w:val="00462847"/>
    <w:rsid w:val="004630BF"/>
    <w:rsid w:val="00463D4B"/>
    <w:rsid w:val="00464BEC"/>
    <w:rsid w:val="00464CA4"/>
    <w:rsid w:val="00465749"/>
    <w:rsid w:val="00466EA8"/>
    <w:rsid w:val="00467019"/>
    <w:rsid w:val="00467A65"/>
    <w:rsid w:val="00470ABA"/>
    <w:rsid w:val="00470AD3"/>
    <w:rsid w:val="00471C67"/>
    <w:rsid w:val="0047217D"/>
    <w:rsid w:val="004729BD"/>
    <w:rsid w:val="00472C06"/>
    <w:rsid w:val="00472F2A"/>
    <w:rsid w:val="00473778"/>
    <w:rsid w:val="00473F71"/>
    <w:rsid w:val="00473FCF"/>
    <w:rsid w:val="00474014"/>
    <w:rsid w:val="004740F9"/>
    <w:rsid w:val="004745AF"/>
    <w:rsid w:val="00474B7B"/>
    <w:rsid w:val="00474CB3"/>
    <w:rsid w:val="00475032"/>
    <w:rsid w:val="004750B0"/>
    <w:rsid w:val="004752ED"/>
    <w:rsid w:val="0047579E"/>
    <w:rsid w:val="00475A62"/>
    <w:rsid w:val="00476361"/>
    <w:rsid w:val="004764A3"/>
    <w:rsid w:val="0047684E"/>
    <w:rsid w:val="00476DE5"/>
    <w:rsid w:val="004813BB"/>
    <w:rsid w:val="0048156A"/>
    <w:rsid w:val="00481A41"/>
    <w:rsid w:val="00481D3E"/>
    <w:rsid w:val="00481F6D"/>
    <w:rsid w:val="004820F5"/>
    <w:rsid w:val="004822BB"/>
    <w:rsid w:val="0048241D"/>
    <w:rsid w:val="004824FC"/>
    <w:rsid w:val="00482A36"/>
    <w:rsid w:val="00485339"/>
    <w:rsid w:val="004858AB"/>
    <w:rsid w:val="004868E3"/>
    <w:rsid w:val="00487C1D"/>
    <w:rsid w:val="004904C7"/>
    <w:rsid w:val="00490AFA"/>
    <w:rsid w:val="00490DC0"/>
    <w:rsid w:val="00491162"/>
    <w:rsid w:val="00491A15"/>
    <w:rsid w:val="004929FE"/>
    <w:rsid w:val="00492B56"/>
    <w:rsid w:val="00492E00"/>
    <w:rsid w:val="0049319C"/>
    <w:rsid w:val="00493439"/>
    <w:rsid w:val="00493535"/>
    <w:rsid w:val="00493B4D"/>
    <w:rsid w:val="004942CD"/>
    <w:rsid w:val="00495882"/>
    <w:rsid w:val="004967CC"/>
    <w:rsid w:val="0049694B"/>
    <w:rsid w:val="004970EB"/>
    <w:rsid w:val="00497B6D"/>
    <w:rsid w:val="004A05B6"/>
    <w:rsid w:val="004A063C"/>
    <w:rsid w:val="004A1936"/>
    <w:rsid w:val="004A19B2"/>
    <w:rsid w:val="004A1E9E"/>
    <w:rsid w:val="004A2793"/>
    <w:rsid w:val="004A2F74"/>
    <w:rsid w:val="004A31D3"/>
    <w:rsid w:val="004A3617"/>
    <w:rsid w:val="004A4102"/>
    <w:rsid w:val="004A43FC"/>
    <w:rsid w:val="004A446A"/>
    <w:rsid w:val="004A4AE1"/>
    <w:rsid w:val="004A5435"/>
    <w:rsid w:val="004A5763"/>
    <w:rsid w:val="004A57CC"/>
    <w:rsid w:val="004A5BEE"/>
    <w:rsid w:val="004A6431"/>
    <w:rsid w:val="004B0241"/>
    <w:rsid w:val="004B0BC4"/>
    <w:rsid w:val="004B29AD"/>
    <w:rsid w:val="004B36C4"/>
    <w:rsid w:val="004B42C7"/>
    <w:rsid w:val="004B49EB"/>
    <w:rsid w:val="004B5B56"/>
    <w:rsid w:val="004B5EB3"/>
    <w:rsid w:val="004B655D"/>
    <w:rsid w:val="004C0D39"/>
    <w:rsid w:val="004C15F9"/>
    <w:rsid w:val="004C182F"/>
    <w:rsid w:val="004C1F71"/>
    <w:rsid w:val="004C284E"/>
    <w:rsid w:val="004C2AC5"/>
    <w:rsid w:val="004C2EA9"/>
    <w:rsid w:val="004C3A56"/>
    <w:rsid w:val="004C3B1D"/>
    <w:rsid w:val="004C45C2"/>
    <w:rsid w:val="004C4B0C"/>
    <w:rsid w:val="004C54F7"/>
    <w:rsid w:val="004C5618"/>
    <w:rsid w:val="004C5F5E"/>
    <w:rsid w:val="004C656F"/>
    <w:rsid w:val="004C6EA0"/>
    <w:rsid w:val="004C7102"/>
    <w:rsid w:val="004C7156"/>
    <w:rsid w:val="004D0F66"/>
    <w:rsid w:val="004D0F89"/>
    <w:rsid w:val="004D17B6"/>
    <w:rsid w:val="004D18AE"/>
    <w:rsid w:val="004D1D19"/>
    <w:rsid w:val="004D2043"/>
    <w:rsid w:val="004D2C86"/>
    <w:rsid w:val="004D3215"/>
    <w:rsid w:val="004D3440"/>
    <w:rsid w:val="004D414D"/>
    <w:rsid w:val="004D432F"/>
    <w:rsid w:val="004D46C6"/>
    <w:rsid w:val="004D48D3"/>
    <w:rsid w:val="004D4ADA"/>
    <w:rsid w:val="004D4CB5"/>
    <w:rsid w:val="004D51A7"/>
    <w:rsid w:val="004D589B"/>
    <w:rsid w:val="004D5CAA"/>
    <w:rsid w:val="004D5E7B"/>
    <w:rsid w:val="004D6858"/>
    <w:rsid w:val="004D73C4"/>
    <w:rsid w:val="004D7F4E"/>
    <w:rsid w:val="004E061F"/>
    <w:rsid w:val="004E0C06"/>
    <w:rsid w:val="004E1166"/>
    <w:rsid w:val="004E2475"/>
    <w:rsid w:val="004E28CD"/>
    <w:rsid w:val="004E2B10"/>
    <w:rsid w:val="004E33AD"/>
    <w:rsid w:val="004E3C54"/>
    <w:rsid w:val="004E40AC"/>
    <w:rsid w:val="004E4136"/>
    <w:rsid w:val="004E4A21"/>
    <w:rsid w:val="004E4F2E"/>
    <w:rsid w:val="004E5955"/>
    <w:rsid w:val="004E5A6C"/>
    <w:rsid w:val="004E5FB7"/>
    <w:rsid w:val="004E6055"/>
    <w:rsid w:val="004E6B57"/>
    <w:rsid w:val="004E6E66"/>
    <w:rsid w:val="004E7329"/>
    <w:rsid w:val="004E74CB"/>
    <w:rsid w:val="004E7748"/>
    <w:rsid w:val="004E78B0"/>
    <w:rsid w:val="004F00D8"/>
    <w:rsid w:val="004F06DA"/>
    <w:rsid w:val="004F0F47"/>
    <w:rsid w:val="004F115C"/>
    <w:rsid w:val="004F1445"/>
    <w:rsid w:val="004F1B7D"/>
    <w:rsid w:val="004F2385"/>
    <w:rsid w:val="004F2ECB"/>
    <w:rsid w:val="004F47E6"/>
    <w:rsid w:val="004F4BA5"/>
    <w:rsid w:val="004F69C8"/>
    <w:rsid w:val="004F6AC0"/>
    <w:rsid w:val="004F6FD1"/>
    <w:rsid w:val="004F710D"/>
    <w:rsid w:val="004F735B"/>
    <w:rsid w:val="004F747D"/>
    <w:rsid w:val="004F77D1"/>
    <w:rsid w:val="004F7C58"/>
    <w:rsid w:val="004F7CEE"/>
    <w:rsid w:val="00500072"/>
    <w:rsid w:val="00502600"/>
    <w:rsid w:val="0050293A"/>
    <w:rsid w:val="00502CB9"/>
    <w:rsid w:val="00503069"/>
    <w:rsid w:val="00503351"/>
    <w:rsid w:val="00504864"/>
    <w:rsid w:val="0050519A"/>
    <w:rsid w:val="0050520F"/>
    <w:rsid w:val="0050524F"/>
    <w:rsid w:val="00505A35"/>
    <w:rsid w:val="005060CD"/>
    <w:rsid w:val="00507CC9"/>
    <w:rsid w:val="005107B9"/>
    <w:rsid w:val="00510826"/>
    <w:rsid w:val="00510902"/>
    <w:rsid w:val="00510ABE"/>
    <w:rsid w:val="00511532"/>
    <w:rsid w:val="00512B16"/>
    <w:rsid w:val="005142A8"/>
    <w:rsid w:val="0051457F"/>
    <w:rsid w:val="0051500D"/>
    <w:rsid w:val="00515432"/>
    <w:rsid w:val="00515AA3"/>
    <w:rsid w:val="00516316"/>
    <w:rsid w:val="005163A7"/>
    <w:rsid w:val="005166C3"/>
    <w:rsid w:val="005167D5"/>
    <w:rsid w:val="00516ECF"/>
    <w:rsid w:val="00517135"/>
    <w:rsid w:val="00517A73"/>
    <w:rsid w:val="00517B66"/>
    <w:rsid w:val="0052003F"/>
    <w:rsid w:val="0052096A"/>
    <w:rsid w:val="00520CB3"/>
    <w:rsid w:val="00520E01"/>
    <w:rsid w:val="00520FB2"/>
    <w:rsid w:val="00521046"/>
    <w:rsid w:val="005217E6"/>
    <w:rsid w:val="00522A30"/>
    <w:rsid w:val="00522CDB"/>
    <w:rsid w:val="00522FFE"/>
    <w:rsid w:val="00523072"/>
    <w:rsid w:val="00524173"/>
    <w:rsid w:val="00524746"/>
    <w:rsid w:val="00524799"/>
    <w:rsid w:val="005253A9"/>
    <w:rsid w:val="005253C7"/>
    <w:rsid w:val="00527C45"/>
    <w:rsid w:val="00530D2D"/>
    <w:rsid w:val="005311B4"/>
    <w:rsid w:val="00531417"/>
    <w:rsid w:val="005317FD"/>
    <w:rsid w:val="00531A30"/>
    <w:rsid w:val="00532008"/>
    <w:rsid w:val="0053354F"/>
    <w:rsid w:val="005337AF"/>
    <w:rsid w:val="00533B06"/>
    <w:rsid w:val="00534C03"/>
    <w:rsid w:val="00535000"/>
    <w:rsid w:val="00535546"/>
    <w:rsid w:val="0053595C"/>
    <w:rsid w:val="00535C97"/>
    <w:rsid w:val="0053621E"/>
    <w:rsid w:val="0053651C"/>
    <w:rsid w:val="0053672C"/>
    <w:rsid w:val="005368D3"/>
    <w:rsid w:val="00537FDC"/>
    <w:rsid w:val="00540C55"/>
    <w:rsid w:val="00541294"/>
    <w:rsid w:val="00541412"/>
    <w:rsid w:val="00542B19"/>
    <w:rsid w:val="00543139"/>
    <w:rsid w:val="00543D6A"/>
    <w:rsid w:val="005443F2"/>
    <w:rsid w:val="00544C58"/>
    <w:rsid w:val="00545687"/>
    <w:rsid w:val="00546254"/>
    <w:rsid w:val="005462BF"/>
    <w:rsid w:val="00546369"/>
    <w:rsid w:val="005468C8"/>
    <w:rsid w:val="005474DE"/>
    <w:rsid w:val="0055049C"/>
    <w:rsid w:val="005505D0"/>
    <w:rsid w:val="00551EA1"/>
    <w:rsid w:val="00551F88"/>
    <w:rsid w:val="00552A5C"/>
    <w:rsid w:val="0055355C"/>
    <w:rsid w:val="00553B95"/>
    <w:rsid w:val="00553C08"/>
    <w:rsid w:val="00554D55"/>
    <w:rsid w:val="005552A7"/>
    <w:rsid w:val="00556628"/>
    <w:rsid w:val="00556857"/>
    <w:rsid w:val="00556D85"/>
    <w:rsid w:val="0055771F"/>
    <w:rsid w:val="005577C6"/>
    <w:rsid w:val="00557B1D"/>
    <w:rsid w:val="00557B5D"/>
    <w:rsid w:val="00557F1D"/>
    <w:rsid w:val="00560873"/>
    <w:rsid w:val="00561BD5"/>
    <w:rsid w:val="005650D1"/>
    <w:rsid w:val="0056518A"/>
    <w:rsid w:val="005651A0"/>
    <w:rsid w:val="005654B7"/>
    <w:rsid w:val="005664B6"/>
    <w:rsid w:val="00566E2F"/>
    <w:rsid w:val="00570115"/>
    <w:rsid w:val="00570B40"/>
    <w:rsid w:val="005713BD"/>
    <w:rsid w:val="00571673"/>
    <w:rsid w:val="00571708"/>
    <w:rsid w:val="005719FA"/>
    <w:rsid w:val="00571B0C"/>
    <w:rsid w:val="00571E22"/>
    <w:rsid w:val="0057228E"/>
    <w:rsid w:val="0057284E"/>
    <w:rsid w:val="00572CCC"/>
    <w:rsid w:val="00573208"/>
    <w:rsid w:val="00573674"/>
    <w:rsid w:val="00574F9A"/>
    <w:rsid w:val="00574FE7"/>
    <w:rsid w:val="0057669B"/>
    <w:rsid w:val="00577459"/>
    <w:rsid w:val="005777C9"/>
    <w:rsid w:val="00580F99"/>
    <w:rsid w:val="00581626"/>
    <w:rsid w:val="00582B4C"/>
    <w:rsid w:val="005830CA"/>
    <w:rsid w:val="005835E8"/>
    <w:rsid w:val="005836A4"/>
    <w:rsid w:val="00583ADC"/>
    <w:rsid w:val="005841DB"/>
    <w:rsid w:val="005845CA"/>
    <w:rsid w:val="00584651"/>
    <w:rsid w:val="005846BE"/>
    <w:rsid w:val="00585864"/>
    <w:rsid w:val="00585E99"/>
    <w:rsid w:val="005873E3"/>
    <w:rsid w:val="00590B60"/>
    <w:rsid w:val="00591210"/>
    <w:rsid w:val="005917C7"/>
    <w:rsid w:val="00591956"/>
    <w:rsid w:val="005931E3"/>
    <w:rsid w:val="0059340E"/>
    <w:rsid w:val="00593819"/>
    <w:rsid w:val="00593ACF"/>
    <w:rsid w:val="00593BED"/>
    <w:rsid w:val="00593F7F"/>
    <w:rsid w:val="00594219"/>
    <w:rsid w:val="005944E1"/>
    <w:rsid w:val="00594B46"/>
    <w:rsid w:val="00594F7D"/>
    <w:rsid w:val="00594FCE"/>
    <w:rsid w:val="00595A4C"/>
    <w:rsid w:val="005962E7"/>
    <w:rsid w:val="005972AA"/>
    <w:rsid w:val="00597B0C"/>
    <w:rsid w:val="005A05B0"/>
    <w:rsid w:val="005A05B3"/>
    <w:rsid w:val="005A097C"/>
    <w:rsid w:val="005A165C"/>
    <w:rsid w:val="005A173B"/>
    <w:rsid w:val="005A1954"/>
    <w:rsid w:val="005A1E33"/>
    <w:rsid w:val="005A2168"/>
    <w:rsid w:val="005A2367"/>
    <w:rsid w:val="005A364E"/>
    <w:rsid w:val="005A3C72"/>
    <w:rsid w:val="005A44A9"/>
    <w:rsid w:val="005A480E"/>
    <w:rsid w:val="005A5219"/>
    <w:rsid w:val="005A576C"/>
    <w:rsid w:val="005A70F4"/>
    <w:rsid w:val="005A7435"/>
    <w:rsid w:val="005A7758"/>
    <w:rsid w:val="005B03F5"/>
    <w:rsid w:val="005B0FFA"/>
    <w:rsid w:val="005B105B"/>
    <w:rsid w:val="005B213C"/>
    <w:rsid w:val="005B2A5A"/>
    <w:rsid w:val="005B3A07"/>
    <w:rsid w:val="005B422A"/>
    <w:rsid w:val="005B4FE4"/>
    <w:rsid w:val="005B56A6"/>
    <w:rsid w:val="005B5D76"/>
    <w:rsid w:val="005B6B46"/>
    <w:rsid w:val="005B6D4A"/>
    <w:rsid w:val="005B7034"/>
    <w:rsid w:val="005B765D"/>
    <w:rsid w:val="005C2A39"/>
    <w:rsid w:val="005C3DF3"/>
    <w:rsid w:val="005C424B"/>
    <w:rsid w:val="005C42EA"/>
    <w:rsid w:val="005C4816"/>
    <w:rsid w:val="005C4A39"/>
    <w:rsid w:val="005C691A"/>
    <w:rsid w:val="005C6B97"/>
    <w:rsid w:val="005C77B0"/>
    <w:rsid w:val="005D0601"/>
    <w:rsid w:val="005D0C75"/>
    <w:rsid w:val="005D1128"/>
    <w:rsid w:val="005D20C8"/>
    <w:rsid w:val="005D2BEA"/>
    <w:rsid w:val="005D3ECF"/>
    <w:rsid w:val="005D4729"/>
    <w:rsid w:val="005D510C"/>
    <w:rsid w:val="005D56D2"/>
    <w:rsid w:val="005D6393"/>
    <w:rsid w:val="005D652B"/>
    <w:rsid w:val="005D76D1"/>
    <w:rsid w:val="005E01B5"/>
    <w:rsid w:val="005E06ED"/>
    <w:rsid w:val="005E16E1"/>
    <w:rsid w:val="005E1E24"/>
    <w:rsid w:val="005E2C00"/>
    <w:rsid w:val="005E3C92"/>
    <w:rsid w:val="005E4D35"/>
    <w:rsid w:val="005E4F76"/>
    <w:rsid w:val="005E4FBE"/>
    <w:rsid w:val="005E4FD8"/>
    <w:rsid w:val="005E53EE"/>
    <w:rsid w:val="005E5A3E"/>
    <w:rsid w:val="005E6661"/>
    <w:rsid w:val="005E6F76"/>
    <w:rsid w:val="005F01A4"/>
    <w:rsid w:val="005F046A"/>
    <w:rsid w:val="005F0A3E"/>
    <w:rsid w:val="005F0DD7"/>
    <w:rsid w:val="005F16F2"/>
    <w:rsid w:val="005F1CE3"/>
    <w:rsid w:val="005F25CF"/>
    <w:rsid w:val="005F27DF"/>
    <w:rsid w:val="005F297E"/>
    <w:rsid w:val="005F2D64"/>
    <w:rsid w:val="005F3195"/>
    <w:rsid w:val="005F33A2"/>
    <w:rsid w:val="005F3C2E"/>
    <w:rsid w:val="005F3F5B"/>
    <w:rsid w:val="005F4019"/>
    <w:rsid w:val="005F4737"/>
    <w:rsid w:val="005F4B8C"/>
    <w:rsid w:val="005F4F32"/>
    <w:rsid w:val="005F4F9B"/>
    <w:rsid w:val="005F4FB8"/>
    <w:rsid w:val="005F5639"/>
    <w:rsid w:val="005F6C6F"/>
    <w:rsid w:val="005F6EC5"/>
    <w:rsid w:val="005F71F9"/>
    <w:rsid w:val="005F78D2"/>
    <w:rsid w:val="005F7A31"/>
    <w:rsid w:val="006001D4"/>
    <w:rsid w:val="00600FE7"/>
    <w:rsid w:val="00602C90"/>
    <w:rsid w:val="0060320E"/>
    <w:rsid w:val="00603378"/>
    <w:rsid w:val="00604E3A"/>
    <w:rsid w:val="00604ECE"/>
    <w:rsid w:val="00605644"/>
    <w:rsid w:val="0060587E"/>
    <w:rsid w:val="00606007"/>
    <w:rsid w:val="00606620"/>
    <w:rsid w:val="00606A62"/>
    <w:rsid w:val="00606DF3"/>
    <w:rsid w:val="00607E0F"/>
    <w:rsid w:val="006121AA"/>
    <w:rsid w:val="00612D9D"/>
    <w:rsid w:val="00612EF5"/>
    <w:rsid w:val="006130E6"/>
    <w:rsid w:val="006131BD"/>
    <w:rsid w:val="00613334"/>
    <w:rsid w:val="00613815"/>
    <w:rsid w:val="0061417D"/>
    <w:rsid w:val="00615018"/>
    <w:rsid w:val="00616205"/>
    <w:rsid w:val="0061708B"/>
    <w:rsid w:val="006179D3"/>
    <w:rsid w:val="00617C9D"/>
    <w:rsid w:val="00620DBF"/>
    <w:rsid w:val="0062141D"/>
    <w:rsid w:val="00621746"/>
    <w:rsid w:val="00622199"/>
    <w:rsid w:val="0062295D"/>
    <w:rsid w:val="00622E1F"/>
    <w:rsid w:val="00623017"/>
    <w:rsid w:val="006234E6"/>
    <w:rsid w:val="0062395F"/>
    <w:rsid w:val="00624741"/>
    <w:rsid w:val="006248A9"/>
    <w:rsid w:val="006248B1"/>
    <w:rsid w:val="00624A47"/>
    <w:rsid w:val="00624D03"/>
    <w:rsid w:val="0062527F"/>
    <w:rsid w:val="00625491"/>
    <w:rsid w:val="00625F2C"/>
    <w:rsid w:val="00626BE6"/>
    <w:rsid w:val="00626DFD"/>
    <w:rsid w:val="00627231"/>
    <w:rsid w:val="006311E1"/>
    <w:rsid w:val="00631462"/>
    <w:rsid w:val="006326BC"/>
    <w:rsid w:val="006330D1"/>
    <w:rsid w:val="006336C0"/>
    <w:rsid w:val="00634794"/>
    <w:rsid w:val="00634E23"/>
    <w:rsid w:val="006371EB"/>
    <w:rsid w:val="0063761A"/>
    <w:rsid w:val="00637D0F"/>
    <w:rsid w:val="00637E26"/>
    <w:rsid w:val="006400EC"/>
    <w:rsid w:val="006405C4"/>
    <w:rsid w:val="0064094E"/>
    <w:rsid w:val="0064262E"/>
    <w:rsid w:val="00642CB2"/>
    <w:rsid w:val="006433B3"/>
    <w:rsid w:val="00643647"/>
    <w:rsid w:val="00643951"/>
    <w:rsid w:val="00643968"/>
    <w:rsid w:val="006447D2"/>
    <w:rsid w:val="00644E8B"/>
    <w:rsid w:val="00645405"/>
    <w:rsid w:val="0064561D"/>
    <w:rsid w:val="00645B39"/>
    <w:rsid w:val="006462B6"/>
    <w:rsid w:val="00646F0A"/>
    <w:rsid w:val="006471A5"/>
    <w:rsid w:val="006476E0"/>
    <w:rsid w:val="006504C3"/>
    <w:rsid w:val="00651630"/>
    <w:rsid w:val="006517F4"/>
    <w:rsid w:val="00652B47"/>
    <w:rsid w:val="00653EF1"/>
    <w:rsid w:val="00654343"/>
    <w:rsid w:val="00654FB3"/>
    <w:rsid w:val="006551E8"/>
    <w:rsid w:val="00655A23"/>
    <w:rsid w:val="006575FC"/>
    <w:rsid w:val="006601CC"/>
    <w:rsid w:val="006603B8"/>
    <w:rsid w:val="00660952"/>
    <w:rsid w:val="00660A52"/>
    <w:rsid w:val="00660E32"/>
    <w:rsid w:val="00660E4C"/>
    <w:rsid w:val="00663138"/>
    <w:rsid w:val="006639C5"/>
    <w:rsid w:val="00663C10"/>
    <w:rsid w:val="00663C3F"/>
    <w:rsid w:val="00664133"/>
    <w:rsid w:val="0066493A"/>
    <w:rsid w:val="00665A32"/>
    <w:rsid w:val="00666729"/>
    <w:rsid w:val="00666F06"/>
    <w:rsid w:val="006708BD"/>
    <w:rsid w:val="006708DF"/>
    <w:rsid w:val="00670A82"/>
    <w:rsid w:val="00670F1C"/>
    <w:rsid w:val="00671B70"/>
    <w:rsid w:val="00671CB1"/>
    <w:rsid w:val="00672CB1"/>
    <w:rsid w:val="00672F6A"/>
    <w:rsid w:val="00673247"/>
    <w:rsid w:val="00673BF7"/>
    <w:rsid w:val="00674171"/>
    <w:rsid w:val="00674CD0"/>
    <w:rsid w:val="00675742"/>
    <w:rsid w:val="00676042"/>
    <w:rsid w:val="006760EC"/>
    <w:rsid w:val="0067632F"/>
    <w:rsid w:val="006776A7"/>
    <w:rsid w:val="00677F63"/>
    <w:rsid w:val="006804FF"/>
    <w:rsid w:val="006807F1"/>
    <w:rsid w:val="00681BB8"/>
    <w:rsid w:val="0068214B"/>
    <w:rsid w:val="00683FDD"/>
    <w:rsid w:val="00685715"/>
    <w:rsid w:val="006860BA"/>
    <w:rsid w:val="00687AFB"/>
    <w:rsid w:val="006910CD"/>
    <w:rsid w:val="0069122D"/>
    <w:rsid w:val="006916C9"/>
    <w:rsid w:val="006916F6"/>
    <w:rsid w:val="00692B26"/>
    <w:rsid w:val="00692D74"/>
    <w:rsid w:val="00692FF1"/>
    <w:rsid w:val="00693096"/>
    <w:rsid w:val="0069447E"/>
    <w:rsid w:val="006944C1"/>
    <w:rsid w:val="00694AFF"/>
    <w:rsid w:val="006961BA"/>
    <w:rsid w:val="006965C0"/>
    <w:rsid w:val="006968D3"/>
    <w:rsid w:val="00697095"/>
    <w:rsid w:val="00697129"/>
    <w:rsid w:val="006976D0"/>
    <w:rsid w:val="006A09E6"/>
    <w:rsid w:val="006A0ABF"/>
    <w:rsid w:val="006A10C5"/>
    <w:rsid w:val="006A1623"/>
    <w:rsid w:val="006A1785"/>
    <w:rsid w:val="006A232F"/>
    <w:rsid w:val="006A2668"/>
    <w:rsid w:val="006A32B6"/>
    <w:rsid w:val="006A3832"/>
    <w:rsid w:val="006A3CCD"/>
    <w:rsid w:val="006A404B"/>
    <w:rsid w:val="006A45DB"/>
    <w:rsid w:val="006A50E7"/>
    <w:rsid w:val="006A5AA0"/>
    <w:rsid w:val="006A5FF9"/>
    <w:rsid w:val="006A63BE"/>
    <w:rsid w:val="006A67C0"/>
    <w:rsid w:val="006A6B0F"/>
    <w:rsid w:val="006A7702"/>
    <w:rsid w:val="006B0EAE"/>
    <w:rsid w:val="006B1B7B"/>
    <w:rsid w:val="006B21E7"/>
    <w:rsid w:val="006B2777"/>
    <w:rsid w:val="006B2971"/>
    <w:rsid w:val="006B33A8"/>
    <w:rsid w:val="006B3900"/>
    <w:rsid w:val="006B52A9"/>
    <w:rsid w:val="006B5549"/>
    <w:rsid w:val="006B5C87"/>
    <w:rsid w:val="006B5DAC"/>
    <w:rsid w:val="006B7CA3"/>
    <w:rsid w:val="006C0A5D"/>
    <w:rsid w:val="006C0DB4"/>
    <w:rsid w:val="006C129E"/>
    <w:rsid w:val="006C1BD5"/>
    <w:rsid w:val="006C1F2A"/>
    <w:rsid w:val="006C214B"/>
    <w:rsid w:val="006C2267"/>
    <w:rsid w:val="006C29DD"/>
    <w:rsid w:val="006C2C45"/>
    <w:rsid w:val="006C2F96"/>
    <w:rsid w:val="006C33DD"/>
    <w:rsid w:val="006C3B9D"/>
    <w:rsid w:val="006C3EF7"/>
    <w:rsid w:val="006C445D"/>
    <w:rsid w:val="006C4911"/>
    <w:rsid w:val="006C4E84"/>
    <w:rsid w:val="006C4EBD"/>
    <w:rsid w:val="006C5C9A"/>
    <w:rsid w:val="006C60AF"/>
    <w:rsid w:val="006C6466"/>
    <w:rsid w:val="006C7273"/>
    <w:rsid w:val="006D03A5"/>
    <w:rsid w:val="006D0907"/>
    <w:rsid w:val="006D1153"/>
    <w:rsid w:val="006D11F2"/>
    <w:rsid w:val="006D130E"/>
    <w:rsid w:val="006D1747"/>
    <w:rsid w:val="006D1AF6"/>
    <w:rsid w:val="006D2501"/>
    <w:rsid w:val="006D2A5A"/>
    <w:rsid w:val="006D4840"/>
    <w:rsid w:val="006D4F51"/>
    <w:rsid w:val="006D50C1"/>
    <w:rsid w:val="006D5457"/>
    <w:rsid w:val="006D5901"/>
    <w:rsid w:val="006D5B7A"/>
    <w:rsid w:val="006D5D72"/>
    <w:rsid w:val="006D6E90"/>
    <w:rsid w:val="006D7304"/>
    <w:rsid w:val="006D7761"/>
    <w:rsid w:val="006D79D3"/>
    <w:rsid w:val="006D7BAE"/>
    <w:rsid w:val="006D7EFD"/>
    <w:rsid w:val="006E0423"/>
    <w:rsid w:val="006E058F"/>
    <w:rsid w:val="006E1B10"/>
    <w:rsid w:val="006E2A4F"/>
    <w:rsid w:val="006E3D51"/>
    <w:rsid w:val="006E3DBD"/>
    <w:rsid w:val="006E402B"/>
    <w:rsid w:val="006E4F74"/>
    <w:rsid w:val="006E53D7"/>
    <w:rsid w:val="006E5B2C"/>
    <w:rsid w:val="006E5EB1"/>
    <w:rsid w:val="006E7401"/>
    <w:rsid w:val="006F029D"/>
    <w:rsid w:val="006F0B38"/>
    <w:rsid w:val="006F0BF2"/>
    <w:rsid w:val="006F1A5F"/>
    <w:rsid w:val="006F1ADA"/>
    <w:rsid w:val="006F2339"/>
    <w:rsid w:val="006F30E5"/>
    <w:rsid w:val="006F3596"/>
    <w:rsid w:val="006F3A63"/>
    <w:rsid w:val="006F3FBE"/>
    <w:rsid w:val="006F4835"/>
    <w:rsid w:val="006F527A"/>
    <w:rsid w:val="006F5CD5"/>
    <w:rsid w:val="006F6414"/>
    <w:rsid w:val="006F6839"/>
    <w:rsid w:val="006F6B5A"/>
    <w:rsid w:val="006F753C"/>
    <w:rsid w:val="006F7D1A"/>
    <w:rsid w:val="006F7EC9"/>
    <w:rsid w:val="0070017F"/>
    <w:rsid w:val="007001CC"/>
    <w:rsid w:val="00700936"/>
    <w:rsid w:val="00701E26"/>
    <w:rsid w:val="00701F87"/>
    <w:rsid w:val="00702225"/>
    <w:rsid w:val="00702226"/>
    <w:rsid w:val="00702675"/>
    <w:rsid w:val="0070324C"/>
    <w:rsid w:val="007036B4"/>
    <w:rsid w:val="00703ED2"/>
    <w:rsid w:val="0070473A"/>
    <w:rsid w:val="0070499F"/>
    <w:rsid w:val="00704BEB"/>
    <w:rsid w:val="00705BDA"/>
    <w:rsid w:val="00706598"/>
    <w:rsid w:val="00706A30"/>
    <w:rsid w:val="00706BC8"/>
    <w:rsid w:val="00706BF4"/>
    <w:rsid w:val="007078B9"/>
    <w:rsid w:val="00710559"/>
    <w:rsid w:val="00710674"/>
    <w:rsid w:val="0071105A"/>
    <w:rsid w:val="00711085"/>
    <w:rsid w:val="007114F1"/>
    <w:rsid w:val="0071211A"/>
    <w:rsid w:val="007124EC"/>
    <w:rsid w:val="00712941"/>
    <w:rsid w:val="007137A4"/>
    <w:rsid w:val="00713D4E"/>
    <w:rsid w:val="0071497A"/>
    <w:rsid w:val="007158F9"/>
    <w:rsid w:val="00715945"/>
    <w:rsid w:val="00716587"/>
    <w:rsid w:val="00716FEB"/>
    <w:rsid w:val="007170C6"/>
    <w:rsid w:val="00717FDA"/>
    <w:rsid w:val="00720033"/>
    <w:rsid w:val="00721319"/>
    <w:rsid w:val="007215E2"/>
    <w:rsid w:val="00721862"/>
    <w:rsid w:val="00721AAE"/>
    <w:rsid w:val="00721C13"/>
    <w:rsid w:val="00722791"/>
    <w:rsid w:val="00722A01"/>
    <w:rsid w:val="00723DEE"/>
    <w:rsid w:val="00725167"/>
    <w:rsid w:val="007251E4"/>
    <w:rsid w:val="007251F0"/>
    <w:rsid w:val="00725511"/>
    <w:rsid w:val="00725A2D"/>
    <w:rsid w:val="00725FF1"/>
    <w:rsid w:val="007261A1"/>
    <w:rsid w:val="00726A45"/>
    <w:rsid w:val="00726E59"/>
    <w:rsid w:val="00727DEF"/>
    <w:rsid w:val="007302BE"/>
    <w:rsid w:val="0073165B"/>
    <w:rsid w:val="0073182D"/>
    <w:rsid w:val="00731E27"/>
    <w:rsid w:val="0073229D"/>
    <w:rsid w:val="00732575"/>
    <w:rsid w:val="00732E86"/>
    <w:rsid w:val="007337A1"/>
    <w:rsid w:val="00734099"/>
    <w:rsid w:val="007342F3"/>
    <w:rsid w:val="00734FBA"/>
    <w:rsid w:val="0073670F"/>
    <w:rsid w:val="00736AA0"/>
    <w:rsid w:val="00736D35"/>
    <w:rsid w:val="007374EE"/>
    <w:rsid w:val="007375B6"/>
    <w:rsid w:val="00737B4A"/>
    <w:rsid w:val="00737C9F"/>
    <w:rsid w:val="00737D98"/>
    <w:rsid w:val="007405E6"/>
    <w:rsid w:val="00740DAF"/>
    <w:rsid w:val="00740F69"/>
    <w:rsid w:val="007421F0"/>
    <w:rsid w:val="007427CA"/>
    <w:rsid w:val="0074363B"/>
    <w:rsid w:val="007439E9"/>
    <w:rsid w:val="00743E33"/>
    <w:rsid w:val="00744646"/>
    <w:rsid w:val="00744DF4"/>
    <w:rsid w:val="00744EE2"/>
    <w:rsid w:val="00744F72"/>
    <w:rsid w:val="00745831"/>
    <w:rsid w:val="00745ADA"/>
    <w:rsid w:val="00745DCF"/>
    <w:rsid w:val="00746443"/>
    <w:rsid w:val="0074653A"/>
    <w:rsid w:val="00746CBA"/>
    <w:rsid w:val="00747AEF"/>
    <w:rsid w:val="007503CC"/>
    <w:rsid w:val="007511E1"/>
    <w:rsid w:val="007527E6"/>
    <w:rsid w:val="0075284A"/>
    <w:rsid w:val="00752FD8"/>
    <w:rsid w:val="007532BC"/>
    <w:rsid w:val="0075370B"/>
    <w:rsid w:val="00753E2E"/>
    <w:rsid w:val="007541F9"/>
    <w:rsid w:val="00754330"/>
    <w:rsid w:val="007549F5"/>
    <w:rsid w:val="007556B7"/>
    <w:rsid w:val="00756B42"/>
    <w:rsid w:val="00756E13"/>
    <w:rsid w:val="007571DD"/>
    <w:rsid w:val="007606BC"/>
    <w:rsid w:val="00760D39"/>
    <w:rsid w:val="00761681"/>
    <w:rsid w:val="00761B8B"/>
    <w:rsid w:val="00762824"/>
    <w:rsid w:val="007629E2"/>
    <w:rsid w:val="00763155"/>
    <w:rsid w:val="00764F75"/>
    <w:rsid w:val="00766040"/>
    <w:rsid w:val="00766586"/>
    <w:rsid w:val="0076666A"/>
    <w:rsid w:val="00766B32"/>
    <w:rsid w:val="00766C28"/>
    <w:rsid w:val="007670CC"/>
    <w:rsid w:val="0076723E"/>
    <w:rsid w:val="00767369"/>
    <w:rsid w:val="007673DB"/>
    <w:rsid w:val="00767739"/>
    <w:rsid w:val="00767EF9"/>
    <w:rsid w:val="00767EFA"/>
    <w:rsid w:val="00767FDA"/>
    <w:rsid w:val="00770008"/>
    <w:rsid w:val="00770138"/>
    <w:rsid w:val="00771A01"/>
    <w:rsid w:val="0077296D"/>
    <w:rsid w:val="00772A5C"/>
    <w:rsid w:val="00772F95"/>
    <w:rsid w:val="007732A6"/>
    <w:rsid w:val="00774EB4"/>
    <w:rsid w:val="00775ED8"/>
    <w:rsid w:val="00776886"/>
    <w:rsid w:val="00776FF5"/>
    <w:rsid w:val="00777CF0"/>
    <w:rsid w:val="00780155"/>
    <w:rsid w:val="007809FE"/>
    <w:rsid w:val="00780A72"/>
    <w:rsid w:val="00781243"/>
    <w:rsid w:val="00781759"/>
    <w:rsid w:val="00781F40"/>
    <w:rsid w:val="007844CB"/>
    <w:rsid w:val="00784933"/>
    <w:rsid w:val="0078569F"/>
    <w:rsid w:val="00785E4B"/>
    <w:rsid w:val="00786266"/>
    <w:rsid w:val="00786D58"/>
    <w:rsid w:val="00787496"/>
    <w:rsid w:val="0078751F"/>
    <w:rsid w:val="00787796"/>
    <w:rsid w:val="0078794A"/>
    <w:rsid w:val="007903E5"/>
    <w:rsid w:val="007904C9"/>
    <w:rsid w:val="00790934"/>
    <w:rsid w:val="00790A2F"/>
    <w:rsid w:val="00791A77"/>
    <w:rsid w:val="00792018"/>
    <w:rsid w:val="0079230A"/>
    <w:rsid w:val="00792514"/>
    <w:rsid w:val="00792B8A"/>
    <w:rsid w:val="007933C2"/>
    <w:rsid w:val="00793729"/>
    <w:rsid w:val="007937AC"/>
    <w:rsid w:val="0079433B"/>
    <w:rsid w:val="007947D4"/>
    <w:rsid w:val="0079583C"/>
    <w:rsid w:val="00795C1C"/>
    <w:rsid w:val="00795C4B"/>
    <w:rsid w:val="00795C82"/>
    <w:rsid w:val="00795EFB"/>
    <w:rsid w:val="007962DF"/>
    <w:rsid w:val="007A0868"/>
    <w:rsid w:val="007A0F74"/>
    <w:rsid w:val="007A138A"/>
    <w:rsid w:val="007A1625"/>
    <w:rsid w:val="007A1AEB"/>
    <w:rsid w:val="007A1CB2"/>
    <w:rsid w:val="007A3331"/>
    <w:rsid w:val="007A4D45"/>
    <w:rsid w:val="007A4DA6"/>
    <w:rsid w:val="007A507E"/>
    <w:rsid w:val="007A52C3"/>
    <w:rsid w:val="007A5703"/>
    <w:rsid w:val="007A5A4E"/>
    <w:rsid w:val="007A6044"/>
    <w:rsid w:val="007A60DD"/>
    <w:rsid w:val="007A61B9"/>
    <w:rsid w:val="007A6A96"/>
    <w:rsid w:val="007A7226"/>
    <w:rsid w:val="007B0411"/>
    <w:rsid w:val="007B0FDF"/>
    <w:rsid w:val="007B18F3"/>
    <w:rsid w:val="007B242F"/>
    <w:rsid w:val="007B2B05"/>
    <w:rsid w:val="007B3805"/>
    <w:rsid w:val="007B4C7E"/>
    <w:rsid w:val="007B4CF0"/>
    <w:rsid w:val="007B4D77"/>
    <w:rsid w:val="007B523D"/>
    <w:rsid w:val="007B65A1"/>
    <w:rsid w:val="007B6A66"/>
    <w:rsid w:val="007B6F85"/>
    <w:rsid w:val="007B784C"/>
    <w:rsid w:val="007B7D2B"/>
    <w:rsid w:val="007C082E"/>
    <w:rsid w:val="007C08BD"/>
    <w:rsid w:val="007C0D4C"/>
    <w:rsid w:val="007C2EFA"/>
    <w:rsid w:val="007C39CE"/>
    <w:rsid w:val="007C3F58"/>
    <w:rsid w:val="007C4466"/>
    <w:rsid w:val="007C447B"/>
    <w:rsid w:val="007C4C71"/>
    <w:rsid w:val="007C4F2B"/>
    <w:rsid w:val="007C53BB"/>
    <w:rsid w:val="007C54ED"/>
    <w:rsid w:val="007C6113"/>
    <w:rsid w:val="007C65B2"/>
    <w:rsid w:val="007C6D6C"/>
    <w:rsid w:val="007C6D6E"/>
    <w:rsid w:val="007C6D7B"/>
    <w:rsid w:val="007C7341"/>
    <w:rsid w:val="007C775F"/>
    <w:rsid w:val="007D0039"/>
    <w:rsid w:val="007D0F5A"/>
    <w:rsid w:val="007D1DF6"/>
    <w:rsid w:val="007D2A44"/>
    <w:rsid w:val="007D312E"/>
    <w:rsid w:val="007D4350"/>
    <w:rsid w:val="007D436C"/>
    <w:rsid w:val="007D5BC5"/>
    <w:rsid w:val="007D5D8C"/>
    <w:rsid w:val="007D6265"/>
    <w:rsid w:val="007D6DFC"/>
    <w:rsid w:val="007D6E23"/>
    <w:rsid w:val="007D7CA6"/>
    <w:rsid w:val="007D7D12"/>
    <w:rsid w:val="007E017E"/>
    <w:rsid w:val="007E0282"/>
    <w:rsid w:val="007E0C22"/>
    <w:rsid w:val="007E1300"/>
    <w:rsid w:val="007E18E4"/>
    <w:rsid w:val="007E2949"/>
    <w:rsid w:val="007E316C"/>
    <w:rsid w:val="007E3735"/>
    <w:rsid w:val="007E443C"/>
    <w:rsid w:val="007E466C"/>
    <w:rsid w:val="007E4959"/>
    <w:rsid w:val="007E4DEA"/>
    <w:rsid w:val="007E5176"/>
    <w:rsid w:val="007E558F"/>
    <w:rsid w:val="007E56F0"/>
    <w:rsid w:val="007E57DF"/>
    <w:rsid w:val="007E5AA9"/>
    <w:rsid w:val="007E63B7"/>
    <w:rsid w:val="007E6652"/>
    <w:rsid w:val="007E6656"/>
    <w:rsid w:val="007E789D"/>
    <w:rsid w:val="007F13EB"/>
    <w:rsid w:val="007F1580"/>
    <w:rsid w:val="007F22FD"/>
    <w:rsid w:val="007F2652"/>
    <w:rsid w:val="007F2734"/>
    <w:rsid w:val="007F2DF1"/>
    <w:rsid w:val="007F2FB7"/>
    <w:rsid w:val="007F35CC"/>
    <w:rsid w:val="007F35EB"/>
    <w:rsid w:val="007F47E9"/>
    <w:rsid w:val="007F58F9"/>
    <w:rsid w:val="007F655A"/>
    <w:rsid w:val="007F6563"/>
    <w:rsid w:val="007F6E7D"/>
    <w:rsid w:val="007F796E"/>
    <w:rsid w:val="007F7EA2"/>
    <w:rsid w:val="008001D8"/>
    <w:rsid w:val="00800209"/>
    <w:rsid w:val="00800403"/>
    <w:rsid w:val="00801826"/>
    <w:rsid w:val="00801832"/>
    <w:rsid w:val="0080209C"/>
    <w:rsid w:val="008026AC"/>
    <w:rsid w:val="00802985"/>
    <w:rsid w:val="00803032"/>
    <w:rsid w:val="008032F1"/>
    <w:rsid w:val="00803365"/>
    <w:rsid w:val="00803669"/>
    <w:rsid w:val="00803D19"/>
    <w:rsid w:val="008040D9"/>
    <w:rsid w:val="008048F4"/>
    <w:rsid w:val="00805844"/>
    <w:rsid w:val="00805AE8"/>
    <w:rsid w:val="00805B20"/>
    <w:rsid w:val="00805C06"/>
    <w:rsid w:val="008070A8"/>
    <w:rsid w:val="00807A2F"/>
    <w:rsid w:val="00807F1B"/>
    <w:rsid w:val="00810036"/>
    <w:rsid w:val="008111C5"/>
    <w:rsid w:val="0081123A"/>
    <w:rsid w:val="00811246"/>
    <w:rsid w:val="008115DC"/>
    <w:rsid w:val="008129AF"/>
    <w:rsid w:val="00813E3B"/>
    <w:rsid w:val="00814272"/>
    <w:rsid w:val="0081454C"/>
    <w:rsid w:val="00814B4A"/>
    <w:rsid w:val="00814C16"/>
    <w:rsid w:val="00814F95"/>
    <w:rsid w:val="0081512C"/>
    <w:rsid w:val="00815413"/>
    <w:rsid w:val="00815627"/>
    <w:rsid w:val="0081587C"/>
    <w:rsid w:val="0081648E"/>
    <w:rsid w:val="00816A80"/>
    <w:rsid w:val="00816EC6"/>
    <w:rsid w:val="00820EC4"/>
    <w:rsid w:val="008210AE"/>
    <w:rsid w:val="008211EF"/>
    <w:rsid w:val="00821837"/>
    <w:rsid w:val="0082183C"/>
    <w:rsid w:val="00821A42"/>
    <w:rsid w:val="00821AE0"/>
    <w:rsid w:val="00822193"/>
    <w:rsid w:val="008222CA"/>
    <w:rsid w:val="008231B3"/>
    <w:rsid w:val="0082330D"/>
    <w:rsid w:val="0082339F"/>
    <w:rsid w:val="00823515"/>
    <w:rsid w:val="00823E4D"/>
    <w:rsid w:val="0082425D"/>
    <w:rsid w:val="00824543"/>
    <w:rsid w:val="00824C38"/>
    <w:rsid w:val="008252D5"/>
    <w:rsid w:val="00825966"/>
    <w:rsid w:val="00826174"/>
    <w:rsid w:val="00826242"/>
    <w:rsid w:val="008263A4"/>
    <w:rsid w:val="008275E9"/>
    <w:rsid w:val="00827707"/>
    <w:rsid w:val="00827BC8"/>
    <w:rsid w:val="00827E50"/>
    <w:rsid w:val="00827F5A"/>
    <w:rsid w:val="00830311"/>
    <w:rsid w:val="00830F2C"/>
    <w:rsid w:val="0083166E"/>
    <w:rsid w:val="00831FE0"/>
    <w:rsid w:val="0083237E"/>
    <w:rsid w:val="00832FFB"/>
    <w:rsid w:val="00833120"/>
    <w:rsid w:val="00833DD4"/>
    <w:rsid w:val="00833F65"/>
    <w:rsid w:val="00836451"/>
    <w:rsid w:val="0083709F"/>
    <w:rsid w:val="0084015F"/>
    <w:rsid w:val="008403CF"/>
    <w:rsid w:val="0084089D"/>
    <w:rsid w:val="00841008"/>
    <w:rsid w:val="008418D6"/>
    <w:rsid w:val="008422C1"/>
    <w:rsid w:val="00842D8F"/>
    <w:rsid w:val="00842F6F"/>
    <w:rsid w:val="00843598"/>
    <w:rsid w:val="008440A9"/>
    <w:rsid w:val="00844668"/>
    <w:rsid w:val="008458BC"/>
    <w:rsid w:val="00846175"/>
    <w:rsid w:val="00846B5E"/>
    <w:rsid w:val="00846BE3"/>
    <w:rsid w:val="00847508"/>
    <w:rsid w:val="008477FD"/>
    <w:rsid w:val="00847AFB"/>
    <w:rsid w:val="0085051E"/>
    <w:rsid w:val="00850C18"/>
    <w:rsid w:val="0085112E"/>
    <w:rsid w:val="008511F5"/>
    <w:rsid w:val="008523B6"/>
    <w:rsid w:val="008523F9"/>
    <w:rsid w:val="00853F8C"/>
    <w:rsid w:val="00854A0F"/>
    <w:rsid w:val="00854CEF"/>
    <w:rsid w:val="00856590"/>
    <w:rsid w:val="008569C4"/>
    <w:rsid w:val="00856A68"/>
    <w:rsid w:val="00857241"/>
    <w:rsid w:val="0085725D"/>
    <w:rsid w:val="00857419"/>
    <w:rsid w:val="00857B95"/>
    <w:rsid w:val="00860163"/>
    <w:rsid w:val="008601F9"/>
    <w:rsid w:val="0086025F"/>
    <w:rsid w:val="008608AE"/>
    <w:rsid w:val="008612A5"/>
    <w:rsid w:val="00861A1C"/>
    <w:rsid w:val="00862266"/>
    <w:rsid w:val="008628B7"/>
    <w:rsid w:val="00863040"/>
    <w:rsid w:val="00863790"/>
    <w:rsid w:val="0086383F"/>
    <w:rsid w:val="0086385A"/>
    <w:rsid w:val="00864B22"/>
    <w:rsid w:val="00865CE4"/>
    <w:rsid w:val="00866BA8"/>
    <w:rsid w:val="00867317"/>
    <w:rsid w:val="0086758A"/>
    <w:rsid w:val="00867B45"/>
    <w:rsid w:val="0087025B"/>
    <w:rsid w:val="00871C40"/>
    <w:rsid w:val="00871CA7"/>
    <w:rsid w:val="0087270D"/>
    <w:rsid w:val="0087307D"/>
    <w:rsid w:val="00874C95"/>
    <w:rsid w:val="0087587F"/>
    <w:rsid w:val="00875A77"/>
    <w:rsid w:val="008763BE"/>
    <w:rsid w:val="00876A85"/>
    <w:rsid w:val="00876C4C"/>
    <w:rsid w:val="00876D88"/>
    <w:rsid w:val="008770E1"/>
    <w:rsid w:val="00877526"/>
    <w:rsid w:val="00877DA6"/>
    <w:rsid w:val="00882216"/>
    <w:rsid w:val="008826F5"/>
    <w:rsid w:val="00882BFF"/>
    <w:rsid w:val="0088326C"/>
    <w:rsid w:val="00883A58"/>
    <w:rsid w:val="00883E46"/>
    <w:rsid w:val="00884145"/>
    <w:rsid w:val="00884AA9"/>
    <w:rsid w:val="0088736E"/>
    <w:rsid w:val="00890110"/>
    <w:rsid w:val="0089070D"/>
    <w:rsid w:val="00891236"/>
    <w:rsid w:val="008913CE"/>
    <w:rsid w:val="00892359"/>
    <w:rsid w:val="00892BA1"/>
    <w:rsid w:val="00892E87"/>
    <w:rsid w:val="0089337D"/>
    <w:rsid w:val="008933FD"/>
    <w:rsid w:val="00893CF6"/>
    <w:rsid w:val="008948F2"/>
    <w:rsid w:val="008949C9"/>
    <w:rsid w:val="00895B0E"/>
    <w:rsid w:val="0089611F"/>
    <w:rsid w:val="00896C71"/>
    <w:rsid w:val="00896F1C"/>
    <w:rsid w:val="008978D4"/>
    <w:rsid w:val="008A031F"/>
    <w:rsid w:val="008A0CFD"/>
    <w:rsid w:val="008A1B10"/>
    <w:rsid w:val="008A2131"/>
    <w:rsid w:val="008A298A"/>
    <w:rsid w:val="008A31ED"/>
    <w:rsid w:val="008A32E5"/>
    <w:rsid w:val="008A39F4"/>
    <w:rsid w:val="008A3E6D"/>
    <w:rsid w:val="008A4215"/>
    <w:rsid w:val="008A49DC"/>
    <w:rsid w:val="008A4C9A"/>
    <w:rsid w:val="008A58FA"/>
    <w:rsid w:val="008A6FC7"/>
    <w:rsid w:val="008A7101"/>
    <w:rsid w:val="008A7113"/>
    <w:rsid w:val="008A748A"/>
    <w:rsid w:val="008A79D5"/>
    <w:rsid w:val="008A7A95"/>
    <w:rsid w:val="008A7F45"/>
    <w:rsid w:val="008B0F5C"/>
    <w:rsid w:val="008B102F"/>
    <w:rsid w:val="008B11E3"/>
    <w:rsid w:val="008B13B3"/>
    <w:rsid w:val="008B1CB2"/>
    <w:rsid w:val="008B1FE7"/>
    <w:rsid w:val="008B2731"/>
    <w:rsid w:val="008B3B68"/>
    <w:rsid w:val="008B556A"/>
    <w:rsid w:val="008B565F"/>
    <w:rsid w:val="008B5904"/>
    <w:rsid w:val="008B6460"/>
    <w:rsid w:val="008B7190"/>
    <w:rsid w:val="008B7637"/>
    <w:rsid w:val="008C0E1B"/>
    <w:rsid w:val="008C17A1"/>
    <w:rsid w:val="008C1E0B"/>
    <w:rsid w:val="008C1F70"/>
    <w:rsid w:val="008C31F1"/>
    <w:rsid w:val="008C37C2"/>
    <w:rsid w:val="008C42D1"/>
    <w:rsid w:val="008C4CA7"/>
    <w:rsid w:val="008C5D39"/>
    <w:rsid w:val="008C7278"/>
    <w:rsid w:val="008C7997"/>
    <w:rsid w:val="008D0133"/>
    <w:rsid w:val="008D0322"/>
    <w:rsid w:val="008D0665"/>
    <w:rsid w:val="008D1721"/>
    <w:rsid w:val="008D209D"/>
    <w:rsid w:val="008D21EF"/>
    <w:rsid w:val="008D2791"/>
    <w:rsid w:val="008D2B06"/>
    <w:rsid w:val="008D2CBB"/>
    <w:rsid w:val="008D3565"/>
    <w:rsid w:val="008D36F5"/>
    <w:rsid w:val="008D3EF5"/>
    <w:rsid w:val="008D4720"/>
    <w:rsid w:val="008D4FFE"/>
    <w:rsid w:val="008D52CE"/>
    <w:rsid w:val="008D5D2F"/>
    <w:rsid w:val="008D6432"/>
    <w:rsid w:val="008D6F1B"/>
    <w:rsid w:val="008D72E0"/>
    <w:rsid w:val="008E049A"/>
    <w:rsid w:val="008E0EBB"/>
    <w:rsid w:val="008E220F"/>
    <w:rsid w:val="008E39D8"/>
    <w:rsid w:val="008E427C"/>
    <w:rsid w:val="008E449C"/>
    <w:rsid w:val="008E49C8"/>
    <w:rsid w:val="008E53F8"/>
    <w:rsid w:val="008E62E5"/>
    <w:rsid w:val="008E6C43"/>
    <w:rsid w:val="008E7A08"/>
    <w:rsid w:val="008E7ED9"/>
    <w:rsid w:val="008F07B1"/>
    <w:rsid w:val="008F0D09"/>
    <w:rsid w:val="008F1077"/>
    <w:rsid w:val="008F1319"/>
    <w:rsid w:val="008F2CF9"/>
    <w:rsid w:val="008F3909"/>
    <w:rsid w:val="008F3E10"/>
    <w:rsid w:val="008F419C"/>
    <w:rsid w:val="008F4C8C"/>
    <w:rsid w:val="008F519B"/>
    <w:rsid w:val="008F532E"/>
    <w:rsid w:val="008F532F"/>
    <w:rsid w:val="008F533F"/>
    <w:rsid w:val="008F5422"/>
    <w:rsid w:val="008F5DB4"/>
    <w:rsid w:val="008F7490"/>
    <w:rsid w:val="008F76B7"/>
    <w:rsid w:val="008F7EED"/>
    <w:rsid w:val="00900F77"/>
    <w:rsid w:val="009012AF"/>
    <w:rsid w:val="009027B0"/>
    <w:rsid w:val="00903296"/>
    <w:rsid w:val="00903C0C"/>
    <w:rsid w:val="0090445B"/>
    <w:rsid w:val="00904829"/>
    <w:rsid w:val="00904C4A"/>
    <w:rsid w:val="0090582E"/>
    <w:rsid w:val="0090584D"/>
    <w:rsid w:val="0090607F"/>
    <w:rsid w:val="0090628A"/>
    <w:rsid w:val="009065C6"/>
    <w:rsid w:val="00906803"/>
    <w:rsid w:val="0090699B"/>
    <w:rsid w:val="00906D96"/>
    <w:rsid w:val="00906EF3"/>
    <w:rsid w:val="0090716C"/>
    <w:rsid w:val="00907E28"/>
    <w:rsid w:val="00910B52"/>
    <w:rsid w:val="00911A8E"/>
    <w:rsid w:val="0091261D"/>
    <w:rsid w:val="00912ED9"/>
    <w:rsid w:val="00913D3C"/>
    <w:rsid w:val="009143C7"/>
    <w:rsid w:val="00914AC8"/>
    <w:rsid w:val="00914E3E"/>
    <w:rsid w:val="00915721"/>
    <w:rsid w:val="00915C40"/>
    <w:rsid w:val="00915FB2"/>
    <w:rsid w:val="00916430"/>
    <w:rsid w:val="00916C79"/>
    <w:rsid w:val="0091752C"/>
    <w:rsid w:val="0091798B"/>
    <w:rsid w:val="00917E60"/>
    <w:rsid w:val="009201C8"/>
    <w:rsid w:val="0092053F"/>
    <w:rsid w:val="00920C72"/>
    <w:rsid w:val="009210FC"/>
    <w:rsid w:val="009213A1"/>
    <w:rsid w:val="009216E5"/>
    <w:rsid w:val="0092264A"/>
    <w:rsid w:val="00922AF9"/>
    <w:rsid w:val="0092348D"/>
    <w:rsid w:val="0092385A"/>
    <w:rsid w:val="009239B1"/>
    <w:rsid w:val="00923FBC"/>
    <w:rsid w:val="00924650"/>
    <w:rsid w:val="00925B71"/>
    <w:rsid w:val="00926285"/>
    <w:rsid w:val="0092686C"/>
    <w:rsid w:val="009268DF"/>
    <w:rsid w:val="00926C5C"/>
    <w:rsid w:val="009274F0"/>
    <w:rsid w:val="0093060C"/>
    <w:rsid w:val="00930D02"/>
    <w:rsid w:val="00930E91"/>
    <w:rsid w:val="009316E1"/>
    <w:rsid w:val="00934065"/>
    <w:rsid w:val="0093465F"/>
    <w:rsid w:val="0093548D"/>
    <w:rsid w:val="0093581E"/>
    <w:rsid w:val="00935F9F"/>
    <w:rsid w:val="009361C5"/>
    <w:rsid w:val="009404AA"/>
    <w:rsid w:val="009404F1"/>
    <w:rsid w:val="00940DE5"/>
    <w:rsid w:val="009411E6"/>
    <w:rsid w:val="0094149E"/>
    <w:rsid w:val="00941692"/>
    <w:rsid w:val="00941A8D"/>
    <w:rsid w:val="009425E5"/>
    <w:rsid w:val="00942644"/>
    <w:rsid w:val="00942732"/>
    <w:rsid w:val="009430FA"/>
    <w:rsid w:val="0094320C"/>
    <w:rsid w:val="00944F98"/>
    <w:rsid w:val="00945426"/>
    <w:rsid w:val="0094566D"/>
    <w:rsid w:val="00945801"/>
    <w:rsid w:val="00945CE7"/>
    <w:rsid w:val="00946AFF"/>
    <w:rsid w:val="00947380"/>
    <w:rsid w:val="009500A1"/>
    <w:rsid w:val="00950167"/>
    <w:rsid w:val="00950E6D"/>
    <w:rsid w:val="009511AE"/>
    <w:rsid w:val="00951209"/>
    <w:rsid w:val="009513F4"/>
    <w:rsid w:val="009516A1"/>
    <w:rsid w:val="009516FE"/>
    <w:rsid w:val="00951EE5"/>
    <w:rsid w:val="00952108"/>
    <w:rsid w:val="009540F0"/>
    <w:rsid w:val="00954380"/>
    <w:rsid w:val="00954EEE"/>
    <w:rsid w:val="009560F1"/>
    <w:rsid w:val="00956650"/>
    <w:rsid w:val="00957241"/>
    <w:rsid w:val="00960C55"/>
    <w:rsid w:val="0096135D"/>
    <w:rsid w:val="00961780"/>
    <w:rsid w:val="00961A02"/>
    <w:rsid w:val="00962C0F"/>
    <w:rsid w:val="00962D0D"/>
    <w:rsid w:val="00962F43"/>
    <w:rsid w:val="009638D7"/>
    <w:rsid w:val="00963DF8"/>
    <w:rsid w:val="0096468B"/>
    <w:rsid w:val="009648A5"/>
    <w:rsid w:val="00964C05"/>
    <w:rsid w:val="00964CDE"/>
    <w:rsid w:val="0096593E"/>
    <w:rsid w:val="00966049"/>
    <w:rsid w:val="00966759"/>
    <w:rsid w:val="00967C1A"/>
    <w:rsid w:val="00967CC1"/>
    <w:rsid w:val="00970592"/>
    <w:rsid w:val="00970A05"/>
    <w:rsid w:val="009711A8"/>
    <w:rsid w:val="00971CDC"/>
    <w:rsid w:val="00971E5C"/>
    <w:rsid w:val="009720C5"/>
    <w:rsid w:val="009722A8"/>
    <w:rsid w:val="009727FF"/>
    <w:rsid w:val="00972AB7"/>
    <w:rsid w:val="00972C23"/>
    <w:rsid w:val="00973422"/>
    <w:rsid w:val="00974630"/>
    <w:rsid w:val="00974E87"/>
    <w:rsid w:val="009755B4"/>
    <w:rsid w:val="00975622"/>
    <w:rsid w:val="009759C1"/>
    <w:rsid w:val="00975AFC"/>
    <w:rsid w:val="00975EFE"/>
    <w:rsid w:val="00976035"/>
    <w:rsid w:val="0097632B"/>
    <w:rsid w:val="00976B91"/>
    <w:rsid w:val="00976F65"/>
    <w:rsid w:val="009772FE"/>
    <w:rsid w:val="00977400"/>
    <w:rsid w:val="00977817"/>
    <w:rsid w:val="0098021C"/>
    <w:rsid w:val="00980CE0"/>
    <w:rsid w:val="00980DDE"/>
    <w:rsid w:val="0098108E"/>
    <w:rsid w:val="009814EF"/>
    <w:rsid w:val="00981F7E"/>
    <w:rsid w:val="00981F88"/>
    <w:rsid w:val="00982037"/>
    <w:rsid w:val="00982D86"/>
    <w:rsid w:val="00982EA8"/>
    <w:rsid w:val="00983EE7"/>
    <w:rsid w:val="0098461C"/>
    <w:rsid w:val="009847CD"/>
    <w:rsid w:val="00984AF6"/>
    <w:rsid w:val="00984F1D"/>
    <w:rsid w:val="00985063"/>
    <w:rsid w:val="00985677"/>
    <w:rsid w:val="009862D6"/>
    <w:rsid w:val="00986AF5"/>
    <w:rsid w:val="00987827"/>
    <w:rsid w:val="00990291"/>
    <w:rsid w:val="00990A18"/>
    <w:rsid w:val="0099100A"/>
    <w:rsid w:val="00991954"/>
    <w:rsid w:val="0099338D"/>
    <w:rsid w:val="0099364E"/>
    <w:rsid w:val="00993EC1"/>
    <w:rsid w:val="00994A55"/>
    <w:rsid w:val="00994F66"/>
    <w:rsid w:val="00995BB9"/>
    <w:rsid w:val="00995F93"/>
    <w:rsid w:val="0099612A"/>
    <w:rsid w:val="00996CA3"/>
    <w:rsid w:val="00996CFD"/>
    <w:rsid w:val="009974F8"/>
    <w:rsid w:val="009A006A"/>
    <w:rsid w:val="009A1179"/>
    <w:rsid w:val="009A1A1F"/>
    <w:rsid w:val="009A1C27"/>
    <w:rsid w:val="009A24EA"/>
    <w:rsid w:val="009A27EF"/>
    <w:rsid w:val="009A2D08"/>
    <w:rsid w:val="009A356A"/>
    <w:rsid w:val="009A3BE3"/>
    <w:rsid w:val="009A4A01"/>
    <w:rsid w:val="009A4B1C"/>
    <w:rsid w:val="009A561E"/>
    <w:rsid w:val="009A57CC"/>
    <w:rsid w:val="009A6EC9"/>
    <w:rsid w:val="009B013A"/>
    <w:rsid w:val="009B0917"/>
    <w:rsid w:val="009B15D4"/>
    <w:rsid w:val="009B1CEF"/>
    <w:rsid w:val="009B229B"/>
    <w:rsid w:val="009B2F66"/>
    <w:rsid w:val="009B3009"/>
    <w:rsid w:val="009B343C"/>
    <w:rsid w:val="009B3EE2"/>
    <w:rsid w:val="009B4AD8"/>
    <w:rsid w:val="009B5142"/>
    <w:rsid w:val="009B5726"/>
    <w:rsid w:val="009B5E27"/>
    <w:rsid w:val="009B6251"/>
    <w:rsid w:val="009B62F7"/>
    <w:rsid w:val="009B6AE2"/>
    <w:rsid w:val="009B6F05"/>
    <w:rsid w:val="009C04BB"/>
    <w:rsid w:val="009C0D33"/>
    <w:rsid w:val="009C1BE3"/>
    <w:rsid w:val="009C2A09"/>
    <w:rsid w:val="009C3ED9"/>
    <w:rsid w:val="009C4510"/>
    <w:rsid w:val="009C4885"/>
    <w:rsid w:val="009C4B75"/>
    <w:rsid w:val="009C51D6"/>
    <w:rsid w:val="009C5A4C"/>
    <w:rsid w:val="009C6022"/>
    <w:rsid w:val="009C6290"/>
    <w:rsid w:val="009C71E5"/>
    <w:rsid w:val="009C758C"/>
    <w:rsid w:val="009C7838"/>
    <w:rsid w:val="009C7976"/>
    <w:rsid w:val="009C7FE1"/>
    <w:rsid w:val="009D009E"/>
    <w:rsid w:val="009D0631"/>
    <w:rsid w:val="009D0D27"/>
    <w:rsid w:val="009D1764"/>
    <w:rsid w:val="009D1C36"/>
    <w:rsid w:val="009D1EDD"/>
    <w:rsid w:val="009D2244"/>
    <w:rsid w:val="009D28E5"/>
    <w:rsid w:val="009D34C3"/>
    <w:rsid w:val="009D3786"/>
    <w:rsid w:val="009D3E4D"/>
    <w:rsid w:val="009D448E"/>
    <w:rsid w:val="009D4CEA"/>
    <w:rsid w:val="009D5241"/>
    <w:rsid w:val="009D53B7"/>
    <w:rsid w:val="009D55D0"/>
    <w:rsid w:val="009D579A"/>
    <w:rsid w:val="009D5BF3"/>
    <w:rsid w:val="009D5C8C"/>
    <w:rsid w:val="009D62A0"/>
    <w:rsid w:val="009D6C51"/>
    <w:rsid w:val="009D6CA9"/>
    <w:rsid w:val="009D7BE9"/>
    <w:rsid w:val="009D7F28"/>
    <w:rsid w:val="009E0C0A"/>
    <w:rsid w:val="009E1D47"/>
    <w:rsid w:val="009E2661"/>
    <w:rsid w:val="009E340B"/>
    <w:rsid w:val="009E366B"/>
    <w:rsid w:val="009E3E80"/>
    <w:rsid w:val="009E4242"/>
    <w:rsid w:val="009E4AA3"/>
    <w:rsid w:val="009E51C5"/>
    <w:rsid w:val="009E590C"/>
    <w:rsid w:val="009E643C"/>
    <w:rsid w:val="009E685D"/>
    <w:rsid w:val="009E6C2A"/>
    <w:rsid w:val="009E6DCA"/>
    <w:rsid w:val="009E7B2C"/>
    <w:rsid w:val="009F1629"/>
    <w:rsid w:val="009F2C2A"/>
    <w:rsid w:val="009F31D4"/>
    <w:rsid w:val="009F3EC6"/>
    <w:rsid w:val="009F4307"/>
    <w:rsid w:val="009F50F6"/>
    <w:rsid w:val="009F589E"/>
    <w:rsid w:val="009F6BEA"/>
    <w:rsid w:val="009F7364"/>
    <w:rsid w:val="009F766E"/>
    <w:rsid w:val="00A0165A"/>
    <w:rsid w:val="00A016F1"/>
    <w:rsid w:val="00A01AC9"/>
    <w:rsid w:val="00A01B5F"/>
    <w:rsid w:val="00A02028"/>
    <w:rsid w:val="00A02729"/>
    <w:rsid w:val="00A029AD"/>
    <w:rsid w:val="00A02CB5"/>
    <w:rsid w:val="00A03647"/>
    <w:rsid w:val="00A0458A"/>
    <w:rsid w:val="00A045CF"/>
    <w:rsid w:val="00A04715"/>
    <w:rsid w:val="00A065EE"/>
    <w:rsid w:val="00A066D4"/>
    <w:rsid w:val="00A0776B"/>
    <w:rsid w:val="00A07A10"/>
    <w:rsid w:val="00A07F27"/>
    <w:rsid w:val="00A110F3"/>
    <w:rsid w:val="00A1165B"/>
    <w:rsid w:val="00A11D83"/>
    <w:rsid w:val="00A11EB1"/>
    <w:rsid w:val="00A125CF"/>
    <w:rsid w:val="00A127F5"/>
    <w:rsid w:val="00A12BB4"/>
    <w:rsid w:val="00A12CB4"/>
    <w:rsid w:val="00A13853"/>
    <w:rsid w:val="00A13CA4"/>
    <w:rsid w:val="00A13F5C"/>
    <w:rsid w:val="00A148A2"/>
    <w:rsid w:val="00A14B70"/>
    <w:rsid w:val="00A159FC"/>
    <w:rsid w:val="00A15C2A"/>
    <w:rsid w:val="00A15DE2"/>
    <w:rsid w:val="00A15F40"/>
    <w:rsid w:val="00A1682D"/>
    <w:rsid w:val="00A16E8D"/>
    <w:rsid w:val="00A174B1"/>
    <w:rsid w:val="00A17B81"/>
    <w:rsid w:val="00A208A4"/>
    <w:rsid w:val="00A20C9D"/>
    <w:rsid w:val="00A222CF"/>
    <w:rsid w:val="00A2315C"/>
    <w:rsid w:val="00A231BB"/>
    <w:rsid w:val="00A2328D"/>
    <w:rsid w:val="00A23920"/>
    <w:rsid w:val="00A2459E"/>
    <w:rsid w:val="00A25839"/>
    <w:rsid w:val="00A25AAF"/>
    <w:rsid w:val="00A26176"/>
    <w:rsid w:val="00A27634"/>
    <w:rsid w:val="00A27CA5"/>
    <w:rsid w:val="00A30A42"/>
    <w:rsid w:val="00A30C36"/>
    <w:rsid w:val="00A31065"/>
    <w:rsid w:val="00A31192"/>
    <w:rsid w:val="00A3194E"/>
    <w:rsid w:val="00A31BB9"/>
    <w:rsid w:val="00A321D5"/>
    <w:rsid w:val="00A32B50"/>
    <w:rsid w:val="00A32EBC"/>
    <w:rsid w:val="00A33087"/>
    <w:rsid w:val="00A33A62"/>
    <w:rsid w:val="00A34588"/>
    <w:rsid w:val="00A34919"/>
    <w:rsid w:val="00A353AF"/>
    <w:rsid w:val="00A353CB"/>
    <w:rsid w:val="00A3688A"/>
    <w:rsid w:val="00A36BAD"/>
    <w:rsid w:val="00A36EEE"/>
    <w:rsid w:val="00A37394"/>
    <w:rsid w:val="00A3743B"/>
    <w:rsid w:val="00A377EF"/>
    <w:rsid w:val="00A402A4"/>
    <w:rsid w:val="00A40A6F"/>
    <w:rsid w:val="00A418A8"/>
    <w:rsid w:val="00A42005"/>
    <w:rsid w:val="00A424AA"/>
    <w:rsid w:val="00A442AB"/>
    <w:rsid w:val="00A44FD6"/>
    <w:rsid w:val="00A4552C"/>
    <w:rsid w:val="00A4553A"/>
    <w:rsid w:val="00A45937"/>
    <w:rsid w:val="00A46372"/>
    <w:rsid w:val="00A46756"/>
    <w:rsid w:val="00A46997"/>
    <w:rsid w:val="00A470C0"/>
    <w:rsid w:val="00A4769B"/>
    <w:rsid w:val="00A501C8"/>
    <w:rsid w:val="00A50529"/>
    <w:rsid w:val="00A50860"/>
    <w:rsid w:val="00A51226"/>
    <w:rsid w:val="00A514C1"/>
    <w:rsid w:val="00A51DBB"/>
    <w:rsid w:val="00A51EC3"/>
    <w:rsid w:val="00A53CDE"/>
    <w:rsid w:val="00A54111"/>
    <w:rsid w:val="00A544FF"/>
    <w:rsid w:val="00A548F3"/>
    <w:rsid w:val="00A54AFF"/>
    <w:rsid w:val="00A553C2"/>
    <w:rsid w:val="00A55D96"/>
    <w:rsid w:val="00A55F3F"/>
    <w:rsid w:val="00A56077"/>
    <w:rsid w:val="00A56E0C"/>
    <w:rsid w:val="00A577D6"/>
    <w:rsid w:val="00A605C8"/>
    <w:rsid w:val="00A60A62"/>
    <w:rsid w:val="00A611D9"/>
    <w:rsid w:val="00A61995"/>
    <w:rsid w:val="00A62384"/>
    <w:rsid w:val="00A62549"/>
    <w:rsid w:val="00A62B96"/>
    <w:rsid w:val="00A63B1F"/>
    <w:rsid w:val="00A641E7"/>
    <w:rsid w:val="00A643F8"/>
    <w:rsid w:val="00A64477"/>
    <w:rsid w:val="00A647FA"/>
    <w:rsid w:val="00A64854"/>
    <w:rsid w:val="00A65286"/>
    <w:rsid w:val="00A6621F"/>
    <w:rsid w:val="00A665B9"/>
    <w:rsid w:val="00A66B78"/>
    <w:rsid w:val="00A671E4"/>
    <w:rsid w:val="00A6745B"/>
    <w:rsid w:val="00A674B7"/>
    <w:rsid w:val="00A70325"/>
    <w:rsid w:val="00A708BE"/>
    <w:rsid w:val="00A70CAC"/>
    <w:rsid w:val="00A725A5"/>
    <w:rsid w:val="00A73187"/>
    <w:rsid w:val="00A73D99"/>
    <w:rsid w:val="00A73DBC"/>
    <w:rsid w:val="00A73FA6"/>
    <w:rsid w:val="00A7574A"/>
    <w:rsid w:val="00A75B55"/>
    <w:rsid w:val="00A763A5"/>
    <w:rsid w:val="00A76E4D"/>
    <w:rsid w:val="00A77D6C"/>
    <w:rsid w:val="00A80688"/>
    <w:rsid w:val="00A806EA"/>
    <w:rsid w:val="00A80FB0"/>
    <w:rsid w:val="00A83854"/>
    <w:rsid w:val="00A83C9E"/>
    <w:rsid w:val="00A84C07"/>
    <w:rsid w:val="00A84E53"/>
    <w:rsid w:val="00A84FD7"/>
    <w:rsid w:val="00A8556C"/>
    <w:rsid w:val="00A8576E"/>
    <w:rsid w:val="00A85D89"/>
    <w:rsid w:val="00A85E32"/>
    <w:rsid w:val="00A861C0"/>
    <w:rsid w:val="00A870FA"/>
    <w:rsid w:val="00A87205"/>
    <w:rsid w:val="00A8746F"/>
    <w:rsid w:val="00A8749A"/>
    <w:rsid w:val="00A87F6C"/>
    <w:rsid w:val="00A90747"/>
    <w:rsid w:val="00A90A62"/>
    <w:rsid w:val="00A90C4D"/>
    <w:rsid w:val="00A90E8D"/>
    <w:rsid w:val="00A90EE1"/>
    <w:rsid w:val="00A9249A"/>
    <w:rsid w:val="00A938BD"/>
    <w:rsid w:val="00A93EC5"/>
    <w:rsid w:val="00A94292"/>
    <w:rsid w:val="00A94AEF"/>
    <w:rsid w:val="00A94D14"/>
    <w:rsid w:val="00A954ED"/>
    <w:rsid w:val="00A958E3"/>
    <w:rsid w:val="00A95FB7"/>
    <w:rsid w:val="00A962AB"/>
    <w:rsid w:val="00A96A34"/>
    <w:rsid w:val="00A96E26"/>
    <w:rsid w:val="00AA1008"/>
    <w:rsid w:val="00AA22C2"/>
    <w:rsid w:val="00AA252F"/>
    <w:rsid w:val="00AA26EF"/>
    <w:rsid w:val="00AA291B"/>
    <w:rsid w:val="00AA31E4"/>
    <w:rsid w:val="00AA3229"/>
    <w:rsid w:val="00AA32D9"/>
    <w:rsid w:val="00AA33A7"/>
    <w:rsid w:val="00AA3579"/>
    <w:rsid w:val="00AA3EB1"/>
    <w:rsid w:val="00AA4298"/>
    <w:rsid w:val="00AA4C5A"/>
    <w:rsid w:val="00AA56B0"/>
    <w:rsid w:val="00AA5B9C"/>
    <w:rsid w:val="00AA612A"/>
    <w:rsid w:val="00AA6135"/>
    <w:rsid w:val="00AA657F"/>
    <w:rsid w:val="00AA6BE5"/>
    <w:rsid w:val="00AA6E77"/>
    <w:rsid w:val="00AA7A2E"/>
    <w:rsid w:val="00AB02C9"/>
    <w:rsid w:val="00AB051E"/>
    <w:rsid w:val="00AB0B71"/>
    <w:rsid w:val="00AB1416"/>
    <w:rsid w:val="00AB2465"/>
    <w:rsid w:val="00AB2DC7"/>
    <w:rsid w:val="00AB30B2"/>
    <w:rsid w:val="00AB30D9"/>
    <w:rsid w:val="00AB3615"/>
    <w:rsid w:val="00AB3B06"/>
    <w:rsid w:val="00AB417E"/>
    <w:rsid w:val="00AB5DE7"/>
    <w:rsid w:val="00AB65AA"/>
    <w:rsid w:val="00AB65D9"/>
    <w:rsid w:val="00AB696B"/>
    <w:rsid w:val="00AB745F"/>
    <w:rsid w:val="00AB76D8"/>
    <w:rsid w:val="00AC012A"/>
    <w:rsid w:val="00AC07CA"/>
    <w:rsid w:val="00AC0E6B"/>
    <w:rsid w:val="00AC14DD"/>
    <w:rsid w:val="00AC25A6"/>
    <w:rsid w:val="00AC2C0E"/>
    <w:rsid w:val="00AC2E24"/>
    <w:rsid w:val="00AC330C"/>
    <w:rsid w:val="00AC35C8"/>
    <w:rsid w:val="00AC3A53"/>
    <w:rsid w:val="00AC3C38"/>
    <w:rsid w:val="00AC4BA0"/>
    <w:rsid w:val="00AC51A5"/>
    <w:rsid w:val="00AC5D69"/>
    <w:rsid w:val="00AC5DC9"/>
    <w:rsid w:val="00AC61C7"/>
    <w:rsid w:val="00AC6F6F"/>
    <w:rsid w:val="00AC717F"/>
    <w:rsid w:val="00AC7614"/>
    <w:rsid w:val="00AD03DB"/>
    <w:rsid w:val="00AD0474"/>
    <w:rsid w:val="00AD05B9"/>
    <w:rsid w:val="00AD0A25"/>
    <w:rsid w:val="00AD18E4"/>
    <w:rsid w:val="00AD2401"/>
    <w:rsid w:val="00AD265A"/>
    <w:rsid w:val="00AD29B8"/>
    <w:rsid w:val="00AD2A15"/>
    <w:rsid w:val="00AD2B88"/>
    <w:rsid w:val="00AD4D3D"/>
    <w:rsid w:val="00AD52CD"/>
    <w:rsid w:val="00AD5F94"/>
    <w:rsid w:val="00AD657D"/>
    <w:rsid w:val="00AD733C"/>
    <w:rsid w:val="00AD79AC"/>
    <w:rsid w:val="00AE044E"/>
    <w:rsid w:val="00AE05C6"/>
    <w:rsid w:val="00AE0654"/>
    <w:rsid w:val="00AE0F56"/>
    <w:rsid w:val="00AE1321"/>
    <w:rsid w:val="00AE1572"/>
    <w:rsid w:val="00AE1C2E"/>
    <w:rsid w:val="00AE1EFC"/>
    <w:rsid w:val="00AE1F55"/>
    <w:rsid w:val="00AE2886"/>
    <w:rsid w:val="00AE2F33"/>
    <w:rsid w:val="00AE3322"/>
    <w:rsid w:val="00AE388D"/>
    <w:rsid w:val="00AE3971"/>
    <w:rsid w:val="00AE39FB"/>
    <w:rsid w:val="00AE3BBF"/>
    <w:rsid w:val="00AE41FA"/>
    <w:rsid w:val="00AE482D"/>
    <w:rsid w:val="00AE4B81"/>
    <w:rsid w:val="00AE4CA7"/>
    <w:rsid w:val="00AE4FC8"/>
    <w:rsid w:val="00AE6163"/>
    <w:rsid w:val="00AE63BB"/>
    <w:rsid w:val="00AE6585"/>
    <w:rsid w:val="00AE6B5B"/>
    <w:rsid w:val="00AE710E"/>
    <w:rsid w:val="00AE72E8"/>
    <w:rsid w:val="00AE7D83"/>
    <w:rsid w:val="00AF013D"/>
    <w:rsid w:val="00AF01C1"/>
    <w:rsid w:val="00AF0568"/>
    <w:rsid w:val="00AF091F"/>
    <w:rsid w:val="00AF0BCB"/>
    <w:rsid w:val="00AF1BD2"/>
    <w:rsid w:val="00AF1DEE"/>
    <w:rsid w:val="00AF202E"/>
    <w:rsid w:val="00AF2696"/>
    <w:rsid w:val="00AF2B78"/>
    <w:rsid w:val="00AF3CD2"/>
    <w:rsid w:val="00AF40C2"/>
    <w:rsid w:val="00AF4685"/>
    <w:rsid w:val="00AF46E2"/>
    <w:rsid w:val="00AF4787"/>
    <w:rsid w:val="00AF4864"/>
    <w:rsid w:val="00AF54E8"/>
    <w:rsid w:val="00AF550A"/>
    <w:rsid w:val="00AF5E44"/>
    <w:rsid w:val="00AF7C75"/>
    <w:rsid w:val="00AF7F36"/>
    <w:rsid w:val="00B0034C"/>
    <w:rsid w:val="00B006A5"/>
    <w:rsid w:val="00B00C6E"/>
    <w:rsid w:val="00B014D7"/>
    <w:rsid w:val="00B023C5"/>
    <w:rsid w:val="00B0294D"/>
    <w:rsid w:val="00B057F7"/>
    <w:rsid w:val="00B07144"/>
    <w:rsid w:val="00B07EC2"/>
    <w:rsid w:val="00B07F21"/>
    <w:rsid w:val="00B10378"/>
    <w:rsid w:val="00B10840"/>
    <w:rsid w:val="00B109F9"/>
    <w:rsid w:val="00B10A54"/>
    <w:rsid w:val="00B110DB"/>
    <w:rsid w:val="00B11A7F"/>
    <w:rsid w:val="00B11E00"/>
    <w:rsid w:val="00B12796"/>
    <w:rsid w:val="00B12A0B"/>
    <w:rsid w:val="00B131F9"/>
    <w:rsid w:val="00B1344A"/>
    <w:rsid w:val="00B1432D"/>
    <w:rsid w:val="00B15941"/>
    <w:rsid w:val="00B15D27"/>
    <w:rsid w:val="00B16972"/>
    <w:rsid w:val="00B16A96"/>
    <w:rsid w:val="00B17D44"/>
    <w:rsid w:val="00B2077D"/>
    <w:rsid w:val="00B20975"/>
    <w:rsid w:val="00B20A21"/>
    <w:rsid w:val="00B21167"/>
    <w:rsid w:val="00B220BE"/>
    <w:rsid w:val="00B2284E"/>
    <w:rsid w:val="00B22F71"/>
    <w:rsid w:val="00B2317A"/>
    <w:rsid w:val="00B234A9"/>
    <w:rsid w:val="00B2363E"/>
    <w:rsid w:val="00B23CE4"/>
    <w:rsid w:val="00B23D03"/>
    <w:rsid w:val="00B2415D"/>
    <w:rsid w:val="00B24304"/>
    <w:rsid w:val="00B24C8C"/>
    <w:rsid w:val="00B251C4"/>
    <w:rsid w:val="00B25768"/>
    <w:rsid w:val="00B25EB1"/>
    <w:rsid w:val="00B26703"/>
    <w:rsid w:val="00B26AB2"/>
    <w:rsid w:val="00B275DE"/>
    <w:rsid w:val="00B300A6"/>
    <w:rsid w:val="00B3064D"/>
    <w:rsid w:val="00B31568"/>
    <w:rsid w:val="00B315FD"/>
    <w:rsid w:val="00B316C2"/>
    <w:rsid w:val="00B31CA5"/>
    <w:rsid w:val="00B323CA"/>
    <w:rsid w:val="00B32E9A"/>
    <w:rsid w:val="00B33597"/>
    <w:rsid w:val="00B33820"/>
    <w:rsid w:val="00B33D01"/>
    <w:rsid w:val="00B33D16"/>
    <w:rsid w:val="00B35090"/>
    <w:rsid w:val="00B3520B"/>
    <w:rsid w:val="00B36058"/>
    <w:rsid w:val="00B36284"/>
    <w:rsid w:val="00B368F2"/>
    <w:rsid w:val="00B36B85"/>
    <w:rsid w:val="00B36D36"/>
    <w:rsid w:val="00B372D2"/>
    <w:rsid w:val="00B373A6"/>
    <w:rsid w:val="00B376F6"/>
    <w:rsid w:val="00B37862"/>
    <w:rsid w:val="00B37983"/>
    <w:rsid w:val="00B37CE1"/>
    <w:rsid w:val="00B37F27"/>
    <w:rsid w:val="00B40FEB"/>
    <w:rsid w:val="00B4107A"/>
    <w:rsid w:val="00B4143C"/>
    <w:rsid w:val="00B41773"/>
    <w:rsid w:val="00B41996"/>
    <w:rsid w:val="00B419D2"/>
    <w:rsid w:val="00B41D63"/>
    <w:rsid w:val="00B41F31"/>
    <w:rsid w:val="00B421CC"/>
    <w:rsid w:val="00B42C0A"/>
    <w:rsid w:val="00B43983"/>
    <w:rsid w:val="00B443E9"/>
    <w:rsid w:val="00B445F6"/>
    <w:rsid w:val="00B44A48"/>
    <w:rsid w:val="00B451D5"/>
    <w:rsid w:val="00B45399"/>
    <w:rsid w:val="00B45FD6"/>
    <w:rsid w:val="00B46022"/>
    <w:rsid w:val="00B46F58"/>
    <w:rsid w:val="00B47C03"/>
    <w:rsid w:val="00B47E2E"/>
    <w:rsid w:val="00B50ADB"/>
    <w:rsid w:val="00B511A0"/>
    <w:rsid w:val="00B523FB"/>
    <w:rsid w:val="00B53634"/>
    <w:rsid w:val="00B53704"/>
    <w:rsid w:val="00B544F8"/>
    <w:rsid w:val="00B54830"/>
    <w:rsid w:val="00B554A4"/>
    <w:rsid w:val="00B55A9F"/>
    <w:rsid w:val="00B55E4D"/>
    <w:rsid w:val="00B5624B"/>
    <w:rsid w:val="00B628A5"/>
    <w:rsid w:val="00B63584"/>
    <w:rsid w:val="00B63AE2"/>
    <w:rsid w:val="00B63D0A"/>
    <w:rsid w:val="00B63E07"/>
    <w:rsid w:val="00B645F4"/>
    <w:rsid w:val="00B65ED6"/>
    <w:rsid w:val="00B6625D"/>
    <w:rsid w:val="00B70264"/>
    <w:rsid w:val="00B710CD"/>
    <w:rsid w:val="00B72506"/>
    <w:rsid w:val="00B72F90"/>
    <w:rsid w:val="00B734B9"/>
    <w:rsid w:val="00B74753"/>
    <w:rsid w:val="00B7484C"/>
    <w:rsid w:val="00B758A1"/>
    <w:rsid w:val="00B765B8"/>
    <w:rsid w:val="00B76C49"/>
    <w:rsid w:val="00B808A8"/>
    <w:rsid w:val="00B80BA3"/>
    <w:rsid w:val="00B80FD0"/>
    <w:rsid w:val="00B8140B"/>
    <w:rsid w:val="00B81A06"/>
    <w:rsid w:val="00B8287C"/>
    <w:rsid w:val="00B82D59"/>
    <w:rsid w:val="00B833F0"/>
    <w:rsid w:val="00B83C74"/>
    <w:rsid w:val="00B84D8F"/>
    <w:rsid w:val="00B84DEE"/>
    <w:rsid w:val="00B859E4"/>
    <w:rsid w:val="00B86979"/>
    <w:rsid w:val="00B8750F"/>
    <w:rsid w:val="00B87F5C"/>
    <w:rsid w:val="00B87FA4"/>
    <w:rsid w:val="00B9007B"/>
    <w:rsid w:val="00B90BCD"/>
    <w:rsid w:val="00B91812"/>
    <w:rsid w:val="00B92829"/>
    <w:rsid w:val="00B9288F"/>
    <w:rsid w:val="00B92B16"/>
    <w:rsid w:val="00B92DEB"/>
    <w:rsid w:val="00B93919"/>
    <w:rsid w:val="00B93A33"/>
    <w:rsid w:val="00B93F04"/>
    <w:rsid w:val="00B93FC4"/>
    <w:rsid w:val="00B94E31"/>
    <w:rsid w:val="00B94E57"/>
    <w:rsid w:val="00B952D6"/>
    <w:rsid w:val="00B95A36"/>
    <w:rsid w:val="00B95F9A"/>
    <w:rsid w:val="00B96055"/>
    <w:rsid w:val="00B962C8"/>
    <w:rsid w:val="00B96877"/>
    <w:rsid w:val="00B968DB"/>
    <w:rsid w:val="00B969C7"/>
    <w:rsid w:val="00B96C48"/>
    <w:rsid w:val="00B96CA9"/>
    <w:rsid w:val="00B9796C"/>
    <w:rsid w:val="00B979FE"/>
    <w:rsid w:val="00B97C03"/>
    <w:rsid w:val="00BA0709"/>
    <w:rsid w:val="00BA215D"/>
    <w:rsid w:val="00BA26EE"/>
    <w:rsid w:val="00BA2946"/>
    <w:rsid w:val="00BA2F90"/>
    <w:rsid w:val="00BA3055"/>
    <w:rsid w:val="00BA4127"/>
    <w:rsid w:val="00BA4623"/>
    <w:rsid w:val="00BA4B3F"/>
    <w:rsid w:val="00BA4E6B"/>
    <w:rsid w:val="00BA4FAA"/>
    <w:rsid w:val="00BA542B"/>
    <w:rsid w:val="00BA5714"/>
    <w:rsid w:val="00BA5D47"/>
    <w:rsid w:val="00BA6B1C"/>
    <w:rsid w:val="00BA6E56"/>
    <w:rsid w:val="00BA7A48"/>
    <w:rsid w:val="00BA7AC4"/>
    <w:rsid w:val="00BA7B5E"/>
    <w:rsid w:val="00BA7FE3"/>
    <w:rsid w:val="00BB1340"/>
    <w:rsid w:val="00BB28ED"/>
    <w:rsid w:val="00BB3468"/>
    <w:rsid w:val="00BB3631"/>
    <w:rsid w:val="00BB3EBD"/>
    <w:rsid w:val="00BB4730"/>
    <w:rsid w:val="00BB4C48"/>
    <w:rsid w:val="00BB4E3B"/>
    <w:rsid w:val="00BB6536"/>
    <w:rsid w:val="00BB69BA"/>
    <w:rsid w:val="00BB7543"/>
    <w:rsid w:val="00BB7AFF"/>
    <w:rsid w:val="00BB7E2B"/>
    <w:rsid w:val="00BC023E"/>
    <w:rsid w:val="00BC0AF8"/>
    <w:rsid w:val="00BC0C43"/>
    <w:rsid w:val="00BC126D"/>
    <w:rsid w:val="00BC1F0A"/>
    <w:rsid w:val="00BC2247"/>
    <w:rsid w:val="00BC2B96"/>
    <w:rsid w:val="00BC2C92"/>
    <w:rsid w:val="00BC2D95"/>
    <w:rsid w:val="00BC3165"/>
    <w:rsid w:val="00BC3B5B"/>
    <w:rsid w:val="00BC3BD5"/>
    <w:rsid w:val="00BC45BE"/>
    <w:rsid w:val="00BC4FEE"/>
    <w:rsid w:val="00BC5D38"/>
    <w:rsid w:val="00BC67DE"/>
    <w:rsid w:val="00BC736A"/>
    <w:rsid w:val="00BC75E3"/>
    <w:rsid w:val="00BC7F34"/>
    <w:rsid w:val="00BD062A"/>
    <w:rsid w:val="00BD0C28"/>
    <w:rsid w:val="00BD1883"/>
    <w:rsid w:val="00BD1FA6"/>
    <w:rsid w:val="00BD23F6"/>
    <w:rsid w:val="00BD2D63"/>
    <w:rsid w:val="00BD3893"/>
    <w:rsid w:val="00BD4DC9"/>
    <w:rsid w:val="00BD68DC"/>
    <w:rsid w:val="00BD692B"/>
    <w:rsid w:val="00BD7535"/>
    <w:rsid w:val="00BD7A68"/>
    <w:rsid w:val="00BD7D47"/>
    <w:rsid w:val="00BE166A"/>
    <w:rsid w:val="00BE2874"/>
    <w:rsid w:val="00BE327C"/>
    <w:rsid w:val="00BE4126"/>
    <w:rsid w:val="00BE4EDA"/>
    <w:rsid w:val="00BE59A9"/>
    <w:rsid w:val="00BE5ACA"/>
    <w:rsid w:val="00BE5C31"/>
    <w:rsid w:val="00BE5F73"/>
    <w:rsid w:val="00BE66CB"/>
    <w:rsid w:val="00BE6907"/>
    <w:rsid w:val="00BE6A7E"/>
    <w:rsid w:val="00BE7D24"/>
    <w:rsid w:val="00BE7D3A"/>
    <w:rsid w:val="00BE7FCC"/>
    <w:rsid w:val="00BF05EB"/>
    <w:rsid w:val="00BF07D3"/>
    <w:rsid w:val="00BF105E"/>
    <w:rsid w:val="00BF2093"/>
    <w:rsid w:val="00BF25DF"/>
    <w:rsid w:val="00BF30F4"/>
    <w:rsid w:val="00BF38AC"/>
    <w:rsid w:val="00BF3F2E"/>
    <w:rsid w:val="00BF6004"/>
    <w:rsid w:val="00BF604C"/>
    <w:rsid w:val="00BF72EB"/>
    <w:rsid w:val="00BF7C7C"/>
    <w:rsid w:val="00C00D20"/>
    <w:rsid w:val="00C0132E"/>
    <w:rsid w:val="00C015A6"/>
    <w:rsid w:val="00C016E4"/>
    <w:rsid w:val="00C01824"/>
    <w:rsid w:val="00C0237D"/>
    <w:rsid w:val="00C026D8"/>
    <w:rsid w:val="00C0292A"/>
    <w:rsid w:val="00C03115"/>
    <w:rsid w:val="00C03F98"/>
    <w:rsid w:val="00C04026"/>
    <w:rsid w:val="00C040ED"/>
    <w:rsid w:val="00C04D39"/>
    <w:rsid w:val="00C05005"/>
    <w:rsid w:val="00C05899"/>
    <w:rsid w:val="00C07783"/>
    <w:rsid w:val="00C078D3"/>
    <w:rsid w:val="00C07A87"/>
    <w:rsid w:val="00C11767"/>
    <w:rsid w:val="00C11987"/>
    <w:rsid w:val="00C11E43"/>
    <w:rsid w:val="00C126E8"/>
    <w:rsid w:val="00C1362C"/>
    <w:rsid w:val="00C13858"/>
    <w:rsid w:val="00C138E9"/>
    <w:rsid w:val="00C14086"/>
    <w:rsid w:val="00C14439"/>
    <w:rsid w:val="00C14AA8"/>
    <w:rsid w:val="00C15CF0"/>
    <w:rsid w:val="00C165DE"/>
    <w:rsid w:val="00C166F8"/>
    <w:rsid w:val="00C16884"/>
    <w:rsid w:val="00C1699B"/>
    <w:rsid w:val="00C16B42"/>
    <w:rsid w:val="00C16B6B"/>
    <w:rsid w:val="00C16C3E"/>
    <w:rsid w:val="00C16D9F"/>
    <w:rsid w:val="00C17181"/>
    <w:rsid w:val="00C17466"/>
    <w:rsid w:val="00C17831"/>
    <w:rsid w:val="00C208E2"/>
    <w:rsid w:val="00C20945"/>
    <w:rsid w:val="00C20A00"/>
    <w:rsid w:val="00C20CE5"/>
    <w:rsid w:val="00C20CFB"/>
    <w:rsid w:val="00C217C5"/>
    <w:rsid w:val="00C22700"/>
    <w:rsid w:val="00C22AD6"/>
    <w:rsid w:val="00C22F97"/>
    <w:rsid w:val="00C232D4"/>
    <w:rsid w:val="00C2438D"/>
    <w:rsid w:val="00C24463"/>
    <w:rsid w:val="00C24508"/>
    <w:rsid w:val="00C24554"/>
    <w:rsid w:val="00C258E0"/>
    <w:rsid w:val="00C26D31"/>
    <w:rsid w:val="00C26EA8"/>
    <w:rsid w:val="00C27209"/>
    <w:rsid w:val="00C27F9B"/>
    <w:rsid w:val="00C304A3"/>
    <w:rsid w:val="00C307FD"/>
    <w:rsid w:val="00C30BB9"/>
    <w:rsid w:val="00C3106A"/>
    <w:rsid w:val="00C31600"/>
    <w:rsid w:val="00C31C68"/>
    <w:rsid w:val="00C31C7F"/>
    <w:rsid w:val="00C323A2"/>
    <w:rsid w:val="00C327AE"/>
    <w:rsid w:val="00C33231"/>
    <w:rsid w:val="00C3336D"/>
    <w:rsid w:val="00C3368C"/>
    <w:rsid w:val="00C33AE5"/>
    <w:rsid w:val="00C34363"/>
    <w:rsid w:val="00C34BB9"/>
    <w:rsid w:val="00C34F0F"/>
    <w:rsid w:val="00C35A36"/>
    <w:rsid w:val="00C35A72"/>
    <w:rsid w:val="00C35CDF"/>
    <w:rsid w:val="00C36967"/>
    <w:rsid w:val="00C40A91"/>
    <w:rsid w:val="00C40BC8"/>
    <w:rsid w:val="00C40D8E"/>
    <w:rsid w:val="00C411B3"/>
    <w:rsid w:val="00C41D7D"/>
    <w:rsid w:val="00C41FF6"/>
    <w:rsid w:val="00C420DF"/>
    <w:rsid w:val="00C42218"/>
    <w:rsid w:val="00C422B9"/>
    <w:rsid w:val="00C4234D"/>
    <w:rsid w:val="00C432A9"/>
    <w:rsid w:val="00C43B90"/>
    <w:rsid w:val="00C43E2A"/>
    <w:rsid w:val="00C441DD"/>
    <w:rsid w:val="00C44372"/>
    <w:rsid w:val="00C44B74"/>
    <w:rsid w:val="00C45ADD"/>
    <w:rsid w:val="00C4608D"/>
    <w:rsid w:val="00C4615B"/>
    <w:rsid w:val="00C4635E"/>
    <w:rsid w:val="00C46632"/>
    <w:rsid w:val="00C46674"/>
    <w:rsid w:val="00C46CBC"/>
    <w:rsid w:val="00C47E01"/>
    <w:rsid w:val="00C5009F"/>
    <w:rsid w:val="00C50441"/>
    <w:rsid w:val="00C5180E"/>
    <w:rsid w:val="00C52B13"/>
    <w:rsid w:val="00C52BA0"/>
    <w:rsid w:val="00C52ED4"/>
    <w:rsid w:val="00C53226"/>
    <w:rsid w:val="00C53551"/>
    <w:rsid w:val="00C538E1"/>
    <w:rsid w:val="00C54452"/>
    <w:rsid w:val="00C5446F"/>
    <w:rsid w:val="00C54DD6"/>
    <w:rsid w:val="00C55292"/>
    <w:rsid w:val="00C55447"/>
    <w:rsid w:val="00C554E3"/>
    <w:rsid w:val="00C564F7"/>
    <w:rsid w:val="00C57DAF"/>
    <w:rsid w:val="00C60059"/>
    <w:rsid w:val="00C602B4"/>
    <w:rsid w:val="00C60385"/>
    <w:rsid w:val="00C603D5"/>
    <w:rsid w:val="00C61551"/>
    <w:rsid w:val="00C61B3E"/>
    <w:rsid w:val="00C61E91"/>
    <w:rsid w:val="00C6217B"/>
    <w:rsid w:val="00C623D1"/>
    <w:rsid w:val="00C623E5"/>
    <w:rsid w:val="00C634DB"/>
    <w:rsid w:val="00C63586"/>
    <w:rsid w:val="00C64F81"/>
    <w:rsid w:val="00C65058"/>
    <w:rsid w:val="00C65E0E"/>
    <w:rsid w:val="00C66823"/>
    <w:rsid w:val="00C6696F"/>
    <w:rsid w:val="00C669B5"/>
    <w:rsid w:val="00C66BEA"/>
    <w:rsid w:val="00C66BF8"/>
    <w:rsid w:val="00C67157"/>
    <w:rsid w:val="00C6735A"/>
    <w:rsid w:val="00C6758A"/>
    <w:rsid w:val="00C70287"/>
    <w:rsid w:val="00C70817"/>
    <w:rsid w:val="00C71A83"/>
    <w:rsid w:val="00C722B6"/>
    <w:rsid w:val="00C72936"/>
    <w:rsid w:val="00C72A8C"/>
    <w:rsid w:val="00C734DF"/>
    <w:rsid w:val="00C73C79"/>
    <w:rsid w:val="00C73F87"/>
    <w:rsid w:val="00C754DC"/>
    <w:rsid w:val="00C758C7"/>
    <w:rsid w:val="00C75BD1"/>
    <w:rsid w:val="00C75F75"/>
    <w:rsid w:val="00C769A9"/>
    <w:rsid w:val="00C77BB5"/>
    <w:rsid w:val="00C8034C"/>
    <w:rsid w:val="00C81584"/>
    <w:rsid w:val="00C818BC"/>
    <w:rsid w:val="00C841A1"/>
    <w:rsid w:val="00C84298"/>
    <w:rsid w:val="00C844D3"/>
    <w:rsid w:val="00C845AE"/>
    <w:rsid w:val="00C84675"/>
    <w:rsid w:val="00C850FF"/>
    <w:rsid w:val="00C85CB1"/>
    <w:rsid w:val="00C85E90"/>
    <w:rsid w:val="00C863C7"/>
    <w:rsid w:val="00C86446"/>
    <w:rsid w:val="00C86ACA"/>
    <w:rsid w:val="00C87086"/>
    <w:rsid w:val="00C871D1"/>
    <w:rsid w:val="00C8737F"/>
    <w:rsid w:val="00C90286"/>
    <w:rsid w:val="00C904AE"/>
    <w:rsid w:val="00C91DD8"/>
    <w:rsid w:val="00C92DA9"/>
    <w:rsid w:val="00C92F56"/>
    <w:rsid w:val="00C93BD1"/>
    <w:rsid w:val="00C93C7A"/>
    <w:rsid w:val="00C93F4E"/>
    <w:rsid w:val="00C9479F"/>
    <w:rsid w:val="00C94CBD"/>
    <w:rsid w:val="00C94D33"/>
    <w:rsid w:val="00C95504"/>
    <w:rsid w:val="00C95F09"/>
    <w:rsid w:val="00C96857"/>
    <w:rsid w:val="00C973BD"/>
    <w:rsid w:val="00C97F9B"/>
    <w:rsid w:val="00CA0A44"/>
    <w:rsid w:val="00CA0A85"/>
    <w:rsid w:val="00CA1B11"/>
    <w:rsid w:val="00CA21C2"/>
    <w:rsid w:val="00CA25AA"/>
    <w:rsid w:val="00CA33AF"/>
    <w:rsid w:val="00CA3744"/>
    <w:rsid w:val="00CA3B94"/>
    <w:rsid w:val="00CA3C7B"/>
    <w:rsid w:val="00CA3C9C"/>
    <w:rsid w:val="00CA52F1"/>
    <w:rsid w:val="00CA7207"/>
    <w:rsid w:val="00CA793C"/>
    <w:rsid w:val="00CB289E"/>
    <w:rsid w:val="00CB2B2B"/>
    <w:rsid w:val="00CB3D6A"/>
    <w:rsid w:val="00CB4660"/>
    <w:rsid w:val="00CB52C6"/>
    <w:rsid w:val="00CB5825"/>
    <w:rsid w:val="00CB5983"/>
    <w:rsid w:val="00CB6D06"/>
    <w:rsid w:val="00CB7081"/>
    <w:rsid w:val="00CC053A"/>
    <w:rsid w:val="00CC0C52"/>
    <w:rsid w:val="00CC0F54"/>
    <w:rsid w:val="00CC1452"/>
    <w:rsid w:val="00CC1875"/>
    <w:rsid w:val="00CC1942"/>
    <w:rsid w:val="00CC1DD4"/>
    <w:rsid w:val="00CC263C"/>
    <w:rsid w:val="00CC28F7"/>
    <w:rsid w:val="00CC376D"/>
    <w:rsid w:val="00CC41C0"/>
    <w:rsid w:val="00CC4B5A"/>
    <w:rsid w:val="00CC4F3D"/>
    <w:rsid w:val="00CC5477"/>
    <w:rsid w:val="00CC66B7"/>
    <w:rsid w:val="00CC7084"/>
    <w:rsid w:val="00CC74CA"/>
    <w:rsid w:val="00CC786F"/>
    <w:rsid w:val="00CC7DB9"/>
    <w:rsid w:val="00CD03AA"/>
    <w:rsid w:val="00CD1A21"/>
    <w:rsid w:val="00CD2495"/>
    <w:rsid w:val="00CD2562"/>
    <w:rsid w:val="00CD27AB"/>
    <w:rsid w:val="00CD38BB"/>
    <w:rsid w:val="00CD3D84"/>
    <w:rsid w:val="00CD3E0F"/>
    <w:rsid w:val="00CD3F2F"/>
    <w:rsid w:val="00CD449F"/>
    <w:rsid w:val="00CD4A74"/>
    <w:rsid w:val="00CD4CB7"/>
    <w:rsid w:val="00CD507F"/>
    <w:rsid w:val="00CD5731"/>
    <w:rsid w:val="00CD6C3F"/>
    <w:rsid w:val="00CD6EB6"/>
    <w:rsid w:val="00CD71E0"/>
    <w:rsid w:val="00CD7B1F"/>
    <w:rsid w:val="00CD7BE5"/>
    <w:rsid w:val="00CD7C93"/>
    <w:rsid w:val="00CE0A55"/>
    <w:rsid w:val="00CE130F"/>
    <w:rsid w:val="00CE131E"/>
    <w:rsid w:val="00CE1BCC"/>
    <w:rsid w:val="00CE1FEC"/>
    <w:rsid w:val="00CE376B"/>
    <w:rsid w:val="00CE4432"/>
    <w:rsid w:val="00CE44C1"/>
    <w:rsid w:val="00CE4CEF"/>
    <w:rsid w:val="00CE57C1"/>
    <w:rsid w:val="00CE5C10"/>
    <w:rsid w:val="00CE6280"/>
    <w:rsid w:val="00CE6550"/>
    <w:rsid w:val="00CE6BC7"/>
    <w:rsid w:val="00CE6C2D"/>
    <w:rsid w:val="00CE6C6E"/>
    <w:rsid w:val="00CE7045"/>
    <w:rsid w:val="00CF07FF"/>
    <w:rsid w:val="00CF0AEA"/>
    <w:rsid w:val="00CF22E6"/>
    <w:rsid w:val="00CF26BE"/>
    <w:rsid w:val="00CF2E8E"/>
    <w:rsid w:val="00CF3024"/>
    <w:rsid w:val="00CF32DD"/>
    <w:rsid w:val="00CF3CC6"/>
    <w:rsid w:val="00CF3DAB"/>
    <w:rsid w:val="00CF3E1D"/>
    <w:rsid w:val="00CF4A7D"/>
    <w:rsid w:val="00CF6535"/>
    <w:rsid w:val="00CF6734"/>
    <w:rsid w:val="00CF68FB"/>
    <w:rsid w:val="00CF772F"/>
    <w:rsid w:val="00CF7C7B"/>
    <w:rsid w:val="00D00660"/>
    <w:rsid w:val="00D00941"/>
    <w:rsid w:val="00D00CEC"/>
    <w:rsid w:val="00D0198E"/>
    <w:rsid w:val="00D0266B"/>
    <w:rsid w:val="00D02AB3"/>
    <w:rsid w:val="00D02E89"/>
    <w:rsid w:val="00D03324"/>
    <w:rsid w:val="00D036FA"/>
    <w:rsid w:val="00D03BC0"/>
    <w:rsid w:val="00D04E8B"/>
    <w:rsid w:val="00D06506"/>
    <w:rsid w:val="00D0729C"/>
    <w:rsid w:val="00D07B47"/>
    <w:rsid w:val="00D1005D"/>
    <w:rsid w:val="00D1247A"/>
    <w:rsid w:val="00D133BD"/>
    <w:rsid w:val="00D1434B"/>
    <w:rsid w:val="00D14C06"/>
    <w:rsid w:val="00D14D18"/>
    <w:rsid w:val="00D15321"/>
    <w:rsid w:val="00D15672"/>
    <w:rsid w:val="00D16960"/>
    <w:rsid w:val="00D16E3B"/>
    <w:rsid w:val="00D17348"/>
    <w:rsid w:val="00D17708"/>
    <w:rsid w:val="00D2069E"/>
    <w:rsid w:val="00D20BCB"/>
    <w:rsid w:val="00D20DC0"/>
    <w:rsid w:val="00D213B3"/>
    <w:rsid w:val="00D217FC"/>
    <w:rsid w:val="00D21EAD"/>
    <w:rsid w:val="00D21EC0"/>
    <w:rsid w:val="00D2208B"/>
    <w:rsid w:val="00D23409"/>
    <w:rsid w:val="00D236AB"/>
    <w:rsid w:val="00D23E71"/>
    <w:rsid w:val="00D249AD"/>
    <w:rsid w:val="00D24A41"/>
    <w:rsid w:val="00D25713"/>
    <w:rsid w:val="00D25D43"/>
    <w:rsid w:val="00D26807"/>
    <w:rsid w:val="00D27287"/>
    <w:rsid w:val="00D27F4F"/>
    <w:rsid w:val="00D30D21"/>
    <w:rsid w:val="00D30FAD"/>
    <w:rsid w:val="00D3117A"/>
    <w:rsid w:val="00D315AA"/>
    <w:rsid w:val="00D3199D"/>
    <w:rsid w:val="00D31ACF"/>
    <w:rsid w:val="00D31E39"/>
    <w:rsid w:val="00D32693"/>
    <w:rsid w:val="00D3271A"/>
    <w:rsid w:val="00D32BE9"/>
    <w:rsid w:val="00D33001"/>
    <w:rsid w:val="00D33573"/>
    <w:rsid w:val="00D34100"/>
    <w:rsid w:val="00D3427B"/>
    <w:rsid w:val="00D34298"/>
    <w:rsid w:val="00D3471E"/>
    <w:rsid w:val="00D34769"/>
    <w:rsid w:val="00D34BA9"/>
    <w:rsid w:val="00D34C5A"/>
    <w:rsid w:val="00D356EC"/>
    <w:rsid w:val="00D3579F"/>
    <w:rsid w:val="00D35B77"/>
    <w:rsid w:val="00D369E8"/>
    <w:rsid w:val="00D36FEB"/>
    <w:rsid w:val="00D377B0"/>
    <w:rsid w:val="00D37814"/>
    <w:rsid w:val="00D37F3F"/>
    <w:rsid w:val="00D40828"/>
    <w:rsid w:val="00D40EE9"/>
    <w:rsid w:val="00D40F5E"/>
    <w:rsid w:val="00D42634"/>
    <w:rsid w:val="00D42B0F"/>
    <w:rsid w:val="00D432FB"/>
    <w:rsid w:val="00D439E7"/>
    <w:rsid w:val="00D44AA3"/>
    <w:rsid w:val="00D4516D"/>
    <w:rsid w:val="00D46478"/>
    <w:rsid w:val="00D46807"/>
    <w:rsid w:val="00D47035"/>
    <w:rsid w:val="00D475D7"/>
    <w:rsid w:val="00D479F7"/>
    <w:rsid w:val="00D47A1C"/>
    <w:rsid w:val="00D47E4A"/>
    <w:rsid w:val="00D47E65"/>
    <w:rsid w:val="00D501CB"/>
    <w:rsid w:val="00D50706"/>
    <w:rsid w:val="00D51410"/>
    <w:rsid w:val="00D51CB2"/>
    <w:rsid w:val="00D51EDB"/>
    <w:rsid w:val="00D52022"/>
    <w:rsid w:val="00D5203F"/>
    <w:rsid w:val="00D52A9D"/>
    <w:rsid w:val="00D52B4A"/>
    <w:rsid w:val="00D53DE2"/>
    <w:rsid w:val="00D53F55"/>
    <w:rsid w:val="00D554E0"/>
    <w:rsid w:val="00D55722"/>
    <w:rsid w:val="00D5574A"/>
    <w:rsid w:val="00D55A9D"/>
    <w:rsid w:val="00D55BD5"/>
    <w:rsid w:val="00D5689E"/>
    <w:rsid w:val="00D57B1F"/>
    <w:rsid w:val="00D57D0C"/>
    <w:rsid w:val="00D602DA"/>
    <w:rsid w:val="00D60501"/>
    <w:rsid w:val="00D60BEA"/>
    <w:rsid w:val="00D6140A"/>
    <w:rsid w:val="00D6284B"/>
    <w:rsid w:val="00D62B97"/>
    <w:rsid w:val="00D64051"/>
    <w:rsid w:val="00D64191"/>
    <w:rsid w:val="00D64352"/>
    <w:rsid w:val="00D64DB4"/>
    <w:rsid w:val="00D65292"/>
    <w:rsid w:val="00D65C8F"/>
    <w:rsid w:val="00D6744B"/>
    <w:rsid w:val="00D67622"/>
    <w:rsid w:val="00D678B0"/>
    <w:rsid w:val="00D702C7"/>
    <w:rsid w:val="00D70481"/>
    <w:rsid w:val="00D70E83"/>
    <w:rsid w:val="00D71DC4"/>
    <w:rsid w:val="00D72054"/>
    <w:rsid w:val="00D728FD"/>
    <w:rsid w:val="00D72982"/>
    <w:rsid w:val="00D737BD"/>
    <w:rsid w:val="00D73D57"/>
    <w:rsid w:val="00D74623"/>
    <w:rsid w:val="00D74824"/>
    <w:rsid w:val="00D74A8A"/>
    <w:rsid w:val="00D74B26"/>
    <w:rsid w:val="00D74D71"/>
    <w:rsid w:val="00D75515"/>
    <w:rsid w:val="00D75F41"/>
    <w:rsid w:val="00D76651"/>
    <w:rsid w:val="00D7716B"/>
    <w:rsid w:val="00D77402"/>
    <w:rsid w:val="00D77B86"/>
    <w:rsid w:val="00D77CEC"/>
    <w:rsid w:val="00D80567"/>
    <w:rsid w:val="00D808F6"/>
    <w:rsid w:val="00D80AD7"/>
    <w:rsid w:val="00D80ECA"/>
    <w:rsid w:val="00D8164C"/>
    <w:rsid w:val="00D8207A"/>
    <w:rsid w:val="00D823FC"/>
    <w:rsid w:val="00D82424"/>
    <w:rsid w:val="00D82913"/>
    <w:rsid w:val="00D82C7C"/>
    <w:rsid w:val="00D8374F"/>
    <w:rsid w:val="00D84A50"/>
    <w:rsid w:val="00D84E69"/>
    <w:rsid w:val="00D8514A"/>
    <w:rsid w:val="00D85783"/>
    <w:rsid w:val="00D8580B"/>
    <w:rsid w:val="00D85DDF"/>
    <w:rsid w:val="00D86458"/>
    <w:rsid w:val="00D86D02"/>
    <w:rsid w:val="00D8714E"/>
    <w:rsid w:val="00D875A6"/>
    <w:rsid w:val="00D90B5A"/>
    <w:rsid w:val="00D913F8"/>
    <w:rsid w:val="00D9255E"/>
    <w:rsid w:val="00D92DA6"/>
    <w:rsid w:val="00D953FB"/>
    <w:rsid w:val="00D95553"/>
    <w:rsid w:val="00D95D64"/>
    <w:rsid w:val="00D96086"/>
    <w:rsid w:val="00D96A0C"/>
    <w:rsid w:val="00D97105"/>
    <w:rsid w:val="00D979A6"/>
    <w:rsid w:val="00DA0925"/>
    <w:rsid w:val="00DA1BC9"/>
    <w:rsid w:val="00DA22FA"/>
    <w:rsid w:val="00DA2631"/>
    <w:rsid w:val="00DA272C"/>
    <w:rsid w:val="00DA2A6E"/>
    <w:rsid w:val="00DA2B93"/>
    <w:rsid w:val="00DA31B4"/>
    <w:rsid w:val="00DA35CD"/>
    <w:rsid w:val="00DA3A00"/>
    <w:rsid w:val="00DA3B06"/>
    <w:rsid w:val="00DA7017"/>
    <w:rsid w:val="00DA7401"/>
    <w:rsid w:val="00DA786B"/>
    <w:rsid w:val="00DB020D"/>
    <w:rsid w:val="00DB0603"/>
    <w:rsid w:val="00DB06BC"/>
    <w:rsid w:val="00DB0E23"/>
    <w:rsid w:val="00DB148E"/>
    <w:rsid w:val="00DB2279"/>
    <w:rsid w:val="00DB3815"/>
    <w:rsid w:val="00DB4210"/>
    <w:rsid w:val="00DB4940"/>
    <w:rsid w:val="00DB4AFC"/>
    <w:rsid w:val="00DB4E14"/>
    <w:rsid w:val="00DB5098"/>
    <w:rsid w:val="00DB5871"/>
    <w:rsid w:val="00DB5D3A"/>
    <w:rsid w:val="00DB6648"/>
    <w:rsid w:val="00DB6A6E"/>
    <w:rsid w:val="00DB722C"/>
    <w:rsid w:val="00DC010E"/>
    <w:rsid w:val="00DC07EC"/>
    <w:rsid w:val="00DC0885"/>
    <w:rsid w:val="00DC0AB7"/>
    <w:rsid w:val="00DC0DEC"/>
    <w:rsid w:val="00DC175B"/>
    <w:rsid w:val="00DC1768"/>
    <w:rsid w:val="00DC1BFB"/>
    <w:rsid w:val="00DC1C3F"/>
    <w:rsid w:val="00DC1C75"/>
    <w:rsid w:val="00DC22FF"/>
    <w:rsid w:val="00DC252A"/>
    <w:rsid w:val="00DC2A9E"/>
    <w:rsid w:val="00DC3902"/>
    <w:rsid w:val="00DC3AEC"/>
    <w:rsid w:val="00DC4125"/>
    <w:rsid w:val="00DC44EE"/>
    <w:rsid w:val="00DC491A"/>
    <w:rsid w:val="00DC4CF3"/>
    <w:rsid w:val="00DC4D53"/>
    <w:rsid w:val="00DC50C1"/>
    <w:rsid w:val="00DC5149"/>
    <w:rsid w:val="00DC6B6A"/>
    <w:rsid w:val="00DC7781"/>
    <w:rsid w:val="00DC7D23"/>
    <w:rsid w:val="00DD0230"/>
    <w:rsid w:val="00DD0742"/>
    <w:rsid w:val="00DD1A76"/>
    <w:rsid w:val="00DD1B9B"/>
    <w:rsid w:val="00DD1CE2"/>
    <w:rsid w:val="00DD3D2C"/>
    <w:rsid w:val="00DD3F82"/>
    <w:rsid w:val="00DD4BD1"/>
    <w:rsid w:val="00DD615C"/>
    <w:rsid w:val="00DD634E"/>
    <w:rsid w:val="00DD6B75"/>
    <w:rsid w:val="00DD6FE9"/>
    <w:rsid w:val="00DD7579"/>
    <w:rsid w:val="00DD7A04"/>
    <w:rsid w:val="00DE189F"/>
    <w:rsid w:val="00DE18F3"/>
    <w:rsid w:val="00DE1B12"/>
    <w:rsid w:val="00DE21B9"/>
    <w:rsid w:val="00DE27B4"/>
    <w:rsid w:val="00DE2B3F"/>
    <w:rsid w:val="00DE2BB4"/>
    <w:rsid w:val="00DE3627"/>
    <w:rsid w:val="00DE3A09"/>
    <w:rsid w:val="00DE433B"/>
    <w:rsid w:val="00DE435A"/>
    <w:rsid w:val="00DE4C28"/>
    <w:rsid w:val="00DE5134"/>
    <w:rsid w:val="00DE54E4"/>
    <w:rsid w:val="00DE5589"/>
    <w:rsid w:val="00DE63C1"/>
    <w:rsid w:val="00DE6E93"/>
    <w:rsid w:val="00DE76B1"/>
    <w:rsid w:val="00DE77FC"/>
    <w:rsid w:val="00DE7BA3"/>
    <w:rsid w:val="00DF04DF"/>
    <w:rsid w:val="00DF0631"/>
    <w:rsid w:val="00DF0FBC"/>
    <w:rsid w:val="00DF101B"/>
    <w:rsid w:val="00DF19BF"/>
    <w:rsid w:val="00DF1D51"/>
    <w:rsid w:val="00DF21E4"/>
    <w:rsid w:val="00DF2551"/>
    <w:rsid w:val="00DF2CD6"/>
    <w:rsid w:val="00DF30D2"/>
    <w:rsid w:val="00DF3910"/>
    <w:rsid w:val="00DF45AF"/>
    <w:rsid w:val="00DF47DD"/>
    <w:rsid w:val="00DF504D"/>
    <w:rsid w:val="00DF5094"/>
    <w:rsid w:val="00DF55B2"/>
    <w:rsid w:val="00DF5710"/>
    <w:rsid w:val="00DF61B4"/>
    <w:rsid w:val="00DF712F"/>
    <w:rsid w:val="00DF72B6"/>
    <w:rsid w:val="00E004E0"/>
    <w:rsid w:val="00E0064D"/>
    <w:rsid w:val="00E007E2"/>
    <w:rsid w:val="00E01D1A"/>
    <w:rsid w:val="00E01DA1"/>
    <w:rsid w:val="00E02330"/>
    <w:rsid w:val="00E0275A"/>
    <w:rsid w:val="00E02B7B"/>
    <w:rsid w:val="00E02C6B"/>
    <w:rsid w:val="00E02DDA"/>
    <w:rsid w:val="00E030DF"/>
    <w:rsid w:val="00E0330A"/>
    <w:rsid w:val="00E03DA7"/>
    <w:rsid w:val="00E05BEC"/>
    <w:rsid w:val="00E05CF8"/>
    <w:rsid w:val="00E05E9A"/>
    <w:rsid w:val="00E06244"/>
    <w:rsid w:val="00E06400"/>
    <w:rsid w:val="00E06601"/>
    <w:rsid w:val="00E067F1"/>
    <w:rsid w:val="00E075AF"/>
    <w:rsid w:val="00E10545"/>
    <w:rsid w:val="00E10D0E"/>
    <w:rsid w:val="00E11092"/>
    <w:rsid w:val="00E1131D"/>
    <w:rsid w:val="00E11806"/>
    <w:rsid w:val="00E119AF"/>
    <w:rsid w:val="00E11BDA"/>
    <w:rsid w:val="00E11D7D"/>
    <w:rsid w:val="00E13D4D"/>
    <w:rsid w:val="00E13DCD"/>
    <w:rsid w:val="00E14444"/>
    <w:rsid w:val="00E15935"/>
    <w:rsid w:val="00E15CA7"/>
    <w:rsid w:val="00E15DD3"/>
    <w:rsid w:val="00E1687B"/>
    <w:rsid w:val="00E168FC"/>
    <w:rsid w:val="00E16C15"/>
    <w:rsid w:val="00E16D88"/>
    <w:rsid w:val="00E1713B"/>
    <w:rsid w:val="00E2062E"/>
    <w:rsid w:val="00E212C6"/>
    <w:rsid w:val="00E21D0B"/>
    <w:rsid w:val="00E21EDD"/>
    <w:rsid w:val="00E2228B"/>
    <w:rsid w:val="00E233D1"/>
    <w:rsid w:val="00E247B3"/>
    <w:rsid w:val="00E24D9B"/>
    <w:rsid w:val="00E251B6"/>
    <w:rsid w:val="00E300BB"/>
    <w:rsid w:val="00E3026D"/>
    <w:rsid w:val="00E302D2"/>
    <w:rsid w:val="00E318B8"/>
    <w:rsid w:val="00E31D30"/>
    <w:rsid w:val="00E31F9A"/>
    <w:rsid w:val="00E322A4"/>
    <w:rsid w:val="00E33168"/>
    <w:rsid w:val="00E3317B"/>
    <w:rsid w:val="00E3367B"/>
    <w:rsid w:val="00E33C48"/>
    <w:rsid w:val="00E33F89"/>
    <w:rsid w:val="00E348C4"/>
    <w:rsid w:val="00E35724"/>
    <w:rsid w:val="00E35944"/>
    <w:rsid w:val="00E35F82"/>
    <w:rsid w:val="00E360AA"/>
    <w:rsid w:val="00E36469"/>
    <w:rsid w:val="00E3685C"/>
    <w:rsid w:val="00E36924"/>
    <w:rsid w:val="00E36D7A"/>
    <w:rsid w:val="00E36F52"/>
    <w:rsid w:val="00E40404"/>
    <w:rsid w:val="00E41514"/>
    <w:rsid w:val="00E420F1"/>
    <w:rsid w:val="00E42142"/>
    <w:rsid w:val="00E42250"/>
    <w:rsid w:val="00E42F50"/>
    <w:rsid w:val="00E43210"/>
    <w:rsid w:val="00E43D4E"/>
    <w:rsid w:val="00E44022"/>
    <w:rsid w:val="00E441C9"/>
    <w:rsid w:val="00E44291"/>
    <w:rsid w:val="00E44715"/>
    <w:rsid w:val="00E44995"/>
    <w:rsid w:val="00E44D7C"/>
    <w:rsid w:val="00E453F2"/>
    <w:rsid w:val="00E45688"/>
    <w:rsid w:val="00E466A0"/>
    <w:rsid w:val="00E46747"/>
    <w:rsid w:val="00E471F0"/>
    <w:rsid w:val="00E5004A"/>
    <w:rsid w:val="00E513E0"/>
    <w:rsid w:val="00E520BE"/>
    <w:rsid w:val="00E522AD"/>
    <w:rsid w:val="00E52B5D"/>
    <w:rsid w:val="00E52DDE"/>
    <w:rsid w:val="00E53006"/>
    <w:rsid w:val="00E5511E"/>
    <w:rsid w:val="00E56718"/>
    <w:rsid w:val="00E567BB"/>
    <w:rsid w:val="00E6152E"/>
    <w:rsid w:val="00E61762"/>
    <w:rsid w:val="00E61F23"/>
    <w:rsid w:val="00E62438"/>
    <w:rsid w:val="00E62484"/>
    <w:rsid w:val="00E6251B"/>
    <w:rsid w:val="00E62789"/>
    <w:rsid w:val="00E63BA7"/>
    <w:rsid w:val="00E6408E"/>
    <w:rsid w:val="00E65505"/>
    <w:rsid w:val="00E66404"/>
    <w:rsid w:val="00E66A64"/>
    <w:rsid w:val="00E66B88"/>
    <w:rsid w:val="00E67554"/>
    <w:rsid w:val="00E67786"/>
    <w:rsid w:val="00E67A50"/>
    <w:rsid w:val="00E67DC6"/>
    <w:rsid w:val="00E70212"/>
    <w:rsid w:val="00E71054"/>
    <w:rsid w:val="00E72750"/>
    <w:rsid w:val="00E72869"/>
    <w:rsid w:val="00E72C5F"/>
    <w:rsid w:val="00E73202"/>
    <w:rsid w:val="00E734AC"/>
    <w:rsid w:val="00E742BE"/>
    <w:rsid w:val="00E74802"/>
    <w:rsid w:val="00E75475"/>
    <w:rsid w:val="00E75988"/>
    <w:rsid w:val="00E75B1A"/>
    <w:rsid w:val="00E75BB9"/>
    <w:rsid w:val="00E75C03"/>
    <w:rsid w:val="00E7644C"/>
    <w:rsid w:val="00E76911"/>
    <w:rsid w:val="00E779F1"/>
    <w:rsid w:val="00E77C29"/>
    <w:rsid w:val="00E808BB"/>
    <w:rsid w:val="00E813BD"/>
    <w:rsid w:val="00E81D17"/>
    <w:rsid w:val="00E82191"/>
    <w:rsid w:val="00E82723"/>
    <w:rsid w:val="00E83194"/>
    <w:rsid w:val="00E83590"/>
    <w:rsid w:val="00E84027"/>
    <w:rsid w:val="00E8594F"/>
    <w:rsid w:val="00E8607B"/>
    <w:rsid w:val="00E86142"/>
    <w:rsid w:val="00E870FB"/>
    <w:rsid w:val="00E87192"/>
    <w:rsid w:val="00E877D9"/>
    <w:rsid w:val="00E87E9B"/>
    <w:rsid w:val="00E904E9"/>
    <w:rsid w:val="00E90F0C"/>
    <w:rsid w:val="00E91B1C"/>
    <w:rsid w:val="00E91E45"/>
    <w:rsid w:val="00E921B8"/>
    <w:rsid w:val="00E92445"/>
    <w:rsid w:val="00E9267D"/>
    <w:rsid w:val="00E92919"/>
    <w:rsid w:val="00E92B09"/>
    <w:rsid w:val="00E92D2C"/>
    <w:rsid w:val="00E92EB9"/>
    <w:rsid w:val="00E93EEC"/>
    <w:rsid w:val="00E94077"/>
    <w:rsid w:val="00E94135"/>
    <w:rsid w:val="00E9507C"/>
    <w:rsid w:val="00E954B7"/>
    <w:rsid w:val="00E95C5F"/>
    <w:rsid w:val="00E963BD"/>
    <w:rsid w:val="00E96EB0"/>
    <w:rsid w:val="00EA01F1"/>
    <w:rsid w:val="00EA2452"/>
    <w:rsid w:val="00EA2FCB"/>
    <w:rsid w:val="00EA354E"/>
    <w:rsid w:val="00EA35C9"/>
    <w:rsid w:val="00EA51F5"/>
    <w:rsid w:val="00EA6177"/>
    <w:rsid w:val="00EA699A"/>
    <w:rsid w:val="00EA72C5"/>
    <w:rsid w:val="00EA784E"/>
    <w:rsid w:val="00EA7B57"/>
    <w:rsid w:val="00EB00FE"/>
    <w:rsid w:val="00EB04F9"/>
    <w:rsid w:val="00EB0B29"/>
    <w:rsid w:val="00EB108C"/>
    <w:rsid w:val="00EB114D"/>
    <w:rsid w:val="00EB1E47"/>
    <w:rsid w:val="00EB1E87"/>
    <w:rsid w:val="00EB3078"/>
    <w:rsid w:val="00EB34F2"/>
    <w:rsid w:val="00EB37AD"/>
    <w:rsid w:val="00EB3D51"/>
    <w:rsid w:val="00EB405E"/>
    <w:rsid w:val="00EB4344"/>
    <w:rsid w:val="00EB44BB"/>
    <w:rsid w:val="00EB5DAC"/>
    <w:rsid w:val="00EB6124"/>
    <w:rsid w:val="00EB635E"/>
    <w:rsid w:val="00EB6545"/>
    <w:rsid w:val="00EB6548"/>
    <w:rsid w:val="00EB65AF"/>
    <w:rsid w:val="00EB6712"/>
    <w:rsid w:val="00EB67DA"/>
    <w:rsid w:val="00EB685D"/>
    <w:rsid w:val="00EB695A"/>
    <w:rsid w:val="00EB69A2"/>
    <w:rsid w:val="00EB6B1B"/>
    <w:rsid w:val="00EB6C08"/>
    <w:rsid w:val="00EB73C3"/>
    <w:rsid w:val="00EB77E6"/>
    <w:rsid w:val="00EC070A"/>
    <w:rsid w:val="00EC0EEF"/>
    <w:rsid w:val="00EC0F0C"/>
    <w:rsid w:val="00EC1588"/>
    <w:rsid w:val="00EC15FC"/>
    <w:rsid w:val="00EC1642"/>
    <w:rsid w:val="00EC1892"/>
    <w:rsid w:val="00EC20E9"/>
    <w:rsid w:val="00EC2733"/>
    <w:rsid w:val="00EC2BCA"/>
    <w:rsid w:val="00EC32A5"/>
    <w:rsid w:val="00EC34FC"/>
    <w:rsid w:val="00EC3566"/>
    <w:rsid w:val="00EC3A56"/>
    <w:rsid w:val="00EC4045"/>
    <w:rsid w:val="00EC4923"/>
    <w:rsid w:val="00EC5090"/>
    <w:rsid w:val="00EC7108"/>
    <w:rsid w:val="00EC749A"/>
    <w:rsid w:val="00EC74C3"/>
    <w:rsid w:val="00EC7836"/>
    <w:rsid w:val="00EC7F2B"/>
    <w:rsid w:val="00ED0180"/>
    <w:rsid w:val="00ED03F9"/>
    <w:rsid w:val="00ED0AE6"/>
    <w:rsid w:val="00ED0CEA"/>
    <w:rsid w:val="00ED0D40"/>
    <w:rsid w:val="00ED1490"/>
    <w:rsid w:val="00ED2146"/>
    <w:rsid w:val="00ED3550"/>
    <w:rsid w:val="00ED37D0"/>
    <w:rsid w:val="00ED50CE"/>
    <w:rsid w:val="00ED636F"/>
    <w:rsid w:val="00ED6F6E"/>
    <w:rsid w:val="00ED7A68"/>
    <w:rsid w:val="00EE010D"/>
    <w:rsid w:val="00EE05F3"/>
    <w:rsid w:val="00EE067C"/>
    <w:rsid w:val="00EE0CFA"/>
    <w:rsid w:val="00EE10D3"/>
    <w:rsid w:val="00EE10E7"/>
    <w:rsid w:val="00EE12CB"/>
    <w:rsid w:val="00EE13F3"/>
    <w:rsid w:val="00EE17FE"/>
    <w:rsid w:val="00EE1955"/>
    <w:rsid w:val="00EE2668"/>
    <w:rsid w:val="00EE3540"/>
    <w:rsid w:val="00EE4050"/>
    <w:rsid w:val="00EE45EE"/>
    <w:rsid w:val="00EE5A65"/>
    <w:rsid w:val="00EE60F8"/>
    <w:rsid w:val="00EE631A"/>
    <w:rsid w:val="00EE6B64"/>
    <w:rsid w:val="00EE7C72"/>
    <w:rsid w:val="00EE7D67"/>
    <w:rsid w:val="00EF002A"/>
    <w:rsid w:val="00EF0C82"/>
    <w:rsid w:val="00EF0E82"/>
    <w:rsid w:val="00EF19BD"/>
    <w:rsid w:val="00EF2D7D"/>
    <w:rsid w:val="00EF4B1C"/>
    <w:rsid w:val="00EF5047"/>
    <w:rsid w:val="00EF556E"/>
    <w:rsid w:val="00EF6706"/>
    <w:rsid w:val="00EF678C"/>
    <w:rsid w:val="00EF689A"/>
    <w:rsid w:val="00EF7826"/>
    <w:rsid w:val="00EF7B70"/>
    <w:rsid w:val="00F001CA"/>
    <w:rsid w:val="00F0036D"/>
    <w:rsid w:val="00F0126A"/>
    <w:rsid w:val="00F02677"/>
    <w:rsid w:val="00F02DD9"/>
    <w:rsid w:val="00F02EFC"/>
    <w:rsid w:val="00F0412F"/>
    <w:rsid w:val="00F0479A"/>
    <w:rsid w:val="00F0517B"/>
    <w:rsid w:val="00F05CD3"/>
    <w:rsid w:val="00F05F16"/>
    <w:rsid w:val="00F06CB7"/>
    <w:rsid w:val="00F06F58"/>
    <w:rsid w:val="00F0746F"/>
    <w:rsid w:val="00F07BD8"/>
    <w:rsid w:val="00F10C20"/>
    <w:rsid w:val="00F10F60"/>
    <w:rsid w:val="00F11249"/>
    <w:rsid w:val="00F11C69"/>
    <w:rsid w:val="00F12060"/>
    <w:rsid w:val="00F1232E"/>
    <w:rsid w:val="00F1356E"/>
    <w:rsid w:val="00F13F1B"/>
    <w:rsid w:val="00F14058"/>
    <w:rsid w:val="00F150B7"/>
    <w:rsid w:val="00F16EEA"/>
    <w:rsid w:val="00F174EC"/>
    <w:rsid w:val="00F2098C"/>
    <w:rsid w:val="00F20A4D"/>
    <w:rsid w:val="00F20AD5"/>
    <w:rsid w:val="00F20D3A"/>
    <w:rsid w:val="00F211AB"/>
    <w:rsid w:val="00F215CC"/>
    <w:rsid w:val="00F21E26"/>
    <w:rsid w:val="00F22951"/>
    <w:rsid w:val="00F22E04"/>
    <w:rsid w:val="00F2303F"/>
    <w:rsid w:val="00F239C4"/>
    <w:rsid w:val="00F25016"/>
    <w:rsid w:val="00F252F9"/>
    <w:rsid w:val="00F2583E"/>
    <w:rsid w:val="00F25C46"/>
    <w:rsid w:val="00F26372"/>
    <w:rsid w:val="00F26F82"/>
    <w:rsid w:val="00F272A9"/>
    <w:rsid w:val="00F27EF3"/>
    <w:rsid w:val="00F309B6"/>
    <w:rsid w:val="00F30BDA"/>
    <w:rsid w:val="00F30C41"/>
    <w:rsid w:val="00F30EEA"/>
    <w:rsid w:val="00F3120E"/>
    <w:rsid w:val="00F31955"/>
    <w:rsid w:val="00F32175"/>
    <w:rsid w:val="00F321C8"/>
    <w:rsid w:val="00F3268B"/>
    <w:rsid w:val="00F327E4"/>
    <w:rsid w:val="00F32BA5"/>
    <w:rsid w:val="00F3330C"/>
    <w:rsid w:val="00F33752"/>
    <w:rsid w:val="00F33D01"/>
    <w:rsid w:val="00F3609D"/>
    <w:rsid w:val="00F3644B"/>
    <w:rsid w:val="00F37E7C"/>
    <w:rsid w:val="00F37F70"/>
    <w:rsid w:val="00F415A3"/>
    <w:rsid w:val="00F415B9"/>
    <w:rsid w:val="00F419AB"/>
    <w:rsid w:val="00F41E78"/>
    <w:rsid w:val="00F41E8C"/>
    <w:rsid w:val="00F41F23"/>
    <w:rsid w:val="00F42083"/>
    <w:rsid w:val="00F420DA"/>
    <w:rsid w:val="00F424EA"/>
    <w:rsid w:val="00F429B2"/>
    <w:rsid w:val="00F42E10"/>
    <w:rsid w:val="00F42EDB"/>
    <w:rsid w:val="00F42F49"/>
    <w:rsid w:val="00F43191"/>
    <w:rsid w:val="00F4320A"/>
    <w:rsid w:val="00F43D0A"/>
    <w:rsid w:val="00F44CCD"/>
    <w:rsid w:val="00F44D4E"/>
    <w:rsid w:val="00F44ECD"/>
    <w:rsid w:val="00F454FB"/>
    <w:rsid w:val="00F45F6F"/>
    <w:rsid w:val="00F460A6"/>
    <w:rsid w:val="00F463A4"/>
    <w:rsid w:val="00F46B0E"/>
    <w:rsid w:val="00F46B48"/>
    <w:rsid w:val="00F46BAE"/>
    <w:rsid w:val="00F47693"/>
    <w:rsid w:val="00F47E6E"/>
    <w:rsid w:val="00F50011"/>
    <w:rsid w:val="00F50093"/>
    <w:rsid w:val="00F50FA6"/>
    <w:rsid w:val="00F51C0D"/>
    <w:rsid w:val="00F51D4B"/>
    <w:rsid w:val="00F52442"/>
    <w:rsid w:val="00F530EA"/>
    <w:rsid w:val="00F53750"/>
    <w:rsid w:val="00F538C1"/>
    <w:rsid w:val="00F5394F"/>
    <w:rsid w:val="00F53954"/>
    <w:rsid w:val="00F54732"/>
    <w:rsid w:val="00F54C6A"/>
    <w:rsid w:val="00F551BA"/>
    <w:rsid w:val="00F55B8C"/>
    <w:rsid w:val="00F55CDA"/>
    <w:rsid w:val="00F55FE3"/>
    <w:rsid w:val="00F56785"/>
    <w:rsid w:val="00F567D5"/>
    <w:rsid w:val="00F56846"/>
    <w:rsid w:val="00F56888"/>
    <w:rsid w:val="00F569EA"/>
    <w:rsid w:val="00F56E07"/>
    <w:rsid w:val="00F576BF"/>
    <w:rsid w:val="00F57E2B"/>
    <w:rsid w:val="00F6041E"/>
    <w:rsid w:val="00F61565"/>
    <w:rsid w:val="00F61657"/>
    <w:rsid w:val="00F61DB4"/>
    <w:rsid w:val="00F62650"/>
    <w:rsid w:val="00F636ED"/>
    <w:rsid w:val="00F637B1"/>
    <w:rsid w:val="00F643E6"/>
    <w:rsid w:val="00F644D8"/>
    <w:rsid w:val="00F6515F"/>
    <w:rsid w:val="00F6519C"/>
    <w:rsid w:val="00F651E6"/>
    <w:rsid w:val="00F66DCD"/>
    <w:rsid w:val="00F6786C"/>
    <w:rsid w:val="00F70181"/>
    <w:rsid w:val="00F70799"/>
    <w:rsid w:val="00F70A6D"/>
    <w:rsid w:val="00F70B41"/>
    <w:rsid w:val="00F70D55"/>
    <w:rsid w:val="00F7112C"/>
    <w:rsid w:val="00F7186B"/>
    <w:rsid w:val="00F71885"/>
    <w:rsid w:val="00F71910"/>
    <w:rsid w:val="00F71E23"/>
    <w:rsid w:val="00F71EB3"/>
    <w:rsid w:val="00F71EC8"/>
    <w:rsid w:val="00F724EA"/>
    <w:rsid w:val="00F72657"/>
    <w:rsid w:val="00F726DC"/>
    <w:rsid w:val="00F728EE"/>
    <w:rsid w:val="00F72968"/>
    <w:rsid w:val="00F73A0A"/>
    <w:rsid w:val="00F74198"/>
    <w:rsid w:val="00F747B5"/>
    <w:rsid w:val="00F74B0D"/>
    <w:rsid w:val="00F7558E"/>
    <w:rsid w:val="00F75CDF"/>
    <w:rsid w:val="00F75F69"/>
    <w:rsid w:val="00F75FE5"/>
    <w:rsid w:val="00F760E6"/>
    <w:rsid w:val="00F76634"/>
    <w:rsid w:val="00F76DBA"/>
    <w:rsid w:val="00F8002B"/>
    <w:rsid w:val="00F80FC8"/>
    <w:rsid w:val="00F8132B"/>
    <w:rsid w:val="00F81CD5"/>
    <w:rsid w:val="00F8256D"/>
    <w:rsid w:val="00F83977"/>
    <w:rsid w:val="00F83AA7"/>
    <w:rsid w:val="00F84839"/>
    <w:rsid w:val="00F86582"/>
    <w:rsid w:val="00F87168"/>
    <w:rsid w:val="00F8779B"/>
    <w:rsid w:val="00F87C7B"/>
    <w:rsid w:val="00F901CA"/>
    <w:rsid w:val="00F90825"/>
    <w:rsid w:val="00F90E8A"/>
    <w:rsid w:val="00F91DF0"/>
    <w:rsid w:val="00F91FD7"/>
    <w:rsid w:val="00F932A3"/>
    <w:rsid w:val="00F93DAC"/>
    <w:rsid w:val="00F943F6"/>
    <w:rsid w:val="00F944F4"/>
    <w:rsid w:val="00F94655"/>
    <w:rsid w:val="00F9531E"/>
    <w:rsid w:val="00F955CC"/>
    <w:rsid w:val="00F95766"/>
    <w:rsid w:val="00F95B0C"/>
    <w:rsid w:val="00F9721F"/>
    <w:rsid w:val="00F9779A"/>
    <w:rsid w:val="00F97B17"/>
    <w:rsid w:val="00FA04CA"/>
    <w:rsid w:val="00FA1739"/>
    <w:rsid w:val="00FA20B0"/>
    <w:rsid w:val="00FA250A"/>
    <w:rsid w:val="00FA2526"/>
    <w:rsid w:val="00FA32DE"/>
    <w:rsid w:val="00FA3B99"/>
    <w:rsid w:val="00FA4025"/>
    <w:rsid w:val="00FA614C"/>
    <w:rsid w:val="00FA6CE6"/>
    <w:rsid w:val="00FA793C"/>
    <w:rsid w:val="00FA7B67"/>
    <w:rsid w:val="00FB11BC"/>
    <w:rsid w:val="00FB182C"/>
    <w:rsid w:val="00FB30A5"/>
    <w:rsid w:val="00FB3269"/>
    <w:rsid w:val="00FB4E89"/>
    <w:rsid w:val="00FB57C0"/>
    <w:rsid w:val="00FB652B"/>
    <w:rsid w:val="00FB6A46"/>
    <w:rsid w:val="00FB6AAC"/>
    <w:rsid w:val="00FB70B1"/>
    <w:rsid w:val="00FB718A"/>
    <w:rsid w:val="00FB7286"/>
    <w:rsid w:val="00FB794C"/>
    <w:rsid w:val="00FB7976"/>
    <w:rsid w:val="00FC0EE8"/>
    <w:rsid w:val="00FC1E01"/>
    <w:rsid w:val="00FC3371"/>
    <w:rsid w:val="00FC3E34"/>
    <w:rsid w:val="00FC3FE5"/>
    <w:rsid w:val="00FC4785"/>
    <w:rsid w:val="00FC4E8D"/>
    <w:rsid w:val="00FC5FEC"/>
    <w:rsid w:val="00FC68D5"/>
    <w:rsid w:val="00FC7C85"/>
    <w:rsid w:val="00FD0716"/>
    <w:rsid w:val="00FD0C5E"/>
    <w:rsid w:val="00FD1DA8"/>
    <w:rsid w:val="00FD2013"/>
    <w:rsid w:val="00FD22F4"/>
    <w:rsid w:val="00FD2A44"/>
    <w:rsid w:val="00FD2BA5"/>
    <w:rsid w:val="00FD2FE3"/>
    <w:rsid w:val="00FD3AFD"/>
    <w:rsid w:val="00FD44E3"/>
    <w:rsid w:val="00FD5995"/>
    <w:rsid w:val="00FD6009"/>
    <w:rsid w:val="00FD6A23"/>
    <w:rsid w:val="00FD6B16"/>
    <w:rsid w:val="00FD74A9"/>
    <w:rsid w:val="00FE08F9"/>
    <w:rsid w:val="00FE1526"/>
    <w:rsid w:val="00FE16EA"/>
    <w:rsid w:val="00FE1B2F"/>
    <w:rsid w:val="00FE1F73"/>
    <w:rsid w:val="00FE278A"/>
    <w:rsid w:val="00FE3F5A"/>
    <w:rsid w:val="00FE6082"/>
    <w:rsid w:val="00FE65CC"/>
    <w:rsid w:val="00FE6DE2"/>
    <w:rsid w:val="00FE6F41"/>
    <w:rsid w:val="00FE75F6"/>
    <w:rsid w:val="00FE7769"/>
    <w:rsid w:val="00FF0193"/>
    <w:rsid w:val="00FF0334"/>
    <w:rsid w:val="00FF15BF"/>
    <w:rsid w:val="00FF2686"/>
    <w:rsid w:val="00FF3740"/>
    <w:rsid w:val="00FF3D7D"/>
    <w:rsid w:val="00FF431C"/>
    <w:rsid w:val="00FF4E48"/>
    <w:rsid w:val="00FF5CFB"/>
    <w:rsid w:val="00FF60AC"/>
    <w:rsid w:val="00FF6D3F"/>
    <w:rsid w:val="00FF71EB"/>
    <w:rsid w:val="00FF72CE"/>
    <w:rsid w:val="00FF76D9"/>
    <w:rsid w:val="00FF7E9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3106A"/>
    <w:pPr>
      <w:ind w:left="1080"/>
    </w:pPr>
    <w:rPr>
      <w:rFonts w:ascii="Arial" w:hAnsi="Arial"/>
      <w:spacing w:val="-5"/>
      <w:lang w:eastAsia="en-US"/>
    </w:rPr>
  </w:style>
  <w:style w:type="paragraph" w:styleId="Titre1">
    <w:name w:val="heading 1"/>
    <w:basedOn w:val="TitreBase"/>
    <w:next w:val="Corpsdetexte"/>
    <w:link w:val="Titre1Car"/>
    <w:uiPriority w:val="99"/>
    <w:qFormat/>
    <w:rsid w:val="007C4F2B"/>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Cambria" w:hAnsi="Cambria"/>
      <w:b/>
      <w:bCs/>
      <w:spacing w:val="-5"/>
      <w:kern w:val="32"/>
      <w:sz w:val="32"/>
      <w:szCs w:val="32"/>
    </w:rPr>
  </w:style>
  <w:style w:type="paragraph" w:styleId="Titre2">
    <w:name w:val="heading 2"/>
    <w:basedOn w:val="TitreBase"/>
    <w:next w:val="Corpsdetexte"/>
    <w:link w:val="Titre2Car"/>
    <w:uiPriority w:val="99"/>
    <w:qFormat/>
    <w:rsid w:val="007C4F2B"/>
    <w:pPr>
      <w:spacing w:before="0" w:after="240" w:line="240" w:lineRule="atLeast"/>
      <w:ind w:left="0"/>
      <w:outlineLvl w:val="1"/>
    </w:pPr>
    <w:rPr>
      <w:rFonts w:ascii="Cambria" w:hAnsi="Cambria"/>
      <w:b/>
      <w:bCs/>
      <w:i/>
      <w:iCs/>
      <w:spacing w:val="-5"/>
      <w:kern w:val="0"/>
      <w:sz w:val="28"/>
      <w:szCs w:val="28"/>
    </w:rPr>
  </w:style>
  <w:style w:type="paragraph" w:styleId="Titre3">
    <w:name w:val="heading 3"/>
    <w:basedOn w:val="TitreBase"/>
    <w:next w:val="Corpsdetexte"/>
    <w:link w:val="Titre3Car"/>
    <w:uiPriority w:val="99"/>
    <w:qFormat/>
    <w:rsid w:val="007C4F2B"/>
    <w:pPr>
      <w:spacing w:before="0" w:after="240" w:line="240" w:lineRule="atLeast"/>
      <w:outlineLvl w:val="2"/>
    </w:pPr>
    <w:rPr>
      <w:rFonts w:ascii="Cambria" w:hAnsi="Cambria"/>
      <w:b/>
      <w:bCs/>
      <w:spacing w:val="-5"/>
      <w:kern w:val="0"/>
      <w:sz w:val="26"/>
      <w:szCs w:val="26"/>
    </w:rPr>
  </w:style>
  <w:style w:type="paragraph" w:styleId="Titre4">
    <w:name w:val="heading 4"/>
    <w:basedOn w:val="TitreBase"/>
    <w:next w:val="Corpsdetexte"/>
    <w:link w:val="Titre4Car"/>
    <w:uiPriority w:val="99"/>
    <w:qFormat/>
    <w:rsid w:val="007C4F2B"/>
    <w:pPr>
      <w:spacing w:before="0" w:after="240" w:line="240" w:lineRule="atLeast"/>
      <w:outlineLvl w:val="3"/>
    </w:pPr>
    <w:rPr>
      <w:rFonts w:ascii="Calibri" w:hAnsi="Calibri"/>
      <w:b/>
      <w:bCs/>
      <w:spacing w:val="-5"/>
      <w:kern w:val="0"/>
      <w:sz w:val="28"/>
      <w:szCs w:val="28"/>
    </w:rPr>
  </w:style>
  <w:style w:type="paragraph" w:styleId="Titre5">
    <w:name w:val="heading 5"/>
    <w:basedOn w:val="TitreBase"/>
    <w:next w:val="Corpsdetexte"/>
    <w:link w:val="Titre5Car"/>
    <w:uiPriority w:val="99"/>
    <w:qFormat/>
    <w:rsid w:val="007C4F2B"/>
    <w:pPr>
      <w:spacing w:before="0" w:line="240" w:lineRule="atLeast"/>
      <w:ind w:left="1440"/>
      <w:outlineLvl w:val="4"/>
    </w:pPr>
    <w:rPr>
      <w:rFonts w:ascii="Calibri" w:hAnsi="Calibri"/>
      <w:b/>
      <w:bCs/>
      <w:i/>
      <w:iCs/>
      <w:spacing w:val="-5"/>
      <w:kern w:val="0"/>
      <w:sz w:val="26"/>
      <w:szCs w:val="26"/>
    </w:rPr>
  </w:style>
  <w:style w:type="paragraph" w:styleId="Titre6">
    <w:name w:val="heading 6"/>
    <w:basedOn w:val="TitreBase"/>
    <w:next w:val="Corpsdetexte"/>
    <w:link w:val="Titre6Car"/>
    <w:uiPriority w:val="99"/>
    <w:qFormat/>
    <w:rsid w:val="007C4F2B"/>
    <w:pPr>
      <w:ind w:left="1440"/>
      <w:outlineLvl w:val="5"/>
    </w:pPr>
    <w:rPr>
      <w:rFonts w:ascii="Calibri" w:hAnsi="Calibri"/>
      <w:b/>
      <w:bCs/>
      <w:spacing w:val="-5"/>
      <w:kern w:val="0"/>
      <w:sz w:val="20"/>
    </w:rPr>
  </w:style>
  <w:style w:type="paragraph" w:styleId="Titre7">
    <w:name w:val="heading 7"/>
    <w:basedOn w:val="TitreBase"/>
    <w:next w:val="Corpsdetexte"/>
    <w:link w:val="Titre7Car"/>
    <w:uiPriority w:val="99"/>
    <w:qFormat/>
    <w:rsid w:val="007C4F2B"/>
    <w:pPr>
      <w:outlineLvl w:val="6"/>
    </w:pPr>
    <w:rPr>
      <w:rFonts w:ascii="Calibri" w:hAnsi="Calibri"/>
      <w:spacing w:val="-5"/>
      <w:kern w:val="0"/>
      <w:sz w:val="24"/>
      <w:szCs w:val="24"/>
    </w:rPr>
  </w:style>
  <w:style w:type="paragraph" w:styleId="Titre8">
    <w:name w:val="heading 8"/>
    <w:basedOn w:val="TitreBase"/>
    <w:next w:val="Corpsdetexte"/>
    <w:link w:val="Titre8Car"/>
    <w:uiPriority w:val="99"/>
    <w:qFormat/>
    <w:rsid w:val="007C4F2B"/>
    <w:pPr>
      <w:outlineLvl w:val="7"/>
    </w:pPr>
    <w:rPr>
      <w:rFonts w:ascii="Calibri" w:hAnsi="Calibri"/>
      <w:i/>
      <w:iCs/>
      <w:spacing w:val="-5"/>
      <w:kern w:val="0"/>
      <w:sz w:val="24"/>
      <w:szCs w:val="24"/>
    </w:rPr>
  </w:style>
  <w:style w:type="paragraph" w:styleId="Titre9">
    <w:name w:val="heading 9"/>
    <w:basedOn w:val="TitreBase"/>
    <w:next w:val="Corpsdetexte"/>
    <w:link w:val="Titre9Car"/>
    <w:uiPriority w:val="99"/>
    <w:qFormat/>
    <w:rsid w:val="007C4F2B"/>
    <w:pPr>
      <w:outlineLvl w:val="8"/>
    </w:pPr>
    <w:rPr>
      <w:rFonts w:ascii="Cambria" w:hAnsi="Cambria"/>
      <w:spacing w:val="-5"/>
      <w:kern w:val="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Base">
    <w:name w:val="Titre (Base)"/>
    <w:basedOn w:val="Normal"/>
    <w:next w:val="Corpsdetexte"/>
    <w:uiPriority w:val="99"/>
    <w:rsid w:val="007C4F2B"/>
    <w:pPr>
      <w:keepNext/>
      <w:keepLines/>
      <w:spacing w:before="140" w:line="220" w:lineRule="atLeast"/>
    </w:pPr>
    <w:rPr>
      <w:spacing w:val="-4"/>
      <w:kern w:val="28"/>
      <w:sz w:val="22"/>
    </w:rPr>
  </w:style>
  <w:style w:type="paragraph" w:styleId="Corpsdetexte">
    <w:name w:val="Body Text"/>
    <w:basedOn w:val="Normal"/>
    <w:link w:val="CorpsdetexteCar1"/>
    <w:uiPriority w:val="99"/>
    <w:rsid w:val="007C4F2B"/>
    <w:pPr>
      <w:spacing w:after="240" w:line="240" w:lineRule="atLeast"/>
      <w:jc w:val="both"/>
    </w:pPr>
  </w:style>
  <w:style w:type="character" w:customStyle="1" w:styleId="CorpsdetexteCar1">
    <w:name w:val="Corps de texte Car1"/>
    <w:link w:val="Corpsdetexte"/>
    <w:uiPriority w:val="99"/>
    <w:semiHidden/>
    <w:locked/>
    <w:rsid w:val="00593819"/>
    <w:rPr>
      <w:rFonts w:ascii="Arial" w:hAnsi="Arial" w:cs="Times New Roman"/>
      <w:spacing w:val="-5"/>
      <w:sz w:val="20"/>
      <w:szCs w:val="20"/>
      <w:lang w:eastAsia="en-US"/>
    </w:rPr>
  </w:style>
  <w:style w:type="character" w:customStyle="1" w:styleId="Titre1Car">
    <w:name w:val="Titre 1 Car"/>
    <w:link w:val="Titre1"/>
    <w:uiPriority w:val="99"/>
    <w:locked/>
    <w:rsid w:val="00593819"/>
    <w:rPr>
      <w:rFonts w:ascii="Cambria" w:hAnsi="Cambria" w:cs="Times New Roman"/>
      <w:b/>
      <w:bCs/>
      <w:spacing w:val="-5"/>
      <w:kern w:val="32"/>
      <w:sz w:val="32"/>
      <w:szCs w:val="32"/>
      <w:lang w:eastAsia="en-US"/>
    </w:rPr>
  </w:style>
  <w:style w:type="character" w:customStyle="1" w:styleId="Titre2Car">
    <w:name w:val="Titre 2 Car"/>
    <w:link w:val="Titre2"/>
    <w:uiPriority w:val="99"/>
    <w:semiHidden/>
    <w:locked/>
    <w:rsid w:val="00593819"/>
    <w:rPr>
      <w:rFonts w:ascii="Cambria" w:hAnsi="Cambria" w:cs="Times New Roman"/>
      <w:b/>
      <w:bCs/>
      <w:i/>
      <w:iCs/>
      <w:spacing w:val="-5"/>
      <w:sz w:val="28"/>
      <w:szCs w:val="28"/>
      <w:lang w:eastAsia="en-US"/>
    </w:rPr>
  </w:style>
  <w:style w:type="character" w:customStyle="1" w:styleId="Titre3Car">
    <w:name w:val="Titre 3 Car"/>
    <w:link w:val="Titre3"/>
    <w:uiPriority w:val="99"/>
    <w:semiHidden/>
    <w:locked/>
    <w:rsid w:val="00593819"/>
    <w:rPr>
      <w:rFonts w:ascii="Cambria" w:hAnsi="Cambria" w:cs="Times New Roman"/>
      <w:b/>
      <w:bCs/>
      <w:spacing w:val="-5"/>
      <w:sz w:val="26"/>
      <w:szCs w:val="26"/>
      <w:lang w:eastAsia="en-US"/>
    </w:rPr>
  </w:style>
  <w:style w:type="character" w:customStyle="1" w:styleId="Titre4Car">
    <w:name w:val="Titre 4 Car"/>
    <w:link w:val="Titre4"/>
    <w:uiPriority w:val="99"/>
    <w:semiHidden/>
    <w:locked/>
    <w:rsid w:val="00593819"/>
    <w:rPr>
      <w:rFonts w:ascii="Calibri" w:hAnsi="Calibri" w:cs="Arial"/>
      <w:b/>
      <w:bCs/>
      <w:spacing w:val="-5"/>
      <w:sz w:val="28"/>
      <w:szCs w:val="28"/>
      <w:lang w:eastAsia="en-US"/>
    </w:rPr>
  </w:style>
  <w:style w:type="character" w:customStyle="1" w:styleId="Titre5Car">
    <w:name w:val="Titre 5 Car"/>
    <w:link w:val="Titre5"/>
    <w:uiPriority w:val="99"/>
    <w:semiHidden/>
    <w:locked/>
    <w:rsid w:val="00593819"/>
    <w:rPr>
      <w:rFonts w:ascii="Calibri" w:hAnsi="Calibri" w:cs="Arial"/>
      <w:b/>
      <w:bCs/>
      <w:i/>
      <w:iCs/>
      <w:spacing w:val="-5"/>
      <w:sz w:val="26"/>
      <w:szCs w:val="26"/>
      <w:lang w:eastAsia="en-US"/>
    </w:rPr>
  </w:style>
  <w:style w:type="character" w:customStyle="1" w:styleId="Titre6Car">
    <w:name w:val="Titre 6 Car"/>
    <w:link w:val="Titre6"/>
    <w:uiPriority w:val="99"/>
    <w:semiHidden/>
    <w:locked/>
    <w:rsid w:val="00593819"/>
    <w:rPr>
      <w:rFonts w:ascii="Calibri" w:hAnsi="Calibri" w:cs="Arial"/>
      <w:b/>
      <w:bCs/>
      <w:spacing w:val="-5"/>
      <w:lang w:eastAsia="en-US"/>
    </w:rPr>
  </w:style>
  <w:style w:type="character" w:customStyle="1" w:styleId="Titre7Car">
    <w:name w:val="Titre 7 Car"/>
    <w:link w:val="Titre7"/>
    <w:uiPriority w:val="99"/>
    <w:semiHidden/>
    <w:locked/>
    <w:rsid w:val="00593819"/>
    <w:rPr>
      <w:rFonts w:ascii="Calibri" w:hAnsi="Calibri" w:cs="Arial"/>
      <w:spacing w:val="-5"/>
      <w:sz w:val="24"/>
      <w:szCs w:val="24"/>
      <w:lang w:eastAsia="en-US"/>
    </w:rPr>
  </w:style>
  <w:style w:type="character" w:customStyle="1" w:styleId="Titre8Car">
    <w:name w:val="Titre 8 Car"/>
    <w:link w:val="Titre8"/>
    <w:uiPriority w:val="99"/>
    <w:semiHidden/>
    <w:locked/>
    <w:rsid w:val="00593819"/>
    <w:rPr>
      <w:rFonts w:ascii="Calibri" w:hAnsi="Calibri" w:cs="Arial"/>
      <w:i/>
      <w:iCs/>
      <w:spacing w:val="-5"/>
      <w:sz w:val="24"/>
      <w:szCs w:val="24"/>
      <w:lang w:eastAsia="en-US"/>
    </w:rPr>
  </w:style>
  <w:style w:type="character" w:customStyle="1" w:styleId="Titre9Car">
    <w:name w:val="Titre 9 Car"/>
    <w:link w:val="Titre9"/>
    <w:uiPriority w:val="99"/>
    <w:semiHidden/>
    <w:locked/>
    <w:rsid w:val="00593819"/>
    <w:rPr>
      <w:rFonts w:ascii="Cambria" w:hAnsi="Cambria" w:cs="Times New Roman"/>
      <w:spacing w:val="-5"/>
      <w:lang w:eastAsia="en-US"/>
    </w:rPr>
  </w:style>
  <w:style w:type="paragraph" w:customStyle="1" w:styleId="Blocdecitation">
    <w:name w:val="Bloc de citation"/>
    <w:basedOn w:val="Normal"/>
    <w:uiPriority w:val="99"/>
    <w:rsid w:val="009D2244"/>
    <w:pPr>
      <w:pBdr>
        <w:top w:val="single" w:sz="12" w:space="12" w:color="FFFFFF"/>
        <w:left w:val="single" w:sz="6" w:space="12" w:color="FFFFFF"/>
        <w:bottom w:val="single" w:sz="6" w:space="12" w:color="FFFFFF"/>
        <w:right w:val="single" w:sz="6" w:space="12" w:color="FFFFFF"/>
      </w:pBdr>
      <w:shd w:val="solid" w:color="C0C0C0" w:fill="D9D9D9"/>
      <w:spacing w:after="240" w:line="220" w:lineRule="atLeast"/>
      <w:ind w:left="1368" w:right="240"/>
      <w:jc w:val="both"/>
    </w:pPr>
    <w:rPr>
      <w:rFonts w:ascii="Arial Narrow" w:hAnsi="Arial Narrow"/>
    </w:rPr>
  </w:style>
  <w:style w:type="paragraph" w:styleId="Retraitcorpsdetexte">
    <w:name w:val="Body Text Indent"/>
    <w:basedOn w:val="Corpsdetexte"/>
    <w:link w:val="RetraitcorpsdetexteCar"/>
    <w:uiPriority w:val="99"/>
    <w:rsid w:val="007C4F2B"/>
    <w:pPr>
      <w:ind w:left="1440"/>
    </w:pPr>
  </w:style>
  <w:style w:type="character" w:customStyle="1" w:styleId="RetraitcorpsdetexteCar">
    <w:name w:val="Retrait corps de texte Car"/>
    <w:link w:val="Retraitcorpsdetexte"/>
    <w:uiPriority w:val="99"/>
    <w:semiHidden/>
    <w:locked/>
    <w:rsid w:val="00593819"/>
    <w:rPr>
      <w:rFonts w:ascii="Arial" w:hAnsi="Arial" w:cs="Times New Roman"/>
      <w:spacing w:val="-5"/>
      <w:sz w:val="20"/>
      <w:szCs w:val="20"/>
      <w:lang w:eastAsia="en-US"/>
    </w:rPr>
  </w:style>
  <w:style w:type="paragraph" w:customStyle="1" w:styleId="Corpsdetextesolidaire">
    <w:name w:val="Corps de texte solidaire"/>
    <w:basedOn w:val="Corpsdetexte"/>
    <w:uiPriority w:val="99"/>
    <w:rsid w:val="007C4F2B"/>
    <w:pPr>
      <w:keepNext/>
    </w:pPr>
  </w:style>
  <w:style w:type="paragraph" w:customStyle="1" w:styleId="Image">
    <w:name w:val="Image"/>
    <w:basedOn w:val="Normal"/>
    <w:next w:val="Lgende"/>
    <w:uiPriority w:val="99"/>
    <w:rsid w:val="007C4F2B"/>
    <w:pPr>
      <w:keepNext/>
    </w:pPr>
  </w:style>
  <w:style w:type="paragraph" w:styleId="Lgende">
    <w:name w:val="caption"/>
    <w:basedOn w:val="Image"/>
    <w:next w:val="Corpsdetexte"/>
    <w:uiPriority w:val="99"/>
    <w:qFormat/>
    <w:rsid w:val="007C4F2B"/>
    <w:pPr>
      <w:spacing w:before="60" w:after="240" w:line="220" w:lineRule="atLeast"/>
      <w:ind w:left="1920" w:hanging="120"/>
    </w:pPr>
    <w:rPr>
      <w:rFonts w:ascii="Arial Narrow" w:hAnsi="Arial Narrow"/>
      <w:spacing w:val="0"/>
      <w:sz w:val="18"/>
    </w:rPr>
  </w:style>
  <w:style w:type="paragraph" w:customStyle="1" w:styleId="Partietiquette">
    <w:name w:val="Partie (étiquette)"/>
    <w:basedOn w:val="Normal"/>
    <w:uiPriority w:val="99"/>
    <w:rsid w:val="007C4F2B"/>
    <w:pPr>
      <w:shd w:val="solid" w:color="auto" w:fill="auto"/>
      <w:spacing w:line="360" w:lineRule="exact"/>
      <w:ind w:left="0"/>
      <w:jc w:val="center"/>
    </w:pPr>
    <w:rPr>
      <w:color w:val="FFFFFF"/>
      <w:spacing w:val="-16"/>
      <w:sz w:val="26"/>
    </w:rPr>
  </w:style>
  <w:style w:type="paragraph" w:customStyle="1" w:styleId="Partietitre">
    <w:name w:val="Partie (titre)"/>
    <w:basedOn w:val="Normal"/>
    <w:uiPriority w:val="99"/>
    <w:rsid w:val="007C4F2B"/>
    <w:pPr>
      <w:shd w:val="solid" w:color="auto" w:fill="auto"/>
      <w:spacing w:line="660" w:lineRule="exact"/>
      <w:ind w:left="0"/>
      <w:jc w:val="center"/>
    </w:pPr>
    <w:rPr>
      <w:rFonts w:ascii="Arial Black" w:hAnsi="Arial Black"/>
      <w:color w:val="FFFFFF"/>
      <w:spacing w:val="-40"/>
      <w:sz w:val="84"/>
    </w:rPr>
  </w:style>
  <w:style w:type="paragraph" w:styleId="Titre">
    <w:name w:val="Title"/>
    <w:basedOn w:val="TitreBase"/>
    <w:next w:val="Sous-titre"/>
    <w:link w:val="TitreCar"/>
    <w:uiPriority w:val="99"/>
    <w:qFormat/>
    <w:rsid w:val="007C4F2B"/>
    <w:pPr>
      <w:pBdr>
        <w:top w:val="single" w:sz="6" w:space="16" w:color="auto"/>
      </w:pBdr>
      <w:spacing w:before="220" w:after="60" w:line="320" w:lineRule="atLeast"/>
      <w:ind w:left="0"/>
    </w:pPr>
    <w:rPr>
      <w:rFonts w:ascii="Arial Black" w:hAnsi="Arial Black"/>
      <w:spacing w:val="-30"/>
      <w:sz w:val="40"/>
    </w:rPr>
  </w:style>
  <w:style w:type="paragraph" w:styleId="Sous-titre">
    <w:name w:val="Subtitle"/>
    <w:basedOn w:val="Titre"/>
    <w:next w:val="Corpsdetexte"/>
    <w:link w:val="Sous-titreCar"/>
    <w:uiPriority w:val="99"/>
    <w:qFormat/>
    <w:rsid w:val="007C4F2B"/>
    <w:pPr>
      <w:pBdr>
        <w:top w:val="none" w:sz="0" w:space="0" w:color="auto"/>
      </w:pBdr>
      <w:spacing w:before="60" w:after="120" w:line="340" w:lineRule="atLeast"/>
    </w:pPr>
    <w:rPr>
      <w:rFonts w:ascii="Cambria" w:hAnsi="Cambria"/>
      <w:spacing w:val="-5"/>
      <w:kern w:val="0"/>
      <w:sz w:val="24"/>
      <w:szCs w:val="24"/>
    </w:rPr>
  </w:style>
  <w:style w:type="character" w:customStyle="1" w:styleId="Sous-titreCar">
    <w:name w:val="Sous-titre Car"/>
    <w:link w:val="Sous-titre"/>
    <w:uiPriority w:val="99"/>
    <w:locked/>
    <w:rsid w:val="00593819"/>
    <w:rPr>
      <w:rFonts w:ascii="Cambria" w:hAnsi="Cambria" w:cs="Times New Roman"/>
      <w:spacing w:val="-5"/>
      <w:sz w:val="24"/>
      <w:szCs w:val="24"/>
      <w:lang w:eastAsia="en-US"/>
    </w:rPr>
  </w:style>
  <w:style w:type="character" w:customStyle="1" w:styleId="TitreCar">
    <w:name w:val="Titre Car"/>
    <w:link w:val="Titre"/>
    <w:uiPriority w:val="99"/>
    <w:locked/>
    <w:rsid w:val="00DE2B3F"/>
    <w:rPr>
      <w:rFonts w:ascii="Arial Black" w:hAnsi="Arial Black" w:cs="Times New Roman"/>
      <w:spacing w:val="-30"/>
      <w:kern w:val="28"/>
      <w:sz w:val="40"/>
      <w:lang w:eastAsia="en-US"/>
    </w:rPr>
  </w:style>
  <w:style w:type="paragraph" w:customStyle="1" w:styleId="Sous-titredechapitre">
    <w:name w:val="Sous-titre de chapitre"/>
    <w:basedOn w:val="Sous-titre"/>
    <w:uiPriority w:val="99"/>
    <w:rsid w:val="007C4F2B"/>
  </w:style>
  <w:style w:type="paragraph" w:customStyle="1" w:styleId="Nomdesocit">
    <w:name w:val="Nom de société"/>
    <w:basedOn w:val="Normal"/>
    <w:uiPriority w:val="99"/>
    <w:rsid w:val="007C4F2B"/>
    <w:pPr>
      <w:keepNext/>
      <w:keepLines/>
      <w:spacing w:line="220" w:lineRule="atLeast"/>
      <w:ind w:left="0"/>
    </w:pPr>
    <w:rPr>
      <w:rFonts w:ascii="Arial Black" w:hAnsi="Arial Black"/>
      <w:spacing w:val="-25"/>
      <w:kern w:val="28"/>
      <w:sz w:val="32"/>
    </w:rPr>
  </w:style>
  <w:style w:type="paragraph" w:customStyle="1" w:styleId="Titredechapitre">
    <w:name w:val="Titre de chapitre"/>
    <w:basedOn w:val="Normal"/>
    <w:uiPriority w:val="99"/>
    <w:rsid w:val="007C4F2B"/>
    <w:pPr>
      <w:spacing w:before="120" w:line="660" w:lineRule="exact"/>
      <w:ind w:left="0"/>
      <w:jc w:val="center"/>
    </w:pPr>
    <w:rPr>
      <w:rFonts w:ascii="Arial Black" w:hAnsi="Arial Black"/>
      <w:color w:val="FFFFFF"/>
      <w:spacing w:val="-40"/>
      <w:sz w:val="84"/>
    </w:rPr>
  </w:style>
  <w:style w:type="character" w:styleId="Marquedecommentaire">
    <w:name w:val="annotation reference"/>
    <w:uiPriority w:val="99"/>
    <w:semiHidden/>
    <w:rsid w:val="007C4F2B"/>
    <w:rPr>
      <w:rFonts w:ascii="Arial" w:hAnsi="Arial" w:cs="Times New Roman"/>
      <w:sz w:val="16"/>
    </w:rPr>
  </w:style>
  <w:style w:type="paragraph" w:customStyle="1" w:styleId="Basenotedebasdepage">
    <w:name w:val="Base note de bas de page"/>
    <w:basedOn w:val="Normal"/>
    <w:uiPriority w:val="99"/>
    <w:rsid w:val="007C4F2B"/>
    <w:pPr>
      <w:keepLines/>
      <w:spacing w:line="200" w:lineRule="atLeast"/>
    </w:pPr>
    <w:rPr>
      <w:sz w:val="16"/>
    </w:rPr>
  </w:style>
  <w:style w:type="paragraph" w:styleId="Commentaire">
    <w:name w:val="annotation text"/>
    <w:basedOn w:val="Basenotedebasdepage"/>
    <w:link w:val="CommentaireCar"/>
    <w:uiPriority w:val="99"/>
    <w:semiHidden/>
    <w:rsid w:val="007C4F2B"/>
    <w:rPr>
      <w:sz w:val="20"/>
    </w:rPr>
  </w:style>
  <w:style w:type="character" w:customStyle="1" w:styleId="CommentaireCar">
    <w:name w:val="Commentaire Car"/>
    <w:link w:val="Commentaire"/>
    <w:uiPriority w:val="99"/>
    <w:semiHidden/>
    <w:locked/>
    <w:rsid w:val="00593819"/>
    <w:rPr>
      <w:rFonts w:ascii="Arial" w:hAnsi="Arial" w:cs="Times New Roman"/>
      <w:spacing w:val="-5"/>
      <w:sz w:val="20"/>
      <w:szCs w:val="20"/>
      <w:lang w:eastAsia="en-US"/>
    </w:rPr>
  </w:style>
  <w:style w:type="paragraph" w:customStyle="1" w:styleId="Tableautexte">
    <w:name w:val="Tableau (texte)"/>
    <w:basedOn w:val="Normal"/>
    <w:uiPriority w:val="99"/>
    <w:rsid w:val="007C4F2B"/>
    <w:pPr>
      <w:spacing w:before="60"/>
      <w:ind w:left="0"/>
    </w:pPr>
    <w:rPr>
      <w:sz w:val="16"/>
    </w:rPr>
  </w:style>
  <w:style w:type="paragraph" w:customStyle="1" w:styleId="TitrePagedegarde">
    <w:name w:val="Titre (Page de garde)"/>
    <w:basedOn w:val="TitreBase"/>
    <w:next w:val="Normal"/>
    <w:uiPriority w:val="99"/>
    <w:rsid w:val="007C4F2B"/>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Intituldocument">
    <w:name w:val="Intitulé document"/>
    <w:basedOn w:val="TitrePagedegarde"/>
    <w:uiPriority w:val="99"/>
    <w:rsid w:val="007C4F2B"/>
  </w:style>
  <w:style w:type="character" w:styleId="Accentuation">
    <w:name w:val="Emphasis"/>
    <w:uiPriority w:val="99"/>
    <w:qFormat/>
    <w:rsid w:val="007C4F2B"/>
    <w:rPr>
      <w:rFonts w:ascii="Arial Black" w:hAnsi="Arial Black" w:cs="Times New Roman"/>
      <w:spacing w:val="-4"/>
      <w:sz w:val="18"/>
    </w:rPr>
  </w:style>
  <w:style w:type="character" w:styleId="Appeldenotedefin">
    <w:name w:val="endnote reference"/>
    <w:uiPriority w:val="99"/>
    <w:semiHidden/>
    <w:rsid w:val="007C4F2B"/>
    <w:rPr>
      <w:rFonts w:cs="Times New Roman"/>
      <w:vertAlign w:val="superscript"/>
    </w:rPr>
  </w:style>
  <w:style w:type="paragraph" w:styleId="Notedefin">
    <w:name w:val="endnote text"/>
    <w:basedOn w:val="Basenotedebasdepage"/>
    <w:link w:val="NotedefinCar"/>
    <w:uiPriority w:val="99"/>
    <w:semiHidden/>
    <w:rsid w:val="007C4F2B"/>
    <w:rPr>
      <w:sz w:val="20"/>
    </w:rPr>
  </w:style>
  <w:style w:type="character" w:customStyle="1" w:styleId="NotedefinCar">
    <w:name w:val="Note de fin Car"/>
    <w:link w:val="Notedefin"/>
    <w:uiPriority w:val="99"/>
    <w:semiHidden/>
    <w:locked/>
    <w:rsid w:val="00593819"/>
    <w:rPr>
      <w:rFonts w:ascii="Arial" w:hAnsi="Arial" w:cs="Times New Roman"/>
      <w:spacing w:val="-5"/>
      <w:sz w:val="20"/>
      <w:szCs w:val="20"/>
      <w:lang w:eastAsia="en-US"/>
    </w:rPr>
  </w:style>
  <w:style w:type="paragraph" w:customStyle="1" w:styleId="Baseen-tte">
    <w:name w:val="Base en-tête"/>
    <w:basedOn w:val="Normal"/>
    <w:uiPriority w:val="99"/>
    <w:rsid w:val="007C4F2B"/>
    <w:pPr>
      <w:keepLines/>
      <w:tabs>
        <w:tab w:val="center" w:pos="4320"/>
        <w:tab w:val="right" w:pos="8640"/>
      </w:tabs>
      <w:spacing w:line="190" w:lineRule="atLeast"/>
    </w:pPr>
    <w:rPr>
      <w:caps/>
      <w:sz w:val="15"/>
    </w:rPr>
  </w:style>
  <w:style w:type="paragraph" w:styleId="Pieddepage">
    <w:name w:val="footer"/>
    <w:basedOn w:val="Baseen-tte"/>
    <w:link w:val="PieddepageCar"/>
    <w:uiPriority w:val="99"/>
    <w:rsid w:val="007C4F2B"/>
  </w:style>
  <w:style w:type="character" w:customStyle="1" w:styleId="PieddepageCar">
    <w:name w:val="Pied de page Car"/>
    <w:link w:val="Pieddepage"/>
    <w:uiPriority w:val="99"/>
    <w:locked/>
    <w:rsid w:val="009B15D4"/>
    <w:rPr>
      <w:rFonts w:ascii="Arial" w:hAnsi="Arial" w:cs="Times New Roman"/>
      <w:caps/>
      <w:spacing w:val="-5"/>
      <w:sz w:val="15"/>
      <w:lang w:eastAsia="en-US"/>
    </w:rPr>
  </w:style>
  <w:style w:type="paragraph" w:customStyle="1" w:styleId="Pieddepagepaire">
    <w:name w:val="Pied de page paire"/>
    <w:basedOn w:val="Pieddepage"/>
    <w:uiPriority w:val="99"/>
    <w:rsid w:val="007C4F2B"/>
    <w:pPr>
      <w:pBdr>
        <w:top w:val="single" w:sz="6" w:space="2" w:color="auto"/>
      </w:pBdr>
      <w:spacing w:before="600"/>
    </w:pPr>
  </w:style>
  <w:style w:type="paragraph" w:customStyle="1" w:styleId="Pieddepagepremire">
    <w:name w:val="Pied de page première"/>
    <w:basedOn w:val="Pieddepage"/>
    <w:uiPriority w:val="99"/>
    <w:rsid w:val="007C4F2B"/>
    <w:pPr>
      <w:pBdr>
        <w:top w:val="single" w:sz="6" w:space="2" w:color="auto"/>
      </w:pBdr>
      <w:spacing w:before="600"/>
    </w:pPr>
  </w:style>
  <w:style w:type="paragraph" w:customStyle="1" w:styleId="Pieddepageimpaire">
    <w:name w:val="Pied de page impaire"/>
    <w:basedOn w:val="Pieddepage"/>
    <w:uiPriority w:val="99"/>
    <w:rsid w:val="007C4F2B"/>
    <w:pPr>
      <w:pBdr>
        <w:top w:val="single" w:sz="6" w:space="2" w:color="auto"/>
      </w:pBdr>
      <w:spacing w:before="600"/>
    </w:pPr>
  </w:style>
  <w:style w:type="character" w:styleId="Appelnotedebasdep">
    <w:name w:val="footnote reference"/>
    <w:uiPriority w:val="99"/>
    <w:semiHidden/>
    <w:rsid w:val="007C4F2B"/>
    <w:rPr>
      <w:rFonts w:cs="Times New Roman"/>
      <w:vertAlign w:val="superscript"/>
    </w:rPr>
  </w:style>
  <w:style w:type="paragraph" w:styleId="Notedebasdepage">
    <w:name w:val="footnote text"/>
    <w:basedOn w:val="Basenotedebasdepage"/>
    <w:link w:val="NotedebasdepageCar"/>
    <w:uiPriority w:val="99"/>
    <w:semiHidden/>
    <w:rsid w:val="007C4F2B"/>
    <w:rPr>
      <w:sz w:val="20"/>
    </w:rPr>
  </w:style>
  <w:style w:type="character" w:customStyle="1" w:styleId="NotedebasdepageCar">
    <w:name w:val="Note de bas de page Car"/>
    <w:link w:val="Notedebasdepage"/>
    <w:uiPriority w:val="99"/>
    <w:semiHidden/>
    <w:locked/>
    <w:rsid w:val="00593819"/>
    <w:rPr>
      <w:rFonts w:ascii="Arial" w:hAnsi="Arial" w:cs="Times New Roman"/>
      <w:spacing w:val="-5"/>
      <w:sz w:val="20"/>
      <w:szCs w:val="20"/>
      <w:lang w:eastAsia="en-US"/>
    </w:rPr>
  </w:style>
  <w:style w:type="paragraph" w:styleId="En-tte">
    <w:name w:val="header"/>
    <w:basedOn w:val="Baseen-tte"/>
    <w:link w:val="En-tteCar"/>
    <w:uiPriority w:val="99"/>
    <w:rsid w:val="007C4F2B"/>
    <w:rPr>
      <w:caps w:val="0"/>
      <w:sz w:val="20"/>
    </w:rPr>
  </w:style>
  <w:style w:type="character" w:customStyle="1" w:styleId="En-tteCar">
    <w:name w:val="En-tête Car"/>
    <w:link w:val="En-tte"/>
    <w:uiPriority w:val="99"/>
    <w:semiHidden/>
    <w:locked/>
    <w:rsid w:val="00593819"/>
    <w:rPr>
      <w:rFonts w:ascii="Arial" w:hAnsi="Arial" w:cs="Times New Roman"/>
      <w:spacing w:val="-5"/>
      <w:sz w:val="20"/>
      <w:szCs w:val="20"/>
      <w:lang w:eastAsia="en-US"/>
    </w:rPr>
  </w:style>
  <w:style w:type="paragraph" w:customStyle="1" w:styleId="En-ttepair">
    <w:name w:val="En-tête pair"/>
    <w:basedOn w:val="En-tte"/>
    <w:uiPriority w:val="99"/>
    <w:rsid w:val="007C4F2B"/>
    <w:pPr>
      <w:pBdr>
        <w:bottom w:val="single" w:sz="6" w:space="1" w:color="auto"/>
      </w:pBdr>
      <w:spacing w:after="600"/>
    </w:pPr>
  </w:style>
  <w:style w:type="paragraph" w:customStyle="1" w:styleId="En-ttepremirepage">
    <w:name w:val="En-tête première page"/>
    <w:basedOn w:val="En-tte"/>
    <w:uiPriority w:val="99"/>
    <w:rsid w:val="007C4F2B"/>
    <w:pPr>
      <w:pBdr>
        <w:top w:val="single" w:sz="6" w:space="2" w:color="auto"/>
      </w:pBdr>
      <w:jc w:val="right"/>
    </w:pPr>
  </w:style>
  <w:style w:type="paragraph" w:customStyle="1" w:styleId="Pieddepageimpair">
    <w:name w:val="Pied de page impair"/>
    <w:basedOn w:val="En-tte"/>
    <w:uiPriority w:val="99"/>
    <w:rsid w:val="007C4F2B"/>
    <w:pPr>
      <w:pBdr>
        <w:bottom w:val="single" w:sz="6" w:space="1" w:color="auto"/>
      </w:pBdr>
      <w:spacing w:after="600"/>
    </w:pPr>
  </w:style>
  <w:style w:type="paragraph" w:customStyle="1" w:styleId="Indexbase">
    <w:name w:val="Index (base)"/>
    <w:basedOn w:val="Normal"/>
    <w:uiPriority w:val="99"/>
    <w:rsid w:val="007C4F2B"/>
    <w:pPr>
      <w:spacing w:line="240" w:lineRule="atLeast"/>
      <w:ind w:left="360" w:hanging="360"/>
    </w:pPr>
    <w:rPr>
      <w:sz w:val="18"/>
    </w:rPr>
  </w:style>
  <w:style w:type="paragraph" w:styleId="Index1">
    <w:name w:val="index 1"/>
    <w:basedOn w:val="Indexbase"/>
    <w:autoRedefine/>
    <w:uiPriority w:val="99"/>
    <w:semiHidden/>
    <w:rsid w:val="007C4F2B"/>
  </w:style>
  <w:style w:type="paragraph" w:styleId="Index2">
    <w:name w:val="index 2"/>
    <w:basedOn w:val="Indexbase"/>
    <w:autoRedefine/>
    <w:uiPriority w:val="99"/>
    <w:semiHidden/>
    <w:rsid w:val="007C4F2B"/>
    <w:pPr>
      <w:spacing w:line="240" w:lineRule="auto"/>
      <w:ind w:left="720"/>
    </w:pPr>
  </w:style>
  <w:style w:type="paragraph" w:styleId="Index3">
    <w:name w:val="index 3"/>
    <w:basedOn w:val="Indexbase"/>
    <w:autoRedefine/>
    <w:uiPriority w:val="99"/>
    <w:semiHidden/>
    <w:rsid w:val="007C4F2B"/>
    <w:pPr>
      <w:spacing w:line="240" w:lineRule="auto"/>
      <w:ind w:left="1080"/>
    </w:pPr>
  </w:style>
  <w:style w:type="paragraph" w:styleId="Index4">
    <w:name w:val="index 4"/>
    <w:basedOn w:val="Indexbase"/>
    <w:autoRedefine/>
    <w:uiPriority w:val="99"/>
    <w:semiHidden/>
    <w:rsid w:val="007C4F2B"/>
    <w:pPr>
      <w:spacing w:line="240" w:lineRule="auto"/>
      <w:ind w:left="1440"/>
    </w:pPr>
  </w:style>
  <w:style w:type="paragraph" w:styleId="Index5">
    <w:name w:val="index 5"/>
    <w:basedOn w:val="Indexbase"/>
    <w:autoRedefine/>
    <w:uiPriority w:val="99"/>
    <w:semiHidden/>
    <w:rsid w:val="007C4F2B"/>
    <w:pPr>
      <w:spacing w:line="240" w:lineRule="auto"/>
      <w:ind w:left="1800"/>
    </w:pPr>
  </w:style>
  <w:style w:type="paragraph" w:styleId="Titreindex">
    <w:name w:val="index heading"/>
    <w:basedOn w:val="TitreBase"/>
    <w:next w:val="Index1"/>
    <w:uiPriority w:val="99"/>
    <w:semiHidden/>
    <w:rsid w:val="007C4F2B"/>
    <w:pPr>
      <w:keepLines w:val="0"/>
      <w:spacing w:before="0" w:line="480" w:lineRule="atLeast"/>
      <w:ind w:left="0"/>
    </w:pPr>
    <w:rPr>
      <w:rFonts w:ascii="Arial Black" w:hAnsi="Arial Black"/>
      <w:spacing w:val="-5"/>
      <w:kern w:val="0"/>
      <w:sz w:val="24"/>
    </w:rPr>
  </w:style>
  <w:style w:type="character" w:customStyle="1" w:styleId="PrambuleAccentuation">
    <w:name w:val="Préambule (Accentuation)"/>
    <w:uiPriority w:val="99"/>
    <w:rsid w:val="007C4F2B"/>
    <w:rPr>
      <w:rFonts w:ascii="Arial Black" w:hAnsi="Arial Black"/>
      <w:spacing w:val="-4"/>
      <w:sz w:val="18"/>
    </w:rPr>
  </w:style>
  <w:style w:type="character" w:styleId="Numrodeligne">
    <w:name w:val="line number"/>
    <w:uiPriority w:val="99"/>
    <w:rsid w:val="007C4F2B"/>
    <w:rPr>
      <w:rFonts w:cs="Times New Roman"/>
      <w:sz w:val="18"/>
    </w:rPr>
  </w:style>
  <w:style w:type="paragraph" w:styleId="Liste">
    <w:name w:val="List"/>
    <w:basedOn w:val="Corpsdetexte"/>
    <w:uiPriority w:val="99"/>
    <w:rsid w:val="007C4F2B"/>
    <w:pPr>
      <w:ind w:left="1440" w:hanging="360"/>
    </w:pPr>
  </w:style>
  <w:style w:type="paragraph" w:styleId="Liste2">
    <w:name w:val="List 2"/>
    <w:basedOn w:val="Liste"/>
    <w:uiPriority w:val="99"/>
    <w:rsid w:val="007C4F2B"/>
    <w:pPr>
      <w:ind w:left="1800"/>
    </w:pPr>
  </w:style>
  <w:style w:type="paragraph" w:styleId="Liste3">
    <w:name w:val="List 3"/>
    <w:basedOn w:val="Liste"/>
    <w:uiPriority w:val="99"/>
    <w:rsid w:val="007C4F2B"/>
    <w:pPr>
      <w:ind w:left="2160"/>
    </w:pPr>
  </w:style>
  <w:style w:type="paragraph" w:styleId="Liste4">
    <w:name w:val="List 4"/>
    <w:basedOn w:val="Liste"/>
    <w:uiPriority w:val="99"/>
    <w:rsid w:val="007C4F2B"/>
    <w:pPr>
      <w:ind w:left="2520"/>
    </w:pPr>
  </w:style>
  <w:style w:type="paragraph" w:styleId="Liste5">
    <w:name w:val="List 5"/>
    <w:basedOn w:val="Liste"/>
    <w:uiPriority w:val="99"/>
    <w:rsid w:val="007C4F2B"/>
    <w:pPr>
      <w:ind w:left="2880"/>
    </w:pPr>
  </w:style>
  <w:style w:type="paragraph" w:styleId="Listepuces">
    <w:name w:val="List Bullet"/>
    <w:basedOn w:val="Liste"/>
    <w:autoRedefine/>
    <w:uiPriority w:val="99"/>
    <w:rsid w:val="007C4F2B"/>
    <w:pPr>
      <w:numPr>
        <w:numId w:val="21"/>
      </w:numPr>
      <w:tabs>
        <w:tab w:val="clear" w:pos="1440"/>
      </w:tabs>
    </w:pPr>
  </w:style>
  <w:style w:type="paragraph" w:styleId="Listepuces2">
    <w:name w:val="List Bullet 2"/>
    <w:basedOn w:val="Listepuces"/>
    <w:autoRedefine/>
    <w:uiPriority w:val="99"/>
    <w:rsid w:val="007C4F2B"/>
    <w:pPr>
      <w:ind w:left="1800"/>
    </w:pPr>
  </w:style>
  <w:style w:type="paragraph" w:styleId="Listepuces3">
    <w:name w:val="List Bullet 3"/>
    <w:basedOn w:val="Listepuces"/>
    <w:autoRedefine/>
    <w:uiPriority w:val="99"/>
    <w:rsid w:val="007C4F2B"/>
    <w:pPr>
      <w:ind w:left="2160"/>
    </w:pPr>
  </w:style>
  <w:style w:type="paragraph" w:styleId="Listepuces4">
    <w:name w:val="List Bullet 4"/>
    <w:basedOn w:val="Listepuces"/>
    <w:autoRedefine/>
    <w:uiPriority w:val="99"/>
    <w:rsid w:val="007C4F2B"/>
    <w:pPr>
      <w:ind w:left="2520"/>
    </w:pPr>
  </w:style>
  <w:style w:type="paragraph" w:styleId="Listepuces5">
    <w:name w:val="List Bullet 5"/>
    <w:basedOn w:val="Listepuces"/>
    <w:autoRedefine/>
    <w:uiPriority w:val="99"/>
    <w:rsid w:val="007C4F2B"/>
    <w:pPr>
      <w:ind w:left="2880"/>
    </w:pPr>
  </w:style>
  <w:style w:type="paragraph" w:styleId="Listecontinue">
    <w:name w:val="List Continue"/>
    <w:basedOn w:val="Liste"/>
    <w:uiPriority w:val="99"/>
    <w:rsid w:val="007C4F2B"/>
    <w:pPr>
      <w:ind w:firstLine="0"/>
    </w:pPr>
  </w:style>
  <w:style w:type="paragraph" w:styleId="Listecontinue2">
    <w:name w:val="List Continue 2"/>
    <w:basedOn w:val="Listecontinue"/>
    <w:uiPriority w:val="99"/>
    <w:rsid w:val="007C4F2B"/>
    <w:pPr>
      <w:ind w:left="2160"/>
    </w:pPr>
  </w:style>
  <w:style w:type="paragraph" w:styleId="Listecontinue3">
    <w:name w:val="List Continue 3"/>
    <w:basedOn w:val="Listecontinue"/>
    <w:uiPriority w:val="99"/>
    <w:rsid w:val="007C4F2B"/>
    <w:pPr>
      <w:ind w:left="2520"/>
    </w:pPr>
  </w:style>
  <w:style w:type="paragraph" w:styleId="Listecontinue4">
    <w:name w:val="List Continue 4"/>
    <w:basedOn w:val="Listecontinue"/>
    <w:uiPriority w:val="99"/>
    <w:rsid w:val="007C4F2B"/>
    <w:pPr>
      <w:ind w:left="2880"/>
    </w:pPr>
  </w:style>
  <w:style w:type="paragraph" w:styleId="Listecontinue5">
    <w:name w:val="List Continue 5"/>
    <w:basedOn w:val="Listecontinue"/>
    <w:uiPriority w:val="99"/>
    <w:rsid w:val="007C4F2B"/>
    <w:pPr>
      <w:ind w:left="3240"/>
    </w:pPr>
  </w:style>
  <w:style w:type="paragraph" w:styleId="Listenumros">
    <w:name w:val="List Number"/>
    <w:basedOn w:val="Liste"/>
    <w:uiPriority w:val="99"/>
    <w:rsid w:val="007C4F2B"/>
  </w:style>
  <w:style w:type="paragraph" w:styleId="Listenumros2">
    <w:name w:val="List Number 2"/>
    <w:basedOn w:val="Listenumros"/>
    <w:uiPriority w:val="99"/>
    <w:rsid w:val="007C4F2B"/>
    <w:pPr>
      <w:ind w:left="1800"/>
    </w:pPr>
  </w:style>
  <w:style w:type="paragraph" w:styleId="Listenumros3">
    <w:name w:val="List Number 3"/>
    <w:basedOn w:val="Listenumros"/>
    <w:uiPriority w:val="99"/>
    <w:rsid w:val="007C4F2B"/>
    <w:pPr>
      <w:ind w:left="2160"/>
    </w:pPr>
  </w:style>
  <w:style w:type="paragraph" w:styleId="Listenumros4">
    <w:name w:val="List Number 4"/>
    <w:basedOn w:val="Listenumros"/>
    <w:uiPriority w:val="99"/>
    <w:rsid w:val="007C4F2B"/>
    <w:pPr>
      <w:ind w:left="2520"/>
    </w:pPr>
  </w:style>
  <w:style w:type="paragraph" w:styleId="Listenumros5">
    <w:name w:val="List Number 5"/>
    <w:basedOn w:val="Listenumros"/>
    <w:uiPriority w:val="99"/>
    <w:rsid w:val="007C4F2B"/>
    <w:pPr>
      <w:ind w:left="2880"/>
    </w:pPr>
  </w:style>
  <w:style w:type="paragraph" w:customStyle="1" w:styleId="Tableauen-tte">
    <w:name w:val="Tableau (en-tête)"/>
    <w:basedOn w:val="Normal"/>
    <w:uiPriority w:val="99"/>
    <w:rsid w:val="007C4F2B"/>
    <w:pPr>
      <w:spacing w:before="60"/>
      <w:ind w:left="0"/>
      <w:jc w:val="center"/>
    </w:pPr>
    <w:rPr>
      <w:rFonts w:ascii="Arial Black" w:hAnsi="Arial Black"/>
      <w:sz w:val="16"/>
    </w:rPr>
  </w:style>
  <w:style w:type="paragraph" w:styleId="En-ttedemessage">
    <w:name w:val="Message Header"/>
    <w:basedOn w:val="Corpsdetexte"/>
    <w:link w:val="En-ttedemessageCar"/>
    <w:uiPriority w:val="99"/>
    <w:rsid w:val="007C4F2B"/>
    <w:pPr>
      <w:keepLines/>
      <w:tabs>
        <w:tab w:val="left" w:pos="3600"/>
        <w:tab w:val="left" w:pos="4680"/>
      </w:tabs>
      <w:spacing w:after="120" w:line="280" w:lineRule="exact"/>
      <w:ind w:right="2160" w:hanging="1080"/>
      <w:jc w:val="left"/>
    </w:pPr>
    <w:rPr>
      <w:rFonts w:ascii="Cambria" w:hAnsi="Cambria"/>
      <w:sz w:val="24"/>
      <w:szCs w:val="24"/>
    </w:rPr>
  </w:style>
  <w:style w:type="character" w:customStyle="1" w:styleId="En-ttedemessageCar">
    <w:name w:val="En-tête de message Car"/>
    <w:link w:val="En-ttedemessage"/>
    <w:uiPriority w:val="99"/>
    <w:semiHidden/>
    <w:locked/>
    <w:rsid w:val="00593819"/>
    <w:rPr>
      <w:rFonts w:ascii="Cambria" w:hAnsi="Cambria" w:cs="Times New Roman"/>
      <w:spacing w:val="-5"/>
      <w:sz w:val="24"/>
      <w:szCs w:val="24"/>
      <w:shd w:val="pct20" w:color="auto" w:fill="auto"/>
      <w:lang w:eastAsia="en-US"/>
    </w:rPr>
  </w:style>
  <w:style w:type="paragraph" w:styleId="Retraitnormal">
    <w:name w:val="Normal Indent"/>
    <w:basedOn w:val="Normal"/>
    <w:uiPriority w:val="99"/>
    <w:rsid w:val="007C4F2B"/>
    <w:pPr>
      <w:ind w:left="1440"/>
    </w:pPr>
  </w:style>
  <w:style w:type="character" w:styleId="Numrodepage">
    <w:name w:val="page number"/>
    <w:uiPriority w:val="99"/>
    <w:rsid w:val="007C4F2B"/>
    <w:rPr>
      <w:rFonts w:ascii="Arial Black" w:hAnsi="Arial Black" w:cs="Times New Roman"/>
      <w:spacing w:val="-10"/>
      <w:sz w:val="18"/>
    </w:rPr>
  </w:style>
  <w:style w:type="paragraph" w:customStyle="1" w:styleId="Partiesous-titre">
    <w:name w:val="Partie (sous-titre)"/>
    <w:basedOn w:val="Normal"/>
    <w:next w:val="Corpsdetexte"/>
    <w:uiPriority w:val="99"/>
    <w:rsid w:val="007C4F2B"/>
    <w:pPr>
      <w:keepNext/>
      <w:spacing w:before="360" w:after="120"/>
    </w:pPr>
    <w:rPr>
      <w:i/>
      <w:kern w:val="28"/>
      <w:sz w:val="26"/>
    </w:rPr>
  </w:style>
  <w:style w:type="paragraph" w:customStyle="1" w:styleId="Adressedelexpditeur">
    <w:name w:val="Adresse de l'expéditeur"/>
    <w:basedOn w:val="Normal"/>
    <w:uiPriority w:val="99"/>
    <w:rsid w:val="007C4F2B"/>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Ttedesection">
    <w:name w:val="Tête de section"/>
    <w:basedOn w:val="Titre1"/>
    <w:uiPriority w:val="99"/>
    <w:rsid w:val="007C4F2B"/>
  </w:style>
  <w:style w:type="paragraph" w:customStyle="1" w:styleId="tiquettedesection">
    <w:name w:val="Étiquette de section"/>
    <w:basedOn w:val="TitreBase"/>
    <w:next w:val="Corpsdetexte"/>
    <w:uiPriority w:val="99"/>
    <w:rsid w:val="007C4F2B"/>
    <w:pPr>
      <w:pBdr>
        <w:bottom w:val="single" w:sz="6" w:space="2" w:color="auto"/>
      </w:pBdr>
      <w:spacing w:before="360" w:after="960"/>
      <w:ind w:left="0"/>
    </w:pPr>
    <w:rPr>
      <w:rFonts w:ascii="Arial Black" w:hAnsi="Arial Black"/>
      <w:spacing w:val="-35"/>
      <w:sz w:val="54"/>
    </w:rPr>
  </w:style>
  <w:style w:type="character" w:customStyle="1" w:styleId="Slogan">
    <w:name w:val="Slogan"/>
    <w:uiPriority w:val="99"/>
    <w:rsid w:val="007C4F2B"/>
    <w:rPr>
      <w:rFonts w:cs="Times New Roman"/>
      <w:i/>
      <w:spacing w:val="-6"/>
      <w:sz w:val="24"/>
    </w:rPr>
  </w:style>
  <w:style w:type="paragraph" w:customStyle="1" w:styleId="Sous-titrePagedegarde">
    <w:name w:val="Sous-titre (Page de garde)"/>
    <w:basedOn w:val="TitrePagedegarde"/>
    <w:next w:val="Corpsdetexte"/>
    <w:uiPriority w:val="99"/>
    <w:rsid w:val="007C4F2B"/>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Exposant">
    <w:name w:val="Exposant"/>
    <w:uiPriority w:val="99"/>
    <w:rsid w:val="007C4F2B"/>
    <w:rPr>
      <w:b/>
      <w:vertAlign w:val="superscript"/>
    </w:rPr>
  </w:style>
  <w:style w:type="paragraph" w:styleId="Tabledesrfrencesjuridiques">
    <w:name w:val="table of authorities"/>
    <w:basedOn w:val="Normal"/>
    <w:uiPriority w:val="99"/>
    <w:semiHidden/>
    <w:rsid w:val="007C4F2B"/>
    <w:pPr>
      <w:tabs>
        <w:tab w:val="right" w:leader="dot" w:pos="7560"/>
      </w:tabs>
      <w:ind w:left="1440" w:hanging="360"/>
    </w:pPr>
  </w:style>
  <w:style w:type="paragraph" w:customStyle="1" w:styleId="TMbase">
    <w:name w:val="TM (base)"/>
    <w:basedOn w:val="Normal"/>
    <w:uiPriority w:val="99"/>
    <w:rsid w:val="007C4F2B"/>
    <w:pPr>
      <w:tabs>
        <w:tab w:val="right" w:leader="dot" w:pos="6480"/>
      </w:tabs>
      <w:spacing w:after="240" w:line="240" w:lineRule="atLeast"/>
      <w:ind w:left="0"/>
    </w:pPr>
  </w:style>
  <w:style w:type="paragraph" w:styleId="Tabledesillustrations">
    <w:name w:val="table of figures"/>
    <w:basedOn w:val="TMbase"/>
    <w:uiPriority w:val="99"/>
    <w:semiHidden/>
    <w:rsid w:val="007C4F2B"/>
    <w:pPr>
      <w:ind w:left="1440" w:hanging="360"/>
    </w:pPr>
  </w:style>
  <w:style w:type="paragraph" w:styleId="TitreTR">
    <w:name w:val="toa heading"/>
    <w:basedOn w:val="Normal"/>
    <w:next w:val="Tabledesrfrencesjuridiques"/>
    <w:uiPriority w:val="99"/>
    <w:semiHidden/>
    <w:rsid w:val="007C4F2B"/>
    <w:pPr>
      <w:keepNext/>
      <w:spacing w:line="480" w:lineRule="atLeast"/>
    </w:pPr>
    <w:rPr>
      <w:rFonts w:ascii="Arial Black" w:hAnsi="Arial Black"/>
      <w:b/>
      <w:spacing w:val="-10"/>
      <w:kern w:val="28"/>
    </w:rPr>
  </w:style>
  <w:style w:type="paragraph" w:styleId="TM1">
    <w:name w:val="toc 1"/>
    <w:basedOn w:val="TMbase"/>
    <w:autoRedefine/>
    <w:uiPriority w:val="99"/>
    <w:semiHidden/>
    <w:rsid w:val="007C4F2B"/>
    <w:rPr>
      <w:spacing w:val="-4"/>
    </w:rPr>
  </w:style>
  <w:style w:type="paragraph" w:styleId="TM2">
    <w:name w:val="toc 2"/>
    <w:basedOn w:val="TMbase"/>
    <w:autoRedefine/>
    <w:uiPriority w:val="99"/>
    <w:semiHidden/>
    <w:rsid w:val="007C4F2B"/>
    <w:pPr>
      <w:ind w:left="360"/>
    </w:pPr>
  </w:style>
  <w:style w:type="paragraph" w:styleId="TM3">
    <w:name w:val="toc 3"/>
    <w:basedOn w:val="TMbase"/>
    <w:autoRedefine/>
    <w:uiPriority w:val="99"/>
    <w:semiHidden/>
    <w:rsid w:val="007C4F2B"/>
    <w:pPr>
      <w:ind w:left="360"/>
    </w:pPr>
  </w:style>
  <w:style w:type="paragraph" w:styleId="TM4">
    <w:name w:val="toc 4"/>
    <w:basedOn w:val="TMbase"/>
    <w:autoRedefine/>
    <w:uiPriority w:val="99"/>
    <w:semiHidden/>
    <w:rsid w:val="007C4F2B"/>
    <w:pPr>
      <w:ind w:left="360"/>
    </w:pPr>
  </w:style>
  <w:style w:type="paragraph" w:styleId="TM5">
    <w:name w:val="toc 5"/>
    <w:basedOn w:val="TMbase"/>
    <w:autoRedefine/>
    <w:uiPriority w:val="99"/>
    <w:semiHidden/>
    <w:rsid w:val="007C4F2B"/>
    <w:pPr>
      <w:ind w:left="360"/>
    </w:pPr>
  </w:style>
  <w:style w:type="character" w:styleId="AcronymeHTML">
    <w:name w:val="HTML Acronym"/>
    <w:uiPriority w:val="99"/>
    <w:rsid w:val="007C4F2B"/>
    <w:rPr>
      <w:rFonts w:cs="Times New Roman"/>
    </w:rPr>
  </w:style>
  <w:style w:type="paragraph" w:styleId="Adressedestinataire">
    <w:name w:val="envelope address"/>
    <w:basedOn w:val="Normal"/>
    <w:uiPriority w:val="99"/>
    <w:rsid w:val="007C4F2B"/>
    <w:pPr>
      <w:framePr w:w="7920" w:h="1980" w:hRule="exact" w:hSpace="180" w:wrap="auto" w:hAnchor="page" w:xAlign="center" w:yAlign="bottom"/>
      <w:ind w:left="2880"/>
    </w:pPr>
    <w:rPr>
      <w:rFonts w:cs="Arial"/>
      <w:sz w:val="24"/>
      <w:szCs w:val="24"/>
    </w:rPr>
  </w:style>
  <w:style w:type="paragraph" w:styleId="Adresseexpditeur">
    <w:name w:val="envelope return"/>
    <w:basedOn w:val="Normal"/>
    <w:uiPriority w:val="99"/>
    <w:rsid w:val="007C4F2B"/>
    <w:rPr>
      <w:rFonts w:cs="Arial"/>
    </w:rPr>
  </w:style>
  <w:style w:type="paragraph" w:styleId="AdresseHTML">
    <w:name w:val="HTML Address"/>
    <w:basedOn w:val="Normal"/>
    <w:link w:val="AdresseHTMLCar"/>
    <w:uiPriority w:val="99"/>
    <w:rsid w:val="007C4F2B"/>
    <w:rPr>
      <w:i/>
      <w:iCs/>
    </w:rPr>
  </w:style>
  <w:style w:type="character" w:customStyle="1" w:styleId="AdresseHTMLCar">
    <w:name w:val="Adresse HTML Car"/>
    <w:link w:val="AdresseHTML"/>
    <w:uiPriority w:val="99"/>
    <w:semiHidden/>
    <w:locked/>
    <w:rsid w:val="00593819"/>
    <w:rPr>
      <w:rFonts w:ascii="Arial" w:hAnsi="Arial" w:cs="Times New Roman"/>
      <w:i/>
      <w:iCs/>
      <w:spacing w:val="-5"/>
      <w:sz w:val="20"/>
      <w:szCs w:val="20"/>
      <w:lang w:eastAsia="en-US"/>
    </w:rPr>
  </w:style>
  <w:style w:type="character" w:styleId="CitationHTML">
    <w:name w:val="HTML Cite"/>
    <w:uiPriority w:val="99"/>
    <w:rsid w:val="007C4F2B"/>
    <w:rPr>
      <w:rFonts w:cs="Times New Roman"/>
      <w:i/>
      <w:iCs/>
    </w:rPr>
  </w:style>
  <w:style w:type="character" w:styleId="ClavierHTML">
    <w:name w:val="HTML Keyboard"/>
    <w:uiPriority w:val="99"/>
    <w:rsid w:val="007C4F2B"/>
    <w:rPr>
      <w:rFonts w:ascii="Courier New" w:hAnsi="Courier New" w:cs="Times New Roman"/>
      <w:sz w:val="20"/>
      <w:szCs w:val="20"/>
    </w:rPr>
  </w:style>
  <w:style w:type="character" w:styleId="CodeHTML">
    <w:name w:val="HTML Code"/>
    <w:uiPriority w:val="99"/>
    <w:rsid w:val="007C4F2B"/>
    <w:rPr>
      <w:rFonts w:ascii="Courier New" w:hAnsi="Courier New" w:cs="Times New Roman"/>
      <w:sz w:val="20"/>
      <w:szCs w:val="20"/>
    </w:rPr>
  </w:style>
  <w:style w:type="paragraph" w:styleId="Corpsdetexte2">
    <w:name w:val="Body Text 2"/>
    <w:basedOn w:val="Normal"/>
    <w:link w:val="Corpsdetexte2Car"/>
    <w:uiPriority w:val="99"/>
    <w:rsid w:val="007C4F2B"/>
    <w:pPr>
      <w:spacing w:after="120" w:line="480" w:lineRule="auto"/>
    </w:pPr>
  </w:style>
  <w:style w:type="character" w:customStyle="1" w:styleId="Corpsdetexte2Car">
    <w:name w:val="Corps de texte 2 Car"/>
    <w:link w:val="Corpsdetexte2"/>
    <w:uiPriority w:val="99"/>
    <w:semiHidden/>
    <w:locked/>
    <w:rsid w:val="00593819"/>
    <w:rPr>
      <w:rFonts w:ascii="Arial" w:hAnsi="Arial" w:cs="Times New Roman"/>
      <w:spacing w:val="-5"/>
      <w:sz w:val="20"/>
      <w:szCs w:val="20"/>
      <w:lang w:eastAsia="en-US"/>
    </w:rPr>
  </w:style>
  <w:style w:type="paragraph" w:styleId="Corpsdetexte3">
    <w:name w:val="Body Text 3"/>
    <w:basedOn w:val="Normal"/>
    <w:link w:val="Corpsdetexte3Car"/>
    <w:uiPriority w:val="99"/>
    <w:rsid w:val="007C4F2B"/>
    <w:pPr>
      <w:spacing w:after="120"/>
    </w:pPr>
    <w:rPr>
      <w:sz w:val="16"/>
      <w:szCs w:val="16"/>
    </w:rPr>
  </w:style>
  <w:style w:type="character" w:customStyle="1" w:styleId="Corpsdetexte3Car">
    <w:name w:val="Corps de texte 3 Car"/>
    <w:link w:val="Corpsdetexte3"/>
    <w:uiPriority w:val="99"/>
    <w:semiHidden/>
    <w:locked/>
    <w:rsid w:val="00593819"/>
    <w:rPr>
      <w:rFonts w:ascii="Arial" w:hAnsi="Arial" w:cs="Times New Roman"/>
      <w:spacing w:val="-5"/>
      <w:sz w:val="16"/>
      <w:szCs w:val="16"/>
      <w:lang w:eastAsia="en-US"/>
    </w:rPr>
  </w:style>
  <w:style w:type="paragraph" w:styleId="Date">
    <w:name w:val="Date"/>
    <w:basedOn w:val="Normal"/>
    <w:next w:val="Normal"/>
    <w:link w:val="DateCar"/>
    <w:uiPriority w:val="99"/>
    <w:rsid w:val="007C4F2B"/>
  </w:style>
  <w:style w:type="character" w:customStyle="1" w:styleId="DateCar">
    <w:name w:val="Date Car"/>
    <w:link w:val="Date"/>
    <w:uiPriority w:val="99"/>
    <w:semiHidden/>
    <w:locked/>
    <w:rsid w:val="00593819"/>
    <w:rPr>
      <w:rFonts w:ascii="Arial" w:hAnsi="Arial" w:cs="Times New Roman"/>
      <w:spacing w:val="-5"/>
      <w:sz w:val="20"/>
      <w:szCs w:val="20"/>
      <w:lang w:eastAsia="en-US"/>
    </w:rPr>
  </w:style>
  <w:style w:type="character" w:styleId="DfinitionHTML">
    <w:name w:val="HTML Definition"/>
    <w:uiPriority w:val="99"/>
    <w:rsid w:val="007C4F2B"/>
    <w:rPr>
      <w:rFonts w:cs="Times New Roman"/>
      <w:i/>
      <w:iCs/>
    </w:rPr>
  </w:style>
  <w:style w:type="character" w:styleId="lev">
    <w:name w:val="Strong"/>
    <w:uiPriority w:val="99"/>
    <w:qFormat/>
    <w:rsid w:val="007C4F2B"/>
    <w:rPr>
      <w:rFonts w:cs="Times New Roman"/>
      <w:b/>
      <w:bCs/>
    </w:rPr>
  </w:style>
  <w:style w:type="character" w:styleId="ExempleHTML">
    <w:name w:val="HTML Sample"/>
    <w:uiPriority w:val="99"/>
    <w:rsid w:val="007C4F2B"/>
    <w:rPr>
      <w:rFonts w:ascii="Courier New" w:hAnsi="Courier New" w:cs="Times New Roman"/>
    </w:rPr>
  </w:style>
  <w:style w:type="paragraph" w:styleId="Explorateurdedocuments">
    <w:name w:val="Document Map"/>
    <w:basedOn w:val="Normal"/>
    <w:link w:val="ExplorateurdedocumentsCar"/>
    <w:uiPriority w:val="99"/>
    <w:semiHidden/>
    <w:rsid w:val="007C4F2B"/>
    <w:pPr>
      <w:shd w:val="clear" w:color="auto" w:fill="000080"/>
    </w:pPr>
    <w:rPr>
      <w:rFonts w:ascii="Times New Roman" w:hAnsi="Times New Roman"/>
      <w:sz w:val="2"/>
    </w:rPr>
  </w:style>
  <w:style w:type="character" w:customStyle="1" w:styleId="ExplorateurdedocumentsCar">
    <w:name w:val="Explorateur de documents Car"/>
    <w:link w:val="Explorateurdedocuments"/>
    <w:uiPriority w:val="99"/>
    <w:semiHidden/>
    <w:locked/>
    <w:rsid w:val="00593819"/>
    <w:rPr>
      <w:rFonts w:cs="Times New Roman"/>
      <w:spacing w:val="-5"/>
      <w:sz w:val="2"/>
      <w:lang w:eastAsia="en-US"/>
    </w:rPr>
  </w:style>
  <w:style w:type="paragraph" w:styleId="Formuledepolitesse">
    <w:name w:val="Closing"/>
    <w:basedOn w:val="Normal"/>
    <w:link w:val="FormuledepolitesseCar"/>
    <w:uiPriority w:val="99"/>
    <w:rsid w:val="007C4F2B"/>
    <w:pPr>
      <w:ind w:left="4252"/>
    </w:pPr>
  </w:style>
  <w:style w:type="character" w:customStyle="1" w:styleId="FormuledepolitesseCar">
    <w:name w:val="Formule de politesse Car"/>
    <w:link w:val="Formuledepolitesse"/>
    <w:uiPriority w:val="99"/>
    <w:semiHidden/>
    <w:locked/>
    <w:rsid w:val="00593819"/>
    <w:rPr>
      <w:rFonts w:ascii="Arial" w:hAnsi="Arial" w:cs="Times New Roman"/>
      <w:spacing w:val="-5"/>
      <w:sz w:val="20"/>
      <w:szCs w:val="20"/>
      <w:lang w:eastAsia="en-US"/>
    </w:rPr>
  </w:style>
  <w:style w:type="paragraph" w:styleId="Index6">
    <w:name w:val="index 6"/>
    <w:basedOn w:val="Normal"/>
    <w:next w:val="Normal"/>
    <w:autoRedefine/>
    <w:uiPriority w:val="99"/>
    <w:semiHidden/>
    <w:rsid w:val="007C4F2B"/>
    <w:pPr>
      <w:ind w:left="1200" w:hanging="200"/>
    </w:pPr>
  </w:style>
  <w:style w:type="paragraph" w:styleId="Index7">
    <w:name w:val="index 7"/>
    <w:basedOn w:val="Normal"/>
    <w:next w:val="Normal"/>
    <w:autoRedefine/>
    <w:uiPriority w:val="99"/>
    <w:semiHidden/>
    <w:rsid w:val="007C4F2B"/>
    <w:pPr>
      <w:ind w:left="1400" w:hanging="200"/>
    </w:pPr>
  </w:style>
  <w:style w:type="paragraph" w:styleId="Index8">
    <w:name w:val="index 8"/>
    <w:basedOn w:val="Normal"/>
    <w:next w:val="Normal"/>
    <w:autoRedefine/>
    <w:uiPriority w:val="99"/>
    <w:semiHidden/>
    <w:rsid w:val="007C4F2B"/>
    <w:pPr>
      <w:ind w:left="1600" w:hanging="200"/>
    </w:pPr>
  </w:style>
  <w:style w:type="paragraph" w:styleId="Index9">
    <w:name w:val="index 9"/>
    <w:basedOn w:val="Normal"/>
    <w:next w:val="Normal"/>
    <w:autoRedefine/>
    <w:uiPriority w:val="99"/>
    <w:semiHidden/>
    <w:rsid w:val="007C4F2B"/>
    <w:pPr>
      <w:ind w:left="1800" w:hanging="200"/>
    </w:pPr>
  </w:style>
  <w:style w:type="character" w:styleId="Lienhypertexte">
    <w:name w:val="Hyperlink"/>
    <w:uiPriority w:val="99"/>
    <w:rsid w:val="007C4F2B"/>
    <w:rPr>
      <w:rFonts w:cs="Times New Roman"/>
      <w:color w:val="0000FF"/>
      <w:u w:val="single"/>
    </w:rPr>
  </w:style>
  <w:style w:type="character" w:styleId="Lienhypertextesuivivisit">
    <w:name w:val="FollowedHyperlink"/>
    <w:uiPriority w:val="99"/>
    <w:rsid w:val="007C4F2B"/>
    <w:rPr>
      <w:rFonts w:cs="Times New Roman"/>
      <w:color w:val="800080"/>
      <w:u w:val="single"/>
    </w:rPr>
  </w:style>
  <w:style w:type="character" w:styleId="MachinecrireHTML">
    <w:name w:val="HTML Typewriter"/>
    <w:uiPriority w:val="99"/>
    <w:rsid w:val="007C4F2B"/>
    <w:rPr>
      <w:rFonts w:ascii="Courier New" w:hAnsi="Courier New" w:cs="Times New Roman"/>
      <w:sz w:val="20"/>
      <w:szCs w:val="20"/>
    </w:rPr>
  </w:style>
  <w:style w:type="paragraph" w:styleId="NormalWeb">
    <w:name w:val="Normal (Web)"/>
    <w:basedOn w:val="Normal"/>
    <w:uiPriority w:val="99"/>
    <w:rsid w:val="007C4F2B"/>
    <w:rPr>
      <w:rFonts w:ascii="Times New Roman" w:hAnsi="Times New Roman"/>
      <w:sz w:val="24"/>
      <w:szCs w:val="24"/>
    </w:rPr>
  </w:style>
  <w:style w:type="paragraph" w:styleId="Normalcentr">
    <w:name w:val="Block Text"/>
    <w:basedOn w:val="Normal"/>
    <w:uiPriority w:val="99"/>
    <w:rsid w:val="007C4F2B"/>
    <w:pPr>
      <w:spacing w:after="120"/>
      <w:ind w:left="1440" w:right="1440"/>
    </w:pPr>
  </w:style>
  <w:style w:type="paragraph" w:styleId="PrformatHTML">
    <w:name w:val="HTML Preformatted"/>
    <w:basedOn w:val="Normal"/>
    <w:link w:val="PrformatHTMLCar"/>
    <w:uiPriority w:val="99"/>
    <w:rsid w:val="007C4F2B"/>
    <w:rPr>
      <w:rFonts w:ascii="Courier New" w:hAnsi="Courier New"/>
    </w:rPr>
  </w:style>
  <w:style w:type="character" w:customStyle="1" w:styleId="PrformatHTMLCar">
    <w:name w:val="Préformaté HTML Car"/>
    <w:link w:val="PrformatHTML"/>
    <w:uiPriority w:val="99"/>
    <w:semiHidden/>
    <w:locked/>
    <w:rsid w:val="00593819"/>
    <w:rPr>
      <w:rFonts w:ascii="Courier New" w:hAnsi="Courier New" w:cs="Courier New"/>
      <w:spacing w:val="-5"/>
      <w:sz w:val="20"/>
      <w:szCs w:val="20"/>
      <w:lang w:eastAsia="en-US"/>
    </w:rPr>
  </w:style>
  <w:style w:type="paragraph" w:styleId="Retrait1religne">
    <w:name w:val="Body Text First Indent"/>
    <w:basedOn w:val="Corpsdetexte"/>
    <w:link w:val="Retrait1religneCar"/>
    <w:uiPriority w:val="99"/>
    <w:rsid w:val="007C4F2B"/>
    <w:pPr>
      <w:spacing w:after="120" w:line="240" w:lineRule="auto"/>
      <w:ind w:firstLine="210"/>
      <w:jc w:val="left"/>
    </w:pPr>
  </w:style>
  <w:style w:type="character" w:customStyle="1" w:styleId="Retrait1religneCar">
    <w:name w:val="Retrait 1re ligne Car"/>
    <w:basedOn w:val="CorpsdetexteCar1"/>
    <w:link w:val="Retrait1religne"/>
    <w:uiPriority w:val="99"/>
    <w:semiHidden/>
    <w:locked/>
    <w:rsid w:val="00593819"/>
    <w:rPr>
      <w:rFonts w:ascii="Arial" w:hAnsi="Arial" w:cs="Times New Roman"/>
      <w:spacing w:val="-5"/>
      <w:sz w:val="20"/>
      <w:szCs w:val="20"/>
      <w:lang w:eastAsia="en-US"/>
    </w:rPr>
  </w:style>
  <w:style w:type="paragraph" w:styleId="Retraitcorpsdetexte2">
    <w:name w:val="Body Text Indent 2"/>
    <w:basedOn w:val="Normal"/>
    <w:link w:val="Retraitcorpsdetexte2Car"/>
    <w:uiPriority w:val="99"/>
    <w:rsid w:val="007C4F2B"/>
    <w:pPr>
      <w:spacing w:after="120" w:line="480" w:lineRule="auto"/>
      <w:ind w:left="283"/>
    </w:pPr>
  </w:style>
  <w:style w:type="character" w:customStyle="1" w:styleId="Retraitcorpsdetexte2Car">
    <w:name w:val="Retrait corps de texte 2 Car"/>
    <w:link w:val="Retraitcorpsdetexte2"/>
    <w:uiPriority w:val="99"/>
    <w:semiHidden/>
    <w:locked/>
    <w:rsid w:val="00593819"/>
    <w:rPr>
      <w:rFonts w:ascii="Arial" w:hAnsi="Arial" w:cs="Times New Roman"/>
      <w:spacing w:val="-5"/>
      <w:sz w:val="20"/>
      <w:szCs w:val="20"/>
      <w:lang w:eastAsia="en-US"/>
    </w:rPr>
  </w:style>
  <w:style w:type="paragraph" w:styleId="Retraitcorpsdetexte3">
    <w:name w:val="Body Text Indent 3"/>
    <w:basedOn w:val="Normal"/>
    <w:link w:val="Retraitcorpsdetexte3Car"/>
    <w:uiPriority w:val="99"/>
    <w:rsid w:val="007C4F2B"/>
    <w:pPr>
      <w:spacing w:after="120"/>
      <w:ind w:left="283"/>
    </w:pPr>
    <w:rPr>
      <w:sz w:val="16"/>
      <w:szCs w:val="16"/>
    </w:rPr>
  </w:style>
  <w:style w:type="character" w:customStyle="1" w:styleId="Retraitcorpsdetexte3Car">
    <w:name w:val="Retrait corps de texte 3 Car"/>
    <w:link w:val="Retraitcorpsdetexte3"/>
    <w:uiPriority w:val="99"/>
    <w:semiHidden/>
    <w:locked/>
    <w:rsid w:val="00593819"/>
    <w:rPr>
      <w:rFonts w:ascii="Arial" w:hAnsi="Arial" w:cs="Times New Roman"/>
      <w:spacing w:val="-5"/>
      <w:sz w:val="16"/>
      <w:szCs w:val="16"/>
      <w:lang w:eastAsia="en-US"/>
    </w:rPr>
  </w:style>
  <w:style w:type="paragraph" w:styleId="Retraitcorpset1relig">
    <w:name w:val="Body Text First Indent 2"/>
    <w:basedOn w:val="Retraitcorpsdetexte"/>
    <w:link w:val="Retraitcorpset1religCar"/>
    <w:uiPriority w:val="99"/>
    <w:rsid w:val="007C4F2B"/>
    <w:pPr>
      <w:spacing w:after="120" w:line="240" w:lineRule="auto"/>
      <w:ind w:left="283" w:firstLine="210"/>
      <w:jc w:val="left"/>
    </w:pPr>
  </w:style>
  <w:style w:type="character" w:customStyle="1" w:styleId="Retraitcorpset1religCar">
    <w:name w:val="Retrait corps et 1re lig. Car"/>
    <w:basedOn w:val="RetraitcorpsdetexteCar"/>
    <w:link w:val="Retraitcorpset1relig"/>
    <w:uiPriority w:val="99"/>
    <w:semiHidden/>
    <w:locked/>
    <w:rsid w:val="00593819"/>
    <w:rPr>
      <w:rFonts w:ascii="Arial" w:hAnsi="Arial" w:cs="Times New Roman"/>
      <w:spacing w:val="-5"/>
      <w:sz w:val="20"/>
      <w:szCs w:val="20"/>
      <w:lang w:eastAsia="en-US"/>
    </w:rPr>
  </w:style>
  <w:style w:type="paragraph" w:styleId="Salutations">
    <w:name w:val="Salutation"/>
    <w:basedOn w:val="Normal"/>
    <w:next w:val="Normal"/>
    <w:link w:val="SalutationsCar"/>
    <w:uiPriority w:val="99"/>
    <w:rsid w:val="007C4F2B"/>
  </w:style>
  <w:style w:type="character" w:customStyle="1" w:styleId="SalutationsCar">
    <w:name w:val="Salutations Car"/>
    <w:link w:val="Salutations"/>
    <w:uiPriority w:val="99"/>
    <w:semiHidden/>
    <w:locked/>
    <w:rsid w:val="00593819"/>
    <w:rPr>
      <w:rFonts w:ascii="Arial" w:hAnsi="Arial" w:cs="Times New Roman"/>
      <w:spacing w:val="-5"/>
      <w:sz w:val="20"/>
      <w:szCs w:val="20"/>
      <w:lang w:eastAsia="en-US"/>
    </w:rPr>
  </w:style>
  <w:style w:type="paragraph" w:styleId="Signature">
    <w:name w:val="Signature"/>
    <w:basedOn w:val="Normal"/>
    <w:link w:val="SignatureCar"/>
    <w:uiPriority w:val="99"/>
    <w:rsid w:val="007C4F2B"/>
    <w:pPr>
      <w:ind w:left="4252"/>
    </w:pPr>
  </w:style>
  <w:style w:type="character" w:customStyle="1" w:styleId="SignatureCar">
    <w:name w:val="Signature Car"/>
    <w:link w:val="Signature"/>
    <w:uiPriority w:val="99"/>
    <w:semiHidden/>
    <w:locked/>
    <w:rsid w:val="00593819"/>
    <w:rPr>
      <w:rFonts w:ascii="Arial" w:hAnsi="Arial" w:cs="Times New Roman"/>
      <w:spacing w:val="-5"/>
      <w:sz w:val="20"/>
      <w:szCs w:val="20"/>
      <w:lang w:eastAsia="en-US"/>
    </w:rPr>
  </w:style>
  <w:style w:type="paragraph" w:styleId="Signaturelectronique">
    <w:name w:val="E-mail Signature"/>
    <w:basedOn w:val="Normal"/>
    <w:link w:val="SignaturelectroniqueCar"/>
    <w:uiPriority w:val="99"/>
    <w:rsid w:val="007C4F2B"/>
  </w:style>
  <w:style w:type="character" w:customStyle="1" w:styleId="SignaturelectroniqueCar">
    <w:name w:val="Signature électronique Car"/>
    <w:link w:val="Signaturelectronique"/>
    <w:uiPriority w:val="99"/>
    <w:semiHidden/>
    <w:locked/>
    <w:rsid w:val="00593819"/>
    <w:rPr>
      <w:rFonts w:ascii="Arial" w:hAnsi="Arial" w:cs="Times New Roman"/>
      <w:spacing w:val="-5"/>
      <w:sz w:val="20"/>
      <w:szCs w:val="20"/>
      <w:lang w:eastAsia="en-US"/>
    </w:rPr>
  </w:style>
  <w:style w:type="paragraph" w:styleId="Textebrut">
    <w:name w:val="Plain Text"/>
    <w:basedOn w:val="Normal"/>
    <w:link w:val="TextebrutCar"/>
    <w:uiPriority w:val="99"/>
    <w:rsid w:val="007C4F2B"/>
    <w:rPr>
      <w:rFonts w:ascii="Courier New" w:hAnsi="Courier New"/>
    </w:rPr>
  </w:style>
  <w:style w:type="character" w:customStyle="1" w:styleId="TextebrutCar">
    <w:name w:val="Texte brut Car"/>
    <w:link w:val="Textebrut"/>
    <w:uiPriority w:val="99"/>
    <w:semiHidden/>
    <w:locked/>
    <w:rsid w:val="00593819"/>
    <w:rPr>
      <w:rFonts w:ascii="Courier New" w:hAnsi="Courier New" w:cs="Courier New"/>
      <w:spacing w:val="-5"/>
      <w:sz w:val="20"/>
      <w:szCs w:val="20"/>
      <w:lang w:eastAsia="en-US"/>
    </w:rPr>
  </w:style>
  <w:style w:type="paragraph" w:styleId="Textedemacro">
    <w:name w:val="macro"/>
    <w:link w:val="TextedemacroCar"/>
    <w:uiPriority w:val="99"/>
    <w:semiHidden/>
    <w:rsid w:val="007C4F2B"/>
    <w:pPr>
      <w:tabs>
        <w:tab w:val="left" w:pos="480"/>
        <w:tab w:val="left" w:pos="960"/>
        <w:tab w:val="left" w:pos="1440"/>
        <w:tab w:val="left" w:pos="1920"/>
        <w:tab w:val="left" w:pos="2400"/>
        <w:tab w:val="left" w:pos="2880"/>
        <w:tab w:val="left" w:pos="3360"/>
        <w:tab w:val="left" w:pos="3840"/>
        <w:tab w:val="left" w:pos="4320"/>
      </w:tabs>
      <w:ind w:left="1080"/>
    </w:pPr>
    <w:rPr>
      <w:rFonts w:ascii="Courier New" w:hAnsi="Courier New" w:cs="Courier New"/>
      <w:spacing w:val="-5"/>
      <w:lang w:eastAsia="en-US"/>
    </w:rPr>
  </w:style>
  <w:style w:type="character" w:customStyle="1" w:styleId="TextedemacroCar">
    <w:name w:val="Texte de macro Car"/>
    <w:link w:val="Textedemacro"/>
    <w:uiPriority w:val="99"/>
    <w:semiHidden/>
    <w:locked/>
    <w:rsid w:val="00593819"/>
    <w:rPr>
      <w:rFonts w:ascii="Courier New" w:hAnsi="Courier New" w:cs="Courier New"/>
      <w:spacing w:val="-5"/>
      <w:lang w:val="fr-FR" w:eastAsia="en-US" w:bidi="ar-SA"/>
    </w:rPr>
  </w:style>
  <w:style w:type="paragraph" w:styleId="Titredenote">
    <w:name w:val="Note Heading"/>
    <w:basedOn w:val="Normal"/>
    <w:next w:val="Normal"/>
    <w:link w:val="TitredenoteCar"/>
    <w:uiPriority w:val="99"/>
    <w:rsid w:val="007C4F2B"/>
  </w:style>
  <w:style w:type="character" w:customStyle="1" w:styleId="TitredenoteCar">
    <w:name w:val="Titre de note Car"/>
    <w:link w:val="Titredenote"/>
    <w:uiPriority w:val="99"/>
    <w:semiHidden/>
    <w:locked/>
    <w:rsid w:val="00593819"/>
    <w:rPr>
      <w:rFonts w:ascii="Arial" w:hAnsi="Arial" w:cs="Times New Roman"/>
      <w:spacing w:val="-5"/>
      <w:sz w:val="20"/>
      <w:szCs w:val="20"/>
      <w:lang w:eastAsia="en-US"/>
    </w:rPr>
  </w:style>
  <w:style w:type="paragraph" w:styleId="TM6">
    <w:name w:val="toc 6"/>
    <w:basedOn w:val="Normal"/>
    <w:next w:val="Normal"/>
    <w:autoRedefine/>
    <w:uiPriority w:val="99"/>
    <w:semiHidden/>
    <w:rsid w:val="007C4F2B"/>
    <w:pPr>
      <w:ind w:left="1000"/>
    </w:pPr>
  </w:style>
  <w:style w:type="paragraph" w:styleId="TM7">
    <w:name w:val="toc 7"/>
    <w:basedOn w:val="Normal"/>
    <w:next w:val="Normal"/>
    <w:autoRedefine/>
    <w:uiPriority w:val="99"/>
    <w:semiHidden/>
    <w:rsid w:val="007C4F2B"/>
    <w:pPr>
      <w:ind w:left="1200"/>
    </w:pPr>
  </w:style>
  <w:style w:type="paragraph" w:styleId="TM8">
    <w:name w:val="toc 8"/>
    <w:basedOn w:val="Normal"/>
    <w:next w:val="Normal"/>
    <w:autoRedefine/>
    <w:uiPriority w:val="99"/>
    <w:semiHidden/>
    <w:rsid w:val="007C4F2B"/>
    <w:pPr>
      <w:ind w:left="1400"/>
    </w:pPr>
  </w:style>
  <w:style w:type="paragraph" w:styleId="TM9">
    <w:name w:val="toc 9"/>
    <w:basedOn w:val="Normal"/>
    <w:next w:val="Normal"/>
    <w:autoRedefine/>
    <w:uiPriority w:val="99"/>
    <w:semiHidden/>
    <w:rsid w:val="007C4F2B"/>
    <w:pPr>
      <w:ind w:left="1600"/>
    </w:pPr>
  </w:style>
  <w:style w:type="character" w:styleId="VariableHTML">
    <w:name w:val="HTML Variable"/>
    <w:uiPriority w:val="99"/>
    <w:rsid w:val="007C4F2B"/>
    <w:rPr>
      <w:rFonts w:cs="Times New Roman"/>
      <w:i/>
      <w:iCs/>
    </w:rPr>
  </w:style>
  <w:style w:type="paragraph" w:customStyle="1" w:styleId="Caption1">
    <w:name w:val="Caption1"/>
    <w:basedOn w:val="Normal"/>
    <w:uiPriority w:val="99"/>
    <w:rsid w:val="007C4F2B"/>
  </w:style>
  <w:style w:type="paragraph" w:customStyle="1" w:styleId="ListBullet1">
    <w:name w:val="List Bullet1"/>
    <w:basedOn w:val="Normal"/>
    <w:uiPriority w:val="99"/>
    <w:rsid w:val="007C4F2B"/>
    <w:pPr>
      <w:spacing w:before="100" w:beforeAutospacing="1" w:after="100" w:afterAutospacing="1"/>
      <w:ind w:left="0"/>
    </w:pPr>
    <w:rPr>
      <w:rFonts w:ascii="Times New Roman" w:hAnsi="Times New Roman"/>
      <w:spacing w:val="0"/>
      <w:sz w:val="24"/>
      <w:szCs w:val="24"/>
    </w:rPr>
  </w:style>
  <w:style w:type="paragraph" w:customStyle="1" w:styleId="ListNumber1">
    <w:name w:val="List Number1"/>
    <w:basedOn w:val="Normal"/>
    <w:uiPriority w:val="99"/>
    <w:rsid w:val="007C4F2B"/>
    <w:pPr>
      <w:spacing w:before="100" w:beforeAutospacing="1" w:after="100" w:afterAutospacing="1"/>
      <w:ind w:left="0"/>
    </w:pPr>
    <w:rPr>
      <w:rFonts w:ascii="Times New Roman" w:hAnsi="Times New Roman"/>
      <w:spacing w:val="0"/>
      <w:sz w:val="24"/>
      <w:szCs w:val="24"/>
    </w:rPr>
  </w:style>
  <w:style w:type="paragraph" w:styleId="Textedebulles">
    <w:name w:val="Balloon Text"/>
    <w:basedOn w:val="Normal"/>
    <w:link w:val="TextedebullesCar"/>
    <w:uiPriority w:val="99"/>
    <w:semiHidden/>
    <w:rsid w:val="00332A34"/>
    <w:rPr>
      <w:rFonts w:ascii="Times New Roman" w:hAnsi="Times New Roman"/>
      <w:sz w:val="2"/>
    </w:rPr>
  </w:style>
  <w:style w:type="character" w:customStyle="1" w:styleId="TextedebullesCar">
    <w:name w:val="Texte de bulles Car"/>
    <w:link w:val="Textedebulles"/>
    <w:uiPriority w:val="99"/>
    <w:semiHidden/>
    <w:locked/>
    <w:rsid w:val="00593819"/>
    <w:rPr>
      <w:rFonts w:cs="Times New Roman"/>
      <w:spacing w:val="-5"/>
      <w:sz w:val="2"/>
      <w:lang w:eastAsia="en-US"/>
    </w:rPr>
  </w:style>
  <w:style w:type="table" w:styleId="Grilledutableau">
    <w:name w:val="Table Grid"/>
    <w:basedOn w:val="TableauNormal"/>
    <w:uiPriority w:val="99"/>
    <w:rsid w:val="002E698A"/>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sdetexteCar">
    <w:name w:val="Corps de texte Car"/>
    <w:uiPriority w:val="99"/>
    <w:rsid w:val="004B29AD"/>
    <w:rPr>
      <w:rFonts w:ascii="Arial" w:hAnsi="Arial" w:cs="Traditional Arabic"/>
      <w:sz w:val="24"/>
      <w:lang w:eastAsia="fr-FR" w:bidi="ar-SA"/>
    </w:rPr>
  </w:style>
  <w:style w:type="table" w:styleId="Colonnes2">
    <w:name w:val="Table Columns 2"/>
    <w:basedOn w:val="TableauNormal"/>
    <w:uiPriority w:val="99"/>
    <w:rsid w:val="00C33231"/>
    <w:pPr>
      <w:ind w:left="108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1">
    <w:name w:val="Table Columns 1"/>
    <w:basedOn w:val="TableauNormal"/>
    <w:uiPriority w:val="99"/>
    <w:rsid w:val="007C6113"/>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xl65">
    <w:name w:val="xl65"/>
    <w:basedOn w:val="Normal"/>
    <w:rsid w:val="0023355D"/>
    <w:pPr>
      <w:spacing w:before="100" w:beforeAutospacing="1" w:after="100" w:afterAutospacing="1"/>
      <w:ind w:left="0"/>
      <w:textAlignment w:val="center"/>
    </w:pPr>
    <w:rPr>
      <w:rFonts w:cs="Arial"/>
      <w:spacing w:val="0"/>
      <w:sz w:val="16"/>
      <w:szCs w:val="16"/>
      <w:lang w:eastAsia="fr-FR"/>
    </w:rPr>
  </w:style>
  <w:style w:type="paragraph" w:customStyle="1" w:styleId="xl66">
    <w:name w:val="xl66"/>
    <w:basedOn w:val="Normal"/>
    <w:rsid w:val="0023355D"/>
    <w:pPr>
      <w:spacing w:before="100" w:beforeAutospacing="1" w:after="100" w:afterAutospacing="1"/>
      <w:ind w:left="0"/>
    </w:pPr>
    <w:rPr>
      <w:rFonts w:cs="Arial"/>
      <w:spacing w:val="0"/>
      <w:sz w:val="16"/>
      <w:szCs w:val="16"/>
      <w:lang w:eastAsia="fr-FR"/>
    </w:rPr>
  </w:style>
  <w:style w:type="paragraph" w:customStyle="1" w:styleId="xl67">
    <w:name w:val="xl67"/>
    <w:basedOn w:val="Normal"/>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jc w:val="center"/>
      <w:textAlignment w:val="center"/>
    </w:pPr>
    <w:rPr>
      <w:rFonts w:cs="Arial"/>
      <w:b/>
      <w:bCs/>
      <w:spacing w:val="0"/>
      <w:sz w:val="14"/>
      <w:szCs w:val="14"/>
      <w:lang w:eastAsia="fr-FR"/>
    </w:rPr>
  </w:style>
  <w:style w:type="paragraph" w:customStyle="1" w:styleId="xl68">
    <w:name w:val="xl68"/>
    <w:basedOn w:val="Normal"/>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pPr>
    <w:rPr>
      <w:rFonts w:cs="Arial"/>
      <w:spacing w:val="0"/>
      <w:sz w:val="14"/>
      <w:szCs w:val="14"/>
      <w:lang w:eastAsia="fr-FR"/>
    </w:rPr>
  </w:style>
  <w:style w:type="paragraph" w:customStyle="1" w:styleId="xl69">
    <w:name w:val="xl69"/>
    <w:basedOn w:val="Normal"/>
    <w:rsid w:val="0023355D"/>
    <w:pPr>
      <w:pBdr>
        <w:top w:val="dotted" w:sz="4" w:space="0" w:color="auto"/>
        <w:left w:val="dotted" w:sz="4" w:space="0" w:color="auto"/>
        <w:bottom w:val="dotted" w:sz="4" w:space="0" w:color="auto"/>
      </w:pBdr>
      <w:spacing w:before="100" w:beforeAutospacing="1" w:after="100" w:afterAutospacing="1"/>
      <w:ind w:left="0"/>
      <w:jc w:val="center"/>
      <w:textAlignment w:val="center"/>
    </w:pPr>
    <w:rPr>
      <w:rFonts w:cs="Arial"/>
      <w:b/>
      <w:bCs/>
      <w:spacing w:val="0"/>
      <w:sz w:val="14"/>
      <w:szCs w:val="14"/>
      <w:lang w:eastAsia="fr-FR"/>
    </w:rPr>
  </w:style>
  <w:style w:type="paragraph" w:customStyle="1" w:styleId="xl70">
    <w:name w:val="xl70"/>
    <w:basedOn w:val="Normal"/>
    <w:rsid w:val="0023355D"/>
    <w:pPr>
      <w:pBdr>
        <w:top w:val="dotted" w:sz="4" w:space="0" w:color="auto"/>
        <w:left w:val="dotted" w:sz="4" w:space="0" w:color="auto"/>
        <w:bottom w:val="dotted" w:sz="4" w:space="0" w:color="auto"/>
      </w:pBdr>
      <w:spacing w:before="100" w:beforeAutospacing="1" w:after="100" w:afterAutospacing="1"/>
      <w:ind w:left="0"/>
    </w:pPr>
    <w:rPr>
      <w:rFonts w:cs="Arial"/>
      <w:spacing w:val="0"/>
      <w:sz w:val="14"/>
      <w:szCs w:val="14"/>
      <w:lang w:eastAsia="fr-FR"/>
    </w:rPr>
  </w:style>
  <w:style w:type="paragraph" w:customStyle="1" w:styleId="xl71">
    <w:name w:val="xl71"/>
    <w:basedOn w:val="Normal"/>
    <w:rsid w:val="0023355D"/>
    <w:pPr>
      <w:pBdr>
        <w:top w:val="single" w:sz="8" w:space="0" w:color="FFFFFF"/>
        <w:left w:val="single" w:sz="8" w:space="0" w:color="FFFFFF"/>
        <w:bottom w:val="single" w:sz="8" w:space="0" w:color="FFFFFF"/>
        <w:right w:val="single" w:sz="8" w:space="0" w:color="FFFFFF"/>
      </w:pBdr>
      <w:shd w:val="clear" w:color="000000" w:fill="00FF00"/>
      <w:spacing w:before="100" w:beforeAutospacing="1" w:after="100" w:afterAutospacing="1"/>
      <w:ind w:left="0"/>
      <w:jc w:val="center"/>
      <w:textAlignment w:val="center"/>
    </w:pPr>
    <w:rPr>
      <w:rFonts w:cs="Arial"/>
      <w:b/>
      <w:bCs/>
      <w:spacing w:val="0"/>
      <w:sz w:val="16"/>
      <w:szCs w:val="16"/>
      <w:lang w:eastAsia="fr-FR"/>
    </w:rPr>
  </w:style>
  <w:style w:type="paragraph" w:customStyle="1" w:styleId="xl72">
    <w:name w:val="xl72"/>
    <w:basedOn w:val="Normal"/>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pPr>
    <w:rPr>
      <w:rFonts w:cs="Arial"/>
      <w:b/>
      <w:bCs/>
      <w:i/>
      <w:iCs/>
      <w:spacing w:val="0"/>
      <w:sz w:val="16"/>
      <w:szCs w:val="16"/>
      <w:u w:val="single"/>
      <w:lang w:eastAsia="fr-FR"/>
    </w:rPr>
  </w:style>
  <w:style w:type="paragraph" w:customStyle="1" w:styleId="xl73">
    <w:name w:val="xl73"/>
    <w:basedOn w:val="Normal"/>
    <w:rsid w:val="0023355D"/>
    <w:pPr>
      <w:pBdr>
        <w:top w:val="single" w:sz="8" w:space="0" w:color="FFFFFF"/>
        <w:left w:val="single" w:sz="8" w:space="0" w:color="FFFFFF"/>
        <w:bottom w:val="single" w:sz="8" w:space="0" w:color="FFFFFF"/>
        <w:right w:val="single" w:sz="8" w:space="0" w:color="FFFFFF"/>
      </w:pBdr>
      <w:shd w:val="clear" w:color="000000" w:fill="00FF00"/>
      <w:spacing w:before="100" w:beforeAutospacing="1" w:after="100" w:afterAutospacing="1"/>
      <w:ind w:left="0"/>
      <w:jc w:val="center"/>
    </w:pPr>
    <w:rPr>
      <w:rFonts w:cs="Arial"/>
      <w:b/>
      <w:bCs/>
      <w:i/>
      <w:iCs/>
      <w:spacing w:val="0"/>
      <w:sz w:val="16"/>
      <w:szCs w:val="16"/>
      <w:u w:val="single"/>
      <w:lang w:eastAsia="fr-FR"/>
    </w:rPr>
  </w:style>
  <w:style w:type="paragraph" w:customStyle="1" w:styleId="xl74">
    <w:name w:val="xl74"/>
    <w:basedOn w:val="Normal"/>
    <w:rsid w:val="0023355D"/>
    <w:pPr>
      <w:pBdr>
        <w:top w:val="dotted" w:sz="4" w:space="0" w:color="auto"/>
        <w:bottom w:val="dotted" w:sz="4" w:space="0" w:color="auto"/>
        <w:right w:val="dotted" w:sz="4" w:space="0" w:color="auto"/>
      </w:pBdr>
      <w:spacing w:before="100" w:beforeAutospacing="1" w:after="100" w:afterAutospacing="1"/>
      <w:ind w:left="0"/>
      <w:jc w:val="center"/>
      <w:textAlignment w:val="center"/>
    </w:pPr>
    <w:rPr>
      <w:rFonts w:cs="Arial"/>
      <w:b/>
      <w:bCs/>
      <w:spacing w:val="0"/>
      <w:sz w:val="14"/>
      <w:szCs w:val="14"/>
      <w:lang w:eastAsia="fr-FR"/>
    </w:rPr>
  </w:style>
  <w:style w:type="paragraph" w:customStyle="1" w:styleId="xl75">
    <w:name w:val="xl75"/>
    <w:basedOn w:val="Normal"/>
    <w:rsid w:val="0023355D"/>
    <w:pPr>
      <w:pBdr>
        <w:top w:val="dotted" w:sz="4" w:space="0" w:color="auto"/>
        <w:bottom w:val="dotted" w:sz="4" w:space="0" w:color="auto"/>
        <w:right w:val="dotted" w:sz="4" w:space="0" w:color="auto"/>
      </w:pBdr>
      <w:spacing w:before="100" w:beforeAutospacing="1" w:after="100" w:afterAutospacing="1"/>
      <w:ind w:left="0"/>
    </w:pPr>
    <w:rPr>
      <w:rFonts w:cs="Arial"/>
      <w:spacing w:val="0"/>
      <w:sz w:val="14"/>
      <w:szCs w:val="14"/>
      <w:lang w:eastAsia="fr-FR"/>
    </w:rPr>
  </w:style>
  <w:style w:type="paragraph" w:customStyle="1" w:styleId="xl76">
    <w:name w:val="xl76"/>
    <w:basedOn w:val="Normal"/>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textAlignment w:val="center"/>
    </w:pPr>
    <w:rPr>
      <w:rFonts w:cs="Arial"/>
      <w:b/>
      <w:bCs/>
      <w:spacing w:val="0"/>
      <w:sz w:val="16"/>
      <w:szCs w:val="16"/>
      <w:lang w:eastAsia="fr-FR"/>
    </w:rPr>
  </w:style>
  <w:style w:type="paragraph" w:customStyle="1" w:styleId="xl77">
    <w:name w:val="xl77"/>
    <w:basedOn w:val="Normal"/>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pPr>
    <w:rPr>
      <w:rFonts w:cs="Arial"/>
      <w:spacing w:val="0"/>
      <w:sz w:val="16"/>
      <w:szCs w:val="16"/>
      <w:lang w:eastAsia="fr-FR"/>
    </w:rPr>
  </w:style>
  <w:style w:type="paragraph" w:customStyle="1" w:styleId="xl78">
    <w:name w:val="xl78"/>
    <w:basedOn w:val="Normal"/>
    <w:uiPriority w:val="99"/>
    <w:rsid w:val="0023355D"/>
    <w:pPr>
      <w:pBdr>
        <w:top w:val="dotted" w:sz="4" w:space="0" w:color="auto"/>
        <w:bottom w:val="dotted" w:sz="4" w:space="0" w:color="auto"/>
        <w:right w:val="dotted" w:sz="4" w:space="0" w:color="auto"/>
      </w:pBdr>
      <w:spacing w:before="100" w:beforeAutospacing="1" w:after="100" w:afterAutospacing="1"/>
      <w:ind w:left="0"/>
      <w:jc w:val="center"/>
    </w:pPr>
    <w:rPr>
      <w:rFonts w:cs="Arial"/>
      <w:spacing w:val="0"/>
      <w:sz w:val="14"/>
      <w:szCs w:val="14"/>
      <w:lang w:eastAsia="fr-FR"/>
    </w:rPr>
  </w:style>
  <w:style w:type="paragraph" w:customStyle="1" w:styleId="xl79">
    <w:name w:val="xl79"/>
    <w:basedOn w:val="Normal"/>
    <w:uiPriority w:val="99"/>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jc w:val="center"/>
    </w:pPr>
    <w:rPr>
      <w:rFonts w:cs="Arial"/>
      <w:spacing w:val="0"/>
      <w:sz w:val="14"/>
      <w:szCs w:val="14"/>
      <w:lang w:eastAsia="fr-FR"/>
    </w:rPr>
  </w:style>
  <w:style w:type="paragraph" w:customStyle="1" w:styleId="xl80">
    <w:name w:val="xl80"/>
    <w:basedOn w:val="Normal"/>
    <w:uiPriority w:val="99"/>
    <w:rsid w:val="0023355D"/>
    <w:pPr>
      <w:pBdr>
        <w:top w:val="dotted" w:sz="4" w:space="0" w:color="auto"/>
        <w:left w:val="dotted" w:sz="4" w:space="0" w:color="auto"/>
        <w:bottom w:val="dotted" w:sz="4" w:space="0" w:color="auto"/>
      </w:pBdr>
      <w:spacing w:before="100" w:beforeAutospacing="1" w:after="100" w:afterAutospacing="1"/>
      <w:ind w:left="0"/>
      <w:jc w:val="center"/>
    </w:pPr>
    <w:rPr>
      <w:rFonts w:cs="Arial"/>
      <w:spacing w:val="0"/>
      <w:sz w:val="14"/>
      <w:szCs w:val="14"/>
      <w:lang w:eastAsia="fr-FR"/>
    </w:rPr>
  </w:style>
  <w:style w:type="paragraph" w:customStyle="1" w:styleId="xl81">
    <w:name w:val="xl81"/>
    <w:basedOn w:val="Normal"/>
    <w:uiPriority w:val="99"/>
    <w:rsid w:val="0023355D"/>
    <w:pPr>
      <w:spacing w:before="100" w:beforeAutospacing="1" w:after="100" w:afterAutospacing="1"/>
      <w:ind w:left="0"/>
      <w:jc w:val="center"/>
    </w:pPr>
    <w:rPr>
      <w:rFonts w:cs="Arial"/>
      <w:spacing w:val="0"/>
      <w:sz w:val="16"/>
      <w:szCs w:val="16"/>
      <w:lang w:eastAsia="fr-FR"/>
    </w:rPr>
  </w:style>
  <w:style w:type="paragraph" w:customStyle="1" w:styleId="xl82">
    <w:name w:val="xl82"/>
    <w:basedOn w:val="Normal"/>
    <w:uiPriority w:val="99"/>
    <w:rsid w:val="0023355D"/>
    <w:pPr>
      <w:spacing w:before="100" w:beforeAutospacing="1" w:after="100" w:afterAutospacing="1"/>
      <w:ind w:left="0"/>
      <w:jc w:val="center"/>
    </w:pPr>
    <w:rPr>
      <w:rFonts w:cs="Arial"/>
      <w:spacing w:val="0"/>
      <w:sz w:val="14"/>
      <w:szCs w:val="14"/>
      <w:lang w:eastAsia="fr-FR"/>
    </w:rPr>
  </w:style>
  <w:style w:type="paragraph" w:customStyle="1" w:styleId="xl83">
    <w:name w:val="xl83"/>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textAlignment w:val="center"/>
    </w:pPr>
    <w:rPr>
      <w:rFonts w:cs="Arial"/>
      <w:b/>
      <w:bCs/>
      <w:spacing w:val="0"/>
      <w:sz w:val="16"/>
      <w:szCs w:val="16"/>
      <w:lang w:eastAsia="fr-FR"/>
    </w:rPr>
  </w:style>
  <w:style w:type="paragraph" w:customStyle="1" w:styleId="xl84">
    <w:name w:val="xl84"/>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pPr>
    <w:rPr>
      <w:rFonts w:cs="Arial"/>
      <w:b/>
      <w:bCs/>
      <w:i/>
      <w:iCs/>
      <w:spacing w:val="0"/>
      <w:sz w:val="16"/>
      <w:szCs w:val="16"/>
      <w:u w:val="single"/>
      <w:lang w:eastAsia="fr-FR"/>
    </w:rPr>
  </w:style>
  <w:style w:type="paragraph" w:customStyle="1" w:styleId="xl85">
    <w:name w:val="xl85"/>
    <w:basedOn w:val="Normal"/>
    <w:uiPriority w:val="99"/>
    <w:rsid w:val="0023355D"/>
    <w:pPr>
      <w:spacing w:before="100" w:beforeAutospacing="1" w:after="100" w:afterAutospacing="1"/>
      <w:ind w:left="0"/>
      <w:jc w:val="center"/>
    </w:pPr>
    <w:rPr>
      <w:rFonts w:cs="Arial"/>
      <w:spacing w:val="0"/>
      <w:sz w:val="16"/>
      <w:szCs w:val="16"/>
      <w:lang w:eastAsia="fr-FR"/>
    </w:rPr>
  </w:style>
  <w:style w:type="paragraph" w:customStyle="1" w:styleId="xl86">
    <w:name w:val="xl86"/>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textAlignment w:val="center"/>
    </w:pPr>
    <w:rPr>
      <w:rFonts w:cs="Arial"/>
      <w:b/>
      <w:bCs/>
      <w:spacing w:val="0"/>
      <w:sz w:val="16"/>
      <w:szCs w:val="16"/>
      <w:lang w:eastAsia="fr-FR"/>
    </w:rPr>
  </w:style>
  <w:style w:type="paragraph" w:customStyle="1" w:styleId="xl87">
    <w:name w:val="xl87"/>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pPr>
    <w:rPr>
      <w:rFonts w:cs="Arial"/>
      <w:spacing w:val="0"/>
      <w:sz w:val="16"/>
      <w:szCs w:val="16"/>
      <w:lang w:eastAsia="fr-FR"/>
    </w:rPr>
  </w:style>
  <w:style w:type="paragraph" w:customStyle="1" w:styleId="xl88">
    <w:name w:val="xl88"/>
    <w:basedOn w:val="Normal"/>
    <w:uiPriority w:val="99"/>
    <w:rsid w:val="0023355D"/>
    <w:pPr>
      <w:spacing w:before="100" w:beforeAutospacing="1" w:after="100" w:afterAutospacing="1"/>
      <w:ind w:left="0"/>
    </w:pPr>
    <w:rPr>
      <w:rFonts w:cs="Arial"/>
      <w:spacing w:val="0"/>
      <w:sz w:val="16"/>
      <w:szCs w:val="16"/>
      <w:lang w:eastAsia="fr-FR"/>
    </w:rPr>
  </w:style>
  <w:style w:type="paragraph" w:customStyle="1" w:styleId="xl89">
    <w:name w:val="xl89"/>
    <w:basedOn w:val="Normal"/>
    <w:uiPriority w:val="99"/>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jc w:val="center"/>
      <w:textAlignment w:val="center"/>
    </w:pPr>
    <w:rPr>
      <w:rFonts w:cs="Arial"/>
      <w:spacing w:val="0"/>
      <w:sz w:val="14"/>
      <w:szCs w:val="14"/>
      <w:lang w:eastAsia="fr-FR"/>
    </w:rPr>
  </w:style>
  <w:style w:type="paragraph" w:customStyle="1" w:styleId="xl90">
    <w:name w:val="xl90"/>
    <w:basedOn w:val="Normal"/>
    <w:uiPriority w:val="99"/>
    <w:rsid w:val="0023355D"/>
    <w:pPr>
      <w:pBdr>
        <w:top w:val="dotted" w:sz="4" w:space="0" w:color="auto"/>
        <w:left w:val="dotted" w:sz="4" w:space="0" w:color="auto"/>
        <w:bottom w:val="dotted" w:sz="4" w:space="0" w:color="auto"/>
      </w:pBdr>
      <w:spacing w:before="100" w:beforeAutospacing="1" w:after="100" w:afterAutospacing="1"/>
      <w:ind w:left="0"/>
      <w:jc w:val="center"/>
      <w:textAlignment w:val="center"/>
    </w:pPr>
    <w:rPr>
      <w:rFonts w:cs="Arial"/>
      <w:spacing w:val="0"/>
      <w:sz w:val="14"/>
      <w:szCs w:val="14"/>
      <w:lang w:eastAsia="fr-FR"/>
    </w:rPr>
  </w:style>
  <w:style w:type="paragraph" w:customStyle="1" w:styleId="xl91">
    <w:name w:val="xl91"/>
    <w:basedOn w:val="Normal"/>
    <w:uiPriority w:val="99"/>
    <w:rsid w:val="0023355D"/>
    <w:pPr>
      <w:pBdr>
        <w:top w:val="dotted" w:sz="4" w:space="0" w:color="auto"/>
        <w:bottom w:val="dotted" w:sz="4" w:space="0" w:color="auto"/>
        <w:right w:val="dotted" w:sz="4" w:space="0" w:color="auto"/>
      </w:pBdr>
      <w:spacing w:before="100" w:beforeAutospacing="1" w:after="100" w:afterAutospacing="1"/>
      <w:ind w:left="0"/>
      <w:jc w:val="center"/>
      <w:textAlignment w:val="center"/>
    </w:pPr>
    <w:rPr>
      <w:rFonts w:cs="Arial"/>
      <w:spacing w:val="0"/>
      <w:sz w:val="14"/>
      <w:szCs w:val="14"/>
      <w:lang w:eastAsia="fr-FR"/>
    </w:rPr>
  </w:style>
  <w:style w:type="paragraph" w:customStyle="1" w:styleId="xl92">
    <w:name w:val="xl92"/>
    <w:basedOn w:val="Normal"/>
    <w:uiPriority w:val="99"/>
    <w:rsid w:val="0023355D"/>
    <w:pPr>
      <w:spacing w:before="100" w:beforeAutospacing="1" w:after="100" w:afterAutospacing="1"/>
      <w:ind w:left="0"/>
      <w:jc w:val="center"/>
      <w:textAlignment w:val="center"/>
    </w:pPr>
    <w:rPr>
      <w:rFonts w:cs="Arial"/>
      <w:spacing w:val="0"/>
      <w:sz w:val="14"/>
      <w:szCs w:val="14"/>
      <w:lang w:eastAsia="fr-FR"/>
    </w:rPr>
  </w:style>
  <w:style w:type="table" w:customStyle="1" w:styleId="Grilleclaire-Accent11">
    <w:name w:val="Grille claire - Accent 11"/>
    <w:uiPriority w:val="99"/>
    <w:rsid w:val="00E247B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CarCar25">
    <w:name w:val="Car Car25"/>
    <w:locked/>
    <w:rsid w:val="00023E63"/>
    <w:rPr>
      <w:rFonts w:ascii="Arial Black" w:hAnsi="Arial Black"/>
      <w:spacing w:val="-30"/>
      <w:kern w:val="28"/>
      <w:sz w:val="40"/>
      <w:lang w:val="fr-FR" w:eastAsia="en-US" w:bidi="ar-SA"/>
    </w:rPr>
  </w:style>
  <w:style w:type="paragraph" w:styleId="Paragraphedeliste">
    <w:name w:val="List Paragraph"/>
    <w:basedOn w:val="Normal"/>
    <w:uiPriority w:val="34"/>
    <w:qFormat/>
    <w:rsid w:val="002D11F0"/>
    <w:pPr>
      <w:ind w:left="720"/>
      <w:contextualSpacing/>
    </w:pPr>
  </w:style>
</w:styles>
</file>

<file path=word/webSettings.xml><?xml version="1.0" encoding="utf-8"?>
<w:webSettings xmlns:r="http://schemas.openxmlformats.org/officeDocument/2006/relationships" xmlns:w="http://schemas.openxmlformats.org/wordprocessingml/2006/main">
  <w:divs>
    <w:div w:id="17237303">
      <w:bodyDiv w:val="1"/>
      <w:marLeft w:val="0"/>
      <w:marRight w:val="0"/>
      <w:marTop w:val="0"/>
      <w:marBottom w:val="0"/>
      <w:divBdr>
        <w:top w:val="none" w:sz="0" w:space="0" w:color="auto"/>
        <w:left w:val="none" w:sz="0" w:space="0" w:color="auto"/>
        <w:bottom w:val="none" w:sz="0" w:space="0" w:color="auto"/>
        <w:right w:val="none" w:sz="0" w:space="0" w:color="auto"/>
      </w:divBdr>
    </w:div>
    <w:div w:id="154032376">
      <w:bodyDiv w:val="1"/>
      <w:marLeft w:val="0"/>
      <w:marRight w:val="0"/>
      <w:marTop w:val="0"/>
      <w:marBottom w:val="0"/>
      <w:divBdr>
        <w:top w:val="none" w:sz="0" w:space="0" w:color="auto"/>
        <w:left w:val="none" w:sz="0" w:space="0" w:color="auto"/>
        <w:bottom w:val="none" w:sz="0" w:space="0" w:color="auto"/>
        <w:right w:val="none" w:sz="0" w:space="0" w:color="auto"/>
      </w:divBdr>
    </w:div>
    <w:div w:id="317419200">
      <w:bodyDiv w:val="1"/>
      <w:marLeft w:val="0"/>
      <w:marRight w:val="0"/>
      <w:marTop w:val="0"/>
      <w:marBottom w:val="0"/>
      <w:divBdr>
        <w:top w:val="none" w:sz="0" w:space="0" w:color="auto"/>
        <w:left w:val="none" w:sz="0" w:space="0" w:color="auto"/>
        <w:bottom w:val="none" w:sz="0" w:space="0" w:color="auto"/>
        <w:right w:val="none" w:sz="0" w:space="0" w:color="auto"/>
      </w:divBdr>
    </w:div>
    <w:div w:id="473110353">
      <w:bodyDiv w:val="1"/>
      <w:marLeft w:val="0"/>
      <w:marRight w:val="0"/>
      <w:marTop w:val="0"/>
      <w:marBottom w:val="0"/>
      <w:divBdr>
        <w:top w:val="none" w:sz="0" w:space="0" w:color="auto"/>
        <w:left w:val="none" w:sz="0" w:space="0" w:color="auto"/>
        <w:bottom w:val="none" w:sz="0" w:space="0" w:color="auto"/>
        <w:right w:val="none" w:sz="0" w:space="0" w:color="auto"/>
      </w:divBdr>
    </w:div>
    <w:div w:id="539166317">
      <w:bodyDiv w:val="1"/>
      <w:marLeft w:val="0"/>
      <w:marRight w:val="0"/>
      <w:marTop w:val="0"/>
      <w:marBottom w:val="0"/>
      <w:divBdr>
        <w:top w:val="none" w:sz="0" w:space="0" w:color="auto"/>
        <w:left w:val="none" w:sz="0" w:space="0" w:color="auto"/>
        <w:bottom w:val="none" w:sz="0" w:space="0" w:color="auto"/>
        <w:right w:val="none" w:sz="0" w:space="0" w:color="auto"/>
      </w:divBdr>
    </w:div>
    <w:div w:id="589235377">
      <w:bodyDiv w:val="1"/>
      <w:marLeft w:val="0"/>
      <w:marRight w:val="0"/>
      <w:marTop w:val="0"/>
      <w:marBottom w:val="0"/>
      <w:divBdr>
        <w:top w:val="none" w:sz="0" w:space="0" w:color="auto"/>
        <w:left w:val="none" w:sz="0" w:space="0" w:color="auto"/>
        <w:bottom w:val="none" w:sz="0" w:space="0" w:color="auto"/>
        <w:right w:val="none" w:sz="0" w:space="0" w:color="auto"/>
      </w:divBdr>
    </w:div>
    <w:div w:id="790052783">
      <w:bodyDiv w:val="1"/>
      <w:marLeft w:val="0"/>
      <w:marRight w:val="0"/>
      <w:marTop w:val="0"/>
      <w:marBottom w:val="0"/>
      <w:divBdr>
        <w:top w:val="none" w:sz="0" w:space="0" w:color="auto"/>
        <w:left w:val="none" w:sz="0" w:space="0" w:color="auto"/>
        <w:bottom w:val="none" w:sz="0" w:space="0" w:color="auto"/>
        <w:right w:val="none" w:sz="0" w:space="0" w:color="auto"/>
      </w:divBdr>
    </w:div>
    <w:div w:id="836306127">
      <w:bodyDiv w:val="1"/>
      <w:marLeft w:val="0"/>
      <w:marRight w:val="0"/>
      <w:marTop w:val="0"/>
      <w:marBottom w:val="0"/>
      <w:divBdr>
        <w:top w:val="none" w:sz="0" w:space="0" w:color="auto"/>
        <w:left w:val="none" w:sz="0" w:space="0" w:color="auto"/>
        <w:bottom w:val="none" w:sz="0" w:space="0" w:color="auto"/>
        <w:right w:val="none" w:sz="0" w:space="0" w:color="auto"/>
      </w:divBdr>
    </w:div>
    <w:div w:id="948319939">
      <w:bodyDiv w:val="1"/>
      <w:marLeft w:val="0"/>
      <w:marRight w:val="0"/>
      <w:marTop w:val="0"/>
      <w:marBottom w:val="0"/>
      <w:divBdr>
        <w:top w:val="none" w:sz="0" w:space="0" w:color="auto"/>
        <w:left w:val="none" w:sz="0" w:space="0" w:color="auto"/>
        <w:bottom w:val="none" w:sz="0" w:space="0" w:color="auto"/>
        <w:right w:val="none" w:sz="0" w:space="0" w:color="auto"/>
      </w:divBdr>
    </w:div>
    <w:div w:id="975723627">
      <w:bodyDiv w:val="1"/>
      <w:marLeft w:val="0"/>
      <w:marRight w:val="0"/>
      <w:marTop w:val="0"/>
      <w:marBottom w:val="0"/>
      <w:divBdr>
        <w:top w:val="none" w:sz="0" w:space="0" w:color="auto"/>
        <w:left w:val="none" w:sz="0" w:space="0" w:color="auto"/>
        <w:bottom w:val="none" w:sz="0" w:space="0" w:color="auto"/>
        <w:right w:val="none" w:sz="0" w:space="0" w:color="auto"/>
      </w:divBdr>
    </w:div>
    <w:div w:id="1022124526">
      <w:bodyDiv w:val="1"/>
      <w:marLeft w:val="0"/>
      <w:marRight w:val="0"/>
      <w:marTop w:val="0"/>
      <w:marBottom w:val="0"/>
      <w:divBdr>
        <w:top w:val="none" w:sz="0" w:space="0" w:color="auto"/>
        <w:left w:val="none" w:sz="0" w:space="0" w:color="auto"/>
        <w:bottom w:val="none" w:sz="0" w:space="0" w:color="auto"/>
        <w:right w:val="none" w:sz="0" w:space="0" w:color="auto"/>
      </w:divBdr>
    </w:div>
    <w:div w:id="1245913270">
      <w:bodyDiv w:val="1"/>
      <w:marLeft w:val="0"/>
      <w:marRight w:val="0"/>
      <w:marTop w:val="0"/>
      <w:marBottom w:val="0"/>
      <w:divBdr>
        <w:top w:val="none" w:sz="0" w:space="0" w:color="auto"/>
        <w:left w:val="none" w:sz="0" w:space="0" w:color="auto"/>
        <w:bottom w:val="none" w:sz="0" w:space="0" w:color="auto"/>
        <w:right w:val="none" w:sz="0" w:space="0" w:color="auto"/>
      </w:divBdr>
    </w:div>
    <w:div w:id="1260869201">
      <w:bodyDiv w:val="1"/>
      <w:marLeft w:val="0"/>
      <w:marRight w:val="0"/>
      <w:marTop w:val="0"/>
      <w:marBottom w:val="0"/>
      <w:divBdr>
        <w:top w:val="none" w:sz="0" w:space="0" w:color="auto"/>
        <w:left w:val="none" w:sz="0" w:space="0" w:color="auto"/>
        <w:bottom w:val="none" w:sz="0" w:space="0" w:color="auto"/>
        <w:right w:val="none" w:sz="0" w:space="0" w:color="auto"/>
      </w:divBdr>
    </w:div>
    <w:div w:id="1383091877">
      <w:bodyDiv w:val="1"/>
      <w:marLeft w:val="0"/>
      <w:marRight w:val="0"/>
      <w:marTop w:val="0"/>
      <w:marBottom w:val="0"/>
      <w:divBdr>
        <w:top w:val="none" w:sz="0" w:space="0" w:color="auto"/>
        <w:left w:val="none" w:sz="0" w:space="0" w:color="auto"/>
        <w:bottom w:val="none" w:sz="0" w:space="0" w:color="auto"/>
        <w:right w:val="none" w:sz="0" w:space="0" w:color="auto"/>
      </w:divBdr>
    </w:div>
    <w:div w:id="1507207394">
      <w:bodyDiv w:val="1"/>
      <w:marLeft w:val="0"/>
      <w:marRight w:val="0"/>
      <w:marTop w:val="0"/>
      <w:marBottom w:val="0"/>
      <w:divBdr>
        <w:top w:val="none" w:sz="0" w:space="0" w:color="auto"/>
        <w:left w:val="none" w:sz="0" w:space="0" w:color="auto"/>
        <w:bottom w:val="none" w:sz="0" w:space="0" w:color="auto"/>
        <w:right w:val="none" w:sz="0" w:space="0" w:color="auto"/>
      </w:divBdr>
    </w:div>
    <w:div w:id="1568297662">
      <w:bodyDiv w:val="1"/>
      <w:marLeft w:val="0"/>
      <w:marRight w:val="0"/>
      <w:marTop w:val="0"/>
      <w:marBottom w:val="8850"/>
      <w:divBdr>
        <w:top w:val="none" w:sz="0" w:space="0" w:color="auto"/>
        <w:left w:val="none" w:sz="0" w:space="0" w:color="auto"/>
        <w:bottom w:val="none" w:sz="0" w:space="0" w:color="auto"/>
        <w:right w:val="none" w:sz="0" w:space="0" w:color="auto"/>
      </w:divBdr>
      <w:divsChild>
        <w:div w:id="1241791994">
          <w:marLeft w:val="0"/>
          <w:marRight w:val="0"/>
          <w:marTop w:val="100"/>
          <w:marBottom w:val="100"/>
          <w:divBdr>
            <w:top w:val="none" w:sz="0" w:space="0" w:color="auto"/>
            <w:left w:val="none" w:sz="0" w:space="0" w:color="auto"/>
            <w:bottom w:val="none" w:sz="0" w:space="0" w:color="auto"/>
            <w:right w:val="none" w:sz="0" w:space="0" w:color="auto"/>
          </w:divBdr>
          <w:divsChild>
            <w:div w:id="1593276530">
              <w:marLeft w:val="0"/>
              <w:marRight w:val="0"/>
              <w:marTop w:val="0"/>
              <w:marBottom w:val="0"/>
              <w:divBdr>
                <w:top w:val="none" w:sz="0" w:space="0" w:color="auto"/>
                <w:left w:val="none" w:sz="0" w:space="0" w:color="auto"/>
                <w:bottom w:val="none" w:sz="0" w:space="0" w:color="auto"/>
                <w:right w:val="none" w:sz="0" w:space="0" w:color="auto"/>
              </w:divBdr>
              <w:divsChild>
                <w:div w:id="1587956370">
                  <w:marLeft w:val="135"/>
                  <w:marRight w:val="135"/>
                  <w:marTop w:val="135"/>
                  <w:marBottom w:val="135"/>
                  <w:divBdr>
                    <w:top w:val="single" w:sz="6" w:space="0" w:color="BABABA"/>
                    <w:left w:val="single" w:sz="6" w:space="0" w:color="BABABA"/>
                    <w:bottom w:val="single" w:sz="6" w:space="0" w:color="BABABA"/>
                    <w:right w:val="single" w:sz="6" w:space="0" w:color="BABABA"/>
                  </w:divBdr>
                  <w:divsChild>
                    <w:div w:id="1235235722">
                      <w:marLeft w:val="0"/>
                      <w:marRight w:val="0"/>
                      <w:marTop w:val="0"/>
                      <w:marBottom w:val="0"/>
                      <w:divBdr>
                        <w:top w:val="none" w:sz="0" w:space="0" w:color="auto"/>
                        <w:left w:val="none" w:sz="0" w:space="0" w:color="auto"/>
                        <w:bottom w:val="none" w:sz="0" w:space="0" w:color="auto"/>
                        <w:right w:val="none" w:sz="0" w:space="0" w:color="auto"/>
                      </w:divBdr>
                      <w:divsChild>
                        <w:div w:id="862285781">
                          <w:marLeft w:val="0"/>
                          <w:marRight w:val="0"/>
                          <w:marTop w:val="0"/>
                          <w:marBottom w:val="0"/>
                          <w:divBdr>
                            <w:top w:val="none" w:sz="0" w:space="0" w:color="auto"/>
                            <w:left w:val="none" w:sz="0" w:space="0" w:color="auto"/>
                            <w:bottom w:val="none" w:sz="0" w:space="0" w:color="auto"/>
                            <w:right w:val="none" w:sz="0" w:space="0" w:color="auto"/>
                          </w:divBdr>
                          <w:divsChild>
                            <w:div w:id="863060344">
                              <w:marLeft w:val="0"/>
                              <w:marRight w:val="0"/>
                              <w:marTop w:val="0"/>
                              <w:marBottom w:val="0"/>
                              <w:divBdr>
                                <w:top w:val="none" w:sz="0" w:space="0" w:color="auto"/>
                                <w:left w:val="none" w:sz="0" w:space="0" w:color="auto"/>
                                <w:bottom w:val="none" w:sz="0" w:space="0" w:color="auto"/>
                                <w:right w:val="none" w:sz="0" w:space="0" w:color="auto"/>
                              </w:divBdr>
                            </w:div>
                            <w:div w:id="813331512">
                              <w:marLeft w:val="0"/>
                              <w:marRight w:val="0"/>
                              <w:marTop w:val="0"/>
                              <w:marBottom w:val="0"/>
                              <w:divBdr>
                                <w:top w:val="none" w:sz="0" w:space="0" w:color="auto"/>
                                <w:left w:val="none" w:sz="0" w:space="0" w:color="auto"/>
                                <w:bottom w:val="none" w:sz="0" w:space="0" w:color="auto"/>
                                <w:right w:val="none" w:sz="0" w:space="0" w:color="auto"/>
                              </w:divBdr>
                            </w:div>
                          </w:divsChild>
                        </w:div>
                        <w:div w:id="1433361509">
                          <w:marLeft w:val="0"/>
                          <w:marRight w:val="0"/>
                          <w:marTop w:val="75"/>
                          <w:marBottom w:val="0"/>
                          <w:divBdr>
                            <w:top w:val="none" w:sz="0" w:space="0" w:color="auto"/>
                            <w:left w:val="none" w:sz="0" w:space="0" w:color="auto"/>
                            <w:bottom w:val="none" w:sz="0" w:space="0" w:color="auto"/>
                            <w:right w:val="none" w:sz="0" w:space="0" w:color="auto"/>
                          </w:divBdr>
                          <w:divsChild>
                            <w:div w:id="1659728375">
                              <w:marLeft w:val="0"/>
                              <w:marRight w:val="0"/>
                              <w:marTop w:val="0"/>
                              <w:marBottom w:val="0"/>
                              <w:divBdr>
                                <w:top w:val="none" w:sz="0" w:space="0" w:color="auto"/>
                                <w:left w:val="none" w:sz="0" w:space="0" w:color="auto"/>
                                <w:bottom w:val="none" w:sz="0" w:space="0" w:color="auto"/>
                                <w:right w:val="none" w:sz="0" w:space="0" w:color="auto"/>
                              </w:divBdr>
                            </w:div>
                            <w:div w:id="1080130227">
                              <w:marLeft w:val="60"/>
                              <w:marRight w:val="0"/>
                              <w:marTop w:val="0"/>
                              <w:marBottom w:val="0"/>
                              <w:divBdr>
                                <w:top w:val="none" w:sz="0" w:space="0" w:color="auto"/>
                                <w:left w:val="none" w:sz="0" w:space="0" w:color="auto"/>
                                <w:bottom w:val="none" w:sz="0" w:space="0" w:color="auto"/>
                                <w:right w:val="none" w:sz="0" w:space="0" w:color="auto"/>
                              </w:divBdr>
                            </w:div>
                          </w:divsChild>
                        </w:div>
                        <w:div w:id="97814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20847">
          <w:marLeft w:val="0"/>
          <w:marRight w:val="0"/>
          <w:marTop w:val="0"/>
          <w:marBottom w:val="0"/>
          <w:divBdr>
            <w:top w:val="none" w:sz="0" w:space="0" w:color="auto"/>
            <w:left w:val="none" w:sz="0" w:space="0" w:color="auto"/>
            <w:bottom w:val="none" w:sz="0" w:space="0" w:color="auto"/>
            <w:right w:val="none" w:sz="0" w:space="0" w:color="auto"/>
          </w:divBdr>
          <w:divsChild>
            <w:div w:id="1223829690">
              <w:marLeft w:val="0"/>
              <w:marRight w:val="0"/>
              <w:marTop w:val="375"/>
              <w:marBottom w:val="1380"/>
              <w:divBdr>
                <w:top w:val="none" w:sz="0" w:space="0" w:color="auto"/>
                <w:left w:val="none" w:sz="0" w:space="0" w:color="auto"/>
                <w:bottom w:val="none" w:sz="0" w:space="0" w:color="auto"/>
                <w:right w:val="none" w:sz="0" w:space="0" w:color="auto"/>
              </w:divBdr>
              <w:divsChild>
                <w:div w:id="103039997">
                  <w:marLeft w:val="0"/>
                  <w:marRight w:val="0"/>
                  <w:marTop w:val="0"/>
                  <w:marBottom w:val="0"/>
                  <w:divBdr>
                    <w:top w:val="none" w:sz="0" w:space="0" w:color="auto"/>
                    <w:left w:val="none" w:sz="0" w:space="0" w:color="auto"/>
                    <w:bottom w:val="none" w:sz="0" w:space="0" w:color="auto"/>
                    <w:right w:val="none" w:sz="0" w:space="0" w:color="auto"/>
                  </w:divBdr>
                </w:div>
                <w:div w:id="658584633">
                  <w:marLeft w:val="0"/>
                  <w:marRight w:val="0"/>
                  <w:marTop w:val="0"/>
                  <w:marBottom w:val="0"/>
                  <w:divBdr>
                    <w:top w:val="none" w:sz="0" w:space="0" w:color="auto"/>
                    <w:left w:val="none" w:sz="0" w:space="0" w:color="auto"/>
                    <w:bottom w:val="none" w:sz="0" w:space="0" w:color="auto"/>
                    <w:right w:val="none" w:sz="0" w:space="0" w:color="auto"/>
                  </w:divBdr>
                  <w:divsChild>
                    <w:div w:id="1564482926">
                      <w:marLeft w:val="0"/>
                      <w:marRight w:val="0"/>
                      <w:marTop w:val="0"/>
                      <w:marBottom w:val="0"/>
                      <w:divBdr>
                        <w:top w:val="none" w:sz="0" w:space="0" w:color="auto"/>
                        <w:left w:val="none" w:sz="0" w:space="0" w:color="auto"/>
                        <w:bottom w:val="none" w:sz="0" w:space="0" w:color="auto"/>
                        <w:right w:val="none" w:sz="0" w:space="0" w:color="auto"/>
                      </w:divBdr>
                      <w:divsChild>
                        <w:div w:id="1595359836">
                          <w:marLeft w:val="0"/>
                          <w:marRight w:val="0"/>
                          <w:marTop w:val="30"/>
                          <w:marBottom w:val="0"/>
                          <w:divBdr>
                            <w:top w:val="single" w:sz="6" w:space="0" w:color="CCCCCC"/>
                            <w:left w:val="single" w:sz="6" w:space="0" w:color="CCCCCC"/>
                            <w:bottom w:val="single" w:sz="6" w:space="0" w:color="CCCCCC"/>
                            <w:right w:val="single" w:sz="6" w:space="0" w:color="CCCCCC"/>
                          </w:divBdr>
                        </w:div>
                      </w:divsChild>
                    </w:div>
                  </w:divsChild>
                </w:div>
                <w:div w:id="200941773">
                  <w:marLeft w:val="0"/>
                  <w:marRight w:val="0"/>
                  <w:marTop w:val="0"/>
                  <w:marBottom w:val="0"/>
                  <w:divBdr>
                    <w:top w:val="none" w:sz="0" w:space="0" w:color="auto"/>
                    <w:left w:val="none" w:sz="0" w:space="0" w:color="auto"/>
                    <w:bottom w:val="none" w:sz="0" w:space="0" w:color="auto"/>
                    <w:right w:val="none" w:sz="0" w:space="0" w:color="auto"/>
                  </w:divBdr>
                </w:div>
                <w:div w:id="1877504579">
                  <w:marLeft w:val="0"/>
                  <w:marRight w:val="0"/>
                  <w:marTop w:val="0"/>
                  <w:marBottom w:val="0"/>
                  <w:divBdr>
                    <w:top w:val="none" w:sz="0" w:space="0" w:color="auto"/>
                    <w:left w:val="none" w:sz="0" w:space="0" w:color="auto"/>
                    <w:bottom w:val="none" w:sz="0" w:space="0" w:color="auto"/>
                    <w:right w:val="none" w:sz="0" w:space="0" w:color="auto"/>
                  </w:divBdr>
                </w:div>
                <w:div w:id="343946157">
                  <w:marLeft w:val="0"/>
                  <w:marRight w:val="0"/>
                  <w:marTop w:val="0"/>
                  <w:marBottom w:val="0"/>
                  <w:divBdr>
                    <w:top w:val="none" w:sz="0" w:space="0" w:color="auto"/>
                    <w:left w:val="none" w:sz="0" w:space="0" w:color="auto"/>
                    <w:bottom w:val="none" w:sz="0" w:space="0" w:color="auto"/>
                    <w:right w:val="none" w:sz="0" w:space="0" w:color="auto"/>
                  </w:divBdr>
                </w:div>
                <w:div w:id="279537526">
                  <w:marLeft w:val="0"/>
                  <w:marRight w:val="0"/>
                  <w:marTop w:val="0"/>
                  <w:marBottom w:val="0"/>
                  <w:divBdr>
                    <w:top w:val="none" w:sz="0" w:space="0" w:color="auto"/>
                    <w:left w:val="none" w:sz="0" w:space="0" w:color="auto"/>
                    <w:bottom w:val="none" w:sz="0" w:space="0" w:color="auto"/>
                    <w:right w:val="none" w:sz="0" w:space="0" w:color="auto"/>
                  </w:divBdr>
                </w:div>
                <w:div w:id="1028489039">
                  <w:marLeft w:val="0"/>
                  <w:marRight w:val="0"/>
                  <w:marTop w:val="0"/>
                  <w:marBottom w:val="0"/>
                  <w:divBdr>
                    <w:top w:val="none" w:sz="0" w:space="0" w:color="auto"/>
                    <w:left w:val="none" w:sz="0" w:space="0" w:color="auto"/>
                    <w:bottom w:val="none" w:sz="0" w:space="0" w:color="auto"/>
                    <w:right w:val="none" w:sz="0" w:space="0" w:color="auto"/>
                  </w:divBdr>
                </w:div>
                <w:div w:id="370344469">
                  <w:marLeft w:val="0"/>
                  <w:marRight w:val="0"/>
                  <w:marTop w:val="0"/>
                  <w:marBottom w:val="0"/>
                  <w:divBdr>
                    <w:top w:val="none" w:sz="0" w:space="0" w:color="auto"/>
                    <w:left w:val="none" w:sz="0" w:space="0" w:color="auto"/>
                    <w:bottom w:val="none" w:sz="0" w:space="0" w:color="auto"/>
                    <w:right w:val="none" w:sz="0" w:space="0" w:color="auto"/>
                  </w:divBdr>
                </w:div>
                <w:div w:id="1511095678">
                  <w:marLeft w:val="0"/>
                  <w:marRight w:val="0"/>
                  <w:marTop w:val="0"/>
                  <w:marBottom w:val="0"/>
                  <w:divBdr>
                    <w:top w:val="none" w:sz="0" w:space="0" w:color="auto"/>
                    <w:left w:val="none" w:sz="0" w:space="0" w:color="auto"/>
                    <w:bottom w:val="none" w:sz="0" w:space="0" w:color="auto"/>
                    <w:right w:val="none" w:sz="0" w:space="0" w:color="auto"/>
                  </w:divBdr>
                </w:div>
                <w:div w:id="1992170084">
                  <w:marLeft w:val="0"/>
                  <w:marRight w:val="0"/>
                  <w:marTop w:val="0"/>
                  <w:marBottom w:val="0"/>
                  <w:divBdr>
                    <w:top w:val="none" w:sz="0" w:space="0" w:color="auto"/>
                    <w:left w:val="none" w:sz="0" w:space="0" w:color="auto"/>
                    <w:bottom w:val="none" w:sz="0" w:space="0" w:color="auto"/>
                    <w:right w:val="none" w:sz="0" w:space="0" w:color="auto"/>
                  </w:divBdr>
                </w:div>
                <w:div w:id="1660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56374">
      <w:bodyDiv w:val="1"/>
      <w:marLeft w:val="0"/>
      <w:marRight w:val="0"/>
      <w:marTop w:val="0"/>
      <w:marBottom w:val="8850"/>
      <w:divBdr>
        <w:top w:val="none" w:sz="0" w:space="0" w:color="auto"/>
        <w:left w:val="none" w:sz="0" w:space="0" w:color="auto"/>
        <w:bottom w:val="none" w:sz="0" w:space="0" w:color="auto"/>
        <w:right w:val="none" w:sz="0" w:space="0" w:color="auto"/>
      </w:divBdr>
      <w:divsChild>
        <w:div w:id="526990169">
          <w:marLeft w:val="0"/>
          <w:marRight w:val="0"/>
          <w:marTop w:val="0"/>
          <w:marBottom w:val="0"/>
          <w:divBdr>
            <w:top w:val="single" w:sz="36" w:space="0" w:color="990000"/>
            <w:left w:val="single" w:sz="36" w:space="0" w:color="990000"/>
            <w:bottom w:val="single" w:sz="36" w:space="0" w:color="990000"/>
            <w:right w:val="single" w:sz="36" w:space="0" w:color="990000"/>
          </w:divBdr>
          <w:divsChild>
            <w:div w:id="18698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80789">
      <w:marLeft w:val="0"/>
      <w:marRight w:val="0"/>
      <w:marTop w:val="0"/>
      <w:marBottom w:val="0"/>
      <w:divBdr>
        <w:top w:val="none" w:sz="0" w:space="0" w:color="auto"/>
        <w:left w:val="none" w:sz="0" w:space="0" w:color="auto"/>
        <w:bottom w:val="none" w:sz="0" w:space="0" w:color="auto"/>
        <w:right w:val="none" w:sz="0" w:space="0" w:color="auto"/>
      </w:divBdr>
    </w:div>
    <w:div w:id="1625580790">
      <w:marLeft w:val="0"/>
      <w:marRight w:val="0"/>
      <w:marTop w:val="0"/>
      <w:marBottom w:val="0"/>
      <w:divBdr>
        <w:top w:val="none" w:sz="0" w:space="0" w:color="auto"/>
        <w:left w:val="none" w:sz="0" w:space="0" w:color="auto"/>
        <w:bottom w:val="none" w:sz="0" w:space="0" w:color="auto"/>
        <w:right w:val="none" w:sz="0" w:space="0" w:color="auto"/>
      </w:divBdr>
    </w:div>
    <w:div w:id="1625580791">
      <w:marLeft w:val="0"/>
      <w:marRight w:val="0"/>
      <w:marTop w:val="0"/>
      <w:marBottom w:val="0"/>
      <w:divBdr>
        <w:top w:val="none" w:sz="0" w:space="0" w:color="auto"/>
        <w:left w:val="none" w:sz="0" w:space="0" w:color="auto"/>
        <w:bottom w:val="none" w:sz="0" w:space="0" w:color="auto"/>
        <w:right w:val="none" w:sz="0" w:space="0" w:color="auto"/>
      </w:divBdr>
    </w:div>
    <w:div w:id="1625580792">
      <w:marLeft w:val="0"/>
      <w:marRight w:val="0"/>
      <w:marTop w:val="0"/>
      <w:marBottom w:val="0"/>
      <w:divBdr>
        <w:top w:val="none" w:sz="0" w:space="0" w:color="auto"/>
        <w:left w:val="none" w:sz="0" w:space="0" w:color="auto"/>
        <w:bottom w:val="none" w:sz="0" w:space="0" w:color="auto"/>
        <w:right w:val="none" w:sz="0" w:space="0" w:color="auto"/>
      </w:divBdr>
    </w:div>
    <w:div w:id="1625580793">
      <w:marLeft w:val="0"/>
      <w:marRight w:val="0"/>
      <w:marTop w:val="0"/>
      <w:marBottom w:val="0"/>
      <w:divBdr>
        <w:top w:val="none" w:sz="0" w:space="0" w:color="auto"/>
        <w:left w:val="none" w:sz="0" w:space="0" w:color="auto"/>
        <w:bottom w:val="none" w:sz="0" w:space="0" w:color="auto"/>
        <w:right w:val="none" w:sz="0" w:space="0" w:color="auto"/>
      </w:divBdr>
    </w:div>
    <w:div w:id="1625580794">
      <w:marLeft w:val="0"/>
      <w:marRight w:val="0"/>
      <w:marTop w:val="0"/>
      <w:marBottom w:val="0"/>
      <w:divBdr>
        <w:top w:val="none" w:sz="0" w:space="0" w:color="auto"/>
        <w:left w:val="none" w:sz="0" w:space="0" w:color="auto"/>
        <w:bottom w:val="none" w:sz="0" w:space="0" w:color="auto"/>
        <w:right w:val="none" w:sz="0" w:space="0" w:color="auto"/>
      </w:divBdr>
    </w:div>
    <w:div w:id="1625580795">
      <w:marLeft w:val="0"/>
      <w:marRight w:val="0"/>
      <w:marTop w:val="0"/>
      <w:marBottom w:val="0"/>
      <w:divBdr>
        <w:top w:val="none" w:sz="0" w:space="0" w:color="auto"/>
        <w:left w:val="none" w:sz="0" w:space="0" w:color="auto"/>
        <w:bottom w:val="none" w:sz="0" w:space="0" w:color="auto"/>
        <w:right w:val="none" w:sz="0" w:space="0" w:color="auto"/>
      </w:divBdr>
    </w:div>
    <w:div w:id="1625580796">
      <w:marLeft w:val="0"/>
      <w:marRight w:val="0"/>
      <w:marTop w:val="0"/>
      <w:marBottom w:val="0"/>
      <w:divBdr>
        <w:top w:val="none" w:sz="0" w:space="0" w:color="auto"/>
        <w:left w:val="none" w:sz="0" w:space="0" w:color="auto"/>
        <w:bottom w:val="none" w:sz="0" w:space="0" w:color="auto"/>
        <w:right w:val="none" w:sz="0" w:space="0" w:color="auto"/>
      </w:divBdr>
    </w:div>
    <w:div w:id="1625580797">
      <w:marLeft w:val="0"/>
      <w:marRight w:val="0"/>
      <w:marTop w:val="0"/>
      <w:marBottom w:val="0"/>
      <w:divBdr>
        <w:top w:val="none" w:sz="0" w:space="0" w:color="auto"/>
        <w:left w:val="none" w:sz="0" w:space="0" w:color="auto"/>
        <w:bottom w:val="none" w:sz="0" w:space="0" w:color="auto"/>
        <w:right w:val="none" w:sz="0" w:space="0" w:color="auto"/>
      </w:divBdr>
    </w:div>
    <w:div w:id="1625580798">
      <w:marLeft w:val="0"/>
      <w:marRight w:val="0"/>
      <w:marTop w:val="0"/>
      <w:marBottom w:val="0"/>
      <w:divBdr>
        <w:top w:val="none" w:sz="0" w:space="0" w:color="auto"/>
        <w:left w:val="none" w:sz="0" w:space="0" w:color="auto"/>
        <w:bottom w:val="none" w:sz="0" w:space="0" w:color="auto"/>
        <w:right w:val="none" w:sz="0" w:space="0" w:color="auto"/>
      </w:divBdr>
    </w:div>
    <w:div w:id="1625580799">
      <w:marLeft w:val="0"/>
      <w:marRight w:val="0"/>
      <w:marTop w:val="0"/>
      <w:marBottom w:val="0"/>
      <w:divBdr>
        <w:top w:val="none" w:sz="0" w:space="0" w:color="auto"/>
        <w:left w:val="none" w:sz="0" w:space="0" w:color="auto"/>
        <w:bottom w:val="none" w:sz="0" w:space="0" w:color="auto"/>
        <w:right w:val="none" w:sz="0" w:space="0" w:color="auto"/>
      </w:divBdr>
    </w:div>
    <w:div w:id="1625580800">
      <w:marLeft w:val="0"/>
      <w:marRight w:val="0"/>
      <w:marTop w:val="0"/>
      <w:marBottom w:val="0"/>
      <w:divBdr>
        <w:top w:val="none" w:sz="0" w:space="0" w:color="auto"/>
        <w:left w:val="none" w:sz="0" w:space="0" w:color="auto"/>
        <w:bottom w:val="none" w:sz="0" w:space="0" w:color="auto"/>
        <w:right w:val="none" w:sz="0" w:space="0" w:color="auto"/>
      </w:divBdr>
    </w:div>
    <w:div w:id="1625580801">
      <w:marLeft w:val="0"/>
      <w:marRight w:val="0"/>
      <w:marTop w:val="0"/>
      <w:marBottom w:val="0"/>
      <w:divBdr>
        <w:top w:val="none" w:sz="0" w:space="0" w:color="auto"/>
        <w:left w:val="none" w:sz="0" w:space="0" w:color="auto"/>
        <w:bottom w:val="none" w:sz="0" w:space="0" w:color="auto"/>
        <w:right w:val="none" w:sz="0" w:space="0" w:color="auto"/>
      </w:divBdr>
    </w:div>
    <w:div w:id="1625580802">
      <w:marLeft w:val="0"/>
      <w:marRight w:val="0"/>
      <w:marTop w:val="0"/>
      <w:marBottom w:val="0"/>
      <w:divBdr>
        <w:top w:val="none" w:sz="0" w:space="0" w:color="auto"/>
        <w:left w:val="none" w:sz="0" w:space="0" w:color="auto"/>
        <w:bottom w:val="none" w:sz="0" w:space="0" w:color="auto"/>
        <w:right w:val="none" w:sz="0" w:space="0" w:color="auto"/>
      </w:divBdr>
    </w:div>
    <w:div w:id="1625580803">
      <w:marLeft w:val="0"/>
      <w:marRight w:val="0"/>
      <w:marTop w:val="0"/>
      <w:marBottom w:val="0"/>
      <w:divBdr>
        <w:top w:val="none" w:sz="0" w:space="0" w:color="auto"/>
        <w:left w:val="none" w:sz="0" w:space="0" w:color="auto"/>
        <w:bottom w:val="none" w:sz="0" w:space="0" w:color="auto"/>
        <w:right w:val="none" w:sz="0" w:space="0" w:color="auto"/>
      </w:divBdr>
    </w:div>
    <w:div w:id="1625580804">
      <w:marLeft w:val="0"/>
      <w:marRight w:val="0"/>
      <w:marTop w:val="0"/>
      <w:marBottom w:val="0"/>
      <w:divBdr>
        <w:top w:val="none" w:sz="0" w:space="0" w:color="auto"/>
        <w:left w:val="none" w:sz="0" w:space="0" w:color="auto"/>
        <w:bottom w:val="none" w:sz="0" w:space="0" w:color="auto"/>
        <w:right w:val="none" w:sz="0" w:space="0" w:color="auto"/>
      </w:divBdr>
    </w:div>
    <w:div w:id="1625580805">
      <w:marLeft w:val="0"/>
      <w:marRight w:val="0"/>
      <w:marTop w:val="0"/>
      <w:marBottom w:val="0"/>
      <w:divBdr>
        <w:top w:val="none" w:sz="0" w:space="0" w:color="auto"/>
        <w:left w:val="none" w:sz="0" w:space="0" w:color="auto"/>
        <w:bottom w:val="none" w:sz="0" w:space="0" w:color="auto"/>
        <w:right w:val="none" w:sz="0" w:space="0" w:color="auto"/>
      </w:divBdr>
    </w:div>
    <w:div w:id="1625580806">
      <w:marLeft w:val="0"/>
      <w:marRight w:val="0"/>
      <w:marTop w:val="0"/>
      <w:marBottom w:val="0"/>
      <w:divBdr>
        <w:top w:val="none" w:sz="0" w:space="0" w:color="auto"/>
        <w:left w:val="none" w:sz="0" w:space="0" w:color="auto"/>
        <w:bottom w:val="none" w:sz="0" w:space="0" w:color="auto"/>
        <w:right w:val="none" w:sz="0" w:space="0" w:color="auto"/>
      </w:divBdr>
    </w:div>
    <w:div w:id="1625580807">
      <w:marLeft w:val="0"/>
      <w:marRight w:val="0"/>
      <w:marTop w:val="0"/>
      <w:marBottom w:val="0"/>
      <w:divBdr>
        <w:top w:val="none" w:sz="0" w:space="0" w:color="auto"/>
        <w:left w:val="none" w:sz="0" w:space="0" w:color="auto"/>
        <w:bottom w:val="none" w:sz="0" w:space="0" w:color="auto"/>
        <w:right w:val="none" w:sz="0" w:space="0" w:color="auto"/>
      </w:divBdr>
    </w:div>
    <w:div w:id="1625580808">
      <w:marLeft w:val="0"/>
      <w:marRight w:val="0"/>
      <w:marTop w:val="0"/>
      <w:marBottom w:val="0"/>
      <w:divBdr>
        <w:top w:val="none" w:sz="0" w:space="0" w:color="auto"/>
        <w:left w:val="none" w:sz="0" w:space="0" w:color="auto"/>
        <w:bottom w:val="none" w:sz="0" w:space="0" w:color="auto"/>
        <w:right w:val="none" w:sz="0" w:space="0" w:color="auto"/>
      </w:divBdr>
    </w:div>
    <w:div w:id="1625580809">
      <w:marLeft w:val="0"/>
      <w:marRight w:val="0"/>
      <w:marTop w:val="0"/>
      <w:marBottom w:val="0"/>
      <w:divBdr>
        <w:top w:val="none" w:sz="0" w:space="0" w:color="auto"/>
        <w:left w:val="none" w:sz="0" w:space="0" w:color="auto"/>
        <w:bottom w:val="none" w:sz="0" w:space="0" w:color="auto"/>
        <w:right w:val="none" w:sz="0" w:space="0" w:color="auto"/>
      </w:divBdr>
    </w:div>
    <w:div w:id="1625580810">
      <w:marLeft w:val="0"/>
      <w:marRight w:val="0"/>
      <w:marTop w:val="0"/>
      <w:marBottom w:val="0"/>
      <w:divBdr>
        <w:top w:val="none" w:sz="0" w:space="0" w:color="auto"/>
        <w:left w:val="none" w:sz="0" w:space="0" w:color="auto"/>
        <w:bottom w:val="none" w:sz="0" w:space="0" w:color="auto"/>
        <w:right w:val="none" w:sz="0" w:space="0" w:color="auto"/>
      </w:divBdr>
    </w:div>
    <w:div w:id="1625580811">
      <w:marLeft w:val="0"/>
      <w:marRight w:val="0"/>
      <w:marTop w:val="0"/>
      <w:marBottom w:val="0"/>
      <w:divBdr>
        <w:top w:val="none" w:sz="0" w:space="0" w:color="auto"/>
        <w:left w:val="none" w:sz="0" w:space="0" w:color="auto"/>
        <w:bottom w:val="none" w:sz="0" w:space="0" w:color="auto"/>
        <w:right w:val="none" w:sz="0" w:space="0" w:color="auto"/>
      </w:divBdr>
    </w:div>
    <w:div w:id="1625580812">
      <w:marLeft w:val="0"/>
      <w:marRight w:val="0"/>
      <w:marTop w:val="0"/>
      <w:marBottom w:val="0"/>
      <w:divBdr>
        <w:top w:val="none" w:sz="0" w:space="0" w:color="auto"/>
        <w:left w:val="none" w:sz="0" w:space="0" w:color="auto"/>
        <w:bottom w:val="none" w:sz="0" w:space="0" w:color="auto"/>
        <w:right w:val="none" w:sz="0" w:space="0" w:color="auto"/>
      </w:divBdr>
    </w:div>
    <w:div w:id="1625580813">
      <w:marLeft w:val="0"/>
      <w:marRight w:val="0"/>
      <w:marTop w:val="0"/>
      <w:marBottom w:val="0"/>
      <w:divBdr>
        <w:top w:val="none" w:sz="0" w:space="0" w:color="auto"/>
        <w:left w:val="none" w:sz="0" w:space="0" w:color="auto"/>
        <w:bottom w:val="none" w:sz="0" w:space="0" w:color="auto"/>
        <w:right w:val="none" w:sz="0" w:space="0" w:color="auto"/>
      </w:divBdr>
    </w:div>
    <w:div w:id="1625580814">
      <w:marLeft w:val="0"/>
      <w:marRight w:val="0"/>
      <w:marTop w:val="0"/>
      <w:marBottom w:val="0"/>
      <w:divBdr>
        <w:top w:val="none" w:sz="0" w:space="0" w:color="auto"/>
        <w:left w:val="none" w:sz="0" w:space="0" w:color="auto"/>
        <w:bottom w:val="none" w:sz="0" w:space="0" w:color="auto"/>
        <w:right w:val="none" w:sz="0" w:space="0" w:color="auto"/>
      </w:divBdr>
    </w:div>
    <w:div w:id="1625580815">
      <w:marLeft w:val="0"/>
      <w:marRight w:val="0"/>
      <w:marTop w:val="0"/>
      <w:marBottom w:val="0"/>
      <w:divBdr>
        <w:top w:val="none" w:sz="0" w:space="0" w:color="auto"/>
        <w:left w:val="none" w:sz="0" w:space="0" w:color="auto"/>
        <w:bottom w:val="none" w:sz="0" w:space="0" w:color="auto"/>
        <w:right w:val="none" w:sz="0" w:space="0" w:color="auto"/>
      </w:divBdr>
    </w:div>
    <w:div w:id="1625580816">
      <w:marLeft w:val="0"/>
      <w:marRight w:val="0"/>
      <w:marTop w:val="0"/>
      <w:marBottom w:val="0"/>
      <w:divBdr>
        <w:top w:val="none" w:sz="0" w:space="0" w:color="auto"/>
        <w:left w:val="none" w:sz="0" w:space="0" w:color="auto"/>
        <w:bottom w:val="none" w:sz="0" w:space="0" w:color="auto"/>
        <w:right w:val="none" w:sz="0" w:space="0" w:color="auto"/>
      </w:divBdr>
    </w:div>
    <w:div w:id="1625580817">
      <w:marLeft w:val="0"/>
      <w:marRight w:val="0"/>
      <w:marTop w:val="0"/>
      <w:marBottom w:val="0"/>
      <w:divBdr>
        <w:top w:val="none" w:sz="0" w:space="0" w:color="auto"/>
        <w:left w:val="none" w:sz="0" w:space="0" w:color="auto"/>
        <w:bottom w:val="none" w:sz="0" w:space="0" w:color="auto"/>
        <w:right w:val="none" w:sz="0" w:space="0" w:color="auto"/>
      </w:divBdr>
    </w:div>
    <w:div w:id="1625580818">
      <w:marLeft w:val="0"/>
      <w:marRight w:val="0"/>
      <w:marTop w:val="0"/>
      <w:marBottom w:val="0"/>
      <w:divBdr>
        <w:top w:val="none" w:sz="0" w:space="0" w:color="auto"/>
        <w:left w:val="none" w:sz="0" w:space="0" w:color="auto"/>
        <w:bottom w:val="none" w:sz="0" w:space="0" w:color="auto"/>
        <w:right w:val="none" w:sz="0" w:space="0" w:color="auto"/>
      </w:divBdr>
    </w:div>
    <w:div w:id="1625580819">
      <w:marLeft w:val="0"/>
      <w:marRight w:val="0"/>
      <w:marTop w:val="0"/>
      <w:marBottom w:val="0"/>
      <w:divBdr>
        <w:top w:val="none" w:sz="0" w:space="0" w:color="auto"/>
        <w:left w:val="none" w:sz="0" w:space="0" w:color="auto"/>
        <w:bottom w:val="none" w:sz="0" w:space="0" w:color="auto"/>
        <w:right w:val="none" w:sz="0" w:space="0" w:color="auto"/>
      </w:divBdr>
    </w:div>
    <w:div w:id="1625580820">
      <w:marLeft w:val="0"/>
      <w:marRight w:val="0"/>
      <w:marTop w:val="0"/>
      <w:marBottom w:val="0"/>
      <w:divBdr>
        <w:top w:val="none" w:sz="0" w:space="0" w:color="auto"/>
        <w:left w:val="none" w:sz="0" w:space="0" w:color="auto"/>
        <w:bottom w:val="none" w:sz="0" w:space="0" w:color="auto"/>
        <w:right w:val="none" w:sz="0" w:space="0" w:color="auto"/>
      </w:divBdr>
    </w:div>
    <w:div w:id="1625580821">
      <w:marLeft w:val="0"/>
      <w:marRight w:val="0"/>
      <w:marTop w:val="0"/>
      <w:marBottom w:val="0"/>
      <w:divBdr>
        <w:top w:val="none" w:sz="0" w:space="0" w:color="auto"/>
        <w:left w:val="none" w:sz="0" w:space="0" w:color="auto"/>
        <w:bottom w:val="none" w:sz="0" w:space="0" w:color="auto"/>
        <w:right w:val="none" w:sz="0" w:space="0" w:color="auto"/>
      </w:divBdr>
    </w:div>
    <w:div w:id="1625580822">
      <w:marLeft w:val="0"/>
      <w:marRight w:val="0"/>
      <w:marTop w:val="0"/>
      <w:marBottom w:val="0"/>
      <w:divBdr>
        <w:top w:val="none" w:sz="0" w:space="0" w:color="auto"/>
        <w:left w:val="none" w:sz="0" w:space="0" w:color="auto"/>
        <w:bottom w:val="none" w:sz="0" w:space="0" w:color="auto"/>
        <w:right w:val="none" w:sz="0" w:space="0" w:color="auto"/>
      </w:divBdr>
    </w:div>
    <w:div w:id="1625580823">
      <w:marLeft w:val="0"/>
      <w:marRight w:val="0"/>
      <w:marTop w:val="0"/>
      <w:marBottom w:val="0"/>
      <w:divBdr>
        <w:top w:val="none" w:sz="0" w:space="0" w:color="auto"/>
        <w:left w:val="none" w:sz="0" w:space="0" w:color="auto"/>
        <w:bottom w:val="none" w:sz="0" w:space="0" w:color="auto"/>
        <w:right w:val="none" w:sz="0" w:space="0" w:color="auto"/>
      </w:divBdr>
    </w:div>
    <w:div w:id="1625580824">
      <w:marLeft w:val="0"/>
      <w:marRight w:val="0"/>
      <w:marTop w:val="0"/>
      <w:marBottom w:val="0"/>
      <w:divBdr>
        <w:top w:val="none" w:sz="0" w:space="0" w:color="auto"/>
        <w:left w:val="none" w:sz="0" w:space="0" w:color="auto"/>
        <w:bottom w:val="none" w:sz="0" w:space="0" w:color="auto"/>
        <w:right w:val="none" w:sz="0" w:space="0" w:color="auto"/>
      </w:divBdr>
    </w:div>
    <w:div w:id="1625580825">
      <w:marLeft w:val="0"/>
      <w:marRight w:val="0"/>
      <w:marTop w:val="0"/>
      <w:marBottom w:val="0"/>
      <w:divBdr>
        <w:top w:val="none" w:sz="0" w:space="0" w:color="auto"/>
        <w:left w:val="none" w:sz="0" w:space="0" w:color="auto"/>
        <w:bottom w:val="none" w:sz="0" w:space="0" w:color="auto"/>
        <w:right w:val="none" w:sz="0" w:space="0" w:color="auto"/>
      </w:divBdr>
    </w:div>
    <w:div w:id="1625580826">
      <w:marLeft w:val="0"/>
      <w:marRight w:val="0"/>
      <w:marTop w:val="0"/>
      <w:marBottom w:val="0"/>
      <w:divBdr>
        <w:top w:val="none" w:sz="0" w:space="0" w:color="auto"/>
        <w:left w:val="none" w:sz="0" w:space="0" w:color="auto"/>
        <w:bottom w:val="none" w:sz="0" w:space="0" w:color="auto"/>
        <w:right w:val="none" w:sz="0" w:space="0" w:color="auto"/>
      </w:divBdr>
    </w:div>
    <w:div w:id="1625580827">
      <w:marLeft w:val="0"/>
      <w:marRight w:val="0"/>
      <w:marTop w:val="0"/>
      <w:marBottom w:val="0"/>
      <w:divBdr>
        <w:top w:val="none" w:sz="0" w:space="0" w:color="auto"/>
        <w:left w:val="none" w:sz="0" w:space="0" w:color="auto"/>
        <w:bottom w:val="none" w:sz="0" w:space="0" w:color="auto"/>
        <w:right w:val="none" w:sz="0" w:space="0" w:color="auto"/>
      </w:divBdr>
    </w:div>
    <w:div w:id="1625580828">
      <w:marLeft w:val="0"/>
      <w:marRight w:val="0"/>
      <w:marTop w:val="0"/>
      <w:marBottom w:val="0"/>
      <w:divBdr>
        <w:top w:val="none" w:sz="0" w:space="0" w:color="auto"/>
        <w:left w:val="none" w:sz="0" w:space="0" w:color="auto"/>
        <w:bottom w:val="none" w:sz="0" w:space="0" w:color="auto"/>
        <w:right w:val="none" w:sz="0" w:space="0" w:color="auto"/>
      </w:divBdr>
    </w:div>
    <w:div w:id="1625580829">
      <w:marLeft w:val="0"/>
      <w:marRight w:val="0"/>
      <w:marTop w:val="0"/>
      <w:marBottom w:val="0"/>
      <w:divBdr>
        <w:top w:val="none" w:sz="0" w:space="0" w:color="auto"/>
        <w:left w:val="none" w:sz="0" w:space="0" w:color="auto"/>
        <w:bottom w:val="none" w:sz="0" w:space="0" w:color="auto"/>
        <w:right w:val="none" w:sz="0" w:space="0" w:color="auto"/>
      </w:divBdr>
    </w:div>
    <w:div w:id="1625580830">
      <w:marLeft w:val="0"/>
      <w:marRight w:val="0"/>
      <w:marTop w:val="0"/>
      <w:marBottom w:val="0"/>
      <w:divBdr>
        <w:top w:val="none" w:sz="0" w:space="0" w:color="auto"/>
        <w:left w:val="none" w:sz="0" w:space="0" w:color="auto"/>
        <w:bottom w:val="none" w:sz="0" w:space="0" w:color="auto"/>
        <w:right w:val="none" w:sz="0" w:space="0" w:color="auto"/>
      </w:divBdr>
    </w:div>
    <w:div w:id="1625580831">
      <w:marLeft w:val="0"/>
      <w:marRight w:val="0"/>
      <w:marTop w:val="0"/>
      <w:marBottom w:val="0"/>
      <w:divBdr>
        <w:top w:val="none" w:sz="0" w:space="0" w:color="auto"/>
        <w:left w:val="none" w:sz="0" w:space="0" w:color="auto"/>
        <w:bottom w:val="none" w:sz="0" w:space="0" w:color="auto"/>
        <w:right w:val="none" w:sz="0" w:space="0" w:color="auto"/>
      </w:divBdr>
    </w:div>
    <w:div w:id="1625580832">
      <w:marLeft w:val="0"/>
      <w:marRight w:val="0"/>
      <w:marTop w:val="0"/>
      <w:marBottom w:val="0"/>
      <w:divBdr>
        <w:top w:val="none" w:sz="0" w:space="0" w:color="auto"/>
        <w:left w:val="none" w:sz="0" w:space="0" w:color="auto"/>
        <w:bottom w:val="none" w:sz="0" w:space="0" w:color="auto"/>
        <w:right w:val="none" w:sz="0" w:space="0" w:color="auto"/>
      </w:divBdr>
    </w:div>
    <w:div w:id="1625580833">
      <w:marLeft w:val="0"/>
      <w:marRight w:val="0"/>
      <w:marTop w:val="0"/>
      <w:marBottom w:val="0"/>
      <w:divBdr>
        <w:top w:val="none" w:sz="0" w:space="0" w:color="auto"/>
        <w:left w:val="none" w:sz="0" w:space="0" w:color="auto"/>
        <w:bottom w:val="none" w:sz="0" w:space="0" w:color="auto"/>
        <w:right w:val="none" w:sz="0" w:space="0" w:color="auto"/>
      </w:divBdr>
    </w:div>
    <w:div w:id="1625580834">
      <w:marLeft w:val="0"/>
      <w:marRight w:val="0"/>
      <w:marTop w:val="0"/>
      <w:marBottom w:val="0"/>
      <w:divBdr>
        <w:top w:val="none" w:sz="0" w:space="0" w:color="auto"/>
        <w:left w:val="none" w:sz="0" w:space="0" w:color="auto"/>
        <w:bottom w:val="none" w:sz="0" w:space="0" w:color="auto"/>
        <w:right w:val="none" w:sz="0" w:space="0" w:color="auto"/>
      </w:divBdr>
    </w:div>
    <w:div w:id="1625580835">
      <w:marLeft w:val="0"/>
      <w:marRight w:val="0"/>
      <w:marTop w:val="0"/>
      <w:marBottom w:val="0"/>
      <w:divBdr>
        <w:top w:val="none" w:sz="0" w:space="0" w:color="auto"/>
        <w:left w:val="none" w:sz="0" w:space="0" w:color="auto"/>
        <w:bottom w:val="none" w:sz="0" w:space="0" w:color="auto"/>
        <w:right w:val="none" w:sz="0" w:space="0" w:color="auto"/>
      </w:divBdr>
    </w:div>
    <w:div w:id="1625580836">
      <w:marLeft w:val="0"/>
      <w:marRight w:val="0"/>
      <w:marTop w:val="0"/>
      <w:marBottom w:val="0"/>
      <w:divBdr>
        <w:top w:val="none" w:sz="0" w:space="0" w:color="auto"/>
        <w:left w:val="none" w:sz="0" w:space="0" w:color="auto"/>
        <w:bottom w:val="none" w:sz="0" w:space="0" w:color="auto"/>
        <w:right w:val="none" w:sz="0" w:space="0" w:color="auto"/>
      </w:divBdr>
    </w:div>
    <w:div w:id="1625580837">
      <w:marLeft w:val="0"/>
      <w:marRight w:val="0"/>
      <w:marTop w:val="0"/>
      <w:marBottom w:val="0"/>
      <w:divBdr>
        <w:top w:val="none" w:sz="0" w:space="0" w:color="auto"/>
        <w:left w:val="none" w:sz="0" w:space="0" w:color="auto"/>
        <w:bottom w:val="none" w:sz="0" w:space="0" w:color="auto"/>
        <w:right w:val="none" w:sz="0" w:space="0" w:color="auto"/>
      </w:divBdr>
    </w:div>
    <w:div w:id="1625580838">
      <w:marLeft w:val="0"/>
      <w:marRight w:val="0"/>
      <w:marTop w:val="0"/>
      <w:marBottom w:val="0"/>
      <w:divBdr>
        <w:top w:val="none" w:sz="0" w:space="0" w:color="auto"/>
        <w:left w:val="none" w:sz="0" w:space="0" w:color="auto"/>
        <w:bottom w:val="none" w:sz="0" w:space="0" w:color="auto"/>
        <w:right w:val="none" w:sz="0" w:space="0" w:color="auto"/>
      </w:divBdr>
    </w:div>
    <w:div w:id="1625580839">
      <w:marLeft w:val="0"/>
      <w:marRight w:val="0"/>
      <w:marTop w:val="0"/>
      <w:marBottom w:val="0"/>
      <w:divBdr>
        <w:top w:val="none" w:sz="0" w:space="0" w:color="auto"/>
        <w:left w:val="none" w:sz="0" w:space="0" w:color="auto"/>
        <w:bottom w:val="none" w:sz="0" w:space="0" w:color="auto"/>
        <w:right w:val="none" w:sz="0" w:space="0" w:color="auto"/>
      </w:divBdr>
    </w:div>
    <w:div w:id="1625580840">
      <w:marLeft w:val="0"/>
      <w:marRight w:val="0"/>
      <w:marTop w:val="0"/>
      <w:marBottom w:val="0"/>
      <w:divBdr>
        <w:top w:val="none" w:sz="0" w:space="0" w:color="auto"/>
        <w:left w:val="none" w:sz="0" w:space="0" w:color="auto"/>
        <w:bottom w:val="none" w:sz="0" w:space="0" w:color="auto"/>
        <w:right w:val="none" w:sz="0" w:space="0" w:color="auto"/>
      </w:divBdr>
    </w:div>
    <w:div w:id="1625580841">
      <w:marLeft w:val="0"/>
      <w:marRight w:val="0"/>
      <w:marTop w:val="0"/>
      <w:marBottom w:val="0"/>
      <w:divBdr>
        <w:top w:val="none" w:sz="0" w:space="0" w:color="auto"/>
        <w:left w:val="none" w:sz="0" w:space="0" w:color="auto"/>
        <w:bottom w:val="none" w:sz="0" w:space="0" w:color="auto"/>
        <w:right w:val="none" w:sz="0" w:space="0" w:color="auto"/>
      </w:divBdr>
    </w:div>
    <w:div w:id="1625580842">
      <w:marLeft w:val="0"/>
      <w:marRight w:val="0"/>
      <w:marTop w:val="0"/>
      <w:marBottom w:val="0"/>
      <w:divBdr>
        <w:top w:val="none" w:sz="0" w:space="0" w:color="auto"/>
        <w:left w:val="none" w:sz="0" w:space="0" w:color="auto"/>
        <w:bottom w:val="none" w:sz="0" w:space="0" w:color="auto"/>
        <w:right w:val="none" w:sz="0" w:space="0" w:color="auto"/>
      </w:divBdr>
    </w:div>
    <w:div w:id="1625580843">
      <w:marLeft w:val="0"/>
      <w:marRight w:val="0"/>
      <w:marTop w:val="0"/>
      <w:marBottom w:val="0"/>
      <w:divBdr>
        <w:top w:val="none" w:sz="0" w:space="0" w:color="auto"/>
        <w:left w:val="none" w:sz="0" w:space="0" w:color="auto"/>
        <w:bottom w:val="none" w:sz="0" w:space="0" w:color="auto"/>
        <w:right w:val="none" w:sz="0" w:space="0" w:color="auto"/>
      </w:divBdr>
    </w:div>
    <w:div w:id="1625580844">
      <w:marLeft w:val="0"/>
      <w:marRight w:val="0"/>
      <w:marTop w:val="0"/>
      <w:marBottom w:val="0"/>
      <w:divBdr>
        <w:top w:val="none" w:sz="0" w:space="0" w:color="auto"/>
        <w:left w:val="none" w:sz="0" w:space="0" w:color="auto"/>
        <w:bottom w:val="none" w:sz="0" w:space="0" w:color="auto"/>
        <w:right w:val="none" w:sz="0" w:space="0" w:color="auto"/>
      </w:divBdr>
    </w:div>
    <w:div w:id="1625580845">
      <w:marLeft w:val="0"/>
      <w:marRight w:val="0"/>
      <w:marTop w:val="0"/>
      <w:marBottom w:val="0"/>
      <w:divBdr>
        <w:top w:val="none" w:sz="0" w:space="0" w:color="auto"/>
        <w:left w:val="none" w:sz="0" w:space="0" w:color="auto"/>
        <w:bottom w:val="none" w:sz="0" w:space="0" w:color="auto"/>
        <w:right w:val="none" w:sz="0" w:space="0" w:color="auto"/>
      </w:divBdr>
    </w:div>
    <w:div w:id="1625580846">
      <w:marLeft w:val="0"/>
      <w:marRight w:val="0"/>
      <w:marTop w:val="0"/>
      <w:marBottom w:val="0"/>
      <w:divBdr>
        <w:top w:val="none" w:sz="0" w:space="0" w:color="auto"/>
        <w:left w:val="none" w:sz="0" w:space="0" w:color="auto"/>
        <w:bottom w:val="none" w:sz="0" w:space="0" w:color="auto"/>
        <w:right w:val="none" w:sz="0" w:space="0" w:color="auto"/>
      </w:divBdr>
    </w:div>
    <w:div w:id="1625580847">
      <w:marLeft w:val="0"/>
      <w:marRight w:val="0"/>
      <w:marTop w:val="0"/>
      <w:marBottom w:val="0"/>
      <w:divBdr>
        <w:top w:val="none" w:sz="0" w:space="0" w:color="auto"/>
        <w:left w:val="none" w:sz="0" w:space="0" w:color="auto"/>
        <w:bottom w:val="none" w:sz="0" w:space="0" w:color="auto"/>
        <w:right w:val="none" w:sz="0" w:space="0" w:color="auto"/>
      </w:divBdr>
    </w:div>
    <w:div w:id="1625580848">
      <w:marLeft w:val="0"/>
      <w:marRight w:val="0"/>
      <w:marTop w:val="0"/>
      <w:marBottom w:val="0"/>
      <w:divBdr>
        <w:top w:val="none" w:sz="0" w:space="0" w:color="auto"/>
        <w:left w:val="none" w:sz="0" w:space="0" w:color="auto"/>
        <w:bottom w:val="none" w:sz="0" w:space="0" w:color="auto"/>
        <w:right w:val="none" w:sz="0" w:space="0" w:color="auto"/>
      </w:divBdr>
    </w:div>
    <w:div w:id="1625580849">
      <w:marLeft w:val="0"/>
      <w:marRight w:val="0"/>
      <w:marTop w:val="0"/>
      <w:marBottom w:val="0"/>
      <w:divBdr>
        <w:top w:val="none" w:sz="0" w:space="0" w:color="auto"/>
        <w:left w:val="none" w:sz="0" w:space="0" w:color="auto"/>
        <w:bottom w:val="none" w:sz="0" w:space="0" w:color="auto"/>
        <w:right w:val="none" w:sz="0" w:space="0" w:color="auto"/>
      </w:divBdr>
    </w:div>
    <w:div w:id="1879467619">
      <w:bodyDiv w:val="1"/>
      <w:marLeft w:val="0"/>
      <w:marRight w:val="0"/>
      <w:marTop w:val="0"/>
      <w:marBottom w:val="0"/>
      <w:divBdr>
        <w:top w:val="none" w:sz="0" w:space="0" w:color="auto"/>
        <w:left w:val="none" w:sz="0" w:space="0" w:color="auto"/>
        <w:bottom w:val="none" w:sz="0" w:space="0" w:color="auto"/>
        <w:right w:val="none" w:sz="0" w:space="0" w:color="auto"/>
      </w:divBdr>
    </w:div>
    <w:div w:id="1991670474">
      <w:bodyDiv w:val="1"/>
      <w:marLeft w:val="0"/>
      <w:marRight w:val="0"/>
      <w:marTop w:val="0"/>
      <w:marBottom w:val="0"/>
      <w:divBdr>
        <w:top w:val="none" w:sz="0" w:space="0" w:color="auto"/>
        <w:left w:val="none" w:sz="0" w:space="0" w:color="auto"/>
        <w:bottom w:val="none" w:sz="0" w:space="0" w:color="auto"/>
        <w:right w:val="none" w:sz="0" w:space="0" w:color="auto"/>
      </w:divBdr>
    </w:div>
    <w:div w:id="200411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6\Professional%20Repor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408E92F-D994-400A-AACB-31FF51542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Professional Report</Template>
  <TotalTime>0</TotalTime>
  <Pages>4</Pages>
  <Words>982</Words>
  <Characters>5404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Rapport professionnel</vt:lpstr>
    </vt:vector>
  </TitlesOfParts>
  <LinksUpToDate>false</LinksUpToDate>
  <CharactersWithSpaces>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professionnel</dc:title>
  <dc:creator/>
  <cp:lastModifiedBy/>
  <cp:revision>1</cp:revision>
  <cp:lastPrinted>2012-01-13T11:47:00Z</cp:lastPrinted>
  <dcterms:created xsi:type="dcterms:W3CDTF">2022-03-25T11:23:00Z</dcterms:created>
  <dcterms:modified xsi:type="dcterms:W3CDTF">2022-03-29T13:52:00Z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1036</vt:i4>
  </property>
  <property fmtid="{D5CDD505-2E9C-101B-9397-08002B2CF9AE}" pid="3" name="Version">
    <vt:i4>2003051900</vt:i4>
  </property>
  <property fmtid="{D5CDD505-2E9C-101B-9397-08002B2CF9AE}" pid="4" name="UseDefaultLanguage">
    <vt:bool>true</vt:bool>
  </property>
</Properties>
</file>