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342D73" w:rsidP="00857B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Mars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857B9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F52894" w:rsidRDefault="002B4717" w:rsidP="00342D7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 terme du mois de </w:t>
      </w:r>
      <w:r w:rsidR="00342D73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Mars</w:t>
      </w:r>
      <w:r w:rsidR="00E1713B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</w:t>
      </w:r>
      <w:r w:rsidR="00857B95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l’IPC de la ville de </w:t>
      </w:r>
      <w:r w:rsidR="00746443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 w:rsidR="00857B95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augmenté 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342D73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342D73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par rapport au mois de </w:t>
      </w:r>
      <w:r w:rsidR="00342D73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Février </w:t>
      </w:r>
      <w:r w:rsidR="00857B95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de la même année,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</w:t>
      </w:r>
      <w:r w:rsidR="00206DD9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une hausse de </w:t>
      </w:r>
      <w:r w:rsidR="00342D73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342D73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% pour l’ensemble national.</w:t>
      </w:r>
    </w:p>
    <w:p w:rsidR="002B4717" w:rsidRPr="00F52894" w:rsidRDefault="002B4717" w:rsidP="006F2C8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variation de l’indice de Kénitra est </w:t>
      </w:r>
      <w:r w:rsidR="00206DD9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la résultante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857B95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la hau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sse des prix des produits alimentaires </w:t>
      </w:r>
      <w:r w:rsidR="00206DD9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6F2C85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206DD9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6F2C85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206DD9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% 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de </w:t>
      </w:r>
      <w:r w:rsidR="00857B95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celle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non alimentaires</w:t>
      </w:r>
      <w:r w:rsidR="00206DD9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0,</w:t>
      </w:r>
      <w:r w:rsidR="006F2C85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206DD9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4C45C2" w:rsidRPr="00F52894" w:rsidRDefault="004C45C2" w:rsidP="00154BB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Les hausses de prix</w:t>
      </w:r>
      <w:r w:rsidR="008F519B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plus importantes </w:t>
      </w:r>
      <w:r w:rsidR="008F519B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des produits alimentaires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concernent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premier lieu les "Légumes" avec 13,2% et, en deuxième lieu, les "Poissons et fruits de mer" avec 5,6%, la "Viande" avec 3,7%, 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"Pain et céréales" avec 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,1%,</w:t>
      </w:r>
      <w:r w:rsidR="00520FB2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 "Café, thé et cacao" avec 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2% et 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 </w:t>
      </w:r>
      <w:r w:rsidR="00520FB2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Lait, fromage et œufs</w:t>
      </w:r>
      <w:r w:rsidR="00520FB2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1,7%.</w:t>
      </w:r>
    </w:p>
    <w:p w:rsidR="007D5D8C" w:rsidRPr="00F52894" w:rsidRDefault="007D5D8C" w:rsidP="001E528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 côté </w:t>
      </w:r>
      <w:r w:rsidR="00520FB2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des produits non alimentaires, les divisions 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qui ont marqué des hausses significatives </w:t>
      </w:r>
      <w:r w:rsidR="001E5281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sont,</w:t>
      </w:r>
      <w:r w:rsidR="00520FB2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"Transports" 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avec 3,4% </w:t>
      </w:r>
      <w:r w:rsidR="00520FB2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et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E5281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la Santé avec 2,7%, tandis que</w:t>
      </w:r>
      <w:r w:rsidR="001E5281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seuls 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</w:t>
      </w:r>
      <w:r w:rsidR="001E5281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Restaurants et hôtels</w:t>
      </w:r>
      <w:r w:rsidR="001E5281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54BBD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E5281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ont subi une variation négative et qui est de l’ordre de (-1,3%)</w:t>
      </w:r>
      <w:r w:rsidR="00520FB2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4C54F7" w:rsidRPr="00F52894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5289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</w:t>
      </w:r>
      <w:r w:rsidR="008A7F45" w:rsidRPr="00F5289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F5289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Pr="00F52894" w:rsidRDefault="00717FDA" w:rsidP="00B3075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En termes de glissement annuel</w:t>
      </w:r>
      <w:r w:rsidR="004C54F7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, l’indice des prix à la consommation</w:t>
      </w:r>
      <w:r w:rsidR="00520FB2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la ville de </w:t>
      </w:r>
      <w:proofErr w:type="spellStart"/>
      <w:r w:rsidR="00520FB2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Kénitra</w:t>
      </w:r>
      <w:proofErr w:type="spellEnd"/>
      <w:r w:rsidR="004C54F7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5281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s’est élevé de 5,8%</w:t>
      </w:r>
      <w:r w:rsidR="004C54F7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</w:t>
      </w:r>
      <w:r w:rsidR="001E5281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520FB2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E5281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 </w:t>
      </w:r>
      <w:r w:rsidR="00520FB2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201C28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pour </w:t>
      </w:r>
      <w:r w:rsidR="0088736E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201C28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</w:t>
      </w:r>
      <w:r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est </w:t>
      </w:r>
      <w:r w:rsidR="00B3075C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l’effet combiné</w:t>
      </w:r>
      <w:r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5281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de la croissance</w:t>
      </w:r>
      <w:r w:rsidR="00616205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prix des produits alimentaires de </w:t>
      </w:r>
      <w:r w:rsidR="00616205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="00B3075C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,4</w:t>
      </w:r>
      <w:r w:rsidR="00201C28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et </w:t>
      </w:r>
      <w:r w:rsidR="00616205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ceux </w:t>
      </w:r>
      <w:r w:rsidR="00201C28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produits non alimentaires</w:t>
      </w:r>
      <w:r w:rsidR="003C3AFE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B3075C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3,2</w:t>
      </w:r>
      <w:r w:rsidR="003C3AFE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616205" w:rsidRPr="00F52894" w:rsidRDefault="00616205" w:rsidP="008C697C">
      <w:pPr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Durant l’année écoulée, </w:t>
      </w:r>
      <w:r w:rsidR="00645405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="00E67A50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45405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prix </w:t>
      </w:r>
      <w:r w:rsidR="00E67A50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801826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E67A50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52B13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produits alimentaires </w:t>
      </w:r>
      <w:r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ont fait l’objet </w:t>
      </w:r>
      <w:r w:rsidR="003F7250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d’une flambée sans précédent. En effet, pour les 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Huiles et graisses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elle était de 22%, pour les 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Pain et céréales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19,3%, pour les 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Poissons et fruits de mer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10,8%</w:t>
      </w:r>
      <w:r w:rsidR="008C697C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pour le 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Café, thé et cacao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5,3%, pour les 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Légumes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5,2% et pour le 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>Tabac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F528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8%. Quant aux autres classes alimentaires, la hausse des prix n’a pas dépassé 3,8%.</w:t>
      </w:r>
    </w:p>
    <w:p w:rsidR="00A708BE" w:rsidRPr="00F52894" w:rsidRDefault="00A708BE" w:rsidP="004A135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Quant aux produits non alimentaires, </w:t>
      </w:r>
      <w:r w:rsidR="008C697C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les</w:t>
      </w: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hausse</w:t>
      </w:r>
      <w:r w:rsidR="008C697C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de prix l</w:t>
      </w:r>
      <w:r w:rsidR="008C697C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es</w:t>
      </w: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plus élevée</w:t>
      </w:r>
      <w:r w:rsidR="008C697C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</w:t>
      </w:r>
      <w:r w:rsidR="008C697C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ont</w:t>
      </w: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été enregistrée</w:t>
      </w:r>
      <w:r w:rsidR="008C697C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par la division</w:t>
      </w:r>
      <w:r w:rsidRPr="00F52894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8C697C" w:rsidRPr="00F52894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Transports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avec 9,5% et celle  </w:t>
      </w:r>
      <w:r w:rsidR="00A51226" w:rsidRPr="00F5289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des</w:t>
      </w:r>
      <w:r w:rsidR="00A51226" w:rsidRPr="00F52894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A51226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51226" w:rsidRPr="00F5289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Biens et services divers</w:t>
      </w:r>
      <w:r w:rsidR="00A51226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 avec 8,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A51226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Pour </w:t>
      </w:r>
      <w:r w:rsidR="00A51226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745DCF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Les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autres divisions, exception faite </w:t>
      </w:r>
      <w:r w:rsidR="004A1354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des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A1354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Restaurants et hôtels</w:t>
      </w:r>
      <w:r w:rsidR="004A1354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" dont l’indice a baissé de 1,3%, les</w:t>
      </w:r>
      <w:r w:rsidR="008C697C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hausses varient entre 0</w:t>
      </w:r>
      <w:r w:rsidR="00A51226" w:rsidRPr="00F52894">
        <w:rPr>
          <w:rFonts w:asciiTheme="majorBidi" w:hAnsiTheme="majorBidi" w:cstheme="majorBidi"/>
          <w:color w:val="000000" w:themeColor="text1"/>
          <w:sz w:val="22"/>
          <w:szCs w:val="22"/>
        </w:rPr>
        <w:t>% et 2,9%.</w:t>
      </w:r>
      <w:r w:rsidRPr="00F5289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:rsidR="00A708BE" w:rsidRPr="00F52894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</w:pPr>
      <w:r w:rsidRPr="00F52894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  <w:t>Ville de Kenitra et contexte national :</w:t>
      </w:r>
    </w:p>
    <w:p w:rsidR="00F52894" w:rsidRPr="00F52894" w:rsidRDefault="002C41D1" w:rsidP="004A1354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Entre </w:t>
      </w:r>
      <w:r w:rsidR="00F87C7B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Février</w:t>
      </w: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</w:t>
      </w:r>
      <w:r w:rsidR="004A1354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et Mars </w:t>
      </w: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202</w:t>
      </w:r>
      <w:r w:rsidR="00745DCF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2</w:t>
      </w: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, </w:t>
      </w:r>
      <w:r w:rsidR="004A1354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toutes les villes, objet de l’Indice des Prix à la Consommation base 2017, ont enregistré des taux d’inflation positifs dont six sont en dessous de la moyenne nationale (1,8%). Il s’agit de </w:t>
      </w:r>
      <w:proofErr w:type="spellStart"/>
      <w:r w:rsidR="004A1354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Guelmim</w:t>
      </w:r>
      <w:proofErr w:type="spellEnd"/>
      <w:r w:rsidR="004A1354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avec 0,7%, Agadir et Rabat avec 1,2%,</w:t>
      </w:r>
      <w:r w:rsidR="00F52894"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Marrakech avec 1,4%, Dakhla avec 1,6% et Casablanca avec 1,7%.</w:t>
      </w:r>
    </w:p>
    <w:p w:rsidR="00F52894" w:rsidRPr="00F52894" w:rsidRDefault="00F52894" w:rsidP="004A1354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A noter que la ville de </w:t>
      </w:r>
      <w:proofErr w:type="spellStart"/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Kénitra</w:t>
      </w:r>
      <w:proofErr w:type="spellEnd"/>
      <w:r w:rsidRPr="00F52894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, avec son taux de 1,9%, fait partie des villes qui ont connu une inflation supérieure à la moyenne nationale.</w:t>
      </w:r>
    </w:p>
    <w:p w:rsidR="00F52894" w:rsidRDefault="00F52894" w:rsidP="004A135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F52894" w:rsidRDefault="00F52894" w:rsidP="004A135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F87C7B" w:rsidRPr="0026493E" w:rsidRDefault="004A1354" w:rsidP="004A135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442FD4" w:rsidRPr="0026493E" w:rsidRDefault="00442FD4" w:rsidP="00442FD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:rsidR="004C54F7" w:rsidRPr="004C54F7" w:rsidRDefault="004C54F7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2B4717" w:rsidRDefault="002B471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83"/>
        <w:gridCol w:w="1054"/>
        <w:gridCol w:w="1054"/>
        <w:gridCol w:w="1055"/>
        <w:gridCol w:w="1180"/>
        <w:gridCol w:w="1061"/>
      </w:tblGrid>
      <w:tr w:rsidR="00342D73" w:rsidRPr="00342D73" w:rsidTr="00342D73">
        <w:trPr>
          <w:trHeight w:val="450"/>
        </w:trPr>
        <w:tc>
          <w:tcPr>
            <w:tcW w:w="2278" w:type="pct"/>
            <w:vMerge w:val="restar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DIVISIONS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proofErr w:type="spellStart"/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Fév</w:t>
            </w:r>
            <w:proofErr w:type="spellEnd"/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089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VARIATION (%)</w:t>
            </w:r>
          </w:p>
        </w:tc>
      </w:tr>
      <w:tr w:rsidR="00342D73" w:rsidRPr="00342D73" w:rsidTr="00342D73">
        <w:trPr>
          <w:trHeight w:val="570"/>
        </w:trPr>
        <w:tc>
          <w:tcPr>
            <w:tcW w:w="2278" w:type="pct"/>
            <w:vMerge/>
            <w:shd w:val="clear" w:color="auto" w:fill="FABF8F" w:themeFill="accent6" w:themeFillTint="99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577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Mensuelle</w:t>
            </w:r>
          </w:p>
        </w:tc>
        <w:tc>
          <w:tcPr>
            <w:tcW w:w="512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Annuelle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98,0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3,5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9,7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02. BOISSONS ALCOOLISÉES ET TABAC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Indices des Produits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98,9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104,8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108,3</w:t>
            </w:r>
          </w:p>
        </w:tc>
        <w:tc>
          <w:tcPr>
            <w:tcW w:w="577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sz w:val="22"/>
                <w:szCs w:val="22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sz w:val="22"/>
                <w:szCs w:val="22"/>
                <w:lang w:eastAsia="fr-FR"/>
              </w:rPr>
              <w:t>3,3</w:t>
            </w:r>
          </w:p>
        </w:tc>
        <w:tc>
          <w:tcPr>
            <w:tcW w:w="512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9,4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0,3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2,0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105,1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0,6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1,8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99,1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101,8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2,7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105,3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111,5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115,3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3,4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9,5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101,0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2,9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-1,3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-1,3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112,0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spacing w:val="0"/>
                <w:lang w:eastAsia="fr-FR"/>
              </w:rPr>
              <w:t>112,2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lang w:eastAsia="fr-FR"/>
              </w:rPr>
              <w:t>0,2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8,6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103,9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107,3</w:t>
            </w:r>
          </w:p>
        </w:tc>
        <w:tc>
          <w:tcPr>
            <w:tcW w:w="577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sz w:val="22"/>
                <w:szCs w:val="22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sz w:val="22"/>
                <w:szCs w:val="22"/>
                <w:lang w:eastAsia="fr-FR"/>
              </w:rPr>
              <w:t>0,8</w:t>
            </w:r>
          </w:p>
        </w:tc>
        <w:tc>
          <w:tcPr>
            <w:tcW w:w="512" w:type="pct"/>
            <w:shd w:val="clear" w:color="auto" w:fill="FBD4B4" w:themeFill="accent6" w:themeFillTint="66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3,2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105,7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107,7</w:t>
            </w:r>
          </w:p>
        </w:tc>
        <w:tc>
          <w:tcPr>
            <w:tcW w:w="577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sz w:val="24"/>
                <w:szCs w:val="24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sz w:val="24"/>
                <w:szCs w:val="24"/>
                <w:lang w:eastAsia="fr-FR"/>
              </w:rPr>
              <w:t>1,9</w:t>
            </w:r>
          </w:p>
        </w:tc>
        <w:tc>
          <w:tcPr>
            <w:tcW w:w="512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5,8</w:t>
            </w:r>
          </w:p>
        </w:tc>
      </w:tr>
      <w:tr w:rsidR="00342D73" w:rsidRPr="00342D73" w:rsidTr="00342D73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102,6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106,1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108,0</w:t>
            </w:r>
          </w:p>
        </w:tc>
        <w:tc>
          <w:tcPr>
            <w:tcW w:w="577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 w:themeColor="text1"/>
                <w:spacing w:val="0"/>
                <w:sz w:val="24"/>
                <w:szCs w:val="24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 w:themeColor="text1"/>
                <w:spacing w:val="0"/>
                <w:sz w:val="24"/>
                <w:szCs w:val="24"/>
                <w:lang w:eastAsia="fr-FR"/>
              </w:rPr>
              <w:t>1,8</w:t>
            </w:r>
          </w:p>
        </w:tc>
        <w:tc>
          <w:tcPr>
            <w:tcW w:w="512" w:type="pct"/>
            <w:shd w:val="clear" w:color="auto" w:fill="FABF8F" w:themeFill="accent6" w:themeFillTint="99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5,3</w:t>
            </w:r>
          </w:p>
        </w:tc>
      </w:tr>
    </w:tbl>
    <w:p w:rsidR="00307D13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904"/>
        <w:gridCol w:w="1341"/>
        <w:gridCol w:w="928"/>
        <w:gridCol w:w="928"/>
        <w:gridCol w:w="928"/>
        <w:gridCol w:w="929"/>
        <w:gridCol w:w="929"/>
      </w:tblGrid>
      <w:tr w:rsidR="00342D73" w:rsidRPr="00342D73" w:rsidTr="00342D73">
        <w:trPr>
          <w:trHeight w:val="525"/>
          <w:tblHeader/>
        </w:trPr>
        <w:tc>
          <w:tcPr>
            <w:tcW w:w="19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MARS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FEVRIER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MARS</w:t>
            </w:r>
          </w:p>
        </w:tc>
        <w:tc>
          <w:tcPr>
            <w:tcW w:w="9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342D73" w:rsidRPr="00342D73" w:rsidTr="00342D73">
        <w:trPr>
          <w:trHeight w:val="315"/>
          <w:tblHeader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bottom"/>
            <w:hideMark/>
          </w:tcPr>
          <w:p w:rsidR="00342D73" w:rsidRPr="00342D73" w:rsidRDefault="00342D73" w:rsidP="00342D7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342D73" w:rsidRPr="00342D73" w:rsidTr="00342D73">
        <w:trPr>
          <w:trHeight w:val="43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01. PRODUITS ALIMENTAIRES ET BOISSONS NON ALCOOLISEES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41,2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97,0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103,9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107,5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7,7</w:t>
            </w:r>
          </w:p>
        </w:tc>
      </w:tr>
      <w:tr w:rsidR="00342D73" w:rsidRPr="00342D73" w:rsidTr="00342D73">
        <w:trPr>
          <w:trHeight w:val="31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PRODUITS ALIMENTAIRES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38,8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96,7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104,0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3,7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8,0</w:t>
            </w:r>
          </w:p>
        </w:tc>
      </w:tr>
      <w:tr w:rsidR="00342D73" w:rsidRPr="00342D73" w:rsidTr="00342D73">
        <w:trPr>
          <w:trHeight w:val="52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PAIN ET CEREALES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99,0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116,4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118,9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19,3</w:t>
            </w:r>
          </w:p>
        </w:tc>
      </w:tr>
      <w:tr w:rsidR="00342D73" w:rsidRPr="00342D73" w:rsidTr="00342D73">
        <w:trPr>
          <w:trHeight w:val="52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VIANDE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7,4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92,0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103,1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3,7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2,6</w:t>
            </w:r>
          </w:p>
        </w:tc>
      </w:tr>
      <w:tr w:rsidR="00342D73" w:rsidRPr="00342D73" w:rsidTr="00342D73">
        <w:trPr>
          <w:trHeight w:val="31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lastRenderedPageBreak/>
              <w:t>POISSON ET FRUITS DE MER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2,2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95,5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99,3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104,9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5,6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10,8</w:t>
            </w:r>
          </w:p>
        </w:tc>
      </w:tr>
      <w:tr w:rsidR="00342D73" w:rsidRPr="00342D73" w:rsidTr="00342D73">
        <w:trPr>
          <w:trHeight w:val="31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LAIT, FROMAGE ET OEUFS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100,4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99,6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101,3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3,2</w:t>
            </w:r>
          </w:p>
        </w:tc>
      </w:tr>
      <w:tr w:rsidR="00342D73" w:rsidRPr="00342D73" w:rsidTr="00342D73">
        <w:trPr>
          <w:trHeight w:val="31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HUILES ET GRAISSES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4,6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99,8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118,1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118,3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22,0</w:t>
            </w:r>
          </w:p>
        </w:tc>
      </w:tr>
      <w:tr w:rsidR="00342D73" w:rsidRPr="00342D73" w:rsidTr="00342D73">
        <w:trPr>
          <w:trHeight w:val="52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FRUITS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93,9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-10,0</w:t>
            </w:r>
          </w:p>
        </w:tc>
      </w:tr>
      <w:tr w:rsidR="00342D73" w:rsidRPr="00342D73" w:rsidTr="00342D73">
        <w:trPr>
          <w:trHeight w:val="31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LEGUMES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92,9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98,4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111,4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13,2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5,2</w:t>
            </w:r>
          </w:p>
        </w:tc>
      </w:tr>
      <w:tr w:rsidR="00342D73" w:rsidRPr="00342D73" w:rsidTr="00342D73">
        <w:trPr>
          <w:trHeight w:val="52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SUCRE, CONFITURE, MIEL, CHOCOLAT ET CONFESERIE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3,8</w:t>
            </w:r>
          </w:p>
        </w:tc>
      </w:tr>
      <w:tr w:rsidR="00342D73" w:rsidRPr="00342D73" w:rsidTr="00342D73">
        <w:trPr>
          <w:trHeight w:val="55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PRODUITS ALIMENTAIRES N.C.A.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84,9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86,4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5,1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5,6</w:t>
            </w:r>
          </w:p>
        </w:tc>
      </w:tr>
      <w:tr w:rsidR="00342D73" w:rsidRPr="00342D73" w:rsidTr="00342D73">
        <w:trPr>
          <w:trHeight w:val="780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BOISSONS NON ALCOOLISEES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101,1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3,9</w:t>
            </w:r>
          </w:p>
        </w:tc>
      </w:tr>
      <w:tr w:rsidR="00342D73" w:rsidRPr="00342D73" w:rsidTr="00342D73">
        <w:trPr>
          <w:trHeight w:val="52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CAFE, THE ET CACAO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103,0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103,9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106,0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5,3</w:t>
            </w:r>
          </w:p>
        </w:tc>
      </w:tr>
      <w:tr w:rsidR="00342D73" w:rsidRPr="00342D73" w:rsidTr="00342D73">
        <w:trPr>
          <w:trHeight w:val="55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96,8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94,3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0,3</w:t>
            </w:r>
          </w:p>
        </w:tc>
      </w:tr>
      <w:tr w:rsidR="00342D73" w:rsidRPr="00342D73" w:rsidTr="00342D73">
        <w:trPr>
          <w:trHeight w:val="52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vAlign w:val="center"/>
            <w:hideMark/>
          </w:tcPr>
          <w:p w:rsidR="00342D73" w:rsidRPr="00342D73" w:rsidRDefault="00342D73" w:rsidP="003F7250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02. BOISSONS ALCOOLISEES</w:t>
            </w:r>
            <w:r w:rsidR="003F7250"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 xml:space="preserve"> ET </w:t>
            </w: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 xml:space="preserve">TABAC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124,9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129,1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129,1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7,7</w:t>
            </w:r>
          </w:p>
        </w:tc>
      </w:tr>
      <w:tr w:rsidR="00342D73" w:rsidRPr="00342D73" w:rsidTr="00342D73">
        <w:trPr>
          <w:trHeight w:val="31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BOISSONS ALCOOLISEES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102,0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102,0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0,6</w:t>
            </w:r>
          </w:p>
        </w:tc>
      </w:tr>
      <w:tr w:rsidR="00342D73" w:rsidRPr="00342D73" w:rsidTr="00342D73">
        <w:trPr>
          <w:trHeight w:val="52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SPIRITUEUX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</w:tr>
      <w:tr w:rsidR="00342D73" w:rsidRPr="00342D73" w:rsidTr="00342D73">
        <w:trPr>
          <w:trHeight w:val="55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VIN ET BOISSONS FERMENTEES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1,8</w:t>
            </w:r>
          </w:p>
        </w:tc>
      </w:tr>
      <w:tr w:rsidR="00342D73" w:rsidRPr="00342D73" w:rsidTr="00342D73">
        <w:trPr>
          <w:trHeight w:val="31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BIERE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103,8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</w:tr>
      <w:tr w:rsidR="00342D73" w:rsidRPr="00342D73" w:rsidTr="00342D73">
        <w:trPr>
          <w:trHeight w:val="31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TABAC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126,5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8,0</w:t>
            </w:r>
          </w:p>
        </w:tc>
      </w:tr>
      <w:tr w:rsidR="00342D73" w:rsidRPr="00342D73" w:rsidTr="00342D73">
        <w:trPr>
          <w:trHeight w:val="300"/>
        </w:trPr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TABAC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126,5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color w:val="000000"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8,0</w:t>
            </w:r>
          </w:p>
        </w:tc>
      </w:tr>
      <w:tr w:rsidR="00342D73" w:rsidRPr="00342D73" w:rsidTr="00342D73">
        <w:trPr>
          <w:trHeight w:val="52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INDICE DES PRODUITS ALIMENTAIRES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42,7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98,0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104,8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108,3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3,3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42D73" w:rsidRPr="003F7250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F725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9,4</w:t>
            </w:r>
          </w:p>
        </w:tc>
      </w:tr>
      <w:tr w:rsidR="00342D73" w:rsidRPr="00342D73" w:rsidTr="00342D73">
        <w:trPr>
          <w:trHeight w:val="825"/>
        </w:trPr>
        <w:tc>
          <w:tcPr>
            <w:tcW w:w="1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vAlign w:val="center"/>
            <w:hideMark/>
          </w:tcPr>
          <w:p w:rsidR="00342D73" w:rsidRPr="00342D73" w:rsidRDefault="00342D73" w:rsidP="00342D73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GENERAL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  <w:t>105,7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  <w:t>107,7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  <w:t>1,9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42D73" w:rsidRPr="00342D73" w:rsidRDefault="00342D73" w:rsidP="00342D73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</w:pPr>
            <w:r w:rsidRPr="00342D73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eastAsia="fr-FR"/>
              </w:rPr>
              <w:t>5,8</w:t>
            </w:r>
          </w:p>
        </w:tc>
      </w:tr>
    </w:tbl>
    <w:p w:rsidR="00D2208B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25" w:rsidRDefault="00FA6225">
      <w:r>
        <w:separator/>
      </w:r>
    </w:p>
    <w:p w:rsidR="00FA6225" w:rsidRDefault="00FA6225"/>
  </w:endnote>
  <w:endnote w:type="continuationSeparator" w:id="0">
    <w:p w:rsidR="00FA6225" w:rsidRDefault="00FA6225">
      <w:r>
        <w:continuationSeparator/>
      </w:r>
    </w:p>
    <w:p w:rsidR="00FA6225" w:rsidRDefault="00FA62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192BC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25" w:rsidRDefault="00FA6225">
      <w:r>
        <w:separator/>
      </w:r>
    </w:p>
    <w:p w:rsidR="00FA6225" w:rsidRDefault="00FA6225"/>
  </w:footnote>
  <w:footnote w:type="continuationSeparator" w:id="0">
    <w:p w:rsidR="00FA6225" w:rsidRDefault="00FA6225">
      <w:r>
        <w:continuationSeparator/>
      </w:r>
    </w:p>
    <w:p w:rsidR="00FA6225" w:rsidRDefault="00FA62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B40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50E5"/>
    <w:rsid w:val="001C5B75"/>
    <w:rsid w:val="001C5C8C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D9D"/>
    <w:rsid w:val="00612EF5"/>
    <w:rsid w:val="006130E6"/>
    <w:rsid w:val="006131BD"/>
    <w:rsid w:val="00613334"/>
    <w:rsid w:val="00613815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3CCD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E7C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77"/>
    <w:rsid w:val="00F83AA7"/>
    <w:rsid w:val="00F84839"/>
    <w:rsid w:val="00F86582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6917F4-703E-44EE-AB24-AB6AB4F9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920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2022-04-25T11:54:00Z</dcterms:created>
  <dcterms:modified xsi:type="dcterms:W3CDTF">2022-05-04T11:40:00Z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