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342D73" w:rsidP="00857B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Mars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857B95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4C54F7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F52894" w:rsidRDefault="002B4717" w:rsidP="00342D73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Au terme du mois de </w:t>
      </w:r>
      <w:r w:rsidR="00342D73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Mars</w:t>
      </w:r>
      <w:r w:rsidR="00E1713B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202</w:t>
      </w:r>
      <w:r w:rsidR="00857B95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l’IPC de la ville de </w:t>
      </w:r>
      <w:r w:rsidR="00746443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</w:t>
      </w:r>
      <w:r w:rsidR="00857B95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augmenté 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342D73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342D73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9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par rapport au mois de </w:t>
      </w:r>
      <w:r w:rsidR="00342D73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Février </w:t>
      </w:r>
      <w:r w:rsidR="00857B95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de la même année,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contre </w:t>
      </w:r>
      <w:r w:rsidR="00206DD9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une hausse de </w:t>
      </w:r>
      <w:r w:rsidR="00342D73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342D73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8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% pour l’ensemble national.</w:t>
      </w:r>
    </w:p>
    <w:p w:rsidR="002B4717" w:rsidRPr="00F52894" w:rsidRDefault="002B4717" w:rsidP="006F2C85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La variation de l’indice de Kénitra est </w:t>
      </w:r>
      <w:r w:rsidR="00206DD9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la résultante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857B95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la hau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sse des prix des produits alimentaires </w:t>
      </w:r>
      <w:r w:rsidR="00206DD9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6F2C85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206DD9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6F2C85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206DD9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% 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et de </w:t>
      </w:r>
      <w:r w:rsidR="00857B95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celle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produits non alimentaires</w:t>
      </w:r>
      <w:r w:rsidR="00206DD9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0,</w:t>
      </w:r>
      <w:r w:rsidR="006F2C85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8</w:t>
      </w:r>
      <w:r w:rsidR="00206DD9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4C45C2" w:rsidRPr="00F52894" w:rsidRDefault="004C45C2" w:rsidP="00154BBD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Les hausses de prix</w:t>
      </w:r>
      <w:r w:rsidR="008F519B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54BBD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les plus importantes </w:t>
      </w:r>
      <w:r w:rsidR="008F519B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des produits alimentaires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concernent</w:t>
      </w:r>
      <w:r w:rsidR="00154BBD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54BBD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en premier lieu les "Légumes" avec 13,2% et, en deuxième lieu, les "Poissons et fruits de mer" avec 5,6%, la "Viande" avec 3,7%, 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les "Pain et céréales" avec </w:t>
      </w:r>
      <w:r w:rsidR="00154BBD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,1%,</w:t>
      </w:r>
      <w:r w:rsidR="00520FB2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 "Café, thé et cacao" avec </w:t>
      </w:r>
      <w:r w:rsidR="00154BBD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2% et 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 </w:t>
      </w:r>
      <w:r w:rsidR="00520FB2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Lait, fromage et œufs</w:t>
      </w:r>
      <w:r w:rsidR="00520FB2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</w:t>
      </w:r>
      <w:r w:rsidR="00154BBD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1,7%.</w:t>
      </w:r>
    </w:p>
    <w:p w:rsidR="007D5D8C" w:rsidRPr="00F52894" w:rsidRDefault="007D5D8C" w:rsidP="001E5281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54BBD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Du côté </w:t>
      </w:r>
      <w:r w:rsidR="00520FB2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des produits non alimentaires, les divisions </w:t>
      </w:r>
      <w:r w:rsidR="00154BBD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qui ont marqué des hausses significatives </w:t>
      </w:r>
      <w:r w:rsidR="001E5281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sont,</w:t>
      </w:r>
      <w:r w:rsidR="00520FB2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les "Transports" </w:t>
      </w:r>
      <w:r w:rsidR="00154BBD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avec 3,4% </w:t>
      </w:r>
      <w:r w:rsidR="00520FB2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et</w:t>
      </w:r>
      <w:r w:rsidR="00154BBD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E5281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54BBD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la Santé avec 2,7%, tandis que</w:t>
      </w:r>
      <w:r w:rsidR="001E5281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seuls </w:t>
      </w:r>
      <w:r w:rsidR="00154BBD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les </w:t>
      </w:r>
      <w:r w:rsidR="001E5281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154BBD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Restaurants et hôtels</w:t>
      </w:r>
      <w:r w:rsidR="001E5281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154BBD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E5281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ont subi une variation négative et qui est de l’ordre de (-1,3%)</w:t>
      </w:r>
      <w:r w:rsidR="00520FB2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4C54F7" w:rsidRPr="00F52894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F5289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annuelle</w:t>
      </w:r>
      <w:r w:rsidR="008A7F45" w:rsidRPr="00F5289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d</w:t>
      </w:r>
      <w:r w:rsidRPr="00F5289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4C54F7" w:rsidRPr="00F52894" w:rsidRDefault="00717FDA" w:rsidP="00B3075C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52894">
        <w:rPr>
          <w:rFonts w:asciiTheme="majorBidi" w:hAnsiTheme="majorBidi" w:cstheme="majorBidi"/>
          <w:color w:val="000000" w:themeColor="text1"/>
          <w:sz w:val="24"/>
          <w:szCs w:val="24"/>
        </w:rPr>
        <w:t>En termes de glissement annuel</w:t>
      </w:r>
      <w:r w:rsidR="004C54F7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>, l’indice des prix à la consommation</w:t>
      </w:r>
      <w:r w:rsidR="00520FB2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la ville de </w:t>
      </w:r>
      <w:proofErr w:type="spellStart"/>
      <w:r w:rsidR="00520FB2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>Kénitra</w:t>
      </w:r>
      <w:proofErr w:type="spellEnd"/>
      <w:r w:rsidR="004C54F7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1E5281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>s’est élevé de 5,8%</w:t>
      </w:r>
      <w:r w:rsidR="004C54F7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01C28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contre </w:t>
      </w:r>
      <w:r w:rsidR="001E5281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>5</w:t>
      </w:r>
      <w:r w:rsidR="00520FB2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1E5281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3 </w:t>
      </w:r>
      <w:r w:rsidR="00520FB2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</w:t>
      </w:r>
      <w:r w:rsidR="00201C28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pour </w:t>
      </w:r>
      <w:r w:rsidR="0088736E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>la moyenne nationale</w:t>
      </w:r>
      <w:r w:rsidR="00201C28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Ceci, </w:t>
      </w:r>
      <w:r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est </w:t>
      </w:r>
      <w:r w:rsidR="00B3075C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>l’effet combiné</w:t>
      </w:r>
      <w:r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1E5281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>de la croissance</w:t>
      </w:r>
      <w:r w:rsidR="00616205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01C28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prix des produits alimentaires de </w:t>
      </w:r>
      <w:r w:rsidR="00616205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>9</w:t>
      </w:r>
      <w:r w:rsidR="00B3075C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>,4</w:t>
      </w:r>
      <w:r w:rsidR="00201C28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et </w:t>
      </w:r>
      <w:r w:rsidR="00616205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 ceux </w:t>
      </w:r>
      <w:r w:rsidR="00201C28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produits non alimentaires</w:t>
      </w:r>
      <w:r w:rsidR="003C3AFE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</w:t>
      </w:r>
      <w:r w:rsidR="00B3075C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>3,2</w:t>
      </w:r>
      <w:r w:rsidR="003C3AFE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>%.</w:t>
      </w:r>
      <w:r w:rsidR="00201C28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616205" w:rsidRPr="00F52894" w:rsidRDefault="00616205" w:rsidP="008C697C">
      <w:pPr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Durant l’année écoulée, </w:t>
      </w:r>
      <w:r w:rsidR="00645405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>les</w:t>
      </w:r>
      <w:r w:rsidR="00E67A50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645405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prix </w:t>
      </w:r>
      <w:r w:rsidR="00E67A50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="00801826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="00E67A50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C52B13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produits alimentaires </w:t>
      </w:r>
      <w:r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ont fait l’objet </w:t>
      </w:r>
      <w:r w:rsidR="003F7250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d’une flambée sans précédent. En effet, pour les </w:t>
      </w:r>
      <w:r w:rsidR="008C697C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F7250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>Huiles et graisses</w:t>
      </w:r>
      <w:r w:rsidR="008C697C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F7250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elle était de 22%, pour les </w:t>
      </w:r>
      <w:r w:rsidR="008C697C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F7250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>Pain et céréales</w:t>
      </w:r>
      <w:r w:rsidR="008C697C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F7250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19,3%, pour les </w:t>
      </w:r>
      <w:r w:rsidR="008C697C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F7250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>Poissons et fruits de mer</w:t>
      </w:r>
      <w:r w:rsidR="008C697C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F7250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10,8%</w:t>
      </w:r>
      <w:r w:rsidR="008C697C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pour le </w:t>
      </w:r>
      <w:r w:rsidR="008C697C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C697C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>Café, thé et cacao</w:t>
      </w:r>
      <w:r w:rsidR="008C697C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C697C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5,3%, pour les </w:t>
      </w:r>
      <w:r w:rsidR="008C697C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C697C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>Légumes</w:t>
      </w:r>
      <w:r w:rsidR="008C697C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C697C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5,2% et pour le </w:t>
      </w:r>
      <w:r w:rsidR="008C697C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C697C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>Tabac</w:t>
      </w:r>
      <w:r w:rsidR="008C697C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C697C" w:rsidRPr="00F528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8%. Quant aux autres classes alimentaires, la hausse des prix n’a pas dépassé 3,8%.</w:t>
      </w:r>
    </w:p>
    <w:p w:rsidR="00A708BE" w:rsidRPr="00F52894" w:rsidRDefault="00A708BE" w:rsidP="004A135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Quant aux produits non alimentaires, </w:t>
      </w:r>
      <w:r w:rsidR="008C697C"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les</w:t>
      </w:r>
      <w:r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hausse</w:t>
      </w:r>
      <w:r w:rsidR="008C697C"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s</w:t>
      </w:r>
      <w:r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de prix l</w:t>
      </w:r>
      <w:r w:rsidR="008C697C"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es</w:t>
      </w:r>
      <w:r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plus élevée</w:t>
      </w:r>
      <w:r w:rsidR="008C697C"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s</w:t>
      </w:r>
      <w:r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</w:t>
      </w:r>
      <w:r w:rsidR="008C697C"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ont</w:t>
      </w:r>
      <w:r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été enregistrée</w:t>
      </w:r>
      <w:r w:rsidR="008C697C"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s</w:t>
      </w:r>
      <w:r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par la division</w:t>
      </w:r>
      <w:r w:rsidRPr="00F52894">
        <w:rPr>
          <w:rFonts w:ascii="Times New Roman" w:hAnsi="Times New Roman"/>
          <w:b/>
          <w:bCs/>
          <w:color w:val="000000" w:themeColor="text1"/>
          <w:spacing w:val="0"/>
          <w:sz w:val="16"/>
          <w:szCs w:val="16"/>
          <w:lang w:eastAsia="fr-FR"/>
        </w:rPr>
        <w:t xml:space="preserve"> </w:t>
      </w:r>
      <w:r w:rsidR="008C697C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</w:t>
      </w:r>
      <w:r w:rsidR="008C697C" w:rsidRPr="00F52894">
        <w:rPr>
          <w:rFonts w:ascii="Times New Roman" w:hAnsi="Times New Roman"/>
          <w:b/>
          <w:bCs/>
          <w:color w:val="000000" w:themeColor="text1"/>
          <w:spacing w:val="0"/>
          <w:sz w:val="16"/>
          <w:szCs w:val="16"/>
          <w:lang w:eastAsia="fr-FR"/>
        </w:rPr>
        <w:t xml:space="preserve"> </w:t>
      </w:r>
      <w:r w:rsidR="008C697C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C697C"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Transports</w:t>
      </w:r>
      <w:r w:rsidR="008C697C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" avec 9,5% et celle  </w:t>
      </w:r>
      <w:r w:rsidR="00A51226" w:rsidRPr="00F52894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des</w:t>
      </w:r>
      <w:r w:rsidR="00A51226" w:rsidRPr="00F52894">
        <w:rPr>
          <w:rFonts w:ascii="Times New Roman" w:hAnsi="Times New Roman"/>
          <w:b/>
          <w:bCs/>
          <w:color w:val="000000" w:themeColor="text1"/>
          <w:spacing w:val="0"/>
          <w:sz w:val="16"/>
          <w:szCs w:val="16"/>
          <w:lang w:eastAsia="fr-FR"/>
        </w:rPr>
        <w:t xml:space="preserve"> </w:t>
      </w:r>
      <w:r w:rsidR="00A51226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51226" w:rsidRPr="00F52894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Biens et services divers</w:t>
      </w:r>
      <w:r w:rsidR="00A51226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" avec 8,</w:t>
      </w:r>
      <w:r w:rsidR="008C697C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6</w:t>
      </w:r>
      <w:r w:rsidR="00A51226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8C697C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. Pour </w:t>
      </w:r>
      <w:r w:rsidR="00A51226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745DCF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Les</w:t>
      </w:r>
      <w:r w:rsidR="008C697C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autres divisions, exception faite </w:t>
      </w:r>
      <w:r w:rsidR="004A1354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des</w:t>
      </w:r>
      <w:r w:rsidR="008C697C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4A1354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C697C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Restaurants et hôtels</w:t>
      </w:r>
      <w:r w:rsidR="004A1354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" dont l’indice a baissé de 1,3%, les</w:t>
      </w:r>
      <w:r w:rsidR="008C697C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hausses varient entre 0</w:t>
      </w:r>
      <w:r w:rsidR="00A51226" w:rsidRPr="00F52894">
        <w:rPr>
          <w:rFonts w:asciiTheme="majorBidi" w:hAnsiTheme="majorBidi" w:cstheme="majorBidi"/>
          <w:color w:val="000000" w:themeColor="text1"/>
          <w:sz w:val="22"/>
          <w:szCs w:val="22"/>
        </w:rPr>
        <w:t>% et 2,9%.</w:t>
      </w:r>
      <w:r w:rsidRPr="00F5289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</w:p>
    <w:p w:rsidR="00A708BE" w:rsidRPr="00F52894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color w:val="000000" w:themeColor="text1"/>
          <w:spacing w:val="0"/>
          <w:sz w:val="24"/>
          <w:szCs w:val="24"/>
          <w:lang w:eastAsia="fr-FR"/>
        </w:rPr>
      </w:pPr>
      <w:r w:rsidRPr="00F52894">
        <w:rPr>
          <w:rFonts w:ascii="Times New Roman" w:hAnsi="Times New Roman"/>
          <w:b/>
          <w:bCs/>
          <w:color w:val="000000" w:themeColor="text1"/>
          <w:spacing w:val="0"/>
          <w:sz w:val="24"/>
          <w:szCs w:val="24"/>
          <w:lang w:eastAsia="fr-FR"/>
        </w:rPr>
        <w:t>Ville de Kenitra et contexte national :</w:t>
      </w:r>
    </w:p>
    <w:p w:rsidR="00F52894" w:rsidRPr="00F52894" w:rsidRDefault="002C41D1" w:rsidP="004A1354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</w:pPr>
      <w:r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Entre </w:t>
      </w:r>
      <w:r w:rsidR="00F87C7B"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Février</w:t>
      </w:r>
      <w:r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</w:t>
      </w:r>
      <w:r w:rsidR="004A1354"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et Mars </w:t>
      </w:r>
      <w:r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202</w:t>
      </w:r>
      <w:r w:rsidR="00745DCF"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2</w:t>
      </w:r>
      <w:r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, </w:t>
      </w:r>
      <w:r w:rsidR="004A1354"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toutes les villes, objet de l’Indice des Prix à la Consommation base 2017, ont enregistré des taux d’inflation positifs dont six sont en dessous de la moyenne nationale (1,8%). Il s’agit de </w:t>
      </w:r>
      <w:proofErr w:type="spellStart"/>
      <w:r w:rsidR="004A1354"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Guelmim</w:t>
      </w:r>
      <w:proofErr w:type="spellEnd"/>
      <w:r w:rsidR="004A1354"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avec 0,7%, Agadir et Rabat avec 1,2%,</w:t>
      </w:r>
      <w:r w:rsidR="00F52894"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Marrakech avec 1,4%, Dakhla avec 1,6% et Casablanca avec 1,7%.</w:t>
      </w:r>
    </w:p>
    <w:p w:rsidR="00F52894" w:rsidRPr="00F52894" w:rsidRDefault="00F52894" w:rsidP="004A1354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</w:pPr>
      <w:r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A noter que la ville de </w:t>
      </w:r>
      <w:proofErr w:type="spellStart"/>
      <w:r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Kénitra</w:t>
      </w:r>
      <w:proofErr w:type="spellEnd"/>
      <w:r w:rsidRPr="00F52894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, avec son taux de 1,9%, fait partie des villes qui ont connu une inflation supérieure à la moyenne nationale.</w:t>
      </w:r>
    </w:p>
    <w:p w:rsidR="00F52894" w:rsidRDefault="00F52894" w:rsidP="004A1354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F52894" w:rsidRDefault="00F52894" w:rsidP="004A1354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F87C7B" w:rsidRPr="0026493E" w:rsidRDefault="004A1354" w:rsidP="004A1354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</w:p>
    <w:p w:rsidR="00442FD4" w:rsidRPr="0026493E" w:rsidRDefault="00442FD4" w:rsidP="00442FD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</w:p>
    <w:p w:rsidR="004C54F7" w:rsidRPr="004C54F7" w:rsidRDefault="004C54F7" w:rsidP="004C54F7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:rsidR="002B4717" w:rsidRDefault="002B4717" w:rsidP="002B471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</w:t>
      </w:r>
      <w:proofErr w:type="spellStart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483"/>
        <w:gridCol w:w="1054"/>
        <w:gridCol w:w="1054"/>
        <w:gridCol w:w="1055"/>
        <w:gridCol w:w="1180"/>
        <w:gridCol w:w="1061"/>
      </w:tblGrid>
      <w:tr w:rsidR="00342D73" w:rsidRPr="00342D73" w:rsidTr="00342D73">
        <w:trPr>
          <w:trHeight w:val="450"/>
        </w:trPr>
        <w:tc>
          <w:tcPr>
            <w:tcW w:w="2278" w:type="pct"/>
            <w:vMerge w:val="restart"/>
            <w:shd w:val="clear" w:color="auto" w:fill="FABF8F" w:themeFill="accent6" w:themeFillTint="99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DIVISIONS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Mars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proofErr w:type="spellStart"/>
            <w:r w:rsidRPr="00342D73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Fév</w:t>
            </w:r>
            <w:proofErr w:type="spellEnd"/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Mars</w:t>
            </w:r>
          </w:p>
        </w:tc>
        <w:tc>
          <w:tcPr>
            <w:tcW w:w="1089" w:type="pct"/>
            <w:gridSpan w:val="2"/>
            <w:shd w:val="clear" w:color="auto" w:fill="FABF8F" w:themeFill="accent6" w:themeFillTint="99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VARIATION (%)</w:t>
            </w:r>
          </w:p>
        </w:tc>
      </w:tr>
      <w:tr w:rsidR="00342D73" w:rsidRPr="00342D73" w:rsidTr="00342D73">
        <w:trPr>
          <w:trHeight w:val="570"/>
        </w:trPr>
        <w:tc>
          <w:tcPr>
            <w:tcW w:w="2278" w:type="pct"/>
            <w:vMerge/>
            <w:shd w:val="clear" w:color="auto" w:fill="FABF8F" w:themeFill="accent6" w:themeFillTint="99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2021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2022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2022</w:t>
            </w:r>
          </w:p>
        </w:tc>
        <w:tc>
          <w:tcPr>
            <w:tcW w:w="577" w:type="pct"/>
            <w:shd w:val="clear" w:color="auto" w:fill="FABF8F" w:themeFill="accent6" w:themeFillTint="99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Mensuelle</w:t>
            </w:r>
          </w:p>
        </w:tc>
        <w:tc>
          <w:tcPr>
            <w:tcW w:w="512" w:type="pct"/>
            <w:shd w:val="clear" w:color="auto" w:fill="FABF8F" w:themeFill="accent6" w:themeFillTint="99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Annuelle</w:t>
            </w:r>
          </w:p>
        </w:tc>
      </w:tr>
      <w:tr w:rsidR="00342D73" w:rsidRPr="00342D73" w:rsidTr="00342D73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98,0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103,9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107,5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  <w:t>3,5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9,7</w:t>
            </w:r>
          </w:p>
        </w:tc>
      </w:tr>
      <w:tr w:rsidR="00342D73" w:rsidRPr="00342D73" w:rsidTr="00342D73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02. BOISSONS ALCOOLISÉES ET TABAC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  <w:t>0,0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3,4</w:t>
            </w:r>
          </w:p>
        </w:tc>
      </w:tr>
      <w:tr w:rsidR="00342D73" w:rsidRPr="00342D73" w:rsidTr="00342D73">
        <w:trPr>
          <w:trHeight w:val="499"/>
        </w:trPr>
        <w:tc>
          <w:tcPr>
            <w:tcW w:w="2278" w:type="pct"/>
            <w:shd w:val="clear" w:color="auto" w:fill="FBD4B4" w:themeFill="accent6" w:themeFillTint="66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Indices des Produits alimentaires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98,9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104,8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108,3</w:t>
            </w:r>
          </w:p>
        </w:tc>
        <w:tc>
          <w:tcPr>
            <w:tcW w:w="577" w:type="pct"/>
            <w:shd w:val="clear" w:color="auto" w:fill="FBD4B4" w:themeFill="accent6" w:themeFillTint="66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 w:themeColor="text1"/>
                <w:spacing w:val="0"/>
                <w:sz w:val="22"/>
                <w:szCs w:val="22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 w:themeColor="text1"/>
                <w:spacing w:val="0"/>
                <w:sz w:val="22"/>
                <w:szCs w:val="22"/>
                <w:lang w:eastAsia="fr-FR"/>
              </w:rPr>
              <w:t>3,3</w:t>
            </w:r>
          </w:p>
        </w:tc>
        <w:tc>
          <w:tcPr>
            <w:tcW w:w="512" w:type="pct"/>
            <w:shd w:val="clear" w:color="auto" w:fill="FBD4B4" w:themeFill="accent6" w:themeFillTint="66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9,4</w:t>
            </w:r>
          </w:p>
        </w:tc>
      </w:tr>
      <w:tr w:rsidR="00342D73" w:rsidRPr="00342D73" w:rsidTr="00342D73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106,1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107,9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108,2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  <w:t>0,3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2,0</w:t>
            </w:r>
          </w:p>
        </w:tc>
      </w:tr>
      <w:tr w:rsidR="00342D73" w:rsidRPr="00342D73" w:rsidTr="00342D73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  <w:t>0,0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</w:tr>
      <w:tr w:rsidR="00342D73" w:rsidRPr="00342D73" w:rsidTr="00342D73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105,1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  <w:t>0,6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1,8</w:t>
            </w:r>
          </w:p>
        </w:tc>
      </w:tr>
      <w:tr w:rsidR="00342D73" w:rsidRPr="00342D73" w:rsidTr="00342D73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99,4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99,1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101,8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  <w:t>2,7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2,4</w:t>
            </w:r>
          </w:p>
        </w:tc>
      </w:tr>
      <w:tr w:rsidR="00342D73" w:rsidRPr="00342D73" w:rsidTr="00342D73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105,3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111,5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115,3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  <w:t>3,4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9,5</w:t>
            </w:r>
          </w:p>
        </w:tc>
      </w:tr>
      <w:tr w:rsidR="00342D73" w:rsidRPr="00342D73" w:rsidTr="00342D73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  <w:t>0,0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342D73" w:rsidRPr="00342D73" w:rsidTr="00342D73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101,0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101,0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  <w:t>0,0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2,9</w:t>
            </w:r>
          </w:p>
        </w:tc>
      </w:tr>
      <w:tr w:rsidR="00342D73" w:rsidRPr="00342D73" w:rsidTr="00342D73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  <w:t>0,0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342D73" w:rsidRPr="00342D73" w:rsidTr="00342D73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  <w:t>-1,3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-1,3</w:t>
            </w:r>
          </w:p>
        </w:tc>
      </w:tr>
      <w:tr w:rsidR="00342D73" w:rsidRPr="00342D73" w:rsidTr="00342D73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112,0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spacing w:val="0"/>
                <w:lang w:eastAsia="fr-FR"/>
              </w:rPr>
              <w:t>112,2</w:t>
            </w:r>
          </w:p>
        </w:tc>
        <w:tc>
          <w:tcPr>
            <w:tcW w:w="577" w:type="pct"/>
            <w:shd w:val="clear" w:color="000000" w:fill="FFFFFF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 w:themeColor="text1"/>
                <w:spacing w:val="0"/>
                <w:lang w:eastAsia="fr-FR"/>
              </w:rPr>
              <w:t>0,2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8,6</w:t>
            </w:r>
          </w:p>
        </w:tc>
      </w:tr>
      <w:tr w:rsidR="00342D73" w:rsidRPr="00342D73" w:rsidTr="00342D73">
        <w:trPr>
          <w:trHeight w:val="499"/>
        </w:trPr>
        <w:tc>
          <w:tcPr>
            <w:tcW w:w="2278" w:type="pct"/>
            <w:shd w:val="clear" w:color="auto" w:fill="FBD4B4" w:themeFill="accent6" w:themeFillTint="66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103,9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106,4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107,3</w:t>
            </w:r>
          </w:p>
        </w:tc>
        <w:tc>
          <w:tcPr>
            <w:tcW w:w="577" w:type="pct"/>
            <w:shd w:val="clear" w:color="auto" w:fill="FBD4B4" w:themeFill="accent6" w:themeFillTint="66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 w:themeColor="text1"/>
                <w:spacing w:val="0"/>
                <w:sz w:val="22"/>
                <w:szCs w:val="22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 w:themeColor="text1"/>
                <w:spacing w:val="0"/>
                <w:sz w:val="22"/>
                <w:szCs w:val="22"/>
                <w:lang w:eastAsia="fr-FR"/>
              </w:rPr>
              <w:t>0,8</w:t>
            </w:r>
          </w:p>
        </w:tc>
        <w:tc>
          <w:tcPr>
            <w:tcW w:w="512" w:type="pct"/>
            <w:shd w:val="clear" w:color="auto" w:fill="FBD4B4" w:themeFill="accent6" w:themeFillTint="66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3,2</w:t>
            </w:r>
          </w:p>
        </w:tc>
      </w:tr>
      <w:tr w:rsidR="00342D73" w:rsidRPr="00342D73" w:rsidTr="00342D73">
        <w:trPr>
          <w:trHeight w:val="499"/>
        </w:trPr>
        <w:tc>
          <w:tcPr>
            <w:tcW w:w="2278" w:type="pct"/>
            <w:shd w:val="clear" w:color="auto" w:fill="FABF8F" w:themeFill="accent6" w:themeFillTint="99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105,7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107,7</w:t>
            </w:r>
          </w:p>
        </w:tc>
        <w:tc>
          <w:tcPr>
            <w:tcW w:w="577" w:type="pct"/>
            <w:shd w:val="clear" w:color="auto" w:fill="FABF8F" w:themeFill="accent6" w:themeFillTint="99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 w:themeColor="text1"/>
                <w:spacing w:val="0"/>
                <w:sz w:val="24"/>
                <w:szCs w:val="24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 w:themeColor="text1"/>
                <w:spacing w:val="0"/>
                <w:sz w:val="24"/>
                <w:szCs w:val="24"/>
                <w:lang w:eastAsia="fr-FR"/>
              </w:rPr>
              <w:t>1,9</w:t>
            </w:r>
          </w:p>
        </w:tc>
        <w:tc>
          <w:tcPr>
            <w:tcW w:w="512" w:type="pct"/>
            <w:shd w:val="clear" w:color="auto" w:fill="FABF8F" w:themeFill="accent6" w:themeFillTint="99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5,8</w:t>
            </w:r>
          </w:p>
        </w:tc>
      </w:tr>
      <w:tr w:rsidR="00342D73" w:rsidRPr="00342D73" w:rsidTr="00342D73">
        <w:trPr>
          <w:trHeight w:val="499"/>
        </w:trPr>
        <w:tc>
          <w:tcPr>
            <w:tcW w:w="2278" w:type="pct"/>
            <w:shd w:val="clear" w:color="auto" w:fill="FABF8F" w:themeFill="accent6" w:themeFillTint="99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102,6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106,1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108,0</w:t>
            </w:r>
          </w:p>
        </w:tc>
        <w:tc>
          <w:tcPr>
            <w:tcW w:w="577" w:type="pct"/>
            <w:shd w:val="clear" w:color="auto" w:fill="FABF8F" w:themeFill="accent6" w:themeFillTint="99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 w:themeColor="text1"/>
                <w:spacing w:val="0"/>
                <w:sz w:val="24"/>
                <w:szCs w:val="24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 w:themeColor="text1"/>
                <w:spacing w:val="0"/>
                <w:sz w:val="24"/>
                <w:szCs w:val="24"/>
                <w:lang w:eastAsia="fr-FR"/>
              </w:rPr>
              <w:t>1,8</w:t>
            </w:r>
          </w:p>
        </w:tc>
        <w:tc>
          <w:tcPr>
            <w:tcW w:w="512" w:type="pct"/>
            <w:shd w:val="clear" w:color="auto" w:fill="FABF8F" w:themeFill="accent6" w:themeFillTint="99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5,3</w:t>
            </w:r>
          </w:p>
        </w:tc>
      </w:tr>
    </w:tbl>
    <w:p w:rsidR="00307D13" w:rsidRPr="00307D13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 groupe et classe de produits - ville de </w:t>
      </w:r>
      <w:proofErr w:type="spell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904"/>
        <w:gridCol w:w="1341"/>
        <w:gridCol w:w="928"/>
        <w:gridCol w:w="928"/>
        <w:gridCol w:w="928"/>
        <w:gridCol w:w="929"/>
        <w:gridCol w:w="929"/>
      </w:tblGrid>
      <w:tr w:rsidR="00342D73" w:rsidRPr="00342D73" w:rsidTr="00342D73">
        <w:trPr>
          <w:trHeight w:val="525"/>
          <w:tblHeader/>
        </w:trPr>
        <w:tc>
          <w:tcPr>
            <w:tcW w:w="19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ABF8F"/>
            <w:vAlign w:val="bottom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DIVISION/GROUPE/CLASSE DE PRODUITS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PONDERATION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MARS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FEVRIER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MARS</w:t>
            </w:r>
          </w:p>
        </w:tc>
        <w:tc>
          <w:tcPr>
            <w:tcW w:w="98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342D73" w:rsidRPr="00342D73" w:rsidTr="00342D73">
        <w:trPr>
          <w:trHeight w:val="315"/>
          <w:tblHeader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BF8F"/>
            <w:vAlign w:val="bottom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BF8F"/>
            <w:vAlign w:val="bottom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BF8F"/>
            <w:vAlign w:val="bottom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BF8F"/>
            <w:vAlign w:val="bottom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BF8F"/>
            <w:vAlign w:val="bottom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BF8F"/>
            <w:vAlign w:val="bottom"/>
            <w:hideMark/>
          </w:tcPr>
          <w:p w:rsidR="00342D73" w:rsidRPr="00342D73" w:rsidRDefault="00342D73" w:rsidP="00342D73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342D73" w:rsidRPr="00342D73" w:rsidTr="00342D73">
        <w:trPr>
          <w:trHeight w:val="435"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01. PRODUITS ALIMENTAIRES ET BOISSONS NON ALCOOLISEES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41,2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97,0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103,9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107,5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3,5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7,7</w:t>
            </w:r>
          </w:p>
        </w:tc>
      </w:tr>
      <w:tr w:rsidR="00342D73" w:rsidRPr="00342D73" w:rsidTr="00342D73">
        <w:trPr>
          <w:trHeight w:val="315"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  <w:t>PRODUITS ALIMENTAIRES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  <w:t>38,8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96,7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104,0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107,8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3,7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8,0</w:t>
            </w:r>
          </w:p>
        </w:tc>
      </w:tr>
      <w:tr w:rsidR="00342D73" w:rsidRPr="00342D73" w:rsidTr="00342D73">
        <w:trPr>
          <w:trHeight w:val="525"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PAIN ET CEREALES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7,8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99,0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116,4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118,9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19,3</w:t>
            </w:r>
          </w:p>
        </w:tc>
      </w:tr>
      <w:tr w:rsidR="00342D73" w:rsidRPr="00342D73" w:rsidTr="00342D73">
        <w:trPr>
          <w:trHeight w:val="525"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VIANDE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7,4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92,0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99,4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103,1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3,7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2,6</w:t>
            </w:r>
          </w:p>
        </w:tc>
      </w:tr>
      <w:tr w:rsidR="00342D73" w:rsidRPr="00342D73" w:rsidTr="00342D73">
        <w:trPr>
          <w:trHeight w:val="315"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lastRenderedPageBreak/>
              <w:t>POISSON ET FRUITS DE MER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2,2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95,5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99,3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104,9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5,6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10,8</w:t>
            </w:r>
          </w:p>
        </w:tc>
      </w:tr>
      <w:tr w:rsidR="00342D73" w:rsidRPr="00342D73" w:rsidTr="00342D73">
        <w:trPr>
          <w:trHeight w:val="315"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LAIT, FROMAGE ET OEUFS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4,3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100,4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99,6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101,3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1,7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3,2</w:t>
            </w:r>
          </w:p>
        </w:tc>
      </w:tr>
      <w:tr w:rsidR="00342D73" w:rsidRPr="00342D73" w:rsidTr="00342D73">
        <w:trPr>
          <w:trHeight w:val="315"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HUILES ET GRAISSES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4,6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99,8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118,1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118,3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0,2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22,0</w:t>
            </w:r>
          </w:p>
        </w:tc>
      </w:tr>
      <w:tr w:rsidR="00342D73" w:rsidRPr="00342D73" w:rsidTr="00342D73">
        <w:trPr>
          <w:trHeight w:val="525"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FRUITS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3,5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102,7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93,8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93,9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0,1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-10,0</w:t>
            </w:r>
          </w:p>
        </w:tc>
      </w:tr>
      <w:tr w:rsidR="00342D73" w:rsidRPr="00342D73" w:rsidTr="00342D73">
        <w:trPr>
          <w:trHeight w:val="315"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LEGUMES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5,7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92,9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98,4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111,4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13,2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5,2</w:t>
            </w:r>
          </w:p>
        </w:tc>
      </w:tr>
      <w:tr w:rsidR="00342D73" w:rsidRPr="00342D73" w:rsidTr="00342D73">
        <w:trPr>
          <w:trHeight w:val="525"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SUCRE, CONFITURE, MIEL, CHOCOLAT ET CONFESERIE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1,6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101,7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105,7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105,7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3,8</w:t>
            </w:r>
          </w:p>
        </w:tc>
      </w:tr>
      <w:tr w:rsidR="00342D73" w:rsidRPr="00342D73" w:rsidTr="00342D73">
        <w:trPr>
          <w:trHeight w:val="555"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PRODUITS ALIMENTAIRES N.C.A.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1,7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84,9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86,4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90,8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5,1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5,6</w:t>
            </w:r>
          </w:p>
        </w:tc>
      </w:tr>
      <w:tr w:rsidR="00342D73" w:rsidRPr="00342D73" w:rsidTr="00342D73">
        <w:trPr>
          <w:trHeight w:val="780"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  <w:t>BOISSONS NON ALCOOLISEES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  <w:t>2,3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101,2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101,1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102,7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1,6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3,9</w:t>
            </w:r>
          </w:p>
        </w:tc>
      </w:tr>
      <w:tr w:rsidR="00342D73" w:rsidRPr="00342D73" w:rsidTr="00342D73">
        <w:trPr>
          <w:trHeight w:val="525"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CAFE, THE ET CACAO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1,7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103,0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103,9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106,0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5,3</w:t>
            </w:r>
          </w:p>
        </w:tc>
      </w:tr>
      <w:tr w:rsidR="00342D73" w:rsidRPr="00342D73" w:rsidTr="00342D73">
        <w:trPr>
          <w:trHeight w:val="555"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0,7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96,8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94,3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94,3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0,3</w:t>
            </w:r>
          </w:p>
        </w:tc>
      </w:tr>
      <w:tr w:rsidR="00342D73" w:rsidRPr="00342D73" w:rsidTr="00342D73">
        <w:trPr>
          <w:trHeight w:val="525"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vAlign w:val="center"/>
            <w:hideMark/>
          </w:tcPr>
          <w:p w:rsidR="00342D73" w:rsidRPr="00342D73" w:rsidRDefault="00342D73" w:rsidP="003F7250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02. BOISSONS ALCOOLISEES</w:t>
            </w:r>
            <w:r w:rsidR="003F7250"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 xml:space="preserve"> ET </w:t>
            </w: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 xml:space="preserve">TABAC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1,5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124,9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129,1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129,1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7,7</w:t>
            </w:r>
          </w:p>
        </w:tc>
      </w:tr>
      <w:tr w:rsidR="00342D73" w:rsidRPr="00342D73" w:rsidTr="00342D73">
        <w:trPr>
          <w:trHeight w:val="315"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  <w:t>BOISSONS ALCOOLISEES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  <w:t>0,1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101,4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102,0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102,0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0,6</w:t>
            </w:r>
          </w:p>
        </w:tc>
      </w:tr>
      <w:tr w:rsidR="00342D73" w:rsidRPr="00342D73" w:rsidTr="00342D73">
        <w:trPr>
          <w:trHeight w:val="525"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SPIRITUEUX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0,1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0,0</w:t>
            </w:r>
          </w:p>
        </w:tc>
      </w:tr>
      <w:tr w:rsidR="00342D73" w:rsidRPr="00342D73" w:rsidTr="00342D73">
        <w:trPr>
          <w:trHeight w:val="555"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VIN ET BOISSONS FERMENTEES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103,5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105,4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105,4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1,8</w:t>
            </w:r>
          </w:p>
        </w:tc>
      </w:tr>
      <w:tr w:rsidR="00342D73" w:rsidRPr="00342D73" w:rsidTr="00342D73">
        <w:trPr>
          <w:trHeight w:val="315"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BIERE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103,8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103,8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103,8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0,0</w:t>
            </w:r>
          </w:p>
        </w:tc>
      </w:tr>
      <w:tr w:rsidR="00342D73" w:rsidRPr="00342D73" w:rsidTr="00342D73">
        <w:trPr>
          <w:trHeight w:val="315"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  <w:t>TABAC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  <w:t>1,4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126,5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130,8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130,8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8,0</w:t>
            </w:r>
          </w:p>
        </w:tc>
      </w:tr>
      <w:tr w:rsidR="00342D73" w:rsidRPr="00342D73" w:rsidTr="00342D73">
        <w:trPr>
          <w:trHeight w:val="300"/>
        </w:trPr>
        <w:tc>
          <w:tcPr>
            <w:tcW w:w="1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TABAC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1,4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126,5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130,8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color w:val="000000"/>
                <w:spacing w:val="0"/>
                <w:lang w:eastAsia="fr-FR"/>
              </w:rPr>
              <w:t>130,8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8,0</w:t>
            </w:r>
          </w:p>
        </w:tc>
      </w:tr>
      <w:tr w:rsidR="00342D73" w:rsidRPr="00342D73" w:rsidTr="00342D73">
        <w:trPr>
          <w:trHeight w:val="525"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D5B4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INDICE DES PRODUITS ALIMENTAIRES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42,7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98,0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104,8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108,3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3,3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42D73" w:rsidRPr="003F7250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F7250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9,4</w:t>
            </w:r>
          </w:p>
        </w:tc>
      </w:tr>
      <w:tr w:rsidR="00342D73" w:rsidRPr="00342D73" w:rsidTr="00342D73">
        <w:trPr>
          <w:trHeight w:val="825"/>
        </w:trPr>
        <w:tc>
          <w:tcPr>
            <w:tcW w:w="1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C090"/>
            <w:vAlign w:val="center"/>
            <w:hideMark/>
          </w:tcPr>
          <w:p w:rsidR="00342D73" w:rsidRPr="00342D73" w:rsidRDefault="00342D73" w:rsidP="00342D73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GENERAL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eastAsia="fr-FR"/>
              </w:rPr>
              <w:t>101,3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eastAsia="fr-FR"/>
              </w:rPr>
              <w:t>105,7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eastAsia="fr-FR"/>
              </w:rPr>
              <w:t>107,7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eastAsia="fr-FR"/>
              </w:rPr>
              <w:t>1,9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42D73" w:rsidRPr="00342D73" w:rsidRDefault="00342D73" w:rsidP="00342D73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eastAsia="fr-FR"/>
              </w:rPr>
            </w:pPr>
            <w:r w:rsidRPr="00342D73">
              <w:rPr>
                <w:rFonts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eastAsia="fr-FR"/>
              </w:rPr>
              <w:t>5,8</w:t>
            </w:r>
          </w:p>
        </w:tc>
      </w:tr>
    </w:tbl>
    <w:p w:rsidR="00D2208B" w:rsidRPr="00307D13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sectPr w:rsidR="00D2208B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225" w:rsidRDefault="00FA6225">
      <w:r>
        <w:separator/>
      </w:r>
    </w:p>
    <w:p w:rsidR="00FA6225" w:rsidRDefault="00FA6225"/>
  </w:endnote>
  <w:endnote w:type="continuationSeparator" w:id="0">
    <w:p w:rsidR="00FA6225" w:rsidRDefault="00FA6225">
      <w:r>
        <w:continuationSeparator/>
      </w:r>
    </w:p>
    <w:p w:rsidR="00FA6225" w:rsidRDefault="00FA622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192BC5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225" w:rsidRDefault="00FA6225">
      <w:r>
        <w:separator/>
      </w:r>
    </w:p>
    <w:p w:rsidR="00FA6225" w:rsidRDefault="00FA6225"/>
  </w:footnote>
  <w:footnote w:type="continuationSeparator" w:id="0">
    <w:p w:rsidR="00FA6225" w:rsidRDefault="00FA6225">
      <w:r>
        <w:continuationSeparator/>
      </w:r>
    </w:p>
    <w:p w:rsidR="00FA6225" w:rsidRDefault="00FA622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D20"/>
    <w:rsid w:val="000626E2"/>
    <w:rsid w:val="000627B8"/>
    <w:rsid w:val="0006311E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BFE"/>
    <w:rsid w:val="00085F69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753E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DB4"/>
    <w:rsid w:val="00105E77"/>
    <w:rsid w:val="0010604E"/>
    <w:rsid w:val="00106CE8"/>
    <w:rsid w:val="001076DE"/>
    <w:rsid w:val="00107C4D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20428"/>
    <w:rsid w:val="001212D2"/>
    <w:rsid w:val="00121554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B40"/>
    <w:rsid w:val="001547B5"/>
    <w:rsid w:val="00154853"/>
    <w:rsid w:val="00154BBD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11CE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A0A"/>
    <w:rsid w:val="00185026"/>
    <w:rsid w:val="00185A2F"/>
    <w:rsid w:val="00186A1B"/>
    <w:rsid w:val="00186CF7"/>
    <w:rsid w:val="00186E75"/>
    <w:rsid w:val="001879D2"/>
    <w:rsid w:val="00187A51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50E5"/>
    <w:rsid w:val="001C5B75"/>
    <w:rsid w:val="001C5C8C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3717"/>
    <w:rsid w:val="002A41F1"/>
    <w:rsid w:val="002A48C1"/>
    <w:rsid w:val="002A49B9"/>
    <w:rsid w:val="002A4A07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F98"/>
    <w:rsid w:val="00397B38"/>
    <w:rsid w:val="00397D9E"/>
    <w:rsid w:val="003A07F4"/>
    <w:rsid w:val="003A1103"/>
    <w:rsid w:val="003A17C3"/>
    <w:rsid w:val="003A1BDA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3DB"/>
    <w:rsid w:val="00467A65"/>
    <w:rsid w:val="00470ABA"/>
    <w:rsid w:val="00470AD3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241"/>
    <w:rsid w:val="004B0BC4"/>
    <w:rsid w:val="004B29AD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69B"/>
    <w:rsid w:val="00577459"/>
    <w:rsid w:val="005777C9"/>
    <w:rsid w:val="00580F99"/>
    <w:rsid w:val="00581626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5864"/>
    <w:rsid w:val="00585E99"/>
    <w:rsid w:val="005873E3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E01B5"/>
    <w:rsid w:val="005E06ED"/>
    <w:rsid w:val="005E16E1"/>
    <w:rsid w:val="005E1E24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21AA"/>
    <w:rsid w:val="00612D9D"/>
    <w:rsid w:val="00612EF5"/>
    <w:rsid w:val="006130E6"/>
    <w:rsid w:val="006131BD"/>
    <w:rsid w:val="00613334"/>
    <w:rsid w:val="00613815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623"/>
    <w:rsid w:val="006A1785"/>
    <w:rsid w:val="006A232F"/>
    <w:rsid w:val="006A2668"/>
    <w:rsid w:val="006A32B6"/>
    <w:rsid w:val="006A3832"/>
    <w:rsid w:val="006A3CCD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CA3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2339"/>
    <w:rsid w:val="006F2C85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96D"/>
    <w:rsid w:val="00772A5C"/>
    <w:rsid w:val="00772F95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75E9"/>
    <w:rsid w:val="00827707"/>
    <w:rsid w:val="00827BC8"/>
    <w:rsid w:val="00827E50"/>
    <w:rsid w:val="00827F5A"/>
    <w:rsid w:val="00830311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432"/>
    <w:rsid w:val="008D6F1B"/>
    <w:rsid w:val="008D72E0"/>
    <w:rsid w:val="008E049A"/>
    <w:rsid w:val="008E0EBB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548D"/>
    <w:rsid w:val="0093581E"/>
    <w:rsid w:val="00935F9F"/>
    <w:rsid w:val="009361C5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A8"/>
    <w:rsid w:val="009727FF"/>
    <w:rsid w:val="00972AB7"/>
    <w:rsid w:val="00972C23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62D6"/>
    <w:rsid w:val="00986AF5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6EC9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1226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574A"/>
    <w:rsid w:val="00A75B55"/>
    <w:rsid w:val="00A763A5"/>
    <w:rsid w:val="00A76E4D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94D"/>
    <w:rsid w:val="00B057F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3E2A"/>
    <w:rsid w:val="00C441DD"/>
    <w:rsid w:val="00C44372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52F1"/>
    <w:rsid w:val="00CA7207"/>
    <w:rsid w:val="00CA793C"/>
    <w:rsid w:val="00CB289E"/>
    <w:rsid w:val="00CB2B2B"/>
    <w:rsid w:val="00CB3D6A"/>
    <w:rsid w:val="00CB4660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DA6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330C"/>
    <w:rsid w:val="00F33752"/>
    <w:rsid w:val="00F33D01"/>
    <w:rsid w:val="00F3609D"/>
    <w:rsid w:val="00F3644B"/>
    <w:rsid w:val="00F37E7C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3977"/>
    <w:rsid w:val="00F83AA7"/>
    <w:rsid w:val="00F84839"/>
    <w:rsid w:val="00F86582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F0193"/>
    <w:rsid w:val="00FF0334"/>
    <w:rsid w:val="00FF15BF"/>
    <w:rsid w:val="00FF2686"/>
    <w:rsid w:val="00FF3740"/>
    <w:rsid w:val="00FF3D7D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16917F4-703E-44EE-AB24-AB6AB4F9D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920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2022-04-25T11:54:00Z</dcterms:created>
  <dcterms:modified xsi:type="dcterms:W3CDTF">2022-05-04T11:40:00Z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