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Août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857B9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5A4A14" w:rsidRDefault="00986F1B" w:rsidP="00E02EE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A4A14">
        <w:rPr>
          <w:rFonts w:asciiTheme="majorBidi" w:hAnsiTheme="majorBidi" w:cstheme="majorBidi"/>
          <w:sz w:val="22"/>
          <w:szCs w:val="22"/>
        </w:rPr>
        <w:t>L’</w:t>
      </w:r>
      <w:r w:rsidR="002B4717" w:rsidRPr="005A4A14">
        <w:rPr>
          <w:rFonts w:asciiTheme="majorBidi" w:hAnsiTheme="majorBidi" w:cstheme="majorBidi"/>
          <w:sz w:val="22"/>
          <w:szCs w:val="22"/>
        </w:rPr>
        <w:t>I</w:t>
      </w:r>
      <w:r w:rsidRPr="005A4A14">
        <w:rPr>
          <w:rFonts w:asciiTheme="majorBidi" w:hAnsiTheme="majorBidi" w:cstheme="majorBidi"/>
          <w:sz w:val="22"/>
          <w:szCs w:val="22"/>
        </w:rPr>
        <w:t xml:space="preserve">ndice des </w:t>
      </w:r>
      <w:r w:rsidR="002B4717" w:rsidRPr="005A4A14">
        <w:rPr>
          <w:rFonts w:asciiTheme="majorBidi" w:hAnsiTheme="majorBidi" w:cstheme="majorBidi"/>
          <w:sz w:val="22"/>
          <w:szCs w:val="22"/>
        </w:rPr>
        <w:t>P</w:t>
      </w:r>
      <w:r w:rsidRPr="005A4A14">
        <w:rPr>
          <w:rFonts w:asciiTheme="majorBidi" w:hAnsiTheme="majorBidi" w:cstheme="majorBidi"/>
          <w:sz w:val="22"/>
          <w:szCs w:val="22"/>
        </w:rPr>
        <w:t xml:space="preserve">rix à la </w:t>
      </w:r>
      <w:r w:rsidR="002B4717" w:rsidRPr="005A4A14">
        <w:rPr>
          <w:rFonts w:asciiTheme="majorBidi" w:hAnsiTheme="majorBidi" w:cstheme="majorBidi"/>
          <w:sz w:val="22"/>
          <w:szCs w:val="22"/>
        </w:rPr>
        <w:t>C</w:t>
      </w:r>
      <w:r w:rsidRPr="005A4A14">
        <w:rPr>
          <w:rFonts w:asciiTheme="majorBidi" w:hAnsiTheme="majorBidi" w:cstheme="majorBidi"/>
          <w:sz w:val="22"/>
          <w:szCs w:val="22"/>
        </w:rPr>
        <w:t xml:space="preserve">onsommation 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746443" w:rsidRPr="005A4A14">
        <w:rPr>
          <w:rFonts w:asciiTheme="majorBidi" w:hAnsiTheme="majorBidi" w:cstheme="majorBidi"/>
          <w:sz w:val="22"/>
          <w:szCs w:val="22"/>
        </w:rPr>
        <w:t>Kenitra</w:t>
      </w:r>
      <w:r w:rsidRPr="005A4A14">
        <w:rPr>
          <w:rFonts w:asciiTheme="majorBidi" w:hAnsiTheme="majorBidi" w:cstheme="majorBidi"/>
          <w:sz w:val="22"/>
          <w:szCs w:val="22"/>
        </w:rPr>
        <w:t xml:space="preserve">, du mois </w:t>
      </w:r>
      <w:r w:rsidR="00E02EE9" w:rsidRPr="005A4A14">
        <w:rPr>
          <w:rFonts w:asciiTheme="majorBidi" w:hAnsiTheme="majorBidi" w:cstheme="majorBidi"/>
          <w:sz w:val="22"/>
          <w:szCs w:val="22"/>
        </w:rPr>
        <w:t xml:space="preserve">d’août </w:t>
      </w:r>
      <w:r w:rsidRPr="005A4A14">
        <w:rPr>
          <w:rFonts w:asciiTheme="majorBidi" w:hAnsiTheme="majorBidi" w:cstheme="majorBidi"/>
          <w:sz w:val="22"/>
          <w:szCs w:val="22"/>
        </w:rPr>
        <w:t>2022,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 a</w:t>
      </w:r>
      <w:r w:rsidR="00064324" w:rsidRPr="005A4A14">
        <w:rPr>
          <w:rFonts w:asciiTheme="majorBidi" w:hAnsiTheme="majorBidi" w:cstheme="majorBidi"/>
          <w:sz w:val="22"/>
          <w:szCs w:val="22"/>
        </w:rPr>
        <w:t xml:space="preserve"> </w:t>
      </w:r>
      <w:r w:rsidR="00E02EE9" w:rsidRPr="005A4A14">
        <w:rPr>
          <w:rFonts w:asciiTheme="majorBidi" w:hAnsiTheme="majorBidi" w:cstheme="majorBidi"/>
          <w:sz w:val="22"/>
          <w:szCs w:val="22"/>
        </w:rPr>
        <w:t xml:space="preserve">reculé 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de </w:t>
      </w:r>
      <w:r w:rsidR="00E02EE9" w:rsidRPr="005A4A14">
        <w:rPr>
          <w:rFonts w:asciiTheme="majorBidi" w:hAnsiTheme="majorBidi" w:cstheme="majorBidi"/>
          <w:sz w:val="22"/>
          <w:szCs w:val="22"/>
        </w:rPr>
        <w:t>0</w:t>
      </w:r>
      <w:r w:rsidR="00CB4E32" w:rsidRPr="005A4A14">
        <w:rPr>
          <w:rFonts w:asciiTheme="majorBidi" w:hAnsiTheme="majorBidi" w:cstheme="majorBidi"/>
          <w:sz w:val="22"/>
          <w:szCs w:val="22"/>
        </w:rPr>
        <w:t>,</w:t>
      </w:r>
      <w:r w:rsidR="00E02EE9" w:rsidRPr="005A4A14">
        <w:rPr>
          <w:rFonts w:asciiTheme="majorBidi" w:hAnsiTheme="majorBidi" w:cstheme="majorBidi"/>
          <w:sz w:val="22"/>
          <w:szCs w:val="22"/>
        </w:rPr>
        <w:t>1</w:t>
      </w:r>
      <w:r w:rsidR="002B4717" w:rsidRPr="005A4A14">
        <w:rPr>
          <w:rFonts w:asciiTheme="majorBidi" w:hAnsiTheme="majorBidi" w:cstheme="majorBidi"/>
          <w:sz w:val="22"/>
          <w:szCs w:val="22"/>
        </w:rPr>
        <w:t>%</w:t>
      </w:r>
      <w:r w:rsidR="00773234" w:rsidRPr="005A4A14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 par rapport au mois </w:t>
      </w:r>
      <w:r w:rsidR="00773234" w:rsidRPr="005A4A14">
        <w:rPr>
          <w:rFonts w:asciiTheme="majorBidi" w:hAnsiTheme="majorBidi" w:cstheme="majorBidi"/>
          <w:sz w:val="22"/>
          <w:szCs w:val="22"/>
        </w:rPr>
        <w:t>d</w:t>
      </w:r>
      <w:r w:rsidR="00CB4E32" w:rsidRPr="005A4A14">
        <w:rPr>
          <w:rFonts w:asciiTheme="majorBidi" w:hAnsiTheme="majorBidi" w:cstheme="majorBidi"/>
          <w:sz w:val="22"/>
          <w:szCs w:val="22"/>
        </w:rPr>
        <w:t xml:space="preserve">e </w:t>
      </w:r>
      <w:r w:rsidR="00064324" w:rsidRPr="005A4A14">
        <w:rPr>
          <w:rFonts w:asciiTheme="majorBidi" w:hAnsiTheme="majorBidi" w:cstheme="majorBidi"/>
          <w:sz w:val="22"/>
          <w:szCs w:val="22"/>
        </w:rPr>
        <w:t>Ju</w:t>
      </w:r>
      <w:r w:rsidR="00CB4E32" w:rsidRPr="005A4A14">
        <w:rPr>
          <w:rFonts w:asciiTheme="majorBidi" w:hAnsiTheme="majorBidi" w:cstheme="majorBidi"/>
          <w:sz w:val="22"/>
          <w:szCs w:val="22"/>
        </w:rPr>
        <w:t>i</w:t>
      </w:r>
      <w:r w:rsidR="00E02EE9" w:rsidRPr="005A4A14">
        <w:rPr>
          <w:rFonts w:asciiTheme="majorBidi" w:hAnsiTheme="majorBidi" w:cstheme="majorBidi"/>
          <w:sz w:val="22"/>
          <w:szCs w:val="22"/>
        </w:rPr>
        <w:t>llet</w:t>
      </w:r>
      <w:r w:rsidR="00342D73" w:rsidRPr="005A4A14">
        <w:rPr>
          <w:rFonts w:asciiTheme="majorBidi" w:hAnsiTheme="majorBidi" w:cstheme="majorBidi"/>
          <w:sz w:val="22"/>
          <w:szCs w:val="22"/>
        </w:rPr>
        <w:t xml:space="preserve"> </w:t>
      </w:r>
      <w:r w:rsidR="00857B95" w:rsidRPr="005A4A14">
        <w:rPr>
          <w:rFonts w:asciiTheme="majorBidi" w:hAnsiTheme="majorBidi" w:cstheme="majorBidi"/>
          <w:sz w:val="22"/>
          <w:szCs w:val="22"/>
        </w:rPr>
        <w:t>de la même année,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 contre </w:t>
      </w:r>
      <w:r w:rsidR="00CB4E32" w:rsidRPr="005A4A14">
        <w:rPr>
          <w:rFonts w:asciiTheme="majorBidi" w:hAnsiTheme="majorBidi" w:cstheme="majorBidi"/>
          <w:sz w:val="22"/>
          <w:szCs w:val="22"/>
        </w:rPr>
        <w:t xml:space="preserve">une hausse </w:t>
      </w:r>
      <w:r w:rsidR="00064324" w:rsidRPr="005A4A14">
        <w:rPr>
          <w:rFonts w:asciiTheme="majorBidi" w:hAnsiTheme="majorBidi" w:cstheme="majorBidi"/>
          <w:sz w:val="22"/>
          <w:szCs w:val="22"/>
        </w:rPr>
        <w:t>de 0,</w:t>
      </w:r>
      <w:r w:rsidR="00E02EE9" w:rsidRPr="005A4A14">
        <w:rPr>
          <w:rFonts w:asciiTheme="majorBidi" w:hAnsiTheme="majorBidi" w:cstheme="majorBidi"/>
          <w:sz w:val="22"/>
          <w:szCs w:val="22"/>
        </w:rPr>
        <w:t>3</w:t>
      </w:r>
      <w:r w:rsidR="00064324" w:rsidRPr="005A4A14">
        <w:rPr>
          <w:rFonts w:asciiTheme="majorBidi" w:hAnsiTheme="majorBidi" w:cstheme="majorBidi"/>
          <w:sz w:val="22"/>
          <w:szCs w:val="22"/>
        </w:rPr>
        <w:t>%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 pour l’ensemble national.</w:t>
      </w:r>
    </w:p>
    <w:p w:rsidR="002B4717" w:rsidRPr="005A4A14" w:rsidRDefault="00986F1B" w:rsidP="00E02EE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A4A14">
        <w:rPr>
          <w:rFonts w:asciiTheme="majorBidi" w:hAnsiTheme="majorBidi" w:cstheme="majorBidi"/>
          <w:sz w:val="22"/>
          <w:szCs w:val="22"/>
        </w:rPr>
        <w:t xml:space="preserve">Cette 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 </w:t>
      </w:r>
      <w:r w:rsidR="00E02EE9" w:rsidRPr="005A4A14">
        <w:rPr>
          <w:rFonts w:asciiTheme="majorBidi" w:hAnsiTheme="majorBidi" w:cstheme="majorBidi"/>
          <w:sz w:val="22"/>
          <w:szCs w:val="22"/>
        </w:rPr>
        <w:t>baisse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 de l’indice </w:t>
      </w:r>
      <w:r w:rsidR="00773234" w:rsidRPr="005A4A14">
        <w:rPr>
          <w:rFonts w:asciiTheme="majorBidi" w:hAnsiTheme="majorBidi" w:cstheme="majorBidi"/>
          <w:sz w:val="22"/>
          <w:szCs w:val="22"/>
        </w:rPr>
        <w:t xml:space="preserve">général 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de </w:t>
      </w:r>
      <w:r w:rsidRPr="005A4A14">
        <w:rPr>
          <w:rFonts w:asciiTheme="majorBidi" w:hAnsiTheme="majorBidi" w:cstheme="majorBidi"/>
          <w:sz w:val="22"/>
          <w:szCs w:val="22"/>
        </w:rPr>
        <w:t>Kenitra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 est</w:t>
      </w:r>
      <w:r w:rsidR="003B3265" w:rsidRPr="005A4A14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 </w:t>
      </w:r>
      <w:r w:rsidR="00E02EE9" w:rsidRPr="005A4A14">
        <w:rPr>
          <w:rFonts w:asciiTheme="majorBidi" w:hAnsiTheme="majorBidi" w:cstheme="majorBidi"/>
          <w:sz w:val="22"/>
          <w:szCs w:val="22"/>
        </w:rPr>
        <w:t xml:space="preserve">l’effet conjugué 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 de </w:t>
      </w:r>
      <w:r w:rsidR="00857B95" w:rsidRPr="005A4A14">
        <w:rPr>
          <w:rFonts w:asciiTheme="majorBidi" w:hAnsiTheme="majorBidi" w:cstheme="majorBidi"/>
          <w:sz w:val="22"/>
          <w:szCs w:val="22"/>
        </w:rPr>
        <w:t xml:space="preserve">la </w:t>
      </w:r>
      <w:r w:rsidR="00064324" w:rsidRPr="005A4A14">
        <w:rPr>
          <w:rFonts w:asciiTheme="majorBidi" w:hAnsiTheme="majorBidi" w:cstheme="majorBidi"/>
          <w:sz w:val="22"/>
          <w:szCs w:val="22"/>
        </w:rPr>
        <w:t>montée</w:t>
      </w:r>
      <w:r w:rsidR="00CB4E32" w:rsidRPr="005A4A14">
        <w:rPr>
          <w:rFonts w:asciiTheme="majorBidi" w:hAnsiTheme="majorBidi" w:cstheme="majorBidi"/>
          <w:sz w:val="22"/>
          <w:szCs w:val="22"/>
        </w:rPr>
        <w:t xml:space="preserve"> de l’indice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 des produits alimentaires </w:t>
      </w:r>
      <w:r w:rsidR="00E02EE9" w:rsidRPr="005A4A14">
        <w:rPr>
          <w:rFonts w:asciiTheme="majorBidi" w:hAnsiTheme="majorBidi" w:cstheme="majorBidi"/>
          <w:sz w:val="22"/>
          <w:szCs w:val="22"/>
        </w:rPr>
        <w:t>de 0,7% et de la diminution de celui</w:t>
      </w:r>
      <w:r w:rsidR="002B4717" w:rsidRPr="005A4A14">
        <w:rPr>
          <w:rFonts w:asciiTheme="majorBidi" w:hAnsiTheme="majorBidi" w:cstheme="majorBidi"/>
          <w:sz w:val="22"/>
          <w:szCs w:val="22"/>
        </w:rPr>
        <w:t xml:space="preserve"> des produits non alimentaires</w:t>
      </w:r>
      <w:r w:rsidR="00206DD9" w:rsidRPr="005A4A14">
        <w:rPr>
          <w:rFonts w:asciiTheme="majorBidi" w:hAnsiTheme="majorBidi" w:cstheme="majorBidi"/>
          <w:sz w:val="22"/>
          <w:szCs w:val="22"/>
        </w:rPr>
        <w:t xml:space="preserve"> </w:t>
      </w:r>
      <w:r w:rsidR="00E02EE9" w:rsidRPr="005A4A14">
        <w:rPr>
          <w:rFonts w:asciiTheme="majorBidi" w:hAnsiTheme="majorBidi" w:cstheme="majorBidi"/>
          <w:sz w:val="22"/>
          <w:szCs w:val="22"/>
        </w:rPr>
        <w:t>du même pourcentage</w:t>
      </w:r>
      <w:r w:rsidR="002B4717" w:rsidRPr="005A4A14">
        <w:rPr>
          <w:rFonts w:asciiTheme="majorBidi" w:hAnsiTheme="majorBidi" w:cstheme="majorBidi"/>
          <w:sz w:val="22"/>
          <w:szCs w:val="22"/>
        </w:rPr>
        <w:t>.</w:t>
      </w:r>
    </w:p>
    <w:p w:rsidR="00C21F9C" w:rsidRPr="005A4A14" w:rsidRDefault="009A5C32" w:rsidP="00583AC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A4A14">
        <w:rPr>
          <w:rFonts w:asciiTheme="majorBidi" w:hAnsiTheme="majorBidi" w:cstheme="majorBidi"/>
          <w:sz w:val="22"/>
          <w:szCs w:val="22"/>
        </w:rPr>
        <w:t xml:space="preserve">Au sein </w:t>
      </w:r>
      <w:r w:rsidR="00C21F9C" w:rsidRPr="005A4A14">
        <w:rPr>
          <w:rFonts w:asciiTheme="majorBidi" w:hAnsiTheme="majorBidi" w:cstheme="majorBidi"/>
          <w:sz w:val="22"/>
          <w:szCs w:val="22"/>
        </w:rPr>
        <w:t xml:space="preserve"> des produits alimentaires, </w:t>
      </w:r>
      <w:r w:rsidRPr="005A4A14">
        <w:rPr>
          <w:rFonts w:asciiTheme="majorBidi" w:hAnsiTheme="majorBidi" w:cstheme="majorBidi"/>
          <w:sz w:val="22"/>
          <w:szCs w:val="22"/>
        </w:rPr>
        <w:t xml:space="preserve">les classes </w:t>
      </w:r>
      <w:r w:rsidR="00C21F9C" w:rsidRPr="005A4A14">
        <w:rPr>
          <w:rFonts w:asciiTheme="majorBidi" w:hAnsiTheme="majorBidi" w:cstheme="majorBidi"/>
          <w:sz w:val="22"/>
          <w:szCs w:val="22"/>
        </w:rPr>
        <w:t xml:space="preserve">ayant eu </w:t>
      </w:r>
      <w:r w:rsidRPr="005A4A14">
        <w:rPr>
          <w:rFonts w:asciiTheme="majorBidi" w:hAnsiTheme="majorBidi" w:cstheme="majorBidi"/>
          <w:sz w:val="22"/>
          <w:szCs w:val="22"/>
        </w:rPr>
        <w:t xml:space="preserve">des hausses de prix significatives </w:t>
      </w:r>
      <w:r w:rsidR="00C21F9C" w:rsidRPr="005A4A14">
        <w:rPr>
          <w:rFonts w:asciiTheme="majorBidi" w:hAnsiTheme="majorBidi" w:cstheme="majorBidi"/>
          <w:sz w:val="22"/>
          <w:szCs w:val="22"/>
        </w:rPr>
        <w:t>au cours du mois d</w:t>
      </w:r>
      <w:r w:rsidRPr="005A4A14">
        <w:rPr>
          <w:rFonts w:asciiTheme="majorBidi" w:hAnsiTheme="majorBidi" w:cstheme="majorBidi"/>
          <w:sz w:val="22"/>
          <w:szCs w:val="22"/>
        </w:rPr>
        <w:t>’août</w:t>
      </w:r>
      <w:r w:rsidR="00064324" w:rsidRPr="005A4A14">
        <w:rPr>
          <w:rFonts w:asciiTheme="majorBidi" w:hAnsiTheme="majorBidi" w:cstheme="majorBidi"/>
          <w:sz w:val="22"/>
          <w:szCs w:val="22"/>
        </w:rPr>
        <w:t xml:space="preserve"> </w:t>
      </w:r>
      <w:r w:rsidR="00C21F9C" w:rsidRPr="005A4A14">
        <w:rPr>
          <w:rFonts w:asciiTheme="majorBidi" w:hAnsiTheme="majorBidi" w:cstheme="majorBidi"/>
          <w:sz w:val="22"/>
          <w:szCs w:val="22"/>
        </w:rPr>
        <w:t xml:space="preserve"> 2022, </w:t>
      </w:r>
      <w:r w:rsidRPr="005A4A14">
        <w:rPr>
          <w:rFonts w:asciiTheme="majorBidi" w:hAnsiTheme="majorBidi" w:cstheme="majorBidi"/>
          <w:sz w:val="22"/>
          <w:szCs w:val="22"/>
        </w:rPr>
        <w:t xml:space="preserve">sont </w:t>
      </w:r>
      <w:r w:rsidR="00C21F9C" w:rsidRPr="005A4A14">
        <w:rPr>
          <w:rFonts w:asciiTheme="majorBidi" w:hAnsiTheme="majorBidi" w:cstheme="majorBidi"/>
          <w:sz w:val="22"/>
          <w:szCs w:val="22"/>
        </w:rPr>
        <w:t xml:space="preserve"> les </w:t>
      </w:r>
      <w:r w:rsidR="00583ACD" w:rsidRPr="005A4A14">
        <w:rPr>
          <w:rFonts w:asciiTheme="majorBidi" w:hAnsiTheme="majorBidi" w:cstheme="majorBidi"/>
          <w:sz w:val="22"/>
          <w:szCs w:val="22"/>
        </w:rPr>
        <w:t>"</w:t>
      </w:r>
      <w:r w:rsidR="00064324" w:rsidRPr="005A4A14">
        <w:rPr>
          <w:rFonts w:asciiTheme="majorBidi" w:hAnsiTheme="majorBidi" w:cstheme="majorBidi"/>
          <w:sz w:val="22"/>
          <w:szCs w:val="22"/>
        </w:rPr>
        <w:t> Fruits </w:t>
      </w:r>
      <w:r w:rsidR="00583ACD" w:rsidRPr="005A4A14">
        <w:rPr>
          <w:rFonts w:asciiTheme="majorBidi" w:hAnsiTheme="majorBidi" w:cstheme="majorBidi"/>
          <w:sz w:val="22"/>
          <w:szCs w:val="22"/>
        </w:rPr>
        <w:t>"</w:t>
      </w:r>
      <w:r w:rsidR="00064324" w:rsidRPr="005A4A14">
        <w:rPr>
          <w:rFonts w:asciiTheme="majorBidi" w:hAnsiTheme="majorBidi" w:cstheme="majorBidi"/>
          <w:sz w:val="22"/>
          <w:szCs w:val="22"/>
        </w:rPr>
        <w:t xml:space="preserve"> avec </w:t>
      </w:r>
      <w:r w:rsidR="00583ACD" w:rsidRPr="005A4A14">
        <w:rPr>
          <w:rFonts w:asciiTheme="majorBidi" w:hAnsiTheme="majorBidi" w:cstheme="majorBidi"/>
          <w:sz w:val="22"/>
          <w:szCs w:val="22"/>
        </w:rPr>
        <w:t>6</w:t>
      </w:r>
      <w:r w:rsidR="00064324" w:rsidRPr="005A4A14">
        <w:rPr>
          <w:rFonts w:asciiTheme="majorBidi" w:hAnsiTheme="majorBidi" w:cstheme="majorBidi"/>
          <w:sz w:val="22"/>
          <w:szCs w:val="22"/>
        </w:rPr>
        <w:t>%</w:t>
      </w:r>
      <w:r w:rsidR="00583ACD" w:rsidRPr="005A4A14">
        <w:rPr>
          <w:rFonts w:asciiTheme="majorBidi" w:hAnsiTheme="majorBidi" w:cstheme="majorBidi"/>
          <w:sz w:val="22"/>
          <w:szCs w:val="22"/>
        </w:rPr>
        <w:t xml:space="preserve"> et</w:t>
      </w:r>
      <w:r w:rsidR="00B1083D" w:rsidRPr="005A4A14">
        <w:rPr>
          <w:rFonts w:asciiTheme="majorBidi" w:hAnsiTheme="majorBidi" w:cstheme="majorBidi"/>
          <w:sz w:val="22"/>
          <w:szCs w:val="22"/>
        </w:rPr>
        <w:t xml:space="preserve"> </w:t>
      </w:r>
      <w:r w:rsidR="00064324" w:rsidRPr="005A4A14">
        <w:rPr>
          <w:rFonts w:asciiTheme="majorBidi" w:hAnsiTheme="majorBidi" w:cstheme="majorBidi"/>
          <w:sz w:val="22"/>
          <w:szCs w:val="22"/>
        </w:rPr>
        <w:t xml:space="preserve"> les </w:t>
      </w:r>
      <w:r w:rsidR="00C21F9C" w:rsidRPr="005A4A14">
        <w:rPr>
          <w:rFonts w:asciiTheme="majorBidi" w:hAnsiTheme="majorBidi" w:cstheme="majorBidi"/>
          <w:sz w:val="22"/>
          <w:szCs w:val="22"/>
        </w:rPr>
        <w:t xml:space="preserve"> </w:t>
      </w:r>
      <w:r w:rsidR="00583ACD" w:rsidRPr="005A4A14">
        <w:rPr>
          <w:rFonts w:asciiTheme="majorBidi" w:hAnsiTheme="majorBidi" w:cstheme="majorBidi"/>
          <w:sz w:val="22"/>
          <w:szCs w:val="22"/>
        </w:rPr>
        <w:t>"</w:t>
      </w:r>
      <w:r w:rsidR="00B1083D" w:rsidRPr="005A4A14">
        <w:rPr>
          <w:rFonts w:asciiTheme="majorBidi" w:hAnsiTheme="majorBidi" w:cstheme="majorBidi"/>
          <w:sz w:val="22"/>
          <w:szCs w:val="22"/>
        </w:rPr>
        <w:t>Légumes</w:t>
      </w:r>
      <w:r w:rsidR="00583ACD" w:rsidRPr="005A4A14">
        <w:rPr>
          <w:rFonts w:asciiTheme="majorBidi" w:hAnsiTheme="majorBidi" w:cstheme="majorBidi"/>
          <w:sz w:val="22"/>
          <w:szCs w:val="22"/>
        </w:rPr>
        <w:t>"</w:t>
      </w:r>
      <w:r w:rsidR="00B1083D" w:rsidRPr="005A4A14">
        <w:rPr>
          <w:rFonts w:asciiTheme="majorBidi" w:hAnsiTheme="majorBidi" w:cstheme="majorBidi"/>
          <w:sz w:val="22"/>
          <w:szCs w:val="22"/>
        </w:rPr>
        <w:t xml:space="preserve"> avec </w:t>
      </w:r>
      <w:r w:rsidR="00583ACD" w:rsidRPr="005A4A14">
        <w:rPr>
          <w:rFonts w:asciiTheme="majorBidi" w:hAnsiTheme="majorBidi" w:cstheme="majorBidi"/>
          <w:sz w:val="22"/>
          <w:szCs w:val="22"/>
        </w:rPr>
        <w:t>2</w:t>
      </w:r>
      <w:r w:rsidR="00B1083D" w:rsidRPr="005A4A14">
        <w:rPr>
          <w:rFonts w:asciiTheme="majorBidi" w:hAnsiTheme="majorBidi" w:cstheme="majorBidi"/>
          <w:sz w:val="22"/>
          <w:szCs w:val="22"/>
        </w:rPr>
        <w:t>,</w:t>
      </w:r>
      <w:r w:rsidR="00583ACD" w:rsidRPr="005A4A14">
        <w:rPr>
          <w:rFonts w:asciiTheme="majorBidi" w:hAnsiTheme="majorBidi" w:cstheme="majorBidi"/>
          <w:sz w:val="22"/>
          <w:szCs w:val="22"/>
        </w:rPr>
        <w:t>1</w:t>
      </w:r>
      <w:r w:rsidR="00B1083D" w:rsidRPr="005A4A14">
        <w:rPr>
          <w:rFonts w:asciiTheme="majorBidi" w:hAnsiTheme="majorBidi" w:cstheme="majorBidi"/>
          <w:sz w:val="22"/>
          <w:szCs w:val="22"/>
        </w:rPr>
        <w:t xml:space="preserve"> %</w:t>
      </w:r>
      <w:r w:rsidR="00583ACD" w:rsidRPr="005A4A14">
        <w:rPr>
          <w:rFonts w:asciiTheme="majorBidi" w:hAnsiTheme="majorBidi" w:cstheme="majorBidi"/>
          <w:sz w:val="22"/>
          <w:szCs w:val="22"/>
        </w:rPr>
        <w:t xml:space="preserve">. En revanche, </w:t>
      </w:r>
      <w:r w:rsidR="00B1083D" w:rsidRPr="005A4A14">
        <w:rPr>
          <w:rFonts w:asciiTheme="majorBidi" w:hAnsiTheme="majorBidi" w:cstheme="majorBidi"/>
          <w:sz w:val="22"/>
          <w:szCs w:val="22"/>
        </w:rPr>
        <w:t>la</w:t>
      </w:r>
      <w:r w:rsidR="00C21F9C" w:rsidRPr="005A4A14">
        <w:rPr>
          <w:rFonts w:asciiTheme="majorBidi" w:hAnsiTheme="majorBidi" w:cstheme="majorBidi"/>
          <w:sz w:val="22"/>
          <w:szCs w:val="22"/>
        </w:rPr>
        <w:t xml:space="preserve"> </w:t>
      </w:r>
      <w:r w:rsidR="00583ACD" w:rsidRPr="005A4A14">
        <w:rPr>
          <w:rFonts w:asciiTheme="majorBidi" w:hAnsiTheme="majorBidi" w:cstheme="majorBidi"/>
          <w:sz w:val="22"/>
          <w:szCs w:val="22"/>
        </w:rPr>
        <w:t>"</w:t>
      </w:r>
      <w:r w:rsidR="00B1083D" w:rsidRPr="005A4A14">
        <w:rPr>
          <w:rFonts w:asciiTheme="majorBidi" w:hAnsiTheme="majorBidi" w:cstheme="majorBidi"/>
          <w:sz w:val="22"/>
          <w:szCs w:val="22"/>
        </w:rPr>
        <w:t>Viande</w:t>
      </w:r>
      <w:r w:rsidR="00583ACD" w:rsidRPr="005A4A14">
        <w:rPr>
          <w:rFonts w:asciiTheme="majorBidi" w:hAnsiTheme="majorBidi" w:cstheme="majorBidi"/>
          <w:sz w:val="22"/>
          <w:szCs w:val="22"/>
        </w:rPr>
        <w:t>" et les "Poissons et fruits de mer" ont enregistré les baisses les plus importantes du mois avec, respectivement, (-1,9%) et (-1,4%).</w:t>
      </w:r>
      <w:r w:rsidR="00C21F9C" w:rsidRPr="005A4A14">
        <w:rPr>
          <w:rFonts w:asciiTheme="majorBidi" w:hAnsiTheme="majorBidi" w:cstheme="majorBidi"/>
          <w:sz w:val="22"/>
          <w:szCs w:val="22"/>
        </w:rPr>
        <w:t> </w:t>
      </w:r>
      <w:r w:rsidR="003A144B" w:rsidRPr="005A4A14">
        <w:rPr>
          <w:rFonts w:asciiTheme="majorBidi" w:hAnsiTheme="majorBidi" w:cstheme="majorBidi"/>
          <w:sz w:val="22"/>
          <w:szCs w:val="22"/>
        </w:rPr>
        <w:t xml:space="preserve"> </w:t>
      </w:r>
    </w:p>
    <w:p w:rsidR="00837A46" w:rsidRPr="005A4A14" w:rsidRDefault="00154BBD" w:rsidP="006C0A4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5A4A14">
        <w:rPr>
          <w:rFonts w:asciiTheme="majorBidi" w:hAnsiTheme="majorBidi" w:cstheme="majorBidi"/>
          <w:sz w:val="22"/>
          <w:szCs w:val="22"/>
        </w:rPr>
        <w:t xml:space="preserve">Du côté </w:t>
      </w:r>
      <w:r w:rsidR="00520FB2" w:rsidRPr="005A4A14">
        <w:rPr>
          <w:rFonts w:asciiTheme="majorBidi" w:hAnsiTheme="majorBidi" w:cstheme="majorBidi"/>
          <w:sz w:val="22"/>
          <w:szCs w:val="22"/>
        </w:rPr>
        <w:t>des produits non alimentaires,</w:t>
      </w:r>
      <w:r w:rsidR="00583ACD" w:rsidRPr="005A4A14">
        <w:rPr>
          <w:rFonts w:asciiTheme="majorBidi" w:hAnsiTheme="majorBidi" w:cstheme="majorBidi"/>
          <w:sz w:val="22"/>
          <w:szCs w:val="22"/>
        </w:rPr>
        <w:t xml:space="preserve"> la majorité des</w:t>
      </w:r>
      <w:r w:rsidR="00520FB2" w:rsidRPr="005A4A14">
        <w:rPr>
          <w:rFonts w:asciiTheme="majorBidi" w:hAnsiTheme="majorBidi" w:cstheme="majorBidi"/>
          <w:sz w:val="22"/>
          <w:szCs w:val="22"/>
        </w:rPr>
        <w:t xml:space="preserve"> divisions </w:t>
      </w:r>
      <w:r w:rsidRPr="005A4A14">
        <w:rPr>
          <w:rFonts w:asciiTheme="majorBidi" w:hAnsiTheme="majorBidi" w:cstheme="majorBidi"/>
          <w:sz w:val="22"/>
          <w:szCs w:val="22"/>
        </w:rPr>
        <w:t xml:space="preserve">ont </w:t>
      </w:r>
      <w:r w:rsidR="009A5340" w:rsidRPr="005A4A14">
        <w:rPr>
          <w:rFonts w:asciiTheme="majorBidi" w:hAnsiTheme="majorBidi" w:cstheme="majorBidi"/>
          <w:sz w:val="22"/>
          <w:szCs w:val="22"/>
        </w:rPr>
        <w:t>connu</w:t>
      </w:r>
      <w:r w:rsidRPr="005A4A14">
        <w:rPr>
          <w:rFonts w:asciiTheme="majorBidi" w:hAnsiTheme="majorBidi" w:cstheme="majorBidi"/>
          <w:sz w:val="22"/>
          <w:szCs w:val="22"/>
        </w:rPr>
        <w:t xml:space="preserve"> </w:t>
      </w:r>
      <w:r w:rsidR="00583ACD" w:rsidRPr="005A4A14">
        <w:rPr>
          <w:rFonts w:asciiTheme="majorBidi" w:hAnsiTheme="majorBidi" w:cstheme="majorBidi"/>
          <w:sz w:val="22"/>
          <w:szCs w:val="22"/>
        </w:rPr>
        <w:t xml:space="preserve">une stagnation du niveau général </w:t>
      </w:r>
      <w:r w:rsidR="009A5340" w:rsidRPr="005A4A14">
        <w:rPr>
          <w:rFonts w:asciiTheme="majorBidi" w:hAnsiTheme="majorBidi" w:cstheme="majorBidi"/>
          <w:sz w:val="22"/>
          <w:szCs w:val="22"/>
        </w:rPr>
        <w:t>des prix</w:t>
      </w:r>
      <w:r w:rsidR="003A144B" w:rsidRPr="005A4A14">
        <w:rPr>
          <w:rFonts w:asciiTheme="majorBidi" w:hAnsiTheme="majorBidi" w:cstheme="majorBidi"/>
          <w:sz w:val="22"/>
          <w:szCs w:val="22"/>
        </w:rPr>
        <w:t xml:space="preserve">, </w:t>
      </w:r>
      <w:r w:rsidR="00583ACD" w:rsidRPr="005A4A14">
        <w:rPr>
          <w:rFonts w:asciiTheme="majorBidi" w:hAnsiTheme="majorBidi" w:cstheme="majorBidi"/>
          <w:sz w:val="22"/>
          <w:szCs w:val="22"/>
        </w:rPr>
        <w:t>exception faite des "Articles d’habillement et chaussures"</w:t>
      </w:r>
      <w:r w:rsidR="006C0A4D" w:rsidRPr="005A4A14">
        <w:rPr>
          <w:rFonts w:asciiTheme="majorBidi" w:hAnsiTheme="majorBidi" w:cstheme="majorBidi"/>
          <w:sz w:val="22"/>
          <w:szCs w:val="22"/>
        </w:rPr>
        <w:t xml:space="preserve"> et des </w:t>
      </w:r>
      <w:r w:rsidR="006C0A4D" w:rsidRPr="005A4A14">
        <w:rPr>
          <w:rFonts w:ascii="Times New Roman" w:hAnsi="Times New Roman"/>
          <w:spacing w:val="0"/>
          <w:sz w:val="24"/>
          <w:szCs w:val="24"/>
          <w:lang w:eastAsia="fr-FR"/>
        </w:rPr>
        <w:t xml:space="preserve">"Meubles, articles de ménage et entretien courant du foyer" dont les indices ont augmenté respectivement de 0,4% et de 0,1%. L’indice de la  division des  </w:t>
      </w:r>
      <w:r w:rsidR="003A144B" w:rsidRPr="005A4A14">
        <w:rPr>
          <w:rFonts w:asciiTheme="majorBidi" w:hAnsiTheme="majorBidi" w:cstheme="majorBidi"/>
          <w:sz w:val="22"/>
          <w:szCs w:val="22"/>
        </w:rPr>
        <w:t xml:space="preserve">"Transports" </w:t>
      </w:r>
      <w:r w:rsidR="006C0A4D" w:rsidRPr="005A4A14">
        <w:rPr>
          <w:rFonts w:asciiTheme="majorBidi" w:hAnsiTheme="majorBidi" w:cstheme="majorBidi"/>
          <w:sz w:val="22"/>
          <w:szCs w:val="22"/>
        </w:rPr>
        <w:t>a également changé mais en baissant de 3,6% au cours du même mois.</w:t>
      </w:r>
    </w:p>
    <w:p w:rsidR="004C54F7" w:rsidRPr="005A4A14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5A4A14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5A4A14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5A4A14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5A4A14" w:rsidRDefault="00717FDA" w:rsidP="006C0A4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5A4A14">
        <w:rPr>
          <w:rFonts w:asciiTheme="majorBidi" w:hAnsiTheme="majorBidi" w:cstheme="majorBidi"/>
          <w:sz w:val="24"/>
          <w:szCs w:val="24"/>
        </w:rPr>
        <w:t xml:space="preserve">En termes </w:t>
      </w:r>
      <w:r w:rsidR="00061903" w:rsidRPr="005A4A14">
        <w:rPr>
          <w:rFonts w:asciiTheme="majorBidi" w:hAnsiTheme="majorBidi" w:cstheme="majorBidi"/>
          <w:sz w:val="24"/>
          <w:szCs w:val="24"/>
        </w:rPr>
        <w:t>de variation</w:t>
      </w:r>
      <w:r w:rsidRPr="005A4A14">
        <w:rPr>
          <w:rFonts w:asciiTheme="majorBidi" w:hAnsiTheme="majorBidi" w:cstheme="majorBidi"/>
          <w:sz w:val="24"/>
          <w:szCs w:val="24"/>
        </w:rPr>
        <w:t xml:space="preserve"> annuel</w:t>
      </w:r>
      <w:r w:rsidR="00061903" w:rsidRPr="005A4A14">
        <w:rPr>
          <w:rFonts w:asciiTheme="majorBidi" w:hAnsiTheme="majorBidi" w:cstheme="majorBidi"/>
          <w:sz w:val="24"/>
          <w:szCs w:val="24"/>
        </w:rPr>
        <w:t>le</w:t>
      </w:r>
      <w:r w:rsidR="004C54F7" w:rsidRPr="005A4A14">
        <w:rPr>
          <w:rFonts w:asciiTheme="majorBidi" w:hAnsiTheme="majorBidi" w:cstheme="majorBidi"/>
          <w:sz w:val="24"/>
          <w:szCs w:val="24"/>
        </w:rPr>
        <w:t>, l’indice des prix à la consommation</w:t>
      </w:r>
      <w:r w:rsidR="00520FB2" w:rsidRPr="005A4A14">
        <w:rPr>
          <w:rFonts w:asciiTheme="majorBidi" w:hAnsiTheme="majorBidi" w:cstheme="majorBidi"/>
          <w:sz w:val="24"/>
          <w:szCs w:val="24"/>
        </w:rPr>
        <w:t xml:space="preserve"> de la ville de </w:t>
      </w:r>
      <w:r w:rsidR="00F825C1" w:rsidRPr="005A4A14">
        <w:rPr>
          <w:rFonts w:asciiTheme="majorBidi" w:hAnsiTheme="majorBidi" w:cstheme="majorBidi"/>
          <w:sz w:val="24"/>
          <w:szCs w:val="24"/>
        </w:rPr>
        <w:t>Kenitra</w:t>
      </w:r>
      <w:r w:rsidR="004C54F7"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="00061903" w:rsidRPr="005A4A14">
        <w:rPr>
          <w:rFonts w:asciiTheme="majorBidi" w:hAnsiTheme="majorBidi" w:cstheme="majorBidi"/>
          <w:sz w:val="24"/>
          <w:szCs w:val="24"/>
        </w:rPr>
        <w:t>a crû</w:t>
      </w:r>
      <w:r w:rsidR="001E5281" w:rsidRPr="005A4A14">
        <w:rPr>
          <w:rFonts w:asciiTheme="majorBidi" w:hAnsiTheme="majorBidi" w:cstheme="majorBidi"/>
          <w:sz w:val="24"/>
          <w:szCs w:val="24"/>
        </w:rPr>
        <w:t xml:space="preserve"> de </w:t>
      </w:r>
      <w:r w:rsidR="006C0A4D" w:rsidRPr="005A4A14">
        <w:rPr>
          <w:rFonts w:asciiTheme="majorBidi" w:hAnsiTheme="majorBidi" w:cstheme="majorBidi"/>
          <w:sz w:val="24"/>
          <w:szCs w:val="24"/>
        </w:rPr>
        <w:t>10</w:t>
      </w:r>
      <w:r w:rsidR="001E5281" w:rsidRPr="005A4A14">
        <w:rPr>
          <w:rFonts w:asciiTheme="majorBidi" w:hAnsiTheme="majorBidi" w:cstheme="majorBidi"/>
          <w:sz w:val="24"/>
          <w:szCs w:val="24"/>
        </w:rPr>
        <w:t>,</w:t>
      </w:r>
      <w:r w:rsidR="006C0A4D" w:rsidRPr="005A4A14">
        <w:rPr>
          <w:rFonts w:asciiTheme="majorBidi" w:hAnsiTheme="majorBidi" w:cstheme="majorBidi"/>
          <w:sz w:val="24"/>
          <w:szCs w:val="24"/>
        </w:rPr>
        <w:t>1</w:t>
      </w:r>
      <w:r w:rsidR="001E5281" w:rsidRPr="005A4A14">
        <w:rPr>
          <w:rFonts w:asciiTheme="majorBidi" w:hAnsiTheme="majorBidi" w:cstheme="majorBidi"/>
          <w:sz w:val="24"/>
          <w:szCs w:val="24"/>
        </w:rPr>
        <w:t>%</w:t>
      </w:r>
      <w:r w:rsidR="004C54F7"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5A4A14">
        <w:rPr>
          <w:rFonts w:asciiTheme="majorBidi" w:hAnsiTheme="majorBidi" w:cstheme="majorBidi"/>
          <w:sz w:val="24"/>
          <w:szCs w:val="24"/>
        </w:rPr>
        <w:t xml:space="preserve">contre </w:t>
      </w:r>
      <w:r w:rsidR="006C0A4D" w:rsidRPr="005A4A14">
        <w:rPr>
          <w:rFonts w:asciiTheme="majorBidi" w:hAnsiTheme="majorBidi" w:cstheme="majorBidi"/>
          <w:sz w:val="24"/>
          <w:szCs w:val="24"/>
        </w:rPr>
        <w:t xml:space="preserve">8% </w:t>
      </w:r>
      <w:r w:rsidR="00201C28" w:rsidRPr="005A4A14">
        <w:rPr>
          <w:rFonts w:asciiTheme="majorBidi" w:hAnsiTheme="majorBidi" w:cstheme="majorBidi"/>
          <w:sz w:val="24"/>
          <w:szCs w:val="24"/>
        </w:rPr>
        <w:t xml:space="preserve">pour </w:t>
      </w:r>
      <w:r w:rsidR="0088736E" w:rsidRPr="005A4A14">
        <w:rPr>
          <w:rFonts w:asciiTheme="majorBidi" w:hAnsiTheme="majorBidi" w:cstheme="majorBidi"/>
          <w:sz w:val="24"/>
          <w:szCs w:val="24"/>
        </w:rPr>
        <w:t>la moyenne nationale</w:t>
      </w:r>
      <w:r w:rsidR="00061903" w:rsidRPr="005A4A14">
        <w:rPr>
          <w:rFonts w:asciiTheme="majorBidi" w:hAnsiTheme="majorBidi" w:cstheme="majorBidi"/>
          <w:sz w:val="24"/>
          <w:szCs w:val="24"/>
        </w:rPr>
        <w:t>, au mois d</w:t>
      </w:r>
      <w:r w:rsidR="006C0A4D" w:rsidRPr="005A4A14">
        <w:rPr>
          <w:rFonts w:asciiTheme="majorBidi" w:hAnsiTheme="majorBidi" w:cstheme="majorBidi"/>
          <w:sz w:val="24"/>
          <w:szCs w:val="24"/>
        </w:rPr>
        <w:t>’août</w:t>
      </w:r>
      <w:r w:rsidR="00061903" w:rsidRPr="005A4A14">
        <w:rPr>
          <w:rFonts w:asciiTheme="majorBidi" w:hAnsiTheme="majorBidi" w:cstheme="majorBidi"/>
          <w:sz w:val="24"/>
          <w:szCs w:val="24"/>
        </w:rPr>
        <w:t xml:space="preserve"> 2022 par rapport à son analogue en 2021</w:t>
      </w:r>
      <w:r w:rsidR="00201C28" w:rsidRPr="005A4A14">
        <w:rPr>
          <w:rFonts w:asciiTheme="majorBidi" w:hAnsiTheme="majorBidi" w:cstheme="majorBidi"/>
          <w:sz w:val="24"/>
          <w:szCs w:val="24"/>
        </w:rPr>
        <w:t xml:space="preserve">. Ceci, </w:t>
      </w:r>
      <w:r w:rsidRPr="005A4A14">
        <w:rPr>
          <w:rFonts w:asciiTheme="majorBidi" w:hAnsiTheme="majorBidi" w:cstheme="majorBidi"/>
          <w:sz w:val="24"/>
          <w:szCs w:val="24"/>
        </w:rPr>
        <w:t xml:space="preserve">est </w:t>
      </w:r>
      <w:r w:rsidR="00B3075C" w:rsidRPr="005A4A14">
        <w:rPr>
          <w:rFonts w:asciiTheme="majorBidi" w:hAnsiTheme="majorBidi" w:cstheme="majorBidi"/>
          <w:sz w:val="24"/>
          <w:szCs w:val="24"/>
        </w:rPr>
        <w:t>l’effet combiné</w:t>
      </w:r>
      <w:r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="001E5281" w:rsidRPr="005A4A14">
        <w:rPr>
          <w:rFonts w:asciiTheme="majorBidi" w:hAnsiTheme="majorBidi" w:cstheme="majorBidi"/>
          <w:sz w:val="24"/>
          <w:szCs w:val="24"/>
        </w:rPr>
        <w:t>de la croissance</w:t>
      </w:r>
      <w:r w:rsidR="00616205"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5A4A14">
        <w:rPr>
          <w:rFonts w:asciiTheme="majorBidi" w:hAnsiTheme="majorBidi" w:cstheme="majorBidi"/>
          <w:sz w:val="24"/>
          <w:szCs w:val="24"/>
        </w:rPr>
        <w:t xml:space="preserve">des prix des produits alimentaires de </w:t>
      </w:r>
      <w:r w:rsidR="00F825C1" w:rsidRPr="005A4A14">
        <w:rPr>
          <w:rFonts w:asciiTheme="majorBidi" w:hAnsiTheme="majorBidi" w:cstheme="majorBidi"/>
          <w:sz w:val="24"/>
          <w:szCs w:val="24"/>
        </w:rPr>
        <w:t>1</w:t>
      </w:r>
      <w:r w:rsidR="006C0A4D" w:rsidRPr="005A4A14">
        <w:rPr>
          <w:rFonts w:asciiTheme="majorBidi" w:hAnsiTheme="majorBidi" w:cstheme="majorBidi"/>
          <w:sz w:val="24"/>
          <w:szCs w:val="24"/>
        </w:rPr>
        <w:t>7</w:t>
      </w:r>
      <w:r w:rsidR="00061903" w:rsidRPr="005A4A14">
        <w:rPr>
          <w:rFonts w:asciiTheme="majorBidi" w:hAnsiTheme="majorBidi" w:cstheme="majorBidi"/>
          <w:sz w:val="24"/>
          <w:szCs w:val="24"/>
        </w:rPr>
        <w:t>,</w:t>
      </w:r>
      <w:r w:rsidR="006C0A4D" w:rsidRPr="005A4A14">
        <w:rPr>
          <w:rFonts w:asciiTheme="majorBidi" w:hAnsiTheme="majorBidi" w:cstheme="majorBidi"/>
          <w:sz w:val="24"/>
          <w:szCs w:val="24"/>
        </w:rPr>
        <w:t>2</w:t>
      </w:r>
      <w:r w:rsidR="00201C28" w:rsidRPr="005A4A14">
        <w:rPr>
          <w:rFonts w:asciiTheme="majorBidi" w:hAnsiTheme="majorBidi" w:cstheme="majorBidi"/>
          <w:sz w:val="24"/>
          <w:szCs w:val="24"/>
        </w:rPr>
        <w:t xml:space="preserve">% et </w:t>
      </w:r>
      <w:r w:rsidR="00616205" w:rsidRPr="005A4A14">
        <w:rPr>
          <w:rFonts w:asciiTheme="majorBidi" w:hAnsiTheme="majorBidi" w:cstheme="majorBidi"/>
          <w:sz w:val="24"/>
          <w:szCs w:val="24"/>
        </w:rPr>
        <w:t xml:space="preserve">de ceux </w:t>
      </w:r>
      <w:r w:rsidR="00201C28" w:rsidRPr="005A4A14">
        <w:rPr>
          <w:rFonts w:asciiTheme="majorBidi" w:hAnsiTheme="majorBidi" w:cstheme="majorBidi"/>
          <w:sz w:val="24"/>
          <w:szCs w:val="24"/>
        </w:rPr>
        <w:t xml:space="preserve"> des produits non alimentaires</w:t>
      </w:r>
      <w:r w:rsidR="003C3AFE" w:rsidRPr="005A4A14">
        <w:rPr>
          <w:rFonts w:asciiTheme="majorBidi" w:hAnsiTheme="majorBidi" w:cstheme="majorBidi"/>
          <w:sz w:val="24"/>
          <w:szCs w:val="24"/>
        </w:rPr>
        <w:t xml:space="preserve"> de </w:t>
      </w:r>
      <w:r w:rsidR="006C0A4D" w:rsidRPr="005A4A14">
        <w:rPr>
          <w:rFonts w:asciiTheme="majorBidi" w:hAnsiTheme="majorBidi" w:cstheme="majorBidi"/>
          <w:sz w:val="24"/>
          <w:szCs w:val="24"/>
        </w:rPr>
        <w:t>5</w:t>
      </w:r>
      <w:r w:rsidR="005A6B34" w:rsidRPr="005A4A14">
        <w:rPr>
          <w:rFonts w:asciiTheme="majorBidi" w:hAnsiTheme="majorBidi" w:cstheme="majorBidi"/>
          <w:sz w:val="24"/>
          <w:szCs w:val="24"/>
        </w:rPr>
        <w:t>,1</w:t>
      </w:r>
      <w:r w:rsidR="003C3AFE" w:rsidRPr="005A4A14">
        <w:rPr>
          <w:rFonts w:asciiTheme="majorBidi" w:hAnsiTheme="majorBidi" w:cstheme="majorBidi"/>
          <w:sz w:val="24"/>
          <w:szCs w:val="24"/>
        </w:rPr>
        <w:t>%.</w:t>
      </w:r>
      <w:r w:rsidR="00201C28" w:rsidRPr="005A4A14">
        <w:rPr>
          <w:rFonts w:asciiTheme="majorBidi" w:hAnsiTheme="majorBidi" w:cstheme="majorBidi"/>
          <w:sz w:val="24"/>
          <w:szCs w:val="24"/>
        </w:rPr>
        <w:t xml:space="preserve"> </w:t>
      </w:r>
    </w:p>
    <w:p w:rsidR="00A74520" w:rsidRPr="005A4A14" w:rsidRDefault="00061903" w:rsidP="0024486C">
      <w:pPr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A4A14">
        <w:rPr>
          <w:rFonts w:asciiTheme="majorBidi" w:hAnsiTheme="majorBidi" w:cstheme="majorBidi"/>
          <w:sz w:val="24"/>
          <w:szCs w:val="24"/>
        </w:rPr>
        <w:t>Les</w:t>
      </w:r>
      <w:r w:rsidR="00E67A50"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="00645405" w:rsidRPr="005A4A14">
        <w:rPr>
          <w:rFonts w:asciiTheme="majorBidi" w:hAnsiTheme="majorBidi" w:cstheme="majorBidi"/>
          <w:sz w:val="24"/>
          <w:szCs w:val="24"/>
        </w:rPr>
        <w:t xml:space="preserve">prix </w:t>
      </w:r>
      <w:r w:rsidR="00E67A50" w:rsidRPr="005A4A14">
        <w:rPr>
          <w:rFonts w:asciiTheme="majorBidi" w:hAnsiTheme="majorBidi" w:cstheme="majorBidi"/>
          <w:sz w:val="24"/>
          <w:szCs w:val="24"/>
        </w:rPr>
        <w:t>de</w:t>
      </w:r>
      <w:r w:rsidR="00801826" w:rsidRPr="005A4A14">
        <w:rPr>
          <w:rFonts w:asciiTheme="majorBidi" w:hAnsiTheme="majorBidi" w:cstheme="majorBidi"/>
          <w:sz w:val="24"/>
          <w:szCs w:val="24"/>
        </w:rPr>
        <w:t>s</w:t>
      </w:r>
      <w:r w:rsidR="00E67A50"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="00C52B13" w:rsidRPr="005A4A14">
        <w:rPr>
          <w:rFonts w:asciiTheme="majorBidi" w:hAnsiTheme="majorBidi" w:cstheme="majorBidi"/>
          <w:sz w:val="24"/>
          <w:szCs w:val="24"/>
        </w:rPr>
        <w:t xml:space="preserve">produits alimentaires </w:t>
      </w:r>
      <w:r w:rsidR="00616205" w:rsidRPr="005A4A14">
        <w:rPr>
          <w:rFonts w:asciiTheme="majorBidi" w:hAnsiTheme="majorBidi" w:cstheme="majorBidi"/>
          <w:sz w:val="24"/>
          <w:szCs w:val="24"/>
        </w:rPr>
        <w:t xml:space="preserve">ont fait l’objet </w:t>
      </w:r>
      <w:r w:rsidR="003F7250" w:rsidRPr="005A4A14">
        <w:rPr>
          <w:rFonts w:asciiTheme="majorBidi" w:hAnsiTheme="majorBidi" w:cstheme="majorBidi"/>
          <w:sz w:val="24"/>
          <w:szCs w:val="24"/>
        </w:rPr>
        <w:t>d’une flambée sans précédent</w:t>
      </w:r>
      <w:r w:rsidRPr="005A4A14">
        <w:rPr>
          <w:rFonts w:asciiTheme="majorBidi" w:hAnsiTheme="majorBidi" w:cstheme="majorBidi"/>
          <w:sz w:val="24"/>
          <w:szCs w:val="24"/>
        </w:rPr>
        <w:t xml:space="preserve"> au cours de l’année écoulée</w:t>
      </w:r>
      <w:r w:rsidR="003F7250" w:rsidRPr="005A4A14">
        <w:rPr>
          <w:rFonts w:asciiTheme="majorBidi" w:hAnsiTheme="majorBidi" w:cstheme="majorBidi"/>
          <w:sz w:val="24"/>
          <w:szCs w:val="24"/>
        </w:rPr>
        <w:t xml:space="preserve">. </w:t>
      </w:r>
      <w:r w:rsidR="00A74520" w:rsidRPr="005A4A14">
        <w:rPr>
          <w:rFonts w:asciiTheme="majorBidi" w:hAnsiTheme="majorBidi" w:cstheme="majorBidi"/>
          <w:sz w:val="24"/>
          <w:szCs w:val="24"/>
        </w:rPr>
        <w:t>Les prix de la majorité des classes des produits alimentaires</w:t>
      </w:r>
      <w:r w:rsidR="003F7250" w:rsidRPr="005A4A14">
        <w:rPr>
          <w:rFonts w:asciiTheme="majorBidi" w:hAnsiTheme="majorBidi" w:cstheme="majorBidi"/>
          <w:sz w:val="24"/>
          <w:szCs w:val="24"/>
        </w:rPr>
        <w:t>,</w:t>
      </w:r>
      <w:r w:rsidR="00A74520" w:rsidRPr="005A4A14">
        <w:rPr>
          <w:rFonts w:asciiTheme="majorBidi" w:hAnsiTheme="majorBidi" w:cstheme="majorBidi"/>
          <w:sz w:val="24"/>
          <w:szCs w:val="24"/>
        </w:rPr>
        <w:t xml:space="preserve"> ont grimpé significativement. </w:t>
      </w:r>
      <w:r w:rsidR="00F86674" w:rsidRPr="005A4A14">
        <w:rPr>
          <w:rFonts w:asciiTheme="majorBidi" w:hAnsiTheme="majorBidi" w:cstheme="majorBidi"/>
          <w:sz w:val="24"/>
          <w:szCs w:val="24"/>
        </w:rPr>
        <w:t xml:space="preserve">Pour les classes qui ont connu une inflation à deux chiffres, on cite, en premier lieu, </w:t>
      </w:r>
      <w:r w:rsidR="0024486C" w:rsidRPr="005A4A14">
        <w:rPr>
          <w:rFonts w:asciiTheme="majorBidi" w:hAnsiTheme="majorBidi" w:cstheme="majorBidi"/>
          <w:sz w:val="24"/>
          <w:szCs w:val="24"/>
        </w:rPr>
        <w:t xml:space="preserve">les </w:t>
      </w:r>
      <w:r w:rsidR="00F86674" w:rsidRPr="005A4A14">
        <w:rPr>
          <w:rFonts w:asciiTheme="majorBidi" w:hAnsiTheme="majorBidi" w:cstheme="majorBidi"/>
          <w:sz w:val="22"/>
          <w:szCs w:val="22"/>
        </w:rPr>
        <w:t>"</w:t>
      </w:r>
      <w:r w:rsidR="00F86674" w:rsidRPr="005A4A14">
        <w:rPr>
          <w:rFonts w:asciiTheme="majorBidi" w:hAnsiTheme="majorBidi" w:cstheme="majorBidi"/>
          <w:sz w:val="24"/>
          <w:szCs w:val="24"/>
        </w:rPr>
        <w:t>Légumes</w:t>
      </w:r>
      <w:r w:rsidR="00F86674" w:rsidRPr="005A4A14">
        <w:rPr>
          <w:rFonts w:asciiTheme="majorBidi" w:hAnsiTheme="majorBidi" w:cstheme="majorBidi"/>
          <w:sz w:val="22"/>
          <w:szCs w:val="22"/>
        </w:rPr>
        <w:t>"</w:t>
      </w:r>
      <w:r w:rsidR="00F86674" w:rsidRPr="005A4A14">
        <w:rPr>
          <w:rFonts w:asciiTheme="majorBidi" w:hAnsiTheme="majorBidi" w:cstheme="majorBidi"/>
          <w:sz w:val="24"/>
          <w:szCs w:val="24"/>
        </w:rPr>
        <w:t xml:space="preserve">  avec 37%, suivis</w:t>
      </w:r>
      <w:r w:rsidR="00A74520" w:rsidRPr="005A4A14">
        <w:rPr>
          <w:rFonts w:asciiTheme="majorBidi" w:hAnsiTheme="majorBidi" w:cstheme="majorBidi"/>
          <w:sz w:val="24"/>
          <w:szCs w:val="24"/>
        </w:rPr>
        <w:t xml:space="preserve"> des</w:t>
      </w:r>
      <w:r w:rsidR="003F7250"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="008C697C" w:rsidRPr="005A4A14">
        <w:rPr>
          <w:rFonts w:asciiTheme="majorBidi" w:hAnsiTheme="majorBidi" w:cstheme="majorBidi"/>
          <w:sz w:val="22"/>
          <w:szCs w:val="22"/>
        </w:rPr>
        <w:t>"</w:t>
      </w:r>
      <w:r w:rsidR="003F7250" w:rsidRPr="005A4A14">
        <w:rPr>
          <w:rFonts w:asciiTheme="majorBidi" w:hAnsiTheme="majorBidi" w:cstheme="majorBidi"/>
          <w:sz w:val="24"/>
          <w:szCs w:val="24"/>
        </w:rPr>
        <w:t>Huiles et graisses</w:t>
      </w:r>
      <w:r w:rsidR="008C697C" w:rsidRPr="005A4A14">
        <w:rPr>
          <w:rFonts w:asciiTheme="majorBidi" w:hAnsiTheme="majorBidi" w:cstheme="majorBidi"/>
          <w:sz w:val="22"/>
          <w:szCs w:val="22"/>
        </w:rPr>
        <w:t>"</w:t>
      </w:r>
      <w:r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="00F86674" w:rsidRPr="005A4A14">
        <w:rPr>
          <w:rFonts w:asciiTheme="majorBidi" w:hAnsiTheme="majorBidi" w:cstheme="majorBidi"/>
          <w:sz w:val="24"/>
          <w:szCs w:val="24"/>
        </w:rPr>
        <w:t xml:space="preserve">avec </w:t>
      </w:r>
      <w:r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="00F825C1" w:rsidRPr="005A4A14">
        <w:rPr>
          <w:rFonts w:asciiTheme="majorBidi" w:hAnsiTheme="majorBidi" w:cstheme="majorBidi"/>
          <w:sz w:val="24"/>
          <w:szCs w:val="24"/>
        </w:rPr>
        <w:t>3</w:t>
      </w:r>
      <w:r w:rsidR="00F86674" w:rsidRPr="005A4A14">
        <w:rPr>
          <w:rFonts w:asciiTheme="majorBidi" w:hAnsiTheme="majorBidi" w:cstheme="majorBidi"/>
          <w:sz w:val="24"/>
          <w:szCs w:val="24"/>
        </w:rPr>
        <w:t>3</w:t>
      </w:r>
      <w:r w:rsidR="003F7250" w:rsidRPr="005A4A14">
        <w:rPr>
          <w:rFonts w:asciiTheme="majorBidi" w:hAnsiTheme="majorBidi" w:cstheme="majorBidi"/>
          <w:sz w:val="24"/>
          <w:szCs w:val="24"/>
        </w:rPr>
        <w:t xml:space="preserve">%, </w:t>
      </w:r>
      <w:r w:rsidR="00F86674" w:rsidRPr="005A4A14">
        <w:rPr>
          <w:rFonts w:asciiTheme="majorBidi" w:hAnsiTheme="majorBidi" w:cstheme="majorBidi"/>
          <w:sz w:val="24"/>
          <w:szCs w:val="24"/>
        </w:rPr>
        <w:t>puis l</w:t>
      </w:r>
      <w:r w:rsidR="003F7250" w:rsidRPr="005A4A14">
        <w:rPr>
          <w:rFonts w:asciiTheme="majorBidi" w:hAnsiTheme="majorBidi" w:cstheme="majorBidi"/>
          <w:sz w:val="24"/>
          <w:szCs w:val="24"/>
        </w:rPr>
        <w:t xml:space="preserve">es </w:t>
      </w:r>
      <w:r w:rsidR="008C697C" w:rsidRPr="005A4A14">
        <w:rPr>
          <w:rFonts w:asciiTheme="majorBidi" w:hAnsiTheme="majorBidi" w:cstheme="majorBidi"/>
          <w:sz w:val="22"/>
          <w:szCs w:val="22"/>
        </w:rPr>
        <w:t>"</w:t>
      </w:r>
      <w:r w:rsidR="003F7250" w:rsidRPr="005A4A14">
        <w:rPr>
          <w:rFonts w:asciiTheme="majorBidi" w:hAnsiTheme="majorBidi" w:cstheme="majorBidi"/>
          <w:sz w:val="24"/>
          <w:szCs w:val="24"/>
        </w:rPr>
        <w:t>Pain et céréales</w:t>
      </w:r>
      <w:r w:rsidR="008C697C" w:rsidRPr="005A4A14">
        <w:rPr>
          <w:rFonts w:asciiTheme="majorBidi" w:hAnsiTheme="majorBidi" w:cstheme="majorBidi"/>
          <w:sz w:val="22"/>
          <w:szCs w:val="22"/>
        </w:rPr>
        <w:t>"</w:t>
      </w:r>
      <w:r w:rsidR="003F7250"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Pr="005A4A14">
        <w:rPr>
          <w:rFonts w:asciiTheme="majorBidi" w:hAnsiTheme="majorBidi" w:cstheme="majorBidi"/>
          <w:sz w:val="24"/>
          <w:szCs w:val="24"/>
        </w:rPr>
        <w:t xml:space="preserve">avec  </w:t>
      </w:r>
      <w:r w:rsidR="00F825C1" w:rsidRPr="005A4A14">
        <w:rPr>
          <w:rFonts w:asciiTheme="majorBidi" w:hAnsiTheme="majorBidi" w:cstheme="majorBidi"/>
          <w:sz w:val="24"/>
          <w:szCs w:val="24"/>
        </w:rPr>
        <w:t>2</w:t>
      </w:r>
      <w:r w:rsidR="00F86674" w:rsidRPr="005A4A14">
        <w:rPr>
          <w:rFonts w:asciiTheme="majorBidi" w:hAnsiTheme="majorBidi" w:cstheme="majorBidi"/>
          <w:sz w:val="24"/>
          <w:szCs w:val="24"/>
        </w:rPr>
        <w:t>1</w:t>
      </w:r>
      <w:r w:rsidR="00204FAE" w:rsidRPr="005A4A14">
        <w:rPr>
          <w:rFonts w:asciiTheme="majorBidi" w:hAnsiTheme="majorBidi" w:cstheme="majorBidi"/>
          <w:sz w:val="24"/>
          <w:szCs w:val="24"/>
        </w:rPr>
        <w:t>,</w:t>
      </w:r>
      <w:r w:rsidR="00F86674" w:rsidRPr="005A4A14">
        <w:rPr>
          <w:rFonts w:asciiTheme="majorBidi" w:hAnsiTheme="majorBidi" w:cstheme="majorBidi"/>
          <w:sz w:val="24"/>
          <w:szCs w:val="24"/>
        </w:rPr>
        <w:t>3</w:t>
      </w:r>
      <w:r w:rsidR="003F7250" w:rsidRPr="005A4A14">
        <w:rPr>
          <w:rFonts w:asciiTheme="majorBidi" w:hAnsiTheme="majorBidi" w:cstheme="majorBidi"/>
          <w:sz w:val="24"/>
          <w:szCs w:val="24"/>
        </w:rPr>
        <w:t>%,</w:t>
      </w:r>
      <w:r w:rsidR="00CA45D6"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="0024486C" w:rsidRPr="005A4A14">
        <w:rPr>
          <w:rFonts w:asciiTheme="majorBidi" w:hAnsiTheme="majorBidi" w:cstheme="majorBidi"/>
          <w:sz w:val="24"/>
          <w:szCs w:val="24"/>
        </w:rPr>
        <w:t>ensuite les "Fruits" avec 13,3% et enfin les</w:t>
      </w:r>
      <w:r w:rsidR="00204FAE"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="00204FAE" w:rsidRPr="005A4A14">
        <w:rPr>
          <w:rFonts w:asciiTheme="majorBidi" w:hAnsiTheme="majorBidi" w:cstheme="majorBidi"/>
          <w:sz w:val="22"/>
          <w:szCs w:val="22"/>
        </w:rPr>
        <w:t>"</w:t>
      </w:r>
      <w:r w:rsidR="00204FAE" w:rsidRPr="005A4A14">
        <w:rPr>
          <w:rFonts w:asciiTheme="majorBidi" w:hAnsiTheme="majorBidi" w:cstheme="majorBidi"/>
          <w:sz w:val="24"/>
          <w:szCs w:val="24"/>
        </w:rPr>
        <w:t>Viandes</w:t>
      </w:r>
      <w:r w:rsidR="00204FAE" w:rsidRPr="005A4A14">
        <w:rPr>
          <w:rFonts w:asciiTheme="majorBidi" w:hAnsiTheme="majorBidi" w:cstheme="majorBidi"/>
          <w:sz w:val="22"/>
          <w:szCs w:val="22"/>
        </w:rPr>
        <w:t>"</w:t>
      </w:r>
      <w:r w:rsidR="00204FAE" w:rsidRPr="005A4A14">
        <w:rPr>
          <w:rFonts w:asciiTheme="majorBidi" w:hAnsiTheme="majorBidi" w:cstheme="majorBidi"/>
          <w:sz w:val="24"/>
          <w:szCs w:val="24"/>
        </w:rPr>
        <w:t xml:space="preserve"> avec 1</w:t>
      </w:r>
      <w:r w:rsidR="0024486C" w:rsidRPr="005A4A14">
        <w:rPr>
          <w:rFonts w:asciiTheme="majorBidi" w:hAnsiTheme="majorBidi" w:cstheme="majorBidi"/>
          <w:sz w:val="24"/>
          <w:szCs w:val="24"/>
        </w:rPr>
        <w:t>0</w:t>
      </w:r>
      <w:r w:rsidR="00204FAE" w:rsidRPr="005A4A14">
        <w:rPr>
          <w:rFonts w:asciiTheme="majorBidi" w:hAnsiTheme="majorBidi" w:cstheme="majorBidi"/>
          <w:sz w:val="24"/>
          <w:szCs w:val="24"/>
        </w:rPr>
        <w:t>,</w:t>
      </w:r>
      <w:r w:rsidR="0024486C" w:rsidRPr="005A4A14">
        <w:rPr>
          <w:rFonts w:asciiTheme="majorBidi" w:hAnsiTheme="majorBidi" w:cstheme="majorBidi"/>
          <w:sz w:val="24"/>
          <w:szCs w:val="24"/>
        </w:rPr>
        <w:t>3</w:t>
      </w:r>
      <w:r w:rsidR="00204FAE" w:rsidRPr="005A4A14">
        <w:rPr>
          <w:rFonts w:asciiTheme="majorBidi" w:hAnsiTheme="majorBidi" w:cstheme="majorBidi"/>
          <w:sz w:val="24"/>
          <w:szCs w:val="24"/>
        </w:rPr>
        <w:t>%</w:t>
      </w:r>
      <w:r w:rsidR="0024486C" w:rsidRPr="005A4A14">
        <w:rPr>
          <w:rFonts w:asciiTheme="majorBidi" w:hAnsiTheme="majorBidi" w:cstheme="majorBidi"/>
          <w:sz w:val="24"/>
          <w:szCs w:val="24"/>
        </w:rPr>
        <w:t xml:space="preserve">. </w:t>
      </w:r>
      <w:r w:rsidR="008D62AB" w:rsidRPr="005A4A14">
        <w:rPr>
          <w:rFonts w:asciiTheme="majorBidi" w:hAnsiTheme="majorBidi" w:cstheme="majorBidi"/>
          <w:sz w:val="24"/>
          <w:szCs w:val="24"/>
        </w:rPr>
        <w:t xml:space="preserve">La hausse </w:t>
      </w:r>
      <w:r w:rsidR="00F825C1"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="008D62AB" w:rsidRPr="005A4A14">
        <w:rPr>
          <w:rFonts w:asciiTheme="majorBidi" w:hAnsiTheme="majorBidi" w:cstheme="majorBidi"/>
          <w:sz w:val="24"/>
          <w:szCs w:val="24"/>
        </w:rPr>
        <w:t>des indices des autres classes alimentaires</w:t>
      </w:r>
      <w:r w:rsidR="0024486C" w:rsidRPr="005A4A14">
        <w:rPr>
          <w:rFonts w:asciiTheme="majorBidi" w:hAnsiTheme="majorBidi" w:cstheme="majorBidi"/>
          <w:sz w:val="24"/>
          <w:szCs w:val="24"/>
        </w:rPr>
        <w:t xml:space="preserve"> (y compris les boissons alcoolisées et tabac)</w:t>
      </w:r>
      <w:r w:rsidR="008D62AB" w:rsidRPr="005A4A14">
        <w:rPr>
          <w:rFonts w:asciiTheme="majorBidi" w:hAnsiTheme="majorBidi" w:cstheme="majorBidi"/>
          <w:sz w:val="24"/>
          <w:szCs w:val="24"/>
        </w:rPr>
        <w:t xml:space="preserve"> varie entre 3,4%  pour le Tabac et 8,8% pour les</w:t>
      </w:r>
      <w:r w:rsidR="00EB10A1" w:rsidRPr="005A4A14">
        <w:rPr>
          <w:rFonts w:asciiTheme="majorBidi" w:hAnsiTheme="majorBidi" w:cstheme="majorBidi"/>
          <w:sz w:val="24"/>
          <w:szCs w:val="24"/>
        </w:rPr>
        <w:t xml:space="preserve"> </w:t>
      </w:r>
      <w:r w:rsidR="00A74520" w:rsidRPr="005A4A14">
        <w:rPr>
          <w:rFonts w:asciiTheme="majorBidi" w:hAnsiTheme="majorBidi" w:cstheme="majorBidi"/>
          <w:sz w:val="22"/>
          <w:szCs w:val="22"/>
        </w:rPr>
        <w:t>"</w:t>
      </w:r>
      <w:r w:rsidR="00EB10A1" w:rsidRPr="005A4A14">
        <w:rPr>
          <w:rFonts w:asciiTheme="majorBidi" w:hAnsiTheme="majorBidi" w:cstheme="majorBidi"/>
          <w:sz w:val="24"/>
          <w:szCs w:val="24"/>
        </w:rPr>
        <w:t>Eaux minérales, boissons rafraichissantes et jus de fruits et de légumes</w:t>
      </w:r>
      <w:r w:rsidR="00A74520" w:rsidRPr="005A4A14">
        <w:rPr>
          <w:rFonts w:asciiTheme="majorBidi" w:hAnsiTheme="majorBidi" w:cstheme="majorBidi"/>
          <w:sz w:val="22"/>
          <w:szCs w:val="22"/>
        </w:rPr>
        <w:t>"</w:t>
      </w:r>
      <w:r w:rsidR="008D62AB" w:rsidRPr="005A4A14">
        <w:rPr>
          <w:rFonts w:asciiTheme="majorBidi" w:hAnsiTheme="majorBidi" w:cstheme="majorBidi"/>
          <w:sz w:val="22"/>
          <w:szCs w:val="22"/>
        </w:rPr>
        <w:t>.</w:t>
      </w:r>
    </w:p>
    <w:p w:rsidR="00A708BE" w:rsidRPr="005A4A14" w:rsidRDefault="00A708BE" w:rsidP="0024486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Quant aux produits non alimentaires, </w:t>
      </w:r>
      <w:r w:rsidR="008C697C" w:rsidRPr="005A4A14">
        <w:rPr>
          <w:rFonts w:ascii="Times New Roman" w:hAnsi="Times New Roman"/>
          <w:spacing w:val="0"/>
          <w:sz w:val="22"/>
          <w:szCs w:val="22"/>
          <w:lang w:eastAsia="fr-FR"/>
        </w:rPr>
        <w:t>les</w:t>
      </w: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hausse</w:t>
      </w:r>
      <w:r w:rsidR="008C697C" w:rsidRPr="005A4A14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de prix l</w:t>
      </w:r>
      <w:r w:rsidR="008C697C" w:rsidRPr="005A4A14">
        <w:rPr>
          <w:rFonts w:ascii="Times New Roman" w:hAnsi="Times New Roman"/>
          <w:spacing w:val="0"/>
          <w:sz w:val="22"/>
          <w:szCs w:val="22"/>
          <w:lang w:eastAsia="fr-FR"/>
        </w:rPr>
        <w:t>es</w:t>
      </w: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plus élevée</w:t>
      </w:r>
      <w:r w:rsidR="008C697C" w:rsidRPr="005A4A14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8C697C" w:rsidRPr="005A4A14">
        <w:rPr>
          <w:rFonts w:ascii="Times New Roman" w:hAnsi="Times New Roman"/>
          <w:spacing w:val="0"/>
          <w:sz w:val="22"/>
          <w:szCs w:val="22"/>
          <w:lang w:eastAsia="fr-FR"/>
        </w:rPr>
        <w:t>ont</w:t>
      </w: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été enregistrée</w:t>
      </w:r>
      <w:r w:rsidR="008C697C" w:rsidRPr="005A4A14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par l</w:t>
      </w:r>
      <w:r w:rsidR="00CA45D6" w:rsidRPr="005A4A14">
        <w:rPr>
          <w:rFonts w:ascii="Times New Roman" w:hAnsi="Times New Roman"/>
          <w:spacing w:val="0"/>
          <w:sz w:val="22"/>
          <w:szCs w:val="22"/>
          <w:lang w:eastAsia="fr-FR"/>
        </w:rPr>
        <w:t>es</w:t>
      </w: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division</w:t>
      </w:r>
      <w:r w:rsidR="00CA45D6" w:rsidRPr="005A4A14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Pr="005A4A14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8C697C" w:rsidRPr="005A4A14">
        <w:rPr>
          <w:rFonts w:asciiTheme="majorBidi" w:hAnsiTheme="majorBidi" w:cstheme="majorBidi"/>
          <w:sz w:val="22"/>
          <w:szCs w:val="22"/>
        </w:rPr>
        <w:t xml:space="preserve">des </w:t>
      </w:r>
      <w:r w:rsidR="008C697C" w:rsidRPr="005A4A14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8C697C" w:rsidRPr="005A4A14">
        <w:rPr>
          <w:rFonts w:asciiTheme="majorBidi" w:hAnsiTheme="majorBidi" w:cstheme="majorBidi"/>
          <w:sz w:val="22"/>
          <w:szCs w:val="22"/>
        </w:rPr>
        <w:t>"</w:t>
      </w:r>
      <w:r w:rsidR="008C697C" w:rsidRPr="005A4A14">
        <w:rPr>
          <w:rFonts w:ascii="Times New Roman" w:hAnsi="Times New Roman"/>
          <w:spacing w:val="0"/>
          <w:sz w:val="22"/>
          <w:szCs w:val="22"/>
          <w:lang w:eastAsia="fr-FR"/>
        </w:rPr>
        <w:t>Transports</w:t>
      </w:r>
      <w:r w:rsidR="008C697C" w:rsidRPr="005A4A14">
        <w:rPr>
          <w:rFonts w:asciiTheme="majorBidi" w:hAnsiTheme="majorBidi" w:cstheme="majorBidi"/>
          <w:sz w:val="22"/>
          <w:szCs w:val="22"/>
        </w:rPr>
        <w:t xml:space="preserve">" avec </w:t>
      </w:r>
      <w:r w:rsidR="00CA45D6" w:rsidRPr="005A4A14">
        <w:rPr>
          <w:rFonts w:asciiTheme="majorBidi" w:hAnsiTheme="majorBidi" w:cstheme="majorBidi"/>
          <w:sz w:val="22"/>
          <w:szCs w:val="22"/>
        </w:rPr>
        <w:t>1</w:t>
      </w:r>
      <w:r w:rsidR="0024486C" w:rsidRPr="005A4A14">
        <w:rPr>
          <w:rFonts w:asciiTheme="majorBidi" w:hAnsiTheme="majorBidi" w:cstheme="majorBidi"/>
          <w:sz w:val="22"/>
          <w:szCs w:val="22"/>
        </w:rPr>
        <w:t>2</w:t>
      </w:r>
      <w:r w:rsidR="008C697C" w:rsidRPr="005A4A14">
        <w:rPr>
          <w:rFonts w:asciiTheme="majorBidi" w:hAnsiTheme="majorBidi" w:cstheme="majorBidi"/>
          <w:sz w:val="22"/>
          <w:szCs w:val="22"/>
        </w:rPr>
        <w:t>,</w:t>
      </w:r>
      <w:r w:rsidR="0024486C" w:rsidRPr="005A4A14">
        <w:rPr>
          <w:rFonts w:asciiTheme="majorBidi" w:hAnsiTheme="majorBidi" w:cstheme="majorBidi"/>
          <w:sz w:val="22"/>
          <w:szCs w:val="22"/>
        </w:rPr>
        <w:t>5</w:t>
      </w:r>
      <w:r w:rsidR="008C697C" w:rsidRPr="005A4A14">
        <w:rPr>
          <w:rFonts w:asciiTheme="majorBidi" w:hAnsiTheme="majorBidi" w:cstheme="majorBidi"/>
          <w:sz w:val="22"/>
          <w:szCs w:val="22"/>
        </w:rPr>
        <w:t>%</w:t>
      </w:r>
      <w:r w:rsidR="008D62AB" w:rsidRPr="005A4A14">
        <w:rPr>
          <w:rFonts w:asciiTheme="majorBidi" w:hAnsiTheme="majorBidi" w:cstheme="majorBidi"/>
          <w:sz w:val="22"/>
          <w:szCs w:val="22"/>
        </w:rPr>
        <w:t xml:space="preserve"> dont les carburants constituent la principale cause de flambée</w:t>
      </w:r>
      <w:r w:rsidR="00CA45D6" w:rsidRPr="005A4A14">
        <w:rPr>
          <w:rFonts w:asciiTheme="majorBidi" w:hAnsiTheme="majorBidi" w:cstheme="majorBidi"/>
          <w:sz w:val="22"/>
          <w:szCs w:val="22"/>
        </w:rPr>
        <w:t>,</w:t>
      </w:r>
      <w:r w:rsidR="002A29D3" w:rsidRPr="005A4A14">
        <w:rPr>
          <w:rFonts w:asciiTheme="majorBidi" w:hAnsiTheme="majorBidi" w:cstheme="majorBidi"/>
          <w:sz w:val="22"/>
          <w:szCs w:val="22"/>
        </w:rPr>
        <w:t xml:space="preserve"> </w:t>
      </w:r>
      <w:r w:rsidR="00FF08CD" w:rsidRPr="005A4A14">
        <w:rPr>
          <w:rFonts w:asciiTheme="majorBidi" w:hAnsiTheme="majorBidi" w:cstheme="majorBidi"/>
          <w:sz w:val="22"/>
          <w:szCs w:val="22"/>
        </w:rPr>
        <w:t xml:space="preserve">et </w:t>
      </w:r>
      <w:r w:rsidR="002A29D3" w:rsidRPr="005A4A14">
        <w:rPr>
          <w:rFonts w:ascii="Times New Roman" w:hAnsi="Times New Roman"/>
          <w:spacing w:val="0"/>
          <w:sz w:val="24"/>
          <w:szCs w:val="24"/>
          <w:lang w:eastAsia="fr-FR"/>
        </w:rPr>
        <w:t>des</w:t>
      </w:r>
      <w:r w:rsidR="002A29D3" w:rsidRPr="005A4A14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2A29D3" w:rsidRPr="005A4A14">
        <w:rPr>
          <w:rFonts w:asciiTheme="majorBidi" w:hAnsiTheme="majorBidi" w:cstheme="majorBidi"/>
          <w:sz w:val="22"/>
          <w:szCs w:val="22"/>
        </w:rPr>
        <w:t>"</w:t>
      </w:r>
      <w:r w:rsidR="002A29D3" w:rsidRPr="005A4A14">
        <w:rPr>
          <w:rFonts w:ascii="Times New Roman" w:hAnsi="Times New Roman"/>
          <w:spacing w:val="0"/>
          <w:sz w:val="24"/>
          <w:szCs w:val="24"/>
          <w:lang w:eastAsia="fr-FR"/>
        </w:rPr>
        <w:t>Biens et services divers</w:t>
      </w:r>
      <w:r w:rsidR="002A29D3" w:rsidRPr="005A4A14">
        <w:rPr>
          <w:rFonts w:asciiTheme="majorBidi" w:hAnsiTheme="majorBidi" w:cstheme="majorBidi"/>
          <w:sz w:val="22"/>
          <w:szCs w:val="22"/>
        </w:rPr>
        <w:t xml:space="preserve">" avec </w:t>
      </w:r>
      <w:r w:rsidR="008D62AB" w:rsidRPr="005A4A14">
        <w:rPr>
          <w:rFonts w:asciiTheme="majorBidi" w:hAnsiTheme="majorBidi" w:cstheme="majorBidi"/>
          <w:sz w:val="22"/>
          <w:szCs w:val="22"/>
        </w:rPr>
        <w:t>10</w:t>
      </w:r>
      <w:r w:rsidR="002A29D3" w:rsidRPr="005A4A14">
        <w:rPr>
          <w:rFonts w:asciiTheme="majorBidi" w:hAnsiTheme="majorBidi" w:cstheme="majorBidi"/>
          <w:sz w:val="22"/>
          <w:szCs w:val="22"/>
        </w:rPr>
        <w:t>,</w:t>
      </w:r>
      <w:r w:rsidR="008D62AB" w:rsidRPr="005A4A14">
        <w:rPr>
          <w:rFonts w:asciiTheme="majorBidi" w:hAnsiTheme="majorBidi" w:cstheme="majorBidi"/>
          <w:sz w:val="22"/>
          <w:szCs w:val="22"/>
        </w:rPr>
        <w:t>4</w:t>
      </w:r>
      <w:r w:rsidR="0024486C" w:rsidRPr="005A4A14">
        <w:rPr>
          <w:rFonts w:asciiTheme="majorBidi" w:hAnsiTheme="majorBidi" w:cstheme="majorBidi"/>
          <w:sz w:val="22"/>
          <w:szCs w:val="22"/>
        </w:rPr>
        <w:t xml:space="preserve">%. Les variations des autres indices vont de (-1,6%) pour les </w:t>
      </w:r>
      <w:r w:rsidR="00FF08CD" w:rsidRPr="005A4A14">
        <w:rPr>
          <w:rFonts w:asciiTheme="majorBidi" w:hAnsiTheme="majorBidi" w:cstheme="majorBidi"/>
          <w:sz w:val="22"/>
          <w:szCs w:val="22"/>
        </w:rPr>
        <w:t>"</w:t>
      </w:r>
      <w:r w:rsidR="0024486C" w:rsidRPr="005A4A14">
        <w:rPr>
          <w:rFonts w:asciiTheme="majorBidi" w:hAnsiTheme="majorBidi" w:cstheme="majorBidi"/>
          <w:sz w:val="22"/>
          <w:szCs w:val="22"/>
        </w:rPr>
        <w:t>Restaurants et hôtels</w:t>
      </w:r>
      <w:r w:rsidR="00FF08CD" w:rsidRPr="005A4A14">
        <w:rPr>
          <w:rFonts w:asciiTheme="majorBidi" w:hAnsiTheme="majorBidi" w:cstheme="majorBidi"/>
          <w:sz w:val="22"/>
          <w:szCs w:val="22"/>
        </w:rPr>
        <w:t>"</w:t>
      </w:r>
      <w:r w:rsidR="0024486C" w:rsidRPr="005A4A14">
        <w:rPr>
          <w:rFonts w:asciiTheme="majorBidi" w:hAnsiTheme="majorBidi" w:cstheme="majorBidi"/>
          <w:sz w:val="22"/>
          <w:szCs w:val="22"/>
        </w:rPr>
        <w:t xml:space="preserve"> à </w:t>
      </w:r>
      <w:r w:rsidR="00F41042" w:rsidRPr="005A4A14">
        <w:rPr>
          <w:rFonts w:asciiTheme="majorBidi" w:hAnsiTheme="majorBidi" w:cstheme="majorBidi"/>
          <w:sz w:val="22"/>
          <w:szCs w:val="22"/>
        </w:rPr>
        <w:t>9,</w:t>
      </w:r>
      <w:r w:rsidR="002A29D3" w:rsidRPr="005A4A14">
        <w:rPr>
          <w:rFonts w:asciiTheme="majorBidi" w:hAnsiTheme="majorBidi" w:cstheme="majorBidi"/>
          <w:sz w:val="22"/>
          <w:szCs w:val="22"/>
        </w:rPr>
        <w:t>8</w:t>
      </w:r>
      <w:r w:rsidR="0024486C" w:rsidRPr="005A4A14">
        <w:rPr>
          <w:rFonts w:asciiTheme="majorBidi" w:hAnsiTheme="majorBidi" w:cstheme="majorBidi"/>
          <w:sz w:val="22"/>
          <w:szCs w:val="22"/>
        </w:rPr>
        <w:t xml:space="preserve">% pour les "Loisirs et culture".  </w:t>
      </w:r>
    </w:p>
    <w:p w:rsidR="00A708BE" w:rsidRPr="005A4A14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5A4A14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35438C" w:rsidRPr="005A4A14" w:rsidRDefault="002C41D1" w:rsidP="005A4A1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Entre </w:t>
      </w:r>
      <w:r w:rsidR="00C42BEC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Juillet </w:t>
      </w:r>
      <w:r w:rsidR="0035438C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et Août </w:t>
      </w: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>202</w:t>
      </w:r>
      <w:r w:rsidR="00745DCF" w:rsidRPr="005A4A14">
        <w:rPr>
          <w:rFonts w:ascii="Times New Roman" w:hAnsi="Times New Roman"/>
          <w:spacing w:val="0"/>
          <w:sz w:val="22"/>
          <w:szCs w:val="22"/>
          <w:lang w:eastAsia="fr-FR"/>
        </w:rPr>
        <w:t>2</w:t>
      </w:r>
      <w:r w:rsidR="0035438C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, huit villes ont enregistré des taux d’inflation au dessous de la moyenne nationale. Il s’agit de Settat avec (-0,6%), de Rabat et Errachidia avec (-0,4%), de Marrakech avec (-0,2%), de </w:t>
      </w:r>
      <w:r w:rsidR="005A4A14" w:rsidRPr="005A4A14">
        <w:rPr>
          <w:rFonts w:ascii="Times New Roman" w:hAnsi="Times New Roman"/>
          <w:spacing w:val="0"/>
          <w:sz w:val="22"/>
          <w:szCs w:val="22"/>
          <w:lang w:eastAsia="fr-FR"/>
        </w:rPr>
        <w:t>Kenitra</w:t>
      </w:r>
      <w:r w:rsidR="0035438C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(-0,1%), de Dakhla avec une </w:t>
      </w:r>
      <w:r w:rsidR="005A4A14" w:rsidRPr="005A4A14">
        <w:rPr>
          <w:rFonts w:ascii="Times New Roman" w:hAnsi="Times New Roman"/>
          <w:spacing w:val="0"/>
          <w:sz w:val="22"/>
          <w:szCs w:val="22"/>
          <w:lang w:eastAsia="fr-FR"/>
        </w:rPr>
        <w:t>infla</w:t>
      </w:r>
      <w:r w:rsidR="0035438C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tion nulle, de Casablanca avec 0,2% et </w:t>
      </w:r>
      <w:r w:rsidR="005A4A14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de </w:t>
      </w:r>
      <w:r w:rsidR="0035438C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Fès avec 0,3%. </w:t>
      </w:r>
    </w:p>
    <w:p w:rsidR="000A59EC" w:rsidRPr="005A4A14" w:rsidRDefault="005A4A14" w:rsidP="005A4A1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Le reste des </w:t>
      </w:r>
      <w:r w:rsidR="00C42BEC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0A59EC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villes </w:t>
      </w: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>ont eu des</w:t>
      </w:r>
      <w:r w:rsidR="00C42BEC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variation</w:t>
      </w: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="00C42BEC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mensuelle</w:t>
      </w: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="00C42BEC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qui dépassent la moyenne nationale. Celles-ci vont de 0,4% à </w:t>
      </w:r>
      <w:r w:rsidR="00C42BEC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8641DF" w:rsidRPr="005A4A14">
        <w:rPr>
          <w:rFonts w:ascii="Times New Roman" w:hAnsi="Times New Roman"/>
          <w:spacing w:val="0"/>
          <w:sz w:val="22"/>
          <w:szCs w:val="22"/>
          <w:lang w:eastAsia="fr-FR"/>
        </w:rPr>
        <w:t>Meknès</w:t>
      </w:r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, à 1,3% à </w:t>
      </w:r>
      <w:proofErr w:type="spellStart"/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>Beni</w:t>
      </w:r>
      <w:proofErr w:type="spellEnd"/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proofErr w:type="spellStart"/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>mellal</w:t>
      </w:r>
      <w:proofErr w:type="spellEnd"/>
      <w:r w:rsidRPr="005A4A14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  <w:r w:rsidR="008641DF" w:rsidRPr="005A4A14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</w:p>
    <w:p w:rsidR="008641DF" w:rsidRPr="008641DF" w:rsidRDefault="008641DF" w:rsidP="008641D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8641DF" w:rsidRPr="00520689" w:rsidRDefault="008641DF" w:rsidP="008641DF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</w:pPr>
    </w:p>
    <w:p w:rsidR="00EB10A1" w:rsidRDefault="00EB10A1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3547CF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83"/>
        <w:gridCol w:w="1054"/>
        <w:gridCol w:w="1054"/>
        <w:gridCol w:w="1055"/>
        <w:gridCol w:w="1180"/>
        <w:gridCol w:w="1061"/>
      </w:tblGrid>
      <w:tr w:rsidR="003547CF" w:rsidRPr="003547CF" w:rsidTr="003547CF">
        <w:trPr>
          <w:trHeight w:val="510"/>
        </w:trPr>
        <w:tc>
          <w:tcPr>
            <w:tcW w:w="2278" w:type="pct"/>
            <w:vMerge w:val="restar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DIVISIONS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Août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Juillet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Août</w:t>
            </w:r>
          </w:p>
        </w:tc>
        <w:tc>
          <w:tcPr>
            <w:tcW w:w="1089" w:type="pct"/>
            <w:gridSpan w:val="2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VARIATION (%)</w:t>
            </w:r>
          </w:p>
        </w:tc>
      </w:tr>
      <w:tr w:rsidR="003547CF" w:rsidRPr="003547CF" w:rsidTr="003547CF">
        <w:trPr>
          <w:trHeight w:val="525"/>
        </w:trPr>
        <w:tc>
          <w:tcPr>
            <w:tcW w:w="2278" w:type="pct"/>
            <w:vMerge/>
            <w:shd w:val="clear" w:color="auto" w:fill="FABF8F" w:themeFill="accent6" w:themeFillTint="99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577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Mensuelle</w:t>
            </w:r>
          </w:p>
        </w:tc>
        <w:tc>
          <w:tcPr>
            <w:tcW w:w="512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Annuelle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98,1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114,8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115,6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17,8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99,0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115,3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116,1</w:t>
            </w:r>
          </w:p>
        </w:tc>
        <w:tc>
          <w:tcPr>
            <w:tcW w:w="577" w:type="pct"/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512" w:type="pct"/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17,2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110,8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111,2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4,7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112,5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112,6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9,1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3,1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125,4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120,9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-3,6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12,5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9,8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-1,6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114,4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114,4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10,4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110,4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109,7</w:t>
            </w:r>
          </w:p>
        </w:tc>
        <w:tc>
          <w:tcPr>
            <w:tcW w:w="577" w:type="pct"/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512" w:type="pct"/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5,1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auto" w:fill="FABF8F" w:themeFill="accent6" w:themeFillTint="99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112,5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112,4</w:t>
            </w:r>
          </w:p>
        </w:tc>
        <w:tc>
          <w:tcPr>
            <w:tcW w:w="577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512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10,1</w:t>
            </w:r>
          </w:p>
        </w:tc>
      </w:tr>
      <w:tr w:rsidR="003547CF" w:rsidRPr="003547CF" w:rsidTr="003547CF">
        <w:trPr>
          <w:trHeight w:val="499"/>
        </w:trPr>
        <w:tc>
          <w:tcPr>
            <w:tcW w:w="2278" w:type="pct"/>
            <w:shd w:val="clear" w:color="auto" w:fill="FABF8F" w:themeFill="accent6" w:themeFillTint="99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111,8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577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512" w:type="pct"/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8,0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42"/>
        <w:gridCol w:w="1641"/>
        <w:gridCol w:w="847"/>
        <w:gridCol w:w="996"/>
        <w:gridCol w:w="847"/>
        <w:gridCol w:w="1007"/>
        <w:gridCol w:w="907"/>
      </w:tblGrid>
      <w:tr w:rsidR="003547CF" w:rsidRPr="003547CF" w:rsidTr="003547CF">
        <w:trPr>
          <w:trHeight w:val="510"/>
          <w:tblHeader/>
        </w:trPr>
        <w:tc>
          <w:tcPr>
            <w:tcW w:w="190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  <w:p w:rsidR="00950764" w:rsidRDefault="00950764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  <w:p w:rsidR="00950764" w:rsidRPr="003547CF" w:rsidRDefault="00950764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PONDERATION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AOUT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JUILLET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AOUT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3547CF" w:rsidRPr="003547CF" w:rsidTr="003547CF">
        <w:trPr>
          <w:trHeight w:val="540"/>
          <w:tblHeader/>
        </w:trPr>
        <w:tc>
          <w:tcPr>
            <w:tcW w:w="19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3547CF" w:rsidRPr="003547CF" w:rsidRDefault="003547C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3547CF" w:rsidRPr="003547CF" w:rsidTr="003547CF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98,1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17,8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116,2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18,5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21,3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112,6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-1,9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10,3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-1,4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5,5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7,6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105,6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139,2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140,4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33,0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103,4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117,2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6,0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13,3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82,2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112,6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37,0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106,8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3547CF" w:rsidRPr="003547CF" w:rsidTr="003547CF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83,5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99,0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20,1</w:t>
            </w:r>
          </w:p>
        </w:tc>
      </w:tr>
      <w:tr w:rsidR="003547CF" w:rsidRPr="003547CF" w:rsidTr="003547CF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7,1</w:t>
            </w:r>
          </w:p>
        </w:tc>
      </w:tr>
      <w:tr w:rsidR="003547CF" w:rsidRPr="003547CF" w:rsidTr="003547CF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6,5</w:t>
            </w:r>
          </w:p>
        </w:tc>
      </w:tr>
      <w:tr w:rsidR="003547CF" w:rsidRPr="003547CF" w:rsidTr="003547CF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8,8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3,4</w:t>
            </w:r>
          </w:p>
        </w:tc>
      </w:tr>
      <w:tr w:rsidR="003547CF" w:rsidRPr="003547CF" w:rsidTr="003547C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47CF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3547CF" w:rsidRPr="003547CF" w:rsidTr="003547CF">
        <w:trPr>
          <w:trHeight w:val="33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115,3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116,1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17,2</w:t>
            </w:r>
          </w:p>
        </w:tc>
      </w:tr>
      <w:tr w:rsidR="003547CF" w:rsidRPr="003547CF" w:rsidTr="003547CF">
        <w:trPr>
          <w:trHeight w:val="455"/>
        </w:trPr>
        <w:tc>
          <w:tcPr>
            <w:tcW w:w="19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112,5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112,4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3547CF" w:rsidRPr="003547CF" w:rsidRDefault="003547CF" w:rsidP="003547C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547C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10,1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Pr="00307D13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986F1B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4D6" w:rsidRDefault="001544D6">
      <w:r>
        <w:separator/>
      </w:r>
    </w:p>
    <w:p w:rsidR="001544D6" w:rsidRDefault="001544D6"/>
  </w:endnote>
  <w:endnote w:type="continuationSeparator" w:id="0">
    <w:p w:rsidR="001544D6" w:rsidRDefault="001544D6">
      <w:r>
        <w:continuationSeparator/>
      </w:r>
    </w:p>
    <w:p w:rsidR="001544D6" w:rsidRDefault="001544D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39682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4D6" w:rsidRDefault="001544D6">
      <w:r>
        <w:separator/>
      </w:r>
    </w:p>
    <w:p w:rsidR="001544D6" w:rsidRDefault="001544D6"/>
  </w:footnote>
  <w:footnote w:type="continuationSeparator" w:id="0">
    <w:p w:rsidR="001544D6" w:rsidRDefault="001544D6">
      <w:r>
        <w:continuationSeparator/>
      </w:r>
    </w:p>
    <w:p w:rsidR="001544D6" w:rsidRDefault="001544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DB4"/>
    <w:rsid w:val="00105E77"/>
    <w:rsid w:val="0010604E"/>
    <w:rsid w:val="00106CE8"/>
    <w:rsid w:val="001076DE"/>
    <w:rsid w:val="001077C6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17EBB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B4C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3CCD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36F8E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62D6"/>
    <w:rsid w:val="00986AF5"/>
    <w:rsid w:val="00986F1B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45D6"/>
    <w:rsid w:val="00CA52F1"/>
    <w:rsid w:val="00CA7207"/>
    <w:rsid w:val="00CA793C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30E7D4-A872-48AC-A5C9-DA83F7D2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1020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2022-09-30T10:46:00Z</dcterms:created>
  <dcterms:modified xsi:type="dcterms:W3CDTF">2022-09-30T10:46:00Z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