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1147F9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Juin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582EDE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3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7A15D9" w:rsidRDefault="00004F5D" w:rsidP="00E05616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Au terme du mois de Juin</w:t>
      </w:r>
      <w:r w:rsidRPr="007A15D9">
        <w:rPr>
          <w:rFonts w:asciiTheme="majorBidi" w:hAnsiTheme="majorBidi" w:cstheme="majorBidi"/>
          <w:sz w:val="22"/>
          <w:szCs w:val="22"/>
        </w:rPr>
        <w:t xml:space="preserve">  2023</w:t>
      </w:r>
      <w:r>
        <w:rPr>
          <w:rFonts w:asciiTheme="majorBidi" w:hAnsiTheme="majorBidi" w:cstheme="majorBidi"/>
          <w:sz w:val="22"/>
          <w:szCs w:val="22"/>
        </w:rPr>
        <w:t>, l</w:t>
      </w:r>
      <w:r w:rsidR="00986F1B" w:rsidRPr="007A15D9">
        <w:rPr>
          <w:rFonts w:asciiTheme="majorBidi" w:hAnsiTheme="majorBidi" w:cstheme="majorBidi"/>
          <w:sz w:val="22"/>
          <w:szCs w:val="22"/>
        </w:rPr>
        <w:t>’</w:t>
      </w:r>
      <w:r w:rsidR="006B7974" w:rsidRPr="007A15D9">
        <w:rPr>
          <w:rFonts w:asciiTheme="majorBidi" w:hAnsiTheme="majorBidi" w:cstheme="majorBidi"/>
          <w:sz w:val="22"/>
          <w:szCs w:val="22"/>
        </w:rPr>
        <w:t>i</w:t>
      </w:r>
      <w:r w:rsidR="00986F1B" w:rsidRPr="007A15D9">
        <w:rPr>
          <w:rFonts w:asciiTheme="majorBidi" w:hAnsiTheme="majorBidi" w:cstheme="majorBidi"/>
          <w:sz w:val="22"/>
          <w:szCs w:val="22"/>
        </w:rPr>
        <w:t xml:space="preserve">ndice des </w:t>
      </w:r>
      <w:r w:rsidR="002B4717" w:rsidRPr="007A15D9">
        <w:rPr>
          <w:rFonts w:asciiTheme="majorBidi" w:hAnsiTheme="majorBidi" w:cstheme="majorBidi"/>
          <w:sz w:val="22"/>
          <w:szCs w:val="22"/>
        </w:rPr>
        <w:t>P</w:t>
      </w:r>
      <w:r w:rsidR="00986F1B" w:rsidRPr="007A15D9">
        <w:rPr>
          <w:rFonts w:asciiTheme="majorBidi" w:hAnsiTheme="majorBidi" w:cstheme="majorBidi"/>
          <w:sz w:val="22"/>
          <w:szCs w:val="22"/>
        </w:rPr>
        <w:t xml:space="preserve">rix à la </w:t>
      </w:r>
      <w:r w:rsidR="002B4717" w:rsidRPr="007A15D9">
        <w:rPr>
          <w:rFonts w:asciiTheme="majorBidi" w:hAnsiTheme="majorBidi" w:cstheme="majorBidi"/>
          <w:sz w:val="22"/>
          <w:szCs w:val="22"/>
        </w:rPr>
        <w:t>C</w:t>
      </w:r>
      <w:r w:rsidR="00986F1B" w:rsidRPr="007A15D9">
        <w:rPr>
          <w:rFonts w:asciiTheme="majorBidi" w:hAnsiTheme="majorBidi" w:cstheme="majorBidi"/>
          <w:sz w:val="22"/>
          <w:szCs w:val="22"/>
        </w:rPr>
        <w:t xml:space="preserve">onsommation 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746443" w:rsidRPr="007A15D9">
        <w:rPr>
          <w:rFonts w:asciiTheme="majorBidi" w:hAnsiTheme="majorBidi" w:cstheme="majorBidi"/>
          <w:sz w:val="22"/>
          <w:szCs w:val="22"/>
        </w:rPr>
        <w:t>Kenitra</w:t>
      </w:r>
      <w:r w:rsidR="00986F1B" w:rsidRPr="007A15D9">
        <w:rPr>
          <w:rFonts w:asciiTheme="majorBidi" w:hAnsiTheme="majorBidi" w:cstheme="majorBidi"/>
          <w:sz w:val="22"/>
          <w:szCs w:val="22"/>
        </w:rPr>
        <w:t xml:space="preserve">, 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a</w:t>
      </w:r>
      <w:r w:rsidR="00064324" w:rsidRPr="007A15D9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enregistré une baisse</w:t>
      </w:r>
      <w:r w:rsidR="001147F9">
        <w:rPr>
          <w:rFonts w:asciiTheme="majorBidi" w:hAnsiTheme="majorBidi" w:cstheme="majorBidi"/>
          <w:sz w:val="22"/>
          <w:szCs w:val="22"/>
        </w:rPr>
        <w:t xml:space="preserve"> </w:t>
      </w:r>
      <w:r w:rsidR="00E02EE9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de </w:t>
      </w:r>
      <w:r w:rsidR="001147F9">
        <w:rPr>
          <w:rFonts w:asciiTheme="majorBidi" w:hAnsiTheme="majorBidi" w:cstheme="majorBidi"/>
          <w:sz w:val="22"/>
          <w:szCs w:val="22"/>
        </w:rPr>
        <w:t>1</w:t>
      </w:r>
      <w:r w:rsidR="00CB4E32" w:rsidRPr="007A15D9">
        <w:rPr>
          <w:rFonts w:asciiTheme="majorBidi" w:hAnsiTheme="majorBidi" w:cstheme="majorBidi"/>
          <w:sz w:val="22"/>
          <w:szCs w:val="22"/>
        </w:rPr>
        <w:t>,</w:t>
      </w:r>
      <w:r w:rsidR="001147F9">
        <w:rPr>
          <w:rFonts w:asciiTheme="majorBidi" w:hAnsiTheme="majorBidi" w:cstheme="majorBidi"/>
          <w:sz w:val="22"/>
          <w:szCs w:val="22"/>
        </w:rPr>
        <w:t>8</w:t>
      </w:r>
      <w:r w:rsidR="002B4717" w:rsidRPr="007A15D9">
        <w:rPr>
          <w:rFonts w:asciiTheme="majorBidi" w:hAnsiTheme="majorBidi" w:cstheme="majorBidi"/>
          <w:sz w:val="22"/>
          <w:szCs w:val="22"/>
        </w:rPr>
        <w:t>%</w:t>
      </w:r>
      <w:r w:rsidR="00773234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par rapport au mois </w:t>
      </w:r>
      <w:r w:rsidR="00375D0D">
        <w:rPr>
          <w:rFonts w:asciiTheme="majorBidi" w:hAnsiTheme="majorBidi" w:cstheme="majorBidi"/>
          <w:sz w:val="22"/>
          <w:szCs w:val="22"/>
        </w:rPr>
        <w:t>d</w:t>
      </w:r>
      <w:r w:rsidR="001147F9">
        <w:rPr>
          <w:rFonts w:asciiTheme="majorBidi" w:hAnsiTheme="majorBidi" w:cstheme="majorBidi"/>
          <w:sz w:val="22"/>
          <w:szCs w:val="22"/>
        </w:rPr>
        <w:t xml:space="preserve">e Mai </w:t>
      </w:r>
      <w:r w:rsidR="00CB1B56" w:rsidRPr="007A15D9">
        <w:rPr>
          <w:rFonts w:asciiTheme="majorBidi" w:hAnsiTheme="majorBidi" w:cstheme="majorBidi"/>
          <w:sz w:val="22"/>
          <w:szCs w:val="22"/>
        </w:rPr>
        <w:t>de la même année</w:t>
      </w:r>
      <w:r w:rsidR="002D5721">
        <w:rPr>
          <w:rFonts w:asciiTheme="majorBidi" w:hAnsiTheme="majorBidi" w:cstheme="majorBidi"/>
          <w:sz w:val="22"/>
          <w:szCs w:val="22"/>
        </w:rPr>
        <w:t xml:space="preserve">. </w:t>
      </w:r>
      <w:r w:rsidR="002D5721" w:rsidRPr="007A15D9">
        <w:rPr>
          <w:rFonts w:asciiTheme="majorBidi" w:hAnsiTheme="majorBidi" w:cstheme="majorBidi"/>
          <w:sz w:val="22"/>
          <w:szCs w:val="22"/>
        </w:rPr>
        <w:t xml:space="preserve">La moyenne nationale </w:t>
      </w:r>
      <w:r w:rsidR="002D5721">
        <w:rPr>
          <w:rFonts w:asciiTheme="majorBidi" w:hAnsiTheme="majorBidi" w:cstheme="majorBidi"/>
          <w:sz w:val="22"/>
          <w:szCs w:val="22"/>
        </w:rPr>
        <w:t xml:space="preserve">a également baissé mais seulement de </w:t>
      </w:r>
      <w:r w:rsidR="001147F9">
        <w:rPr>
          <w:rFonts w:asciiTheme="majorBidi" w:hAnsiTheme="majorBidi" w:cstheme="majorBidi"/>
          <w:sz w:val="22"/>
          <w:szCs w:val="22"/>
        </w:rPr>
        <w:t>0,9</w:t>
      </w:r>
      <w:r w:rsidR="00064324" w:rsidRPr="007A15D9">
        <w:rPr>
          <w:rFonts w:asciiTheme="majorBidi" w:hAnsiTheme="majorBidi" w:cstheme="majorBidi"/>
          <w:sz w:val="22"/>
          <w:szCs w:val="22"/>
        </w:rPr>
        <w:t>%</w:t>
      </w:r>
      <w:r w:rsidR="002B4717" w:rsidRPr="007A15D9">
        <w:rPr>
          <w:rFonts w:asciiTheme="majorBidi" w:hAnsiTheme="majorBidi" w:cstheme="majorBidi"/>
          <w:sz w:val="22"/>
          <w:szCs w:val="22"/>
        </w:rPr>
        <w:t>.</w:t>
      </w:r>
    </w:p>
    <w:p w:rsidR="002B4717" w:rsidRDefault="00986F1B" w:rsidP="00E05616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7A15D9">
        <w:rPr>
          <w:rFonts w:asciiTheme="majorBidi" w:hAnsiTheme="majorBidi" w:cstheme="majorBidi"/>
          <w:sz w:val="22"/>
          <w:szCs w:val="22"/>
        </w:rPr>
        <w:t xml:space="preserve">Cette 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BE2BA2" w:rsidRPr="007A15D9">
        <w:rPr>
          <w:rFonts w:asciiTheme="majorBidi" w:hAnsiTheme="majorBidi" w:cstheme="majorBidi"/>
          <w:sz w:val="22"/>
          <w:szCs w:val="22"/>
        </w:rPr>
        <w:t xml:space="preserve">variation </w:t>
      </w:r>
      <w:r w:rsidR="001147F9">
        <w:rPr>
          <w:rFonts w:asciiTheme="majorBidi" w:hAnsiTheme="majorBidi" w:cstheme="majorBidi"/>
          <w:sz w:val="22"/>
          <w:szCs w:val="22"/>
        </w:rPr>
        <w:t>néga</w:t>
      </w:r>
      <w:r w:rsidR="00BE2BA2" w:rsidRPr="007A15D9">
        <w:rPr>
          <w:rFonts w:asciiTheme="majorBidi" w:hAnsiTheme="majorBidi" w:cstheme="majorBidi"/>
          <w:sz w:val="22"/>
          <w:szCs w:val="22"/>
        </w:rPr>
        <w:t>tive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de l’indice </w:t>
      </w:r>
      <w:r w:rsidR="00773234" w:rsidRPr="007A15D9">
        <w:rPr>
          <w:rFonts w:asciiTheme="majorBidi" w:hAnsiTheme="majorBidi" w:cstheme="majorBidi"/>
          <w:sz w:val="22"/>
          <w:szCs w:val="22"/>
        </w:rPr>
        <w:t xml:space="preserve">général 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de </w:t>
      </w:r>
      <w:r w:rsidRPr="007A15D9">
        <w:rPr>
          <w:rFonts w:asciiTheme="majorBidi" w:hAnsiTheme="majorBidi" w:cstheme="majorBidi"/>
          <w:sz w:val="22"/>
          <w:szCs w:val="22"/>
        </w:rPr>
        <w:t>Kenitra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BE2BA2" w:rsidRPr="007A15D9">
        <w:rPr>
          <w:rFonts w:asciiTheme="majorBidi" w:hAnsiTheme="majorBidi" w:cstheme="majorBidi"/>
          <w:sz w:val="22"/>
          <w:szCs w:val="22"/>
        </w:rPr>
        <w:t xml:space="preserve">est </w:t>
      </w:r>
      <w:r w:rsidR="00E05616">
        <w:rPr>
          <w:rFonts w:asciiTheme="majorBidi" w:hAnsiTheme="majorBidi" w:cstheme="majorBidi"/>
          <w:sz w:val="22"/>
          <w:szCs w:val="22"/>
        </w:rPr>
        <w:t>une combinaison</w:t>
      </w:r>
      <w:r w:rsidR="00E02EE9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de </w:t>
      </w:r>
      <w:r w:rsidR="00B917AC" w:rsidRPr="007A15D9">
        <w:rPr>
          <w:rFonts w:asciiTheme="majorBidi" w:hAnsiTheme="majorBidi" w:cstheme="majorBidi"/>
          <w:sz w:val="22"/>
          <w:szCs w:val="22"/>
        </w:rPr>
        <w:t xml:space="preserve">la </w:t>
      </w:r>
      <w:r w:rsidR="001147F9">
        <w:rPr>
          <w:rFonts w:asciiTheme="majorBidi" w:hAnsiTheme="majorBidi" w:cstheme="majorBidi"/>
          <w:sz w:val="22"/>
          <w:szCs w:val="22"/>
        </w:rPr>
        <w:t>bai</w:t>
      </w:r>
      <w:r w:rsidR="001147F9" w:rsidRPr="007A15D9">
        <w:rPr>
          <w:rFonts w:asciiTheme="majorBidi" w:hAnsiTheme="majorBidi" w:cstheme="majorBidi"/>
          <w:sz w:val="22"/>
          <w:szCs w:val="22"/>
        </w:rPr>
        <w:t>sse</w:t>
      </w:r>
      <w:r w:rsidR="00CB4E32" w:rsidRPr="007A15D9">
        <w:rPr>
          <w:rFonts w:asciiTheme="majorBidi" w:hAnsiTheme="majorBidi" w:cstheme="majorBidi"/>
          <w:sz w:val="22"/>
          <w:szCs w:val="22"/>
        </w:rPr>
        <w:t xml:space="preserve"> de l’indice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des produits alimentaires </w:t>
      </w:r>
      <w:r w:rsidR="00E02EE9" w:rsidRPr="007A15D9">
        <w:rPr>
          <w:rFonts w:asciiTheme="majorBidi" w:hAnsiTheme="majorBidi" w:cstheme="majorBidi"/>
          <w:sz w:val="22"/>
          <w:szCs w:val="22"/>
        </w:rPr>
        <w:t xml:space="preserve">de </w:t>
      </w:r>
      <w:r w:rsidR="00561BEB">
        <w:rPr>
          <w:rFonts w:asciiTheme="majorBidi" w:hAnsiTheme="majorBidi" w:cstheme="majorBidi"/>
          <w:sz w:val="22"/>
          <w:szCs w:val="22"/>
        </w:rPr>
        <w:t>3</w:t>
      </w:r>
      <w:r w:rsidR="001147F9">
        <w:rPr>
          <w:rFonts w:asciiTheme="majorBidi" w:hAnsiTheme="majorBidi" w:cstheme="majorBidi"/>
          <w:sz w:val="22"/>
          <w:szCs w:val="22"/>
        </w:rPr>
        <w:t>,9</w:t>
      </w:r>
      <w:r w:rsidR="00E02EE9" w:rsidRPr="007A15D9">
        <w:rPr>
          <w:rFonts w:asciiTheme="majorBidi" w:hAnsiTheme="majorBidi" w:cstheme="majorBidi"/>
          <w:sz w:val="22"/>
          <w:szCs w:val="22"/>
        </w:rPr>
        <w:t xml:space="preserve">% et </w:t>
      </w:r>
      <w:r w:rsidR="009D657E" w:rsidRPr="007A15D9">
        <w:rPr>
          <w:rFonts w:asciiTheme="majorBidi" w:hAnsiTheme="majorBidi" w:cstheme="majorBidi"/>
          <w:sz w:val="22"/>
          <w:szCs w:val="22"/>
        </w:rPr>
        <w:t xml:space="preserve">la </w:t>
      </w:r>
      <w:r w:rsidR="001147F9">
        <w:rPr>
          <w:rFonts w:asciiTheme="majorBidi" w:hAnsiTheme="majorBidi" w:cstheme="majorBidi"/>
          <w:sz w:val="22"/>
          <w:szCs w:val="22"/>
        </w:rPr>
        <w:t>hau</w:t>
      </w:r>
      <w:r w:rsidR="00155206" w:rsidRPr="007A15D9">
        <w:rPr>
          <w:rFonts w:asciiTheme="majorBidi" w:hAnsiTheme="majorBidi" w:cstheme="majorBidi"/>
          <w:sz w:val="22"/>
          <w:szCs w:val="22"/>
        </w:rPr>
        <w:t>sse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CB1B56" w:rsidRPr="007A15D9">
        <w:rPr>
          <w:rFonts w:asciiTheme="majorBidi" w:hAnsiTheme="majorBidi" w:cstheme="majorBidi"/>
          <w:sz w:val="22"/>
          <w:szCs w:val="22"/>
        </w:rPr>
        <w:t xml:space="preserve">de </w:t>
      </w:r>
      <w:r w:rsidR="00F44E06" w:rsidRPr="007A15D9">
        <w:rPr>
          <w:rFonts w:asciiTheme="majorBidi" w:hAnsiTheme="majorBidi" w:cstheme="majorBidi"/>
          <w:sz w:val="22"/>
          <w:szCs w:val="22"/>
        </w:rPr>
        <w:t>celui</w:t>
      </w:r>
      <w:r w:rsidR="00CB1B56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des produits non </w:t>
      </w:r>
      <w:r w:rsidR="00CB1B56" w:rsidRPr="007A15D9">
        <w:rPr>
          <w:rFonts w:asciiTheme="majorBidi" w:hAnsiTheme="majorBidi" w:cstheme="majorBidi"/>
          <w:sz w:val="22"/>
          <w:szCs w:val="22"/>
        </w:rPr>
        <w:t>alimentaires</w:t>
      </w:r>
      <w:r w:rsidR="00155206" w:rsidRPr="007A15D9">
        <w:rPr>
          <w:rFonts w:asciiTheme="majorBidi" w:hAnsiTheme="majorBidi" w:cstheme="majorBidi"/>
          <w:sz w:val="22"/>
          <w:szCs w:val="22"/>
        </w:rPr>
        <w:t xml:space="preserve"> de 0,1%</w:t>
      </w:r>
      <w:r w:rsidR="00CB1B56" w:rsidRPr="007A15D9">
        <w:rPr>
          <w:rFonts w:asciiTheme="majorBidi" w:hAnsiTheme="majorBidi" w:cstheme="majorBidi"/>
          <w:sz w:val="22"/>
          <w:szCs w:val="22"/>
        </w:rPr>
        <w:t>.</w:t>
      </w:r>
    </w:p>
    <w:p w:rsidR="0044687C" w:rsidRDefault="00EA26F2" w:rsidP="00EA26F2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Il est à signaler que la majorité des classes alimentaires ont connu des diminutions de prix allant de 0,5% pour les "Café, thé et cacao" à 11,9% pour les "Légumes". Les prix du groupe "Boissons alcoolisées"</w:t>
      </w:r>
      <w:r w:rsidRPr="00EA26F2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 xml:space="preserve">ont, cependant, augmenté de 6,3%. </w:t>
      </w:r>
    </w:p>
    <w:p w:rsidR="004C1C22" w:rsidRPr="007A15D9" w:rsidRDefault="004C1C22" w:rsidP="00300D4B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Sur les dix divisions des produits non alimentaires, les indice</w:t>
      </w:r>
      <w:r w:rsidR="00300D4B">
        <w:rPr>
          <w:rFonts w:asciiTheme="majorBidi" w:hAnsiTheme="majorBidi" w:cstheme="majorBidi"/>
          <w:sz w:val="22"/>
          <w:szCs w:val="22"/>
        </w:rPr>
        <w:t>s</w:t>
      </w:r>
      <w:r>
        <w:rPr>
          <w:rFonts w:asciiTheme="majorBidi" w:hAnsiTheme="majorBidi" w:cstheme="majorBidi"/>
          <w:sz w:val="22"/>
          <w:szCs w:val="22"/>
        </w:rPr>
        <w:t xml:space="preserve"> de cinq d’entre elle ont baissé ; il s’agit des "Articles d’habillement et chaussures" avec (-0,3%), des "Logement, eau, gaz, électricité et autres combustibles" et des "Transports" avec (-0,1%), des Loisirs et culture avec (-0,2%) et des "Restaurants et hôtels" avec (-1%).</w:t>
      </w:r>
      <w:r w:rsidR="00300D4B">
        <w:rPr>
          <w:rFonts w:asciiTheme="majorBidi" w:hAnsiTheme="majorBidi" w:cstheme="majorBidi"/>
          <w:sz w:val="22"/>
          <w:szCs w:val="22"/>
        </w:rPr>
        <w:t xml:space="preserve"> Les hausses de prix ont touché la division des "Meubles, articles de ménage et entretien courant du foyer" avec 0,9%</w:t>
      </w:r>
      <w:r w:rsidR="00E10220">
        <w:rPr>
          <w:rFonts w:asciiTheme="majorBidi" w:hAnsiTheme="majorBidi" w:cstheme="majorBidi"/>
          <w:sz w:val="22"/>
          <w:szCs w:val="22"/>
        </w:rPr>
        <w:t xml:space="preserve"> </w:t>
      </w:r>
      <w:r w:rsidR="00300D4B">
        <w:rPr>
          <w:rFonts w:asciiTheme="majorBidi" w:hAnsiTheme="majorBidi" w:cstheme="majorBidi"/>
          <w:sz w:val="22"/>
          <w:szCs w:val="22"/>
        </w:rPr>
        <w:t xml:space="preserve"> et celle des "Biens et services divers" avec 1,2%. Seuls les indices des divisions de la "Santé" et de "l’Enseignement" ont stagné au cours de ce mois.</w:t>
      </w:r>
    </w:p>
    <w:p w:rsidR="004C54F7" w:rsidRPr="007A15D9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A15D9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A7F45" w:rsidRPr="007A15D9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Pr="007A15D9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Pr="00E10220" w:rsidRDefault="00717FDA" w:rsidP="00C35856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E10220">
        <w:rPr>
          <w:rFonts w:asciiTheme="majorBidi" w:hAnsiTheme="majorBidi" w:cstheme="majorBidi"/>
          <w:sz w:val="22"/>
          <w:szCs w:val="22"/>
        </w:rPr>
        <w:t xml:space="preserve">En </w:t>
      </w:r>
      <w:r w:rsidR="00184093" w:rsidRPr="00E10220">
        <w:rPr>
          <w:rFonts w:asciiTheme="majorBidi" w:hAnsiTheme="majorBidi" w:cstheme="majorBidi"/>
          <w:sz w:val="22"/>
          <w:szCs w:val="22"/>
        </w:rPr>
        <w:t>termes</w:t>
      </w:r>
      <w:r w:rsidRPr="00E10220">
        <w:rPr>
          <w:rFonts w:asciiTheme="majorBidi" w:hAnsiTheme="majorBidi" w:cstheme="majorBidi"/>
          <w:sz w:val="22"/>
          <w:szCs w:val="22"/>
        </w:rPr>
        <w:t xml:space="preserve"> </w:t>
      </w:r>
      <w:r w:rsidR="00061903" w:rsidRPr="00E10220">
        <w:rPr>
          <w:rFonts w:asciiTheme="majorBidi" w:hAnsiTheme="majorBidi" w:cstheme="majorBidi"/>
          <w:sz w:val="22"/>
          <w:szCs w:val="22"/>
        </w:rPr>
        <w:t>de variation</w:t>
      </w:r>
      <w:r w:rsidRPr="00E10220">
        <w:rPr>
          <w:rFonts w:asciiTheme="majorBidi" w:hAnsiTheme="majorBidi" w:cstheme="majorBidi"/>
          <w:sz w:val="22"/>
          <w:szCs w:val="22"/>
        </w:rPr>
        <w:t xml:space="preserve"> annuel</w:t>
      </w:r>
      <w:r w:rsidR="00061903" w:rsidRPr="00E10220">
        <w:rPr>
          <w:rFonts w:asciiTheme="majorBidi" w:hAnsiTheme="majorBidi" w:cstheme="majorBidi"/>
          <w:sz w:val="22"/>
          <w:szCs w:val="22"/>
        </w:rPr>
        <w:t>le</w:t>
      </w:r>
      <w:r w:rsidR="004C54F7" w:rsidRPr="00E10220">
        <w:rPr>
          <w:rFonts w:asciiTheme="majorBidi" w:hAnsiTheme="majorBidi" w:cstheme="majorBidi"/>
          <w:sz w:val="22"/>
          <w:szCs w:val="22"/>
        </w:rPr>
        <w:t>, l’indice des prix à la consommation</w:t>
      </w:r>
      <w:r w:rsidR="00520FB2" w:rsidRPr="00E10220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F825C1" w:rsidRPr="00E10220">
        <w:rPr>
          <w:rFonts w:asciiTheme="majorBidi" w:hAnsiTheme="majorBidi" w:cstheme="majorBidi"/>
          <w:sz w:val="22"/>
          <w:szCs w:val="22"/>
        </w:rPr>
        <w:t>Kenitra</w:t>
      </w:r>
      <w:r w:rsidR="004C54F7" w:rsidRPr="00E10220">
        <w:rPr>
          <w:rFonts w:asciiTheme="majorBidi" w:hAnsiTheme="majorBidi" w:cstheme="majorBidi"/>
          <w:sz w:val="22"/>
          <w:szCs w:val="22"/>
        </w:rPr>
        <w:t xml:space="preserve"> </w:t>
      </w:r>
      <w:r w:rsidR="00061903" w:rsidRPr="00E10220">
        <w:rPr>
          <w:rFonts w:asciiTheme="majorBidi" w:hAnsiTheme="majorBidi" w:cstheme="majorBidi"/>
          <w:sz w:val="22"/>
          <w:szCs w:val="22"/>
        </w:rPr>
        <w:t>a crû</w:t>
      </w:r>
      <w:r w:rsidR="001E5281" w:rsidRPr="00E10220">
        <w:rPr>
          <w:rFonts w:asciiTheme="majorBidi" w:hAnsiTheme="majorBidi" w:cstheme="majorBidi"/>
          <w:sz w:val="22"/>
          <w:szCs w:val="22"/>
        </w:rPr>
        <w:t xml:space="preserve"> de </w:t>
      </w:r>
      <w:r w:rsidR="00E10220">
        <w:rPr>
          <w:rFonts w:asciiTheme="majorBidi" w:hAnsiTheme="majorBidi" w:cstheme="majorBidi"/>
          <w:sz w:val="22"/>
          <w:szCs w:val="22"/>
        </w:rPr>
        <w:t>5</w:t>
      </w:r>
      <w:r w:rsidR="000E7680" w:rsidRPr="00E10220">
        <w:rPr>
          <w:rFonts w:asciiTheme="majorBidi" w:hAnsiTheme="majorBidi" w:cstheme="majorBidi"/>
          <w:sz w:val="22"/>
          <w:szCs w:val="22"/>
        </w:rPr>
        <w:t>,</w:t>
      </w:r>
      <w:r w:rsidR="00E10220">
        <w:rPr>
          <w:rFonts w:asciiTheme="majorBidi" w:hAnsiTheme="majorBidi" w:cstheme="majorBidi"/>
          <w:sz w:val="22"/>
          <w:szCs w:val="22"/>
        </w:rPr>
        <w:t>7</w:t>
      </w:r>
      <w:r w:rsidR="001E5281" w:rsidRPr="00E10220">
        <w:rPr>
          <w:rFonts w:asciiTheme="majorBidi" w:hAnsiTheme="majorBidi" w:cstheme="majorBidi"/>
          <w:sz w:val="22"/>
          <w:szCs w:val="22"/>
        </w:rPr>
        <w:t>%</w:t>
      </w:r>
      <w:r w:rsidR="004C54F7" w:rsidRPr="00E10220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E10220">
        <w:rPr>
          <w:rFonts w:asciiTheme="majorBidi" w:hAnsiTheme="majorBidi" w:cstheme="majorBidi"/>
          <w:sz w:val="22"/>
          <w:szCs w:val="22"/>
        </w:rPr>
        <w:t xml:space="preserve">contre </w:t>
      </w:r>
      <w:r w:rsidR="00E10220">
        <w:rPr>
          <w:rFonts w:asciiTheme="majorBidi" w:hAnsiTheme="majorBidi" w:cstheme="majorBidi"/>
          <w:sz w:val="22"/>
          <w:szCs w:val="22"/>
        </w:rPr>
        <w:t>5</w:t>
      </w:r>
      <w:r w:rsidR="00C56AE6" w:rsidRPr="00E10220">
        <w:rPr>
          <w:rFonts w:asciiTheme="majorBidi" w:hAnsiTheme="majorBidi" w:cstheme="majorBidi"/>
          <w:sz w:val="22"/>
          <w:szCs w:val="22"/>
        </w:rPr>
        <w:t>,</w:t>
      </w:r>
      <w:r w:rsidR="00E10220">
        <w:rPr>
          <w:rFonts w:asciiTheme="majorBidi" w:hAnsiTheme="majorBidi" w:cstheme="majorBidi"/>
          <w:sz w:val="22"/>
          <w:szCs w:val="22"/>
        </w:rPr>
        <w:t>5</w:t>
      </w:r>
      <w:r w:rsidR="006C0A4D" w:rsidRPr="00E10220">
        <w:rPr>
          <w:rFonts w:asciiTheme="majorBidi" w:hAnsiTheme="majorBidi" w:cstheme="majorBidi"/>
          <w:sz w:val="22"/>
          <w:szCs w:val="22"/>
        </w:rPr>
        <w:t xml:space="preserve">% </w:t>
      </w:r>
      <w:r w:rsidR="00201C28" w:rsidRPr="00E10220">
        <w:rPr>
          <w:rFonts w:asciiTheme="majorBidi" w:hAnsiTheme="majorBidi" w:cstheme="majorBidi"/>
          <w:sz w:val="22"/>
          <w:szCs w:val="22"/>
        </w:rPr>
        <w:t xml:space="preserve">pour </w:t>
      </w:r>
      <w:r w:rsidR="00E10220">
        <w:rPr>
          <w:rFonts w:asciiTheme="majorBidi" w:hAnsiTheme="majorBidi" w:cstheme="majorBidi"/>
          <w:sz w:val="22"/>
          <w:szCs w:val="22"/>
        </w:rPr>
        <w:t xml:space="preserve">l’ensemble </w:t>
      </w:r>
      <w:r w:rsidR="0088736E" w:rsidRPr="00E10220">
        <w:rPr>
          <w:rFonts w:asciiTheme="majorBidi" w:hAnsiTheme="majorBidi" w:cstheme="majorBidi"/>
          <w:sz w:val="22"/>
          <w:szCs w:val="22"/>
        </w:rPr>
        <w:t xml:space="preserve"> national</w:t>
      </w:r>
      <w:r w:rsidR="00201C28" w:rsidRPr="00E10220">
        <w:rPr>
          <w:rFonts w:asciiTheme="majorBidi" w:hAnsiTheme="majorBidi" w:cstheme="majorBidi"/>
          <w:sz w:val="22"/>
          <w:szCs w:val="22"/>
        </w:rPr>
        <w:t xml:space="preserve">. Ceci, </w:t>
      </w:r>
      <w:r w:rsidRPr="00E10220">
        <w:rPr>
          <w:rFonts w:asciiTheme="majorBidi" w:hAnsiTheme="majorBidi" w:cstheme="majorBidi"/>
          <w:sz w:val="22"/>
          <w:szCs w:val="22"/>
        </w:rPr>
        <w:t xml:space="preserve">est </w:t>
      </w:r>
      <w:r w:rsidR="00B3075C" w:rsidRPr="00E10220">
        <w:rPr>
          <w:rFonts w:asciiTheme="majorBidi" w:hAnsiTheme="majorBidi" w:cstheme="majorBidi"/>
          <w:sz w:val="22"/>
          <w:szCs w:val="22"/>
        </w:rPr>
        <w:t xml:space="preserve">l’effet </w:t>
      </w:r>
      <w:r w:rsidR="006A4493" w:rsidRPr="00E10220">
        <w:rPr>
          <w:rFonts w:asciiTheme="majorBidi" w:hAnsiTheme="majorBidi" w:cstheme="majorBidi"/>
          <w:sz w:val="22"/>
          <w:szCs w:val="22"/>
        </w:rPr>
        <w:t>conjugu</w:t>
      </w:r>
      <w:r w:rsidR="00B3075C" w:rsidRPr="00E10220">
        <w:rPr>
          <w:rFonts w:asciiTheme="majorBidi" w:hAnsiTheme="majorBidi" w:cstheme="majorBidi"/>
          <w:sz w:val="22"/>
          <w:szCs w:val="22"/>
        </w:rPr>
        <w:t>é</w:t>
      </w:r>
      <w:r w:rsidRPr="00E10220">
        <w:rPr>
          <w:rFonts w:asciiTheme="majorBidi" w:hAnsiTheme="majorBidi" w:cstheme="majorBidi"/>
          <w:sz w:val="22"/>
          <w:szCs w:val="22"/>
        </w:rPr>
        <w:t xml:space="preserve"> </w:t>
      </w:r>
      <w:r w:rsidR="001E5281" w:rsidRPr="00E10220">
        <w:rPr>
          <w:rFonts w:asciiTheme="majorBidi" w:hAnsiTheme="majorBidi" w:cstheme="majorBidi"/>
          <w:sz w:val="22"/>
          <w:szCs w:val="22"/>
        </w:rPr>
        <w:t>de la croissance</w:t>
      </w:r>
      <w:r w:rsidR="00616205" w:rsidRPr="00E10220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E10220">
        <w:rPr>
          <w:rFonts w:asciiTheme="majorBidi" w:hAnsiTheme="majorBidi" w:cstheme="majorBidi"/>
          <w:sz w:val="22"/>
          <w:szCs w:val="22"/>
        </w:rPr>
        <w:t xml:space="preserve">des prix </w:t>
      </w:r>
      <w:r w:rsidR="00A131AC" w:rsidRPr="00E10220">
        <w:rPr>
          <w:rFonts w:asciiTheme="majorBidi" w:hAnsiTheme="majorBidi" w:cstheme="majorBidi"/>
          <w:sz w:val="22"/>
          <w:szCs w:val="22"/>
        </w:rPr>
        <w:t xml:space="preserve">de la grande division </w:t>
      </w:r>
      <w:r w:rsidR="00201C28" w:rsidRPr="00E10220">
        <w:rPr>
          <w:rFonts w:asciiTheme="majorBidi" w:hAnsiTheme="majorBidi" w:cstheme="majorBidi"/>
          <w:sz w:val="22"/>
          <w:szCs w:val="22"/>
        </w:rPr>
        <w:t xml:space="preserve">des </w:t>
      </w:r>
      <w:r w:rsidR="00A131AC" w:rsidRPr="00E10220">
        <w:rPr>
          <w:rFonts w:asciiTheme="majorBidi" w:hAnsiTheme="majorBidi" w:cstheme="majorBidi"/>
          <w:sz w:val="22"/>
          <w:szCs w:val="22"/>
        </w:rPr>
        <w:t>"P</w:t>
      </w:r>
      <w:r w:rsidR="00201C28" w:rsidRPr="00E10220">
        <w:rPr>
          <w:rFonts w:asciiTheme="majorBidi" w:hAnsiTheme="majorBidi" w:cstheme="majorBidi"/>
          <w:sz w:val="22"/>
          <w:szCs w:val="22"/>
        </w:rPr>
        <w:t>roduits alimentaires</w:t>
      </w:r>
      <w:r w:rsidR="00A131AC" w:rsidRPr="00E10220">
        <w:rPr>
          <w:rFonts w:asciiTheme="majorBidi" w:hAnsiTheme="majorBidi" w:cstheme="majorBidi"/>
          <w:sz w:val="22"/>
          <w:szCs w:val="22"/>
        </w:rPr>
        <w:t>"</w:t>
      </w:r>
      <w:r w:rsidR="00201C28" w:rsidRPr="00E10220">
        <w:rPr>
          <w:rFonts w:asciiTheme="majorBidi" w:hAnsiTheme="majorBidi" w:cstheme="majorBidi"/>
          <w:sz w:val="22"/>
          <w:szCs w:val="22"/>
        </w:rPr>
        <w:t xml:space="preserve"> de </w:t>
      </w:r>
      <w:r w:rsidR="002F40C6" w:rsidRPr="00E10220">
        <w:rPr>
          <w:rFonts w:asciiTheme="majorBidi" w:hAnsiTheme="majorBidi" w:cstheme="majorBidi"/>
          <w:sz w:val="22"/>
          <w:szCs w:val="22"/>
        </w:rPr>
        <w:t>1</w:t>
      </w:r>
      <w:r w:rsidR="00E10220">
        <w:rPr>
          <w:rFonts w:asciiTheme="majorBidi" w:hAnsiTheme="majorBidi" w:cstheme="majorBidi"/>
          <w:sz w:val="22"/>
          <w:szCs w:val="22"/>
        </w:rPr>
        <w:t>1</w:t>
      </w:r>
      <w:r w:rsidR="002F40C6" w:rsidRPr="00E10220">
        <w:rPr>
          <w:rFonts w:asciiTheme="majorBidi" w:hAnsiTheme="majorBidi" w:cstheme="majorBidi"/>
          <w:sz w:val="22"/>
          <w:szCs w:val="22"/>
        </w:rPr>
        <w:t>,</w:t>
      </w:r>
      <w:r w:rsidR="00E10220">
        <w:rPr>
          <w:rFonts w:asciiTheme="majorBidi" w:hAnsiTheme="majorBidi" w:cstheme="majorBidi"/>
          <w:sz w:val="22"/>
          <w:szCs w:val="22"/>
        </w:rPr>
        <w:t>4</w:t>
      </w:r>
      <w:r w:rsidR="00201C28" w:rsidRPr="00E10220">
        <w:rPr>
          <w:rFonts w:asciiTheme="majorBidi" w:hAnsiTheme="majorBidi" w:cstheme="majorBidi"/>
          <w:sz w:val="22"/>
          <w:szCs w:val="22"/>
        </w:rPr>
        <w:t xml:space="preserve">% et </w:t>
      </w:r>
      <w:r w:rsidR="00616205" w:rsidRPr="00E10220">
        <w:rPr>
          <w:rFonts w:asciiTheme="majorBidi" w:hAnsiTheme="majorBidi" w:cstheme="majorBidi"/>
          <w:sz w:val="22"/>
          <w:szCs w:val="22"/>
        </w:rPr>
        <w:t>de ce</w:t>
      </w:r>
      <w:r w:rsidR="00A131AC" w:rsidRPr="00E10220">
        <w:rPr>
          <w:rFonts w:asciiTheme="majorBidi" w:hAnsiTheme="majorBidi" w:cstheme="majorBidi"/>
          <w:sz w:val="22"/>
          <w:szCs w:val="22"/>
        </w:rPr>
        <w:t>lle</w:t>
      </w:r>
      <w:r w:rsidR="00616205" w:rsidRPr="00E10220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E10220">
        <w:rPr>
          <w:rFonts w:asciiTheme="majorBidi" w:hAnsiTheme="majorBidi" w:cstheme="majorBidi"/>
          <w:sz w:val="22"/>
          <w:szCs w:val="22"/>
        </w:rPr>
        <w:t xml:space="preserve"> des </w:t>
      </w:r>
      <w:r w:rsidR="00A131AC" w:rsidRPr="00E10220">
        <w:rPr>
          <w:rFonts w:asciiTheme="majorBidi" w:hAnsiTheme="majorBidi" w:cstheme="majorBidi"/>
          <w:sz w:val="22"/>
          <w:szCs w:val="22"/>
        </w:rPr>
        <w:t>"P</w:t>
      </w:r>
      <w:r w:rsidR="00201C28" w:rsidRPr="00E10220">
        <w:rPr>
          <w:rFonts w:asciiTheme="majorBidi" w:hAnsiTheme="majorBidi" w:cstheme="majorBidi"/>
          <w:sz w:val="22"/>
          <w:szCs w:val="22"/>
        </w:rPr>
        <w:t>roduits non alimentaires</w:t>
      </w:r>
      <w:r w:rsidR="00A131AC" w:rsidRPr="00E10220">
        <w:rPr>
          <w:rFonts w:asciiTheme="majorBidi" w:hAnsiTheme="majorBidi" w:cstheme="majorBidi"/>
          <w:sz w:val="22"/>
          <w:szCs w:val="22"/>
        </w:rPr>
        <w:t>"</w:t>
      </w:r>
      <w:r w:rsidR="003C3AFE" w:rsidRPr="00E10220">
        <w:rPr>
          <w:rFonts w:asciiTheme="majorBidi" w:hAnsiTheme="majorBidi" w:cstheme="majorBidi"/>
          <w:sz w:val="22"/>
          <w:szCs w:val="22"/>
        </w:rPr>
        <w:t xml:space="preserve"> de </w:t>
      </w:r>
      <w:r w:rsidR="00E10220">
        <w:rPr>
          <w:rFonts w:asciiTheme="majorBidi" w:hAnsiTheme="majorBidi" w:cstheme="majorBidi"/>
          <w:sz w:val="22"/>
          <w:szCs w:val="22"/>
        </w:rPr>
        <w:t>1,3</w:t>
      </w:r>
      <w:r w:rsidR="003C3AFE" w:rsidRPr="00E10220">
        <w:rPr>
          <w:rFonts w:asciiTheme="majorBidi" w:hAnsiTheme="majorBidi" w:cstheme="majorBidi"/>
          <w:sz w:val="22"/>
          <w:szCs w:val="22"/>
        </w:rPr>
        <w:t>%.</w:t>
      </w:r>
      <w:r w:rsidR="00201C28" w:rsidRPr="00E10220">
        <w:rPr>
          <w:rFonts w:asciiTheme="majorBidi" w:hAnsiTheme="majorBidi" w:cstheme="majorBidi"/>
          <w:sz w:val="22"/>
          <w:szCs w:val="22"/>
        </w:rPr>
        <w:t xml:space="preserve"> </w:t>
      </w:r>
    </w:p>
    <w:p w:rsidR="00A131AC" w:rsidRPr="00E10220" w:rsidRDefault="00A131AC" w:rsidP="00E10220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E10220">
        <w:rPr>
          <w:rFonts w:asciiTheme="majorBidi" w:hAnsiTheme="majorBidi" w:cstheme="majorBidi"/>
          <w:sz w:val="22"/>
          <w:szCs w:val="22"/>
        </w:rPr>
        <w:t xml:space="preserve">Concernant la première grande division, </w:t>
      </w:r>
      <w:r w:rsidR="00E10220">
        <w:rPr>
          <w:rFonts w:asciiTheme="majorBidi" w:hAnsiTheme="majorBidi" w:cstheme="majorBidi"/>
          <w:sz w:val="22"/>
          <w:szCs w:val="22"/>
        </w:rPr>
        <w:t>quatre</w:t>
      </w:r>
      <w:r w:rsidRPr="00E10220">
        <w:rPr>
          <w:rFonts w:asciiTheme="majorBidi" w:hAnsiTheme="majorBidi" w:cstheme="majorBidi"/>
          <w:sz w:val="22"/>
          <w:szCs w:val="22"/>
        </w:rPr>
        <w:t xml:space="preserve"> </w:t>
      </w:r>
      <w:r w:rsidR="00782BF1" w:rsidRPr="00E10220">
        <w:rPr>
          <w:rFonts w:asciiTheme="majorBidi" w:hAnsiTheme="majorBidi" w:cstheme="majorBidi"/>
          <w:sz w:val="22"/>
          <w:szCs w:val="22"/>
        </w:rPr>
        <w:t xml:space="preserve">classes </w:t>
      </w:r>
      <w:r w:rsidRPr="00E10220">
        <w:rPr>
          <w:rFonts w:asciiTheme="majorBidi" w:hAnsiTheme="majorBidi" w:cstheme="majorBidi"/>
          <w:sz w:val="22"/>
          <w:szCs w:val="22"/>
        </w:rPr>
        <w:t xml:space="preserve">ont enregistré des taux d’inflation </w:t>
      </w:r>
      <w:r w:rsidR="00782BF1" w:rsidRPr="00E10220">
        <w:rPr>
          <w:rFonts w:asciiTheme="majorBidi" w:hAnsiTheme="majorBidi" w:cstheme="majorBidi"/>
          <w:sz w:val="22"/>
          <w:szCs w:val="22"/>
        </w:rPr>
        <w:t xml:space="preserve">annuels </w:t>
      </w:r>
      <w:r w:rsidRPr="00E10220">
        <w:rPr>
          <w:rFonts w:asciiTheme="majorBidi" w:hAnsiTheme="majorBidi" w:cstheme="majorBidi"/>
          <w:sz w:val="22"/>
          <w:szCs w:val="22"/>
        </w:rPr>
        <w:t xml:space="preserve">à deux chiffres. Il s’agit </w:t>
      </w:r>
      <w:r w:rsidR="00E10220" w:rsidRPr="00E10220">
        <w:rPr>
          <w:rFonts w:asciiTheme="majorBidi" w:hAnsiTheme="majorBidi" w:cstheme="majorBidi"/>
          <w:sz w:val="22"/>
          <w:szCs w:val="22"/>
        </w:rPr>
        <w:t xml:space="preserve">du "lait, fromage et œufs" avec 14%, </w:t>
      </w:r>
      <w:r w:rsidR="00E10220">
        <w:rPr>
          <w:rFonts w:asciiTheme="majorBidi" w:hAnsiTheme="majorBidi" w:cstheme="majorBidi"/>
          <w:sz w:val="22"/>
          <w:szCs w:val="22"/>
        </w:rPr>
        <w:t xml:space="preserve"> </w:t>
      </w:r>
      <w:r w:rsidR="005F231F" w:rsidRPr="00E10220">
        <w:rPr>
          <w:rFonts w:asciiTheme="majorBidi" w:hAnsiTheme="majorBidi" w:cstheme="majorBidi"/>
          <w:sz w:val="22"/>
          <w:szCs w:val="22"/>
        </w:rPr>
        <w:t>d</w:t>
      </w:r>
      <w:r w:rsidRPr="00E10220">
        <w:rPr>
          <w:rFonts w:asciiTheme="majorBidi" w:hAnsiTheme="majorBidi" w:cstheme="majorBidi"/>
          <w:sz w:val="22"/>
          <w:szCs w:val="22"/>
        </w:rPr>
        <w:t xml:space="preserve">es "Fruits" avec </w:t>
      </w:r>
      <w:r w:rsidR="00E10220">
        <w:rPr>
          <w:rFonts w:asciiTheme="majorBidi" w:hAnsiTheme="majorBidi" w:cstheme="majorBidi"/>
          <w:sz w:val="22"/>
          <w:szCs w:val="22"/>
        </w:rPr>
        <w:t>51</w:t>
      </w:r>
      <w:r w:rsidR="00363697" w:rsidRPr="00E10220">
        <w:rPr>
          <w:rFonts w:asciiTheme="majorBidi" w:hAnsiTheme="majorBidi" w:cstheme="majorBidi"/>
          <w:sz w:val="22"/>
          <w:szCs w:val="22"/>
        </w:rPr>
        <w:t>,</w:t>
      </w:r>
      <w:r w:rsidR="00E10220">
        <w:rPr>
          <w:rFonts w:asciiTheme="majorBidi" w:hAnsiTheme="majorBidi" w:cstheme="majorBidi"/>
          <w:sz w:val="22"/>
          <w:szCs w:val="22"/>
        </w:rPr>
        <w:t>4</w:t>
      </w:r>
      <w:r w:rsidR="007721E6" w:rsidRPr="00E10220">
        <w:rPr>
          <w:rFonts w:asciiTheme="majorBidi" w:hAnsiTheme="majorBidi" w:cstheme="majorBidi"/>
          <w:sz w:val="22"/>
          <w:szCs w:val="22"/>
        </w:rPr>
        <w:t xml:space="preserve">%  </w:t>
      </w:r>
      <w:r w:rsidR="005F231F" w:rsidRPr="00E10220">
        <w:rPr>
          <w:rFonts w:asciiTheme="majorBidi" w:hAnsiTheme="majorBidi" w:cstheme="majorBidi"/>
          <w:sz w:val="22"/>
          <w:szCs w:val="22"/>
        </w:rPr>
        <w:t>d</w:t>
      </w:r>
      <w:r w:rsidRPr="00E10220">
        <w:rPr>
          <w:rFonts w:asciiTheme="majorBidi" w:hAnsiTheme="majorBidi" w:cstheme="majorBidi"/>
          <w:sz w:val="22"/>
          <w:szCs w:val="22"/>
        </w:rPr>
        <w:t xml:space="preserve">es "Légumes" avec </w:t>
      </w:r>
      <w:r w:rsidR="00E10220">
        <w:rPr>
          <w:rFonts w:asciiTheme="majorBidi" w:hAnsiTheme="majorBidi" w:cstheme="majorBidi"/>
          <w:sz w:val="22"/>
          <w:szCs w:val="22"/>
        </w:rPr>
        <w:t>21</w:t>
      </w:r>
      <w:r w:rsidR="00AE6F35" w:rsidRPr="00E10220">
        <w:rPr>
          <w:rFonts w:asciiTheme="majorBidi" w:hAnsiTheme="majorBidi" w:cstheme="majorBidi"/>
          <w:sz w:val="22"/>
          <w:szCs w:val="22"/>
        </w:rPr>
        <w:t>,</w:t>
      </w:r>
      <w:r w:rsidR="00E10220">
        <w:rPr>
          <w:rFonts w:asciiTheme="majorBidi" w:hAnsiTheme="majorBidi" w:cstheme="majorBidi"/>
          <w:sz w:val="22"/>
          <w:szCs w:val="22"/>
        </w:rPr>
        <w:t>2</w:t>
      </w:r>
      <w:r w:rsidR="00363697" w:rsidRPr="00E10220">
        <w:rPr>
          <w:rFonts w:asciiTheme="majorBidi" w:hAnsiTheme="majorBidi" w:cstheme="majorBidi"/>
          <w:sz w:val="22"/>
          <w:szCs w:val="22"/>
        </w:rPr>
        <w:t>%</w:t>
      </w:r>
      <w:r w:rsidR="00E10220">
        <w:rPr>
          <w:rFonts w:asciiTheme="majorBidi" w:hAnsiTheme="majorBidi" w:cstheme="majorBidi"/>
          <w:sz w:val="22"/>
          <w:szCs w:val="22"/>
        </w:rPr>
        <w:t xml:space="preserve"> et de la "Bière" avec 12,6%</w:t>
      </w:r>
      <w:r w:rsidR="00363697" w:rsidRPr="00E10220">
        <w:rPr>
          <w:rFonts w:asciiTheme="majorBidi" w:hAnsiTheme="majorBidi" w:cstheme="majorBidi"/>
          <w:sz w:val="22"/>
          <w:szCs w:val="22"/>
        </w:rPr>
        <w:t>.</w:t>
      </w:r>
      <w:r w:rsidR="00C35856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="00CF0D43">
        <w:rPr>
          <w:rFonts w:asciiTheme="majorBidi" w:hAnsiTheme="majorBidi" w:cstheme="majorBidi"/>
          <w:sz w:val="22"/>
          <w:szCs w:val="22"/>
        </w:rPr>
        <w:t>les</w:t>
      </w:r>
      <w:proofErr w:type="gramEnd"/>
      <w:r w:rsidR="00CF0D43">
        <w:rPr>
          <w:rFonts w:asciiTheme="majorBidi" w:hAnsiTheme="majorBidi" w:cstheme="majorBidi"/>
          <w:sz w:val="22"/>
          <w:szCs w:val="22"/>
        </w:rPr>
        <w:t xml:space="preserve"> autres classes ont toutes varié positivement avec des taux allant de 0,6% pour les </w:t>
      </w:r>
      <w:r w:rsidR="00CF0D43" w:rsidRPr="00E10220">
        <w:rPr>
          <w:rFonts w:asciiTheme="majorBidi" w:hAnsiTheme="majorBidi" w:cstheme="majorBidi"/>
          <w:sz w:val="22"/>
          <w:szCs w:val="22"/>
        </w:rPr>
        <w:t>"</w:t>
      </w:r>
      <w:r w:rsidR="00CF0D43">
        <w:rPr>
          <w:rFonts w:asciiTheme="majorBidi" w:hAnsiTheme="majorBidi" w:cstheme="majorBidi"/>
          <w:sz w:val="22"/>
          <w:szCs w:val="22"/>
        </w:rPr>
        <w:t>Pain et céréales</w:t>
      </w:r>
      <w:r w:rsidR="00CF0D43" w:rsidRPr="00E10220">
        <w:rPr>
          <w:rFonts w:asciiTheme="majorBidi" w:hAnsiTheme="majorBidi" w:cstheme="majorBidi"/>
          <w:sz w:val="22"/>
          <w:szCs w:val="22"/>
        </w:rPr>
        <w:t>"</w:t>
      </w:r>
      <w:r w:rsidR="00CF0D43">
        <w:rPr>
          <w:rFonts w:asciiTheme="majorBidi" w:hAnsiTheme="majorBidi" w:cstheme="majorBidi"/>
          <w:sz w:val="22"/>
          <w:szCs w:val="22"/>
        </w:rPr>
        <w:t xml:space="preserve"> à 9,7% pour les Viandes.</w:t>
      </w:r>
    </w:p>
    <w:p w:rsidR="005F52BA" w:rsidRPr="00E10220" w:rsidRDefault="005F52BA" w:rsidP="00264774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E10220">
        <w:rPr>
          <w:rFonts w:asciiTheme="majorBidi" w:hAnsiTheme="majorBidi" w:cstheme="majorBidi"/>
          <w:sz w:val="22"/>
          <w:szCs w:val="22"/>
        </w:rPr>
        <w:t xml:space="preserve">Quant aux divisions </w:t>
      </w:r>
      <w:r w:rsidR="00985D09" w:rsidRPr="00E10220">
        <w:rPr>
          <w:rFonts w:asciiTheme="majorBidi" w:hAnsiTheme="majorBidi" w:cstheme="majorBidi"/>
          <w:sz w:val="22"/>
          <w:szCs w:val="22"/>
        </w:rPr>
        <w:t xml:space="preserve">des produits </w:t>
      </w:r>
      <w:r w:rsidR="00CF0D43">
        <w:rPr>
          <w:rFonts w:asciiTheme="majorBidi" w:hAnsiTheme="majorBidi" w:cstheme="majorBidi"/>
          <w:sz w:val="22"/>
          <w:szCs w:val="22"/>
        </w:rPr>
        <w:t xml:space="preserve">non alimentaires, les variations positives vont de 0,1% pour les </w:t>
      </w:r>
      <w:r w:rsidR="00CF0D43" w:rsidRPr="00E10220">
        <w:rPr>
          <w:rFonts w:asciiTheme="majorBidi" w:hAnsiTheme="majorBidi" w:cstheme="majorBidi"/>
          <w:sz w:val="22"/>
          <w:szCs w:val="22"/>
        </w:rPr>
        <w:t>"</w:t>
      </w:r>
      <w:r w:rsidR="00CF0D43">
        <w:rPr>
          <w:rFonts w:asciiTheme="majorBidi" w:hAnsiTheme="majorBidi" w:cstheme="majorBidi"/>
          <w:sz w:val="22"/>
          <w:szCs w:val="22"/>
        </w:rPr>
        <w:t>Communications</w:t>
      </w:r>
      <w:r w:rsidR="00CF0D43" w:rsidRPr="00E10220">
        <w:rPr>
          <w:rFonts w:asciiTheme="majorBidi" w:hAnsiTheme="majorBidi" w:cstheme="majorBidi"/>
          <w:sz w:val="22"/>
          <w:szCs w:val="22"/>
        </w:rPr>
        <w:t>"</w:t>
      </w:r>
      <w:r w:rsidR="00CF0D43">
        <w:rPr>
          <w:rFonts w:asciiTheme="majorBidi" w:hAnsiTheme="majorBidi" w:cstheme="majorBidi"/>
          <w:sz w:val="22"/>
          <w:szCs w:val="22"/>
        </w:rPr>
        <w:t xml:space="preserve"> à 11% pour  </w:t>
      </w:r>
      <w:r w:rsidR="00CF0D43" w:rsidRPr="00E10220">
        <w:rPr>
          <w:rFonts w:asciiTheme="majorBidi" w:hAnsiTheme="majorBidi" w:cstheme="majorBidi"/>
          <w:sz w:val="22"/>
          <w:szCs w:val="22"/>
        </w:rPr>
        <w:t>"</w:t>
      </w:r>
      <w:r w:rsidR="00CF0D43">
        <w:rPr>
          <w:rFonts w:asciiTheme="majorBidi" w:hAnsiTheme="majorBidi" w:cstheme="majorBidi"/>
          <w:sz w:val="22"/>
          <w:szCs w:val="22"/>
        </w:rPr>
        <w:t>l’Enseignement</w:t>
      </w:r>
      <w:r w:rsidR="00CF0D43" w:rsidRPr="00E10220">
        <w:rPr>
          <w:rFonts w:asciiTheme="majorBidi" w:hAnsiTheme="majorBidi" w:cstheme="majorBidi"/>
          <w:sz w:val="22"/>
          <w:szCs w:val="22"/>
        </w:rPr>
        <w:t>"</w:t>
      </w:r>
      <w:r w:rsidR="005529D7" w:rsidRPr="00E10220">
        <w:rPr>
          <w:rFonts w:asciiTheme="majorBidi" w:hAnsiTheme="majorBidi" w:cstheme="majorBidi"/>
          <w:sz w:val="22"/>
          <w:szCs w:val="22"/>
        </w:rPr>
        <w:t>.</w:t>
      </w:r>
      <w:r w:rsidR="00CF0D43">
        <w:rPr>
          <w:rFonts w:asciiTheme="majorBidi" w:hAnsiTheme="majorBidi" w:cstheme="majorBidi"/>
          <w:sz w:val="22"/>
          <w:szCs w:val="22"/>
        </w:rPr>
        <w:t xml:space="preserve"> </w:t>
      </w:r>
      <w:r w:rsidR="00264774">
        <w:rPr>
          <w:rFonts w:asciiTheme="majorBidi" w:hAnsiTheme="majorBidi" w:cstheme="majorBidi"/>
          <w:sz w:val="22"/>
          <w:szCs w:val="22"/>
        </w:rPr>
        <w:t xml:space="preserve">Toutefois, deux divisions ont marqué une baisse au cours de cette période et qui sont la </w:t>
      </w:r>
      <w:r w:rsidR="00264774" w:rsidRPr="00E10220">
        <w:rPr>
          <w:rFonts w:asciiTheme="majorBidi" w:hAnsiTheme="majorBidi" w:cstheme="majorBidi"/>
          <w:sz w:val="22"/>
          <w:szCs w:val="22"/>
        </w:rPr>
        <w:t>"</w:t>
      </w:r>
      <w:r w:rsidR="00264774">
        <w:rPr>
          <w:rFonts w:asciiTheme="majorBidi" w:hAnsiTheme="majorBidi" w:cstheme="majorBidi"/>
          <w:sz w:val="22"/>
          <w:szCs w:val="22"/>
        </w:rPr>
        <w:t>Santé</w:t>
      </w:r>
      <w:r w:rsidR="00264774" w:rsidRPr="00E10220">
        <w:rPr>
          <w:rFonts w:asciiTheme="majorBidi" w:hAnsiTheme="majorBidi" w:cstheme="majorBidi"/>
          <w:sz w:val="22"/>
          <w:szCs w:val="22"/>
        </w:rPr>
        <w:t>"</w:t>
      </w:r>
      <w:r w:rsidR="00264774">
        <w:rPr>
          <w:rFonts w:asciiTheme="majorBidi" w:hAnsiTheme="majorBidi" w:cstheme="majorBidi"/>
          <w:sz w:val="22"/>
          <w:szCs w:val="22"/>
        </w:rPr>
        <w:t xml:space="preserve"> et les </w:t>
      </w:r>
      <w:r w:rsidR="00264774" w:rsidRPr="00E10220">
        <w:rPr>
          <w:rFonts w:asciiTheme="majorBidi" w:hAnsiTheme="majorBidi" w:cstheme="majorBidi"/>
          <w:sz w:val="22"/>
          <w:szCs w:val="22"/>
        </w:rPr>
        <w:t>"</w:t>
      </w:r>
      <w:r w:rsidR="00264774">
        <w:rPr>
          <w:rFonts w:asciiTheme="majorBidi" w:hAnsiTheme="majorBidi" w:cstheme="majorBidi"/>
          <w:sz w:val="22"/>
          <w:szCs w:val="22"/>
        </w:rPr>
        <w:t>Transports</w:t>
      </w:r>
      <w:r w:rsidR="00264774" w:rsidRPr="00E10220">
        <w:rPr>
          <w:rFonts w:asciiTheme="majorBidi" w:hAnsiTheme="majorBidi" w:cstheme="majorBidi"/>
          <w:sz w:val="22"/>
          <w:szCs w:val="22"/>
        </w:rPr>
        <w:t>"</w:t>
      </w:r>
      <w:r w:rsidR="00264774">
        <w:rPr>
          <w:rFonts w:asciiTheme="majorBidi" w:hAnsiTheme="majorBidi" w:cstheme="majorBidi"/>
          <w:sz w:val="22"/>
          <w:szCs w:val="22"/>
        </w:rPr>
        <w:t xml:space="preserve"> avec respectivement (-0,3%) et (-5,6%).</w:t>
      </w:r>
    </w:p>
    <w:p w:rsidR="00A708BE" w:rsidRPr="007A15D9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7A15D9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5529D7" w:rsidRDefault="00791776" w:rsidP="00791776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>
        <w:rPr>
          <w:rFonts w:ascii="Times New Roman" w:hAnsi="Times New Roman"/>
          <w:spacing w:val="0"/>
          <w:sz w:val="24"/>
          <w:szCs w:val="24"/>
          <w:lang w:eastAsia="fr-FR"/>
        </w:rPr>
        <w:t>Le mois de Juin  fait l’exception des autres mois de l’année 2023 puisque toutes les villes ont enregistré des taux d’inflation négatifs</w:t>
      </w:r>
      <w:r w:rsidR="008C035A">
        <w:rPr>
          <w:rFonts w:ascii="Times New Roman" w:hAnsi="Times New Roman"/>
          <w:spacing w:val="0"/>
          <w:sz w:val="24"/>
          <w:szCs w:val="24"/>
          <w:lang w:eastAsia="fr-FR"/>
        </w:rPr>
        <w:t xml:space="preserve"> allant de (-2,2%) à (-0,5%).</w:t>
      </w:r>
    </w:p>
    <w:p w:rsidR="008C035A" w:rsidRDefault="008C035A" w:rsidP="001911F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>
        <w:rPr>
          <w:rFonts w:ascii="Times New Roman" w:hAnsi="Times New Roman"/>
          <w:spacing w:val="0"/>
          <w:sz w:val="24"/>
          <w:szCs w:val="24"/>
          <w:lang w:eastAsia="fr-FR"/>
        </w:rPr>
        <w:t xml:space="preserve">Les villes dont la baisse des prix était plus importante  que la moyenne nationale </w:t>
      </w:r>
      <w:r w:rsidR="001911FC">
        <w:rPr>
          <w:rFonts w:ascii="Times New Roman" w:hAnsi="Times New Roman"/>
          <w:spacing w:val="0"/>
          <w:sz w:val="24"/>
          <w:szCs w:val="24"/>
          <w:lang w:eastAsia="fr-FR"/>
        </w:rPr>
        <w:t xml:space="preserve">dont la variation est de </w:t>
      </w:r>
      <w:r>
        <w:rPr>
          <w:rFonts w:ascii="Times New Roman" w:hAnsi="Times New Roman"/>
          <w:spacing w:val="0"/>
          <w:sz w:val="24"/>
          <w:szCs w:val="24"/>
          <w:lang w:eastAsia="fr-FR"/>
        </w:rPr>
        <w:t xml:space="preserve">l’ordre de (-0,9%), sont : Béni </w:t>
      </w:r>
      <w:proofErr w:type="spellStart"/>
      <w:r>
        <w:rPr>
          <w:rFonts w:ascii="Times New Roman" w:hAnsi="Times New Roman"/>
          <w:spacing w:val="0"/>
          <w:sz w:val="24"/>
          <w:szCs w:val="24"/>
          <w:lang w:eastAsia="fr-FR"/>
        </w:rPr>
        <w:t>mellal</w:t>
      </w:r>
      <w:proofErr w:type="spellEnd"/>
      <w:r>
        <w:rPr>
          <w:rFonts w:ascii="Times New Roman" w:hAnsi="Times New Roman"/>
          <w:spacing w:val="0"/>
          <w:sz w:val="24"/>
          <w:szCs w:val="24"/>
          <w:lang w:eastAsia="fr-FR"/>
        </w:rPr>
        <w:t xml:space="preserve"> (-2,2%), Safi (-2,1%), Settat (-1,9%), </w:t>
      </w:r>
      <w:proofErr w:type="spellStart"/>
      <w:r>
        <w:rPr>
          <w:rFonts w:ascii="Times New Roman" w:hAnsi="Times New Roman"/>
          <w:spacing w:val="0"/>
          <w:sz w:val="24"/>
          <w:szCs w:val="24"/>
          <w:lang w:eastAsia="fr-FR"/>
        </w:rPr>
        <w:t>Kénitra</w:t>
      </w:r>
      <w:proofErr w:type="spellEnd"/>
      <w:r>
        <w:rPr>
          <w:rFonts w:ascii="Times New Roman" w:hAnsi="Times New Roman"/>
          <w:spacing w:val="0"/>
          <w:sz w:val="24"/>
          <w:szCs w:val="24"/>
          <w:lang w:eastAsia="fr-FR"/>
        </w:rPr>
        <w:t xml:space="preserve"> et Dakhla (-1,8%),</w:t>
      </w:r>
      <w:r w:rsidR="00C35856">
        <w:rPr>
          <w:rFonts w:ascii="Times New Roman" w:hAnsi="Times New Roman"/>
          <w:spacing w:val="0"/>
          <w:sz w:val="24"/>
          <w:szCs w:val="24"/>
          <w:lang w:eastAsia="fr-FR"/>
        </w:rPr>
        <w:t xml:space="preserve"> Meknès et </w:t>
      </w:r>
      <w:r w:rsidR="001911FC">
        <w:rPr>
          <w:rFonts w:ascii="Times New Roman" w:hAnsi="Times New Roman"/>
          <w:spacing w:val="0"/>
          <w:sz w:val="24"/>
          <w:szCs w:val="24"/>
          <w:lang w:eastAsia="fr-FR"/>
        </w:rPr>
        <w:t>Al-Hoceima</w:t>
      </w:r>
      <w:r w:rsidR="00C35856">
        <w:rPr>
          <w:rFonts w:ascii="Times New Roman" w:hAnsi="Times New Roman"/>
          <w:spacing w:val="0"/>
          <w:sz w:val="24"/>
          <w:szCs w:val="24"/>
          <w:lang w:eastAsia="fr-FR"/>
        </w:rPr>
        <w:t xml:space="preserve"> (-1,5%),</w:t>
      </w:r>
      <w:r>
        <w:rPr>
          <w:rFonts w:ascii="Times New Roman" w:hAnsi="Times New Roman"/>
          <w:spacing w:val="0"/>
          <w:sz w:val="24"/>
          <w:szCs w:val="24"/>
          <w:lang w:eastAsia="fr-FR"/>
        </w:rPr>
        <w:t xml:space="preserve"> Oujda (-1,1%)</w:t>
      </w:r>
      <w:r w:rsidR="00C35856">
        <w:rPr>
          <w:rFonts w:ascii="Times New Roman" w:hAnsi="Times New Roman"/>
          <w:spacing w:val="0"/>
          <w:sz w:val="24"/>
          <w:szCs w:val="24"/>
          <w:lang w:eastAsia="fr-FR"/>
        </w:rPr>
        <w:t xml:space="preserve">, Fès (-1,2%), et Tétouan et </w:t>
      </w:r>
      <w:proofErr w:type="spellStart"/>
      <w:r w:rsidR="00C35856">
        <w:rPr>
          <w:rFonts w:ascii="Times New Roman" w:hAnsi="Times New Roman"/>
          <w:spacing w:val="0"/>
          <w:sz w:val="24"/>
          <w:szCs w:val="24"/>
          <w:lang w:eastAsia="fr-FR"/>
        </w:rPr>
        <w:t>Errachidia</w:t>
      </w:r>
      <w:proofErr w:type="spellEnd"/>
      <w:r w:rsidR="00C35856">
        <w:rPr>
          <w:rFonts w:ascii="Times New Roman" w:hAnsi="Times New Roman"/>
          <w:spacing w:val="0"/>
          <w:sz w:val="24"/>
          <w:szCs w:val="24"/>
          <w:lang w:eastAsia="fr-FR"/>
        </w:rPr>
        <w:t xml:space="preserve"> (-1,1%)</w:t>
      </w:r>
      <w:r>
        <w:rPr>
          <w:rFonts w:ascii="Times New Roman" w:hAnsi="Times New Roman"/>
          <w:spacing w:val="0"/>
          <w:sz w:val="24"/>
          <w:szCs w:val="24"/>
          <w:lang w:eastAsia="fr-FR"/>
        </w:rPr>
        <w:t>.</w:t>
      </w:r>
    </w:p>
    <w:p w:rsidR="008C035A" w:rsidRDefault="008C035A" w:rsidP="008C035A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8C035A" w:rsidRDefault="008C035A" w:rsidP="008C035A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5529D7" w:rsidRPr="007A15D9" w:rsidRDefault="005529D7" w:rsidP="00E039D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DE2372" w:rsidRDefault="00DE2372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C35856" w:rsidRDefault="00C35856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D516C1" w:rsidRDefault="00540559" w:rsidP="00DE237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1147F9" w:rsidRPr="001147F9" w:rsidTr="001147F9">
        <w:trPr>
          <w:trHeight w:val="510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Juin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Mai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Juin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VARIATION (%)</w:t>
            </w:r>
          </w:p>
        </w:tc>
      </w:tr>
      <w:tr w:rsidR="001147F9" w:rsidRPr="001147F9" w:rsidTr="001147F9">
        <w:trPr>
          <w:trHeight w:val="510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147F9" w:rsidRPr="001147F9" w:rsidRDefault="001147F9" w:rsidP="001147F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2022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2023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2023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Annuelle</w:t>
            </w:r>
          </w:p>
        </w:tc>
      </w:tr>
      <w:tr w:rsidR="001147F9" w:rsidRPr="001147F9" w:rsidTr="001147F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147F9" w:rsidRPr="001147F9" w:rsidRDefault="001147F9" w:rsidP="001147F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111,7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130,0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124,7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-4,1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11,6</w:t>
            </w:r>
          </w:p>
        </w:tc>
      </w:tr>
      <w:tr w:rsidR="001147F9" w:rsidRPr="001147F9" w:rsidTr="001147F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147F9" w:rsidRPr="001147F9" w:rsidRDefault="001147F9" w:rsidP="001147F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135,7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136,1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</w:tr>
      <w:tr w:rsidR="001147F9" w:rsidRPr="001147F9" w:rsidTr="001147F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130,2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125,1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-3,9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11,4</w:t>
            </w:r>
          </w:p>
        </w:tc>
      </w:tr>
      <w:tr w:rsidR="001147F9" w:rsidRPr="001147F9" w:rsidTr="001147F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147F9" w:rsidRPr="001147F9" w:rsidRDefault="001147F9" w:rsidP="001147F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110,1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115,8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115,4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-0,3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4,8</w:t>
            </w:r>
          </w:p>
        </w:tc>
      </w:tr>
      <w:tr w:rsidR="001147F9" w:rsidRPr="001147F9" w:rsidTr="001147F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147F9" w:rsidRPr="001147F9" w:rsidRDefault="001147F9" w:rsidP="001147F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104,0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-0,1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</w:tr>
      <w:tr w:rsidR="001147F9" w:rsidRPr="001147F9" w:rsidTr="001147F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147F9" w:rsidRPr="001147F9" w:rsidRDefault="001147F9" w:rsidP="001147F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112,4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116,5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117,5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0,9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4,5</w:t>
            </w:r>
          </w:p>
        </w:tc>
      </w:tr>
      <w:tr w:rsidR="001147F9" w:rsidRPr="001147F9" w:rsidTr="001147F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147F9" w:rsidRPr="001147F9" w:rsidRDefault="001147F9" w:rsidP="001147F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102,3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102,0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102,0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-0,3</w:t>
            </w:r>
          </w:p>
        </w:tc>
      </w:tr>
      <w:tr w:rsidR="001147F9" w:rsidRPr="001147F9" w:rsidTr="001147F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147F9" w:rsidRPr="001147F9" w:rsidRDefault="001147F9" w:rsidP="001147F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123,3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116,5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116,4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-0,1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-5,6</w:t>
            </w:r>
          </w:p>
        </w:tc>
      </w:tr>
      <w:tr w:rsidR="001147F9" w:rsidRPr="001147F9" w:rsidTr="001147F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147F9" w:rsidRPr="001147F9" w:rsidRDefault="001147F9" w:rsidP="001147F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</w:tr>
      <w:tr w:rsidR="001147F9" w:rsidRPr="001147F9" w:rsidTr="001147F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147F9" w:rsidRPr="001147F9" w:rsidRDefault="001147F9" w:rsidP="001147F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-0,2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</w:tr>
      <w:tr w:rsidR="001147F9" w:rsidRPr="001147F9" w:rsidTr="001147F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147F9" w:rsidRPr="001147F9" w:rsidRDefault="001147F9" w:rsidP="001147F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11,0</w:t>
            </w:r>
          </w:p>
        </w:tc>
      </w:tr>
      <w:tr w:rsidR="001147F9" w:rsidRPr="001147F9" w:rsidTr="001147F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147F9" w:rsidRPr="001147F9" w:rsidRDefault="001147F9" w:rsidP="001147F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115,0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113,9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-1,0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9,7</w:t>
            </w:r>
          </w:p>
        </w:tc>
      </w:tr>
      <w:tr w:rsidR="001147F9" w:rsidRPr="001147F9" w:rsidTr="001147F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147F9" w:rsidRPr="001147F9" w:rsidRDefault="001147F9" w:rsidP="001147F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113,9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116,1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117,5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1,2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spacing w:val="0"/>
                <w:lang w:eastAsia="fr-FR"/>
              </w:rPr>
              <w:t>3,2</w:t>
            </w:r>
          </w:p>
        </w:tc>
      </w:tr>
      <w:tr w:rsidR="001147F9" w:rsidRPr="001147F9" w:rsidTr="001147F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1,3</w:t>
            </w:r>
          </w:p>
        </w:tc>
      </w:tr>
      <w:tr w:rsidR="001147F9" w:rsidRPr="001147F9" w:rsidTr="001147F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1147F9" w:rsidRPr="001147F9" w:rsidRDefault="001147F9" w:rsidP="001147F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117,3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5,7</w:t>
            </w:r>
          </w:p>
        </w:tc>
      </w:tr>
      <w:tr w:rsidR="001147F9" w:rsidRPr="001147F9" w:rsidTr="001147F9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1147F9" w:rsidRPr="001147F9" w:rsidRDefault="001147F9" w:rsidP="001147F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110,8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116,9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1147F9" w:rsidRPr="001147F9" w:rsidRDefault="001147F9" w:rsidP="001147F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147F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5,5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009"/>
        <w:gridCol w:w="1196"/>
        <w:gridCol w:w="918"/>
        <w:gridCol w:w="919"/>
        <w:gridCol w:w="919"/>
        <w:gridCol w:w="1007"/>
        <w:gridCol w:w="919"/>
      </w:tblGrid>
      <w:tr w:rsidR="00317019" w:rsidRPr="00317019" w:rsidTr="00442A32">
        <w:trPr>
          <w:trHeight w:val="510"/>
          <w:tblHeader/>
        </w:trPr>
        <w:tc>
          <w:tcPr>
            <w:tcW w:w="205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317019" w:rsidRPr="00317019" w:rsidRDefault="00317019" w:rsidP="0031701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Pondération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JUIN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MAI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JUIN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317019" w:rsidRPr="00317019" w:rsidTr="00442A32">
        <w:trPr>
          <w:trHeight w:val="540"/>
          <w:tblHeader/>
        </w:trPr>
        <w:tc>
          <w:tcPr>
            <w:tcW w:w="205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317019" w:rsidRPr="00317019" w:rsidRDefault="00317019" w:rsidP="0031701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317019" w:rsidRPr="00317019" w:rsidRDefault="00317019" w:rsidP="0031701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317019" w:rsidRPr="00317019" w:rsidRDefault="00317019" w:rsidP="0031701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317019" w:rsidRPr="00317019" w:rsidRDefault="00317019" w:rsidP="0031701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317019" w:rsidRPr="00317019" w:rsidRDefault="00317019" w:rsidP="0031701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317019" w:rsidRPr="00317019" w:rsidTr="00317019">
        <w:trPr>
          <w:trHeight w:val="51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-4,1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11,6</w:t>
            </w:r>
          </w:p>
        </w:tc>
      </w:tr>
      <w:tr w:rsidR="00317019" w:rsidRPr="00317019" w:rsidTr="0031701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112,1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131,4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125,8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-4,3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12,2</w:t>
            </w:r>
          </w:p>
        </w:tc>
      </w:tr>
      <w:tr w:rsidR="00317019" w:rsidRPr="00317019" w:rsidTr="0031701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120,8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122,5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121,5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-0,8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0,6</w:t>
            </w:r>
          </w:p>
        </w:tc>
      </w:tr>
      <w:tr w:rsidR="00317019" w:rsidRPr="00317019" w:rsidTr="0031701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110,1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128,1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120,8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-5,7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9,7</w:t>
            </w:r>
          </w:p>
        </w:tc>
      </w:tr>
      <w:tr w:rsidR="00317019" w:rsidRPr="00317019" w:rsidTr="0031701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lastRenderedPageBreak/>
              <w:t>POISSON ET FRUITS DE MER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103,9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118,9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109,0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-8,3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4,9</w:t>
            </w:r>
          </w:p>
        </w:tc>
      </w:tr>
      <w:tr w:rsidR="00317019" w:rsidRPr="00317019" w:rsidTr="0031701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LAIT, FROMAGE ET OEUFS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105,8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118,7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120,6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14,0</w:t>
            </w:r>
          </w:p>
        </w:tc>
      </w:tr>
      <w:tr w:rsidR="00317019" w:rsidRPr="00317019" w:rsidTr="0031701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138,9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155,0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150,8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-2,7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8,6</w:t>
            </w:r>
          </w:p>
        </w:tc>
      </w:tr>
      <w:tr w:rsidR="00317019" w:rsidRPr="00317019" w:rsidTr="0031701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97,0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152,7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146,9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-3,8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51,4</w:t>
            </w:r>
          </w:p>
        </w:tc>
      </w:tr>
      <w:tr w:rsidR="00317019" w:rsidRPr="00317019" w:rsidTr="0031701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143,8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126,7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-11,9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21,2</w:t>
            </w:r>
          </w:p>
        </w:tc>
      </w:tr>
      <w:tr w:rsidR="00317019" w:rsidRPr="00317019" w:rsidTr="0031701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111,5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109,1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-2,2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</w:tr>
      <w:tr w:rsidR="00317019" w:rsidRPr="00317019" w:rsidTr="00317019">
        <w:trPr>
          <w:trHeight w:val="54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99,2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99,6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98,3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-1,3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-0,9</w:t>
            </w:r>
          </w:p>
        </w:tc>
      </w:tr>
      <w:tr w:rsidR="00317019" w:rsidRPr="00317019" w:rsidTr="0031701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104,4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106,7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106,6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2,1</w:t>
            </w:r>
          </w:p>
        </w:tc>
      </w:tr>
      <w:tr w:rsidR="00317019" w:rsidRPr="00317019" w:rsidTr="00317019">
        <w:trPr>
          <w:trHeight w:val="54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105,2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108,0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107,5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-0,5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</w:tr>
      <w:tr w:rsidR="00317019" w:rsidRPr="00317019" w:rsidTr="00317019">
        <w:trPr>
          <w:trHeight w:val="51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102,6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104,3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</w:tr>
      <w:tr w:rsidR="00317019" w:rsidRPr="00317019" w:rsidTr="0031701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135,7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136,1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5,4</w:t>
            </w:r>
          </w:p>
        </w:tc>
      </w:tr>
      <w:tr w:rsidR="00317019" w:rsidRPr="00317019" w:rsidTr="0031701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6,3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6,3</w:t>
            </w:r>
          </w:p>
        </w:tc>
      </w:tr>
      <w:tr w:rsidR="00317019" w:rsidRPr="00317019" w:rsidTr="0031701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</w:tr>
      <w:tr w:rsidR="00317019" w:rsidRPr="00317019" w:rsidTr="0031701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</w:tr>
      <w:tr w:rsidR="00317019" w:rsidRPr="00317019" w:rsidTr="0031701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12,6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12,6</w:t>
            </w:r>
          </w:p>
        </w:tc>
      </w:tr>
      <w:tr w:rsidR="00317019" w:rsidRPr="00317019" w:rsidTr="0031701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5,4</w:t>
            </w:r>
          </w:p>
        </w:tc>
      </w:tr>
      <w:tr w:rsidR="00317019" w:rsidRPr="00317019" w:rsidTr="00317019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17019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</w:tr>
      <w:tr w:rsidR="00317019" w:rsidRPr="00317019" w:rsidTr="00317019">
        <w:trPr>
          <w:trHeight w:val="315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112,3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130,2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125,1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-3,9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11,4</w:t>
            </w:r>
          </w:p>
        </w:tc>
      </w:tr>
      <w:tr w:rsidR="00317019" w:rsidRPr="00317019" w:rsidTr="00317019">
        <w:trPr>
          <w:trHeight w:val="315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111,0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119,4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117,3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-1,8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17019" w:rsidRPr="00317019" w:rsidRDefault="00317019" w:rsidP="0031701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1701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5,7</w:t>
            </w:r>
          </w:p>
        </w:tc>
      </w:tr>
    </w:tbl>
    <w:p w:rsidR="00D2208B" w:rsidRDefault="00AB5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 xml:space="preserve">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684" w:rsidRDefault="00BD1684">
      <w:r>
        <w:separator/>
      </w:r>
    </w:p>
    <w:p w:rsidR="00BD1684" w:rsidRDefault="00BD1684"/>
  </w:endnote>
  <w:endnote w:type="continuationSeparator" w:id="0">
    <w:p w:rsidR="00BD1684" w:rsidRDefault="00BD1684">
      <w:r>
        <w:continuationSeparator/>
      </w:r>
    </w:p>
    <w:p w:rsidR="00BD1684" w:rsidRDefault="00BD168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1232C5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684" w:rsidRDefault="00BD1684">
      <w:r>
        <w:separator/>
      </w:r>
    </w:p>
    <w:p w:rsidR="00BD1684" w:rsidRDefault="00BD1684"/>
  </w:footnote>
  <w:footnote w:type="continuationSeparator" w:id="0">
    <w:p w:rsidR="00BD1684" w:rsidRDefault="00BD1684">
      <w:r>
        <w:continuationSeparator/>
      </w:r>
    </w:p>
    <w:p w:rsidR="00BD1684" w:rsidRDefault="00BD168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4F5D"/>
    <w:rsid w:val="00005ED3"/>
    <w:rsid w:val="000062AB"/>
    <w:rsid w:val="00007EBA"/>
    <w:rsid w:val="00007FA7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65"/>
    <w:rsid w:val="000779A8"/>
    <w:rsid w:val="00077A15"/>
    <w:rsid w:val="000804A3"/>
    <w:rsid w:val="000804C8"/>
    <w:rsid w:val="00081552"/>
    <w:rsid w:val="00082025"/>
    <w:rsid w:val="00082340"/>
    <w:rsid w:val="000837AF"/>
    <w:rsid w:val="00083E99"/>
    <w:rsid w:val="00084125"/>
    <w:rsid w:val="0008518B"/>
    <w:rsid w:val="00085BFE"/>
    <w:rsid w:val="00085F69"/>
    <w:rsid w:val="00086128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4AE6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E64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80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7F9"/>
    <w:rsid w:val="00114BCB"/>
    <w:rsid w:val="00114FC6"/>
    <w:rsid w:val="001150BA"/>
    <w:rsid w:val="001157C5"/>
    <w:rsid w:val="00115A58"/>
    <w:rsid w:val="001166B9"/>
    <w:rsid w:val="00117CA5"/>
    <w:rsid w:val="00117EBB"/>
    <w:rsid w:val="00120428"/>
    <w:rsid w:val="001212D2"/>
    <w:rsid w:val="00121554"/>
    <w:rsid w:val="001232C5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206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14E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11FC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C31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74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721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0C6"/>
    <w:rsid w:val="002F4DEE"/>
    <w:rsid w:val="002F5D85"/>
    <w:rsid w:val="002F6015"/>
    <w:rsid w:val="002F7016"/>
    <w:rsid w:val="00300951"/>
    <w:rsid w:val="00300D4B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0BF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019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697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D0D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103"/>
    <w:rsid w:val="003A144B"/>
    <w:rsid w:val="003A17C3"/>
    <w:rsid w:val="003A1BDA"/>
    <w:rsid w:val="003A1D9F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28F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32"/>
    <w:rsid w:val="00442EA3"/>
    <w:rsid w:val="00442FD4"/>
    <w:rsid w:val="0044347B"/>
    <w:rsid w:val="00443FBE"/>
    <w:rsid w:val="00444557"/>
    <w:rsid w:val="004449D7"/>
    <w:rsid w:val="00444ED7"/>
    <w:rsid w:val="00445296"/>
    <w:rsid w:val="00445381"/>
    <w:rsid w:val="00445387"/>
    <w:rsid w:val="004455A0"/>
    <w:rsid w:val="00445756"/>
    <w:rsid w:val="00445A79"/>
    <w:rsid w:val="00445B54"/>
    <w:rsid w:val="0044687C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020"/>
    <w:rsid w:val="00465749"/>
    <w:rsid w:val="00466EA8"/>
    <w:rsid w:val="00467019"/>
    <w:rsid w:val="004673DB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3F2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E6F"/>
    <w:rsid w:val="004B004A"/>
    <w:rsid w:val="004B0241"/>
    <w:rsid w:val="004B0BC4"/>
    <w:rsid w:val="004B229A"/>
    <w:rsid w:val="004B29AD"/>
    <w:rsid w:val="004B32A9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C22"/>
    <w:rsid w:val="004C1F71"/>
    <w:rsid w:val="004C284E"/>
    <w:rsid w:val="004C2AC5"/>
    <w:rsid w:val="004C2EA9"/>
    <w:rsid w:val="004C3A56"/>
    <w:rsid w:val="004C3B1D"/>
    <w:rsid w:val="004C3F03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15EE"/>
    <w:rsid w:val="004E2285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5F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0D41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9D7"/>
    <w:rsid w:val="00552A5C"/>
    <w:rsid w:val="0055355C"/>
    <w:rsid w:val="005538BF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1BEB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69B"/>
    <w:rsid w:val="00577459"/>
    <w:rsid w:val="005777C9"/>
    <w:rsid w:val="00580F99"/>
    <w:rsid w:val="00581626"/>
    <w:rsid w:val="0058227B"/>
    <w:rsid w:val="00582B4C"/>
    <w:rsid w:val="00582EDE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B5E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584"/>
    <w:rsid w:val="005E06ED"/>
    <w:rsid w:val="005E16E1"/>
    <w:rsid w:val="005E1E24"/>
    <w:rsid w:val="005E25DB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6B4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A2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974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0E1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8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778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1E6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776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5D9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358"/>
    <w:rsid w:val="007E789D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47FB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4FDB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35A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540A"/>
    <w:rsid w:val="008E62E5"/>
    <w:rsid w:val="008E6C43"/>
    <w:rsid w:val="008E7A08"/>
    <w:rsid w:val="008E7ED9"/>
    <w:rsid w:val="008F07B1"/>
    <w:rsid w:val="008F0D09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4A41"/>
    <w:rsid w:val="0093548D"/>
    <w:rsid w:val="0093581E"/>
    <w:rsid w:val="00935F9F"/>
    <w:rsid w:val="009361C5"/>
    <w:rsid w:val="00936F8E"/>
    <w:rsid w:val="009403DA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23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0E7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5A2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EC9"/>
    <w:rsid w:val="009B013A"/>
    <w:rsid w:val="009B0917"/>
    <w:rsid w:val="009B0E33"/>
    <w:rsid w:val="009B15D4"/>
    <w:rsid w:val="009B1CEF"/>
    <w:rsid w:val="009B229B"/>
    <w:rsid w:val="009B2BEC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B7106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57E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0D8D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01A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2FE2"/>
    <w:rsid w:val="00AB30B2"/>
    <w:rsid w:val="00AB30D9"/>
    <w:rsid w:val="00AB3615"/>
    <w:rsid w:val="00AB3B06"/>
    <w:rsid w:val="00AB417E"/>
    <w:rsid w:val="00AB5792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46C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6F35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87D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1B1D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6FC8"/>
    <w:rsid w:val="00BC736A"/>
    <w:rsid w:val="00BC75E3"/>
    <w:rsid w:val="00BC7F34"/>
    <w:rsid w:val="00BD062A"/>
    <w:rsid w:val="00BD0C28"/>
    <w:rsid w:val="00BD1684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781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371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38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856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A70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33AF"/>
    <w:rsid w:val="00CA3744"/>
    <w:rsid w:val="00CA37D7"/>
    <w:rsid w:val="00CA3B94"/>
    <w:rsid w:val="00CA3C7B"/>
    <w:rsid w:val="00CA3C9C"/>
    <w:rsid w:val="00CA45D6"/>
    <w:rsid w:val="00CA52F1"/>
    <w:rsid w:val="00CA7207"/>
    <w:rsid w:val="00CA793C"/>
    <w:rsid w:val="00CB1B56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F07FF"/>
    <w:rsid w:val="00CF0AEA"/>
    <w:rsid w:val="00CF0D43"/>
    <w:rsid w:val="00CF18C5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868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6C1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6E4A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372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9DC"/>
    <w:rsid w:val="00E03DA7"/>
    <w:rsid w:val="00E05616"/>
    <w:rsid w:val="00E05BEC"/>
    <w:rsid w:val="00E05CF8"/>
    <w:rsid w:val="00E05E9A"/>
    <w:rsid w:val="00E06244"/>
    <w:rsid w:val="00E06400"/>
    <w:rsid w:val="00E06601"/>
    <w:rsid w:val="00E067F1"/>
    <w:rsid w:val="00E074DD"/>
    <w:rsid w:val="00E075AF"/>
    <w:rsid w:val="00E100AB"/>
    <w:rsid w:val="00E10220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0FE2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C5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6F2"/>
    <w:rsid w:val="00EA2FCB"/>
    <w:rsid w:val="00EA354E"/>
    <w:rsid w:val="00EA35C9"/>
    <w:rsid w:val="00EA4A4A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168F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1AB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609D"/>
    <w:rsid w:val="00F363B4"/>
    <w:rsid w:val="00F3644B"/>
    <w:rsid w:val="00F37E7C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06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563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771EE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11BC"/>
    <w:rsid w:val="00FB182C"/>
    <w:rsid w:val="00FB26C2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138"/>
    <w:rsid w:val="00FC3371"/>
    <w:rsid w:val="00FC3E34"/>
    <w:rsid w:val="00FC3FE5"/>
    <w:rsid w:val="00FC465E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0AE7F36-AA1A-4564-8F09-0C6D3F9F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977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2023-07-24T12:11:00Z</dcterms:created>
  <dcterms:modified xsi:type="dcterms:W3CDTF">2023-07-25T12:31:00Z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