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460D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Octob</w:t>
            </w:r>
            <w:r w:rsidR="00473D7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3F184D" w:rsidRDefault="00004F5D" w:rsidP="008E6EE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Au terme du mois d</w:t>
      </w:r>
      <w:r w:rsidR="008E6EE7">
        <w:rPr>
          <w:rFonts w:asciiTheme="majorBidi" w:hAnsiTheme="majorBidi" w:cstheme="majorBidi"/>
          <w:sz w:val="22"/>
          <w:szCs w:val="22"/>
        </w:rPr>
        <w:t>’Octobre</w:t>
      </w:r>
      <w:r w:rsidRPr="003F184D">
        <w:rPr>
          <w:rFonts w:asciiTheme="majorBidi" w:hAnsiTheme="majorBidi" w:cstheme="majorBidi"/>
          <w:sz w:val="22"/>
          <w:szCs w:val="22"/>
        </w:rPr>
        <w:t xml:space="preserve">  2023, l</w:t>
      </w:r>
      <w:r w:rsidR="00986F1B" w:rsidRPr="003F184D">
        <w:rPr>
          <w:rFonts w:asciiTheme="majorBidi" w:hAnsiTheme="majorBidi" w:cstheme="majorBidi"/>
          <w:sz w:val="22"/>
          <w:szCs w:val="22"/>
        </w:rPr>
        <w:t>’</w:t>
      </w:r>
      <w:r w:rsidR="006B7974" w:rsidRPr="003F184D">
        <w:rPr>
          <w:rFonts w:asciiTheme="majorBidi" w:hAnsiTheme="majorBidi" w:cstheme="majorBidi"/>
          <w:sz w:val="22"/>
          <w:szCs w:val="22"/>
        </w:rPr>
        <w:t>i</w:t>
      </w:r>
      <w:r w:rsidR="00986F1B" w:rsidRPr="003F184D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3F184D">
        <w:rPr>
          <w:rFonts w:asciiTheme="majorBidi" w:hAnsiTheme="majorBidi" w:cstheme="majorBidi"/>
          <w:sz w:val="22"/>
          <w:szCs w:val="22"/>
        </w:rPr>
        <w:t>P</w:t>
      </w:r>
      <w:r w:rsidR="00986F1B" w:rsidRPr="003F184D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3F184D">
        <w:rPr>
          <w:rFonts w:asciiTheme="majorBidi" w:hAnsiTheme="majorBidi" w:cstheme="majorBidi"/>
          <w:sz w:val="22"/>
          <w:szCs w:val="22"/>
        </w:rPr>
        <w:t>C</w:t>
      </w:r>
      <w:r w:rsidR="00986F1B" w:rsidRPr="003F184D">
        <w:rPr>
          <w:rFonts w:asciiTheme="majorBidi" w:hAnsiTheme="majorBidi" w:cstheme="majorBidi"/>
          <w:sz w:val="22"/>
          <w:szCs w:val="22"/>
        </w:rPr>
        <w:t>onsommation</w:t>
      </w:r>
      <w:r w:rsidR="003B380E" w:rsidRPr="003F184D">
        <w:rPr>
          <w:rFonts w:asciiTheme="majorBidi" w:hAnsiTheme="majorBidi" w:cstheme="majorBidi"/>
          <w:sz w:val="22"/>
          <w:szCs w:val="22"/>
        </w:rPr>
        <w:t xml:space="preserve"> de la ville de Kenitra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,  a </w:t>
      </w:r>
      <w:r w:rsidR="008E6EE7">
        <w:rPr>
          <w:rFonts w:asciiTheme="majorBidi" w:hAnsiTheme="majorBidi" w:cstheme="majorBidi"/>
          <w:sz w:val="22"/>
          <w:szCs w:val="22"/>
        </w:rPr>
        <w:t>crû de 0,5%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247861" w:rsidRPr="003F184D">
        <w:rPr>
          <w:rFonts w:asciiTheme="majorBidi" w:hAnsiTheme="majorBidi" w:cstheme="majorBidi"/>
          <w:sz w:val="22"/>
          <w:szCs w:val="22"/>
        </w:rPr>
        <w:t>d</w:t>
      </w:r>
      <w:r w:rsidR="008E6EE7">
        <w:rPr>
          <w:rFonts w:asciiTheme="majorBidi" w:hAnsiTheme="majorBidi" w:cstheme="majorBidi"/>
          <w:sz w:val="22"/>
          <w:szCs w:val="22"/>
        </w:rPr>
        <w:t xml:space="preserve">e Septembre 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de la même année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contre </w:t>
      </w:r>
      <w:r w:rsidR="008E6EE7">
        <w:rPr>
          <w:rFonts w:asciiTheme="majorBidi" w:hAnsiTheme="majorBidi" w:cstheme="majorBidi"/>
          <w:sz w:val="22"/>
          <w:szCs w:val="22"/>
        </w:rPr>
        <w:t>une baisse de 0,1</w:t>
      </w:r>
      <w:r w:rsidR="00763E1C" w:rsidRPr="003F184D">
        <w:rPr>
          <w:rFonts w:asciiTheme="majorBidi" w:hAnsiTheme="majorBidi" w:cstheme="majorBidi"/>
          <w:sz w:val="22"/>
          <w:szCs w:val="22"/>
        </w:rPr>
        <w:t>%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3F184D">
        <w:rPr>
          <w:rFonts w:asciiTheme="majorBidi" w:hAnsiTheme="majorBidi" w:cstheme="majorBidi"/>
          <w:sz w:val="22"/>
          <w:szCs w:val="22"/>
        </w:rPr>
        <w:t>pour la moyenne nationale.</w:t>
      </w:r>
    </w:p>
    <w:p w:rsidR="002B4717" w:rsidRPr="003F184D" w:rsidRDefault="00986F1B" w:rsidP="008E6EE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Cette </w:t>
      </w:r>
      <w:r w:rsidR="008E6EE7">
        <w:rPr>
          <w:rFonts w:asciiTheme="majorBidi" w:hAnsiTheme="majorBidi" w:cstheme="majorBidi"/>
          <w:sz w:val="22"/>
          <w:szCs w:val="22"/>
        </w:rPr>
        <w:t>croissance</w:t>
      </w:r>
      <w:r w:rsidR="00763E1C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3F184D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Pr="003F184D">
        <w:rPr>
          <w:rFonts w:asciiTheme="majorBidi" w:hAnsiTheme="majorBidi" w:cstheme="majorBidi"/>
          <w:sz w:val="22"/>
          <w:szCs w:val="22"/>
        </w:rPr>
        <w:t>Kenitra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3F184D">
        <w:rPr>
          <w:rFonts w:asciiTheme="majorBidi" w:hAnsiTheme="majorBidi" w:cstheme="majorBidi"/>
          <w:sz w:val="22"/>
          <w:szCs w:val="22"/>
        </w:rPr>
        <w:t xml:space="preserve">est </w:t>
      </w:r>
      <w:r w:rsidR="003B380E" w:rsidRPr="003F184D">
        <w:rPr>
          <w:rFonts w:asciiTheme="majorBidi" w:hAnsiTheme="majorBidi" w:cstheme="majorBidi"/>
          <w:sz w:val="22"/>
          <w:szCs w:val="22"/>
        </w:rPr>
        <w:t>le résultat</w:t>
      </w:r>
      <w:r w:rsidR="00E02EE9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de  </w:t>
      </w:r>
      <w:r w:rsidR="008E6EE7">
        <w:rPr>
          <w:rFonts w:asciiTheme="majorBidi" w:hAnsiTheme="majorBidi" w:cstheme="majorBidi"/>
          <w:sz w:val="22"/>
          <w:szCs w:val="22"/>
        </w:rPr>
        <w:t>la hausse conjuguée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 </w:t>
      </w:r>
      <w:r w:rsidR="00CB4E32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CB4E32" w:rsidRPr="003F184D">
        <w:rPr>
          <w:rFonts w:asciiTheme="majorBidi" w:hAnsiTheme="majorBidi" w:cstheme="majorBidi"/>
          <w:sz w:val="22"/>
          <w:szCs w:val="22"/>
        </w:rPr>
        <w:t>l’indice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8E6EE7">
        <w:rPr>
          <w:rFonts w:asciiTheme="majorBidi" w:hAnsiTheme="majorBidi" w:cstheme="majorBidi"/>
          <w:sz w:val="22"/>
          <w:szCs w:val="22"/>
        </w:rPr>
        <w:t xml:space="preserve"> de 0,8%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et</w:t>
      </w:r>
      <w:r w:rsidR="008E6EE7">
        <w:rPr>
          <w:rFonts w:asciiTheme="majorBidi" w:hAnsiTheme="majorBidi" w:cstheme="majorBidi"/>
          <w:sz w:val="22"/>
          <w:szCs w:val="22"/>
        </w:rPr>
        <w:t xml:space="preserve">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3F184D">
        <w:rPr>
          <w:rFonts w:asciiTheme="majorBidi" w:hAnsiTheme="majorBidi" w:cstheme="majorBidi"/>
          <w:sz w:val="22"/>
          <w:szCs w:val="22"/>
        </w:rPr>
        <w:t>celui</w:t>
      </w:r>
      <w:r w:rsidR="00CB1B56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3F184D">
        <w:rPr>
          <w:rFonts w:asciiTheme="majorBidi" w:hAnsiTheme="majorBidi" w:cstheme="majorBidi"/>
          <w:sz w:val="22"/>
          <w:szCs w:val="22"/>
        </w:rPr>
        <w:t>alimentaires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de 0,</w:t>
      </w:r>
      <w:r w:rsidR="008E6EE7">
        <w:rPr>
          <w:rFonts w:asciiTheme="majorBidi" w:hAnsiTheme="majorBidi" w:cstheme="majorBidi"/>
          <w:sz w:val="22"/>
          <w:szCs w:val="22"/>
        </w:rPr>
        <w:t>3</w:t>
      </w:r>
      <w:r w:rsidR="00247861" w:rsidRPr="003F184D">
        <w:rPr>
          <w:rFonts w:asciiTheme="majorBidi" w:hAnsiTheme="majorBidi" w:cstheme="majorBidi"/>
          <w:sz w:val="22"/>
          <w:szCs w:val="22"/>
        </w:rPr>
        <w:t>%.</w:t>
      </w:r>
    </w:p>
    <w:p w:rsidR="0062776A" w:rsidRPr="003F184D" w:rsidRDefault="00482E4D" w:rsidP="00B2103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En </w:t>
      </w:r>
      <w:r w:rsidR="00124EE5">
        <w:rPr>
          <w:rFonts w:asciiTheme="majorBidi" w:hAnsiTheme="majorBidi" w:cstheme="majorBidi"/>
          <w:sz w:val="22"/>
          <w:szCs w:val="22"/>
        </w:rPr>
        <w:t>couvrant un</w:t>
      </w:r>
      <w:r w:rsidRPr="003F184D">
        <w:rPr>
          <w:rFonts w:asciiTheme="majorBidi" w:hAnsiTheme="majorBidi" w:cstheme="majorBidi"/>
          <w:sz w:val="22"/>
          <w:szCs w:val="22"/>
        </w:rPr>
        <w:t xml:space="preserve"> niveau</w:t>
      </w:r>
      <w:r w:rsidR="00124EE5">
        <w:rPr>
          <w:rFonts w:asciiTheme="majorBidi" w:hAnsiTheme="majorBidi" w:cstheme="majorBidi"/>
          <w:sz w:val="22"/>
          <w:szCs w:val="22"/>
        </w:rPr>
        <w:t xml:space="preserve"> plus détaillé qu’est l</w:t>
      </w:r>
      <w:r w:rsidRPr="003F184D">
        <w:rPr>
          <w:rFonts w:asciiTheme="majorBidi" w:hAnsiTheme="majorBidi" w:cstheme="majorBidi"/>
          <w:sz w:val="22"/>
          <w:szCs w:val="22"/>
        </w:rPr>
        <w:t>es</w:t>
      </w:r>
      <w:r w:rsidR="00DC1E02" w:rsidRPr="003F184D">
        <w:rPr>
          <w:rFonts w:asciiTheme="majorBidi" w:hAnsiTheme="majorBidi" w:cstheme="majorBidi"/>
          <w:sz w:val="22"/>
          <w:szCs w:val="22"/>
        </w:rPr>
        <w:t xml:space="preserve"> classes alimentaires</w:t>
      </w:r>
      <w:r w:rsidRPr="003F184D">
        <w:rPr>
          <w:rFonts w:asciiTheme="majorBidi" w:hAnsiTheme="majorBidi" w:cstheme="majorBidi"/>
          <w:sz w:val="22"/>
          <w:szCs w:val="22"/>
        </w:rPr>
        <w:t xml:space="preserve">, on note que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les baisses de prix </w:t>
      </w:r>
      <w:r w:rsidR="008E6EE7">
        <w:rPr>
          <w:rFonts w:asciiTheme="majorBidi" w:hAnsiTheme="majorBidi" w:cstheme="majorBidi"/>
          <w:sz w:val="22"/>
          <w:szCs w:val="22"/>
        </w:rPr>
        <w:t>n’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ont touché </w:t>
      </w:r>
      <w:r w:rsidR="008E6EE7">
        <w:rPr>
          <w:rFonts w:asciiTheme="majorBidi" w:hAnsiTheme="majorBidi" w:cstheme="majorBidi"/>
          <w:sz w:val="22"/>
          <w:szCs w:val="22"/>
        </w:rPr>
        <w:t xml:space="preserve">que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les </w:t>
      </w:r>
      <w:r w:rsidR="00124EE5" w:rsidRPr="003F184D">
        <w:rPr>
          <w:rFonts w:asciiTheme="majorBidi" w:hAnsiTheme="majorBidi" w:cstheme="majorBidi"/>
          <w:sz w:val="22"/>
          <w:szCs w:val="22"/>
        </w:rPr>
        <w:t>"</w:t>
      </w:r>
      <w:r w:rsidR="008E6EE7">
        <w:rPr>
          <w:rFonts w:asciiTheme="majorBidi" w:hAnsiTheme="majorBidi" w:cstheme="majorBidi"/>
          <w:sz w:val="22"/>
          <w:szCs w:val="22"/>
        </w:rPr>
        <w:t>Viandes</w:t>
      </w:r>
      <w:r w:rsidR="00124EE5" w:rsidRPr="003F184D">
        <w:rPr>
          <w:rFonts w:asciiTheme="majorBidi" w:hAnsiTheme="majorBidi" w:cstheme="majorBidi"/>
          <w:sz w:val="22"/>
          <w:szCs w:val="22"/>
        </w:rPr>
        <w:t>"</w:t>
      </w:r>
      <w:r w:rsidR="008E6EE7">
        <w:rPr>
          <w:rFonts w:asciiTheme="majorBidi" w:hAnsiTheme="majorBidi" w:cstheme="majorBidi"/>
          <w:sz w:val="22"/>
          <w:szCs w:val="22"/>
        </w:rPr>
        <w:t xml:space="preserve"> et les </w:t>
      </w:r>
      <w:r w:rsidR="00124EE5" w:rsidRPr="003F184D">
        <w:rPr>
          <w:rFonts w:asciiTheme="majorBidi" w:hAnsiTheme="majorBidi" w:cstheme="majorBidi"/>
          <w:sz w:val="22"/>
          <w:szCs w:val="22"/>
        </w:rPr>
        <w:t>"</w:t>
      </w:r>
      <w:r w:rsidR="008E6EE7">
        <w:rPr>
          <w:rFonts w:asciiTheme="majorBidi" w:hAnsiTheme="majorBidi" w:cstheme="majorBidi"/>
          <w:sz w:val="22"/>
          <w:szCs w:val="22"/>
        </w:rPr>
        <w:t>Fruits</w:t>
      </w:r>
      <w:r w:rsidR="00124EE5" w:rsidRPr="003F184D">
        <w:rPr>
          <w:rFonts w:asciiTheme="majorBidi" w:hAnsiTheme="majorBidi" w:cstheme="majorBidi"/>
          <w:sz w:val="22"/>
          <w:szCs w:val="22"/>
        </w:rPr>
        <w:t>"</w:t>
      </w:r>
      <w:r w:rsidR="008E6EE7">
        <w:rPr>
          <w:rFonts w:asciiTheme="majorBidi" w:hAnsiTheme="majorBidi" w:cstheme="majorBidi"/>
          <w:sz w:val="22"/>
          <w:szCs w:val="22"/>
        </w:rPr>
        <w:t xml:space="preserve">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 avec</w:t>
      </w:r>
      <w:r w:rsidR="00124EE5">
        <w:rPr>
          <w:rFonts w:asciiTheme="majorBidi" w:hAnsiTheme="majorBidi" w:cstheme="majorBidi"/>
          <w:sz w:val="22"/>
          <w:szCs w:val="22"/>
        </w:rPr>
        <w:t xml:space="preserve"> </w:t>
      </w:r>
      <w:r w:rsidR="008E6EE7">
        <w:rPr>
          <w:rFonts w:asciiTheme="majorBidi" w:hAnsiTheme="majorBidi" w:cstheme="majorBidi"/>
          <w:sz w:val="22"/>
          <w:szCs w:val="22"/>
        </w:rPr>
        <w:t xml:space="preserve"> respectivement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 (-</w:t>
      </w:r>
      <w:r w:rsidR="00124EE5">
        <w:rPr>
          <w:rFonts w:asciiTheme="majorBidi" w:hAnsiTheme="majorBidi" w:cstheme="majorBidi"/>
          <w:sz w:val="22"/>
          <w:szCs w:val="22"/>
        </w:rPr>
        <w:t>2</w:t>
      </w:r>
      <w:r w:rsidR="0062776A" w:rsidRPr="003F184D">
        <w:rPr>
          <w:rFonts w:asciiTheme="majorBidi" w:hAnsiTheme="majorBidi" w:cstheme="majorBidi"/>
          <w:sz w:val="22"/>
          <w:szCs w:val="22"/>
        </w:rPr>
        <w:t>,5%)</w:t>
      </w:r>
      <w:r w:rsidR="00124EE5">
        <w:rPr>
          <w:rFonts w:asciiTheme="majorBidi" w:hAnsiTheme="majorBidi" w:cstheme="majorBidi"/>
          <w:sz w:val="22"/>
          <w:szCs w:val="22"/>
        </w:rPr>
        <w:t xml:space="preserve"> et (-1,6%)</w:t>
      </w:r>
      <w:r w:rsidR="0062776A" w:rsidRPr="003F184D">
        <w:rPr>
          <w:rFonts w:asciiTheme="majorBidi" w:hAnsiTheme="majorBidi" w:cstheme="majorBidi"/>
          <w:sz w:val="22"/>
          <w:szCs w:val="22"/>
        </w:rPr>
        <w:t>,</w:t>
      </w:r>
      <w:r w:rsidR="00124EE5">
        <w:rPr>
          <w:rFonts w:asciiTheme="majorBidi" w:hAnsiTheme="majorBidi" w:cstheme="majorBidi"/>
          <w:sz w:val="22"/>
          <w:szCs w:val="22"/>
        </w:rPr>
        <w:t xml:space="preserve"> tandis que celles ayant fait l’objet de hausse sont : les </w:t>
      </w:r>
      <w:r w:rsidR="00124EE5" w:rsidRPr="003F184D">
        <w:rPr>
          <w:rFonts w:asciiTheme="majorBidi" w:hAnsiTheme="majorBidi" w:cstheme="majorBidi"/>
          <w:sz w:val="22"/>
          <w:szCs w:val="22"/>
        </w:rPr>
        <w:t>"Pain et céréales"</w:t>
      </w:r>
      <w:r w:rsidR="00124EE5">
        <w:rPr>
          <w:rFonts w:asciiTheme="majorBidi" w:hAnsiTheme="majorBidi" w:cstheme="majorBidi"/>
          <w:sz w:val="22"/>
          <w:szCs w:val="22"/>
        </w:rPr>
        <w:t xml:space="preserve"> avec 0,7%, </w:t>
      </w:r>
      <w:r w:rsidR="00124EE5" w:rsidRPr="003F184D">
        <w:rPr>
          <w:rFonts w:asciiTheme="majorBidi" w:hAnsiTheme="majorBidi" w:cstheme="majorBidi"/>
          <w:sz w:val="22"/>
          <w:szCs w:val="22"/>
        </w:rPr>
        <w:t>les "Poissons et fruits de mer"</w:t>
      </w:r>
      <w:r w:rsidR="00124EE5">
        <w:rPr>
          <w:rFonts w:asciiTheme="majorBidi" w:hAnsiTheme="majorBidi" w:cstheme="majorBidi"/>
          <w:sz w:val="22"/>
          <w:szCs w:val="22"/>
        </w:rPr>
        <w:t xml:space="preserve"> avec 0,2%, </w:t>
      </w:r>
      <w:r w:rsidR="00124EE5" w:rsidRPr="003F184D">
        <w:rPr>
          <w:rFonts w:asciiTheme="majorBidi" w:hAnsiTheme="majorBidi" w:cstheme="majorBidi"/>
          <w:sz w:val="22"/>
          <w:szCs w:val="22"/>
        </w:rPr>
        <w:t xml:space="preserve">le </w:t>
      </w:r>
      <w:r w:rsidR="00124EE5">
        <w:rPr>
          <w:rFonts w:asciiTheme="majorBidi" w:hAnsiTheme="majorBidi" w:cstheme="majorBidi"/>
          <w:sz w:val="22"/>
          <w:szCs w:val="22"/>
        </w:rPr>
        <w:t>"Lait, fromage et œufs" avec 0,5</w:t>
      </w:r>
      <w:r w:rsidR="00124EE5" w:rsidRPr="003F184D">
        <w:rPr>
          <w:rFonts w:asciiTheme="majorBidi" w:hAnsiTheme="majorBidi" w:cstheme="majorBidi"/>
          <w:sz w:val="22"/>
          <w:szCs w:val="22"/>
        </w:rPr>
        <w:t xml:space="preserve">%, </w:t>
      </w:r>
      <w:r w:rsidR="00124EE5">
        <w:rPr>
          <w:rFonts w:asciiTheme="majorBidi" w:hAnsiTheme="majorBidi" w:cstheme="majorBidi"/>
          <w:sz w:val="22"/>
          <w:szCs w:val="22"/>
        </w:rPr>
        <w:t>les "Huiles et graisses" avec 3</w:t>
      </w:r>
      <w:r w:rsidR="0062776A" w:rsidRPr="003F184D">
        <w:rPr>
          <w:rFonts w:asciiTheme="majorBidi" w:hAnsiTheme="majorBidi" w:cstheme="majorBidi"/>
          <w:sz w:val="22"/>
          <w:szCs w:val="22"/>
        </w:rPr>
        <w:t>,</w:t>
      </w:r>
      <w:r w:rsidR="00124EE5">
        <w:rPr>
          <w:rFonts w:asciiTheme="majorBidi" w:hAnsiTheme="majorBidi" w:cstheme="majorBidi"/>
          <w:sz w:val="22"/>
          <w:szCs w:val="22"/>
        </w:rPr>
        <w:t>2</w:t>
      </w:r>
      <w:r w:rsidR="0062776A" w:rsidRPr="003F184D">
        <w:rPr>
          <w:rFonts w:asciiTheme="majorBidi" w:hAnsiTheme="majorBidi" w:cstheme="majorBidi"/>
          <w:sz w:val="22"/>
          <w:szCs w:val="22"/>
        </w:rPr>
        <w:t>%</w:t>
      </w:r>
      <w:r w:rsidR="00124EE5">
        <w:rPr>
          <w:rFonts w:asciiTheme="majorBidi" w:hAnsiTheme="majorBidi" w:cstheme="majorBidi"/>
          <w:sz w:val="22"/>
          <w:szCs w:val="22"/>
        </w:rPr>
        <w:t>,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124EE5" w:rsidRPr="003F184D">
        <w:rPr>
          <w:rFonts w:asciiTheme="majorBidi" w:hAnsiTheme="majorBidi" w:cstheme="majorBidi"/>
          <w:sz w:val="22"/>
          <w:szCs w:val="22"/>
        </w:rPr>
        <w:t xml:space="preserve">les "Légumes" avec </w:t>
      </w:r>
      <w:r w:rsidR="00B21030">
        <w:rPr>
          <w:rFonts w:asciiTheme="majorBidi" w:hAnsiTheme="majorBidi" w:cstheme="majorBidi"/>
          <w:sz w:val="22"/>
          <w:szCs w:val="22"/>
        </w:rPr>
        <w:t xml:space="preserve"> </w:t>
      </w:r>
      <w:r w:rsidR="00124EE5" w:rsidRPr="003F184D">
        <w:rPr>
          <w:rFonts w:asciiTheme="majorBidi" w:hAnsiTheme="majorBidi" w:cstheme="majorBidi"/>
          <w:sz w:val="22"/>
          <w:szCs w:val="22"/>
        </w:rPr>
        <w:t>4,</w:t>
      </w:r>
      <w:r w:rsidR="00124EE5">
        <w:rPr>
          <w:rFonts w:asciiTheme="majorBidi" w:hAnsiTheme="majorBidi" w:cstheme="majorBidi"/>
          <w:sz w:val="22"/>
          <w:szCs w:val="22"/>
        </w:rPr>
        <w:t>7</w:t>
      </w:r>
      <w:r w:rsidR="00124EE5" w:rsidRPr="003F184D">
        <w:rPr>
          <w:rFonts w:asciiTheme="majorBidi" w:hAnsiTheme="majorBidi" w:cstheme="majorBidi"/>
          <w:sz w:val="22"/>
          <w:szCs w:val="22"/>
        </w:rPr>
        <w:t>%</w:t>
      </w:r>
      <w:r w:rsidR="00B21030">
        <w:rPr>
          <w:rFonts w:asciiTheme="majorBidi" w:hAnsiTheme="majorBidi" w:cstheme="majorBidi"/>
          <w:sz w:val="22"/>
          <w:szCs w:val="22"/>
        </w:rPr>
        <w:t>, le "Sucre, confiture, miel, chocolat et confiserie" avec 1,9% et  le "Café, thé et cacao" avec 0,6</w:t>
      </w:r>
      <w:r w:rsidR="00B21030" w:rsidRPr="003F184D">
        <w:rPr>
          <w:rFonts w:asciiTheme="majorBidi" w:hAnsiTheme="majorBidi" w:cstheme="majorBidi"/>
          <w:sz w:val="22"/>
          <w:szCs w:val="22"/>
        </w:rPr>
        <w:t>%.</w:t>
      </w:r>
      <w:r w:rsidR="00B21030">
        <w:rPr>
          <w:rFonts w:asciiTheme="majorBidi" w:hAnsiTheme="majorBidi" w:cstheme="majorBidi"/>
          <w:sz w:val="22"/>
          <w:szCs w:val="22"/>
        </w:rPr>
        <w:t xml:space="preserve"> </w:t>
      </w:r>
    </w:p>
    <w:p w:rsidR="00A23AD0" w:rsidRPr="003F184D" w:rsidRDefault="00A23AD0" w:rsidP="00D045F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Quant aux produits non alimentaires</w:t>
      </w:r>
      <w:r w:rsidR="004C1C22" w:rsidRPr="003F184D">
        <w:rPr>
          <w:rFonts w:asciiTheme="majorBidi" w:hAnsiTheme="majorBidi" w:cstheme="majorBidi"/>
          <w:sz w:val="22"/>
          <w:szCs w:val="22"/>
        </w:rPr>
        <w:t>,</w:t>
      </w:r>
      <w:r w:rsidR="009D3552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3F58B1" w:rsidRPr="003F184D">
        <w:rPr>
          <w:rFonts w:asciiTheme="majorBidi" w:hAnsiTheme="majorBidi" w:cstheme="majorBidi"/>
          <w:sz w:val="22"/>
          <w:szCs w:val="22"/>
        </w:rPr>
        <w:t>l</w:t>
      </w:r>
      <w:r w:rsidR="001F5C2D" w:rsidRPr="003F184D">
        <w:rPr>
          <w:rFonts w:asciiTheme="majorBidi" w:hAnsiTheme="majorBidi" w:cstheme="majorBidi"/>
          <w:sz w:val="22"/>
          <w:szCs w:val="22"/>
        </w:rPr>
        <w:t>es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 division</w:t>
      </w:r>
      <w:r w:rsidR="001F5C2D" w:rsidRPr="003F184D">
        <w:rPr>
          <w:rFonts w:asciiTheme="majorBidi" w:hAnsiTheme="majorBidi" w:cstheme="majorBidi"/>
          <w:sz w:val="22"/>
          <w:szCs w:val="22"/>
        </w:rPr>
        <w:t>s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3F184D">
        <w:rPr>
          <w:rFonts w:asciiTheme="majorBidi" w:hAnsiTheme="majorBidi" w:cstheme="majorBidi"/>
          <w:sz w:val="22"/>
          <w:szCs w:val="22"/>
        </w:rPr>
        <w:t xml:space="preserve">qui ont connu des variations au cours de ce mois sont : les </w:t>
      </w:r>
      <w:r w:rsidR="00B21030" w:rsidRPr="003F184D">
        <w:rPr>
          <w:rFonts w:asciiTheme="majorBidi" w:hAnsiTheme="majorBidi" w:cstheme="majorBidi"/>
          <w:sz w:val="22"/>
          <w:szCs w:val="22"/>
        </w:rPr>
        <w:t>"Articles d’habillement et chaussures"</w:t>
      </w:r>
      <w:r w:rsidR="00B21030">
        <w:rPr>
          <w:rFonts w:asciiTheme="majorBidi" w:hAnsiTheme="majorBidi" w:cstheme="majorBidi"/>
          <w:sz w:val="22"/>
          <w:szCs w:val="22"/>
        </w:rPr>
        <w:t xml:space="preserve"> avec (-0,1%), </w:t>
      </w:r>
      <w:r w:rsidR="00D045FE">
        <w:rPr>
          <w:rFonts w:asciiTheme="majorBidi" w:hAnsiTheme="majorBidi" w:cstheme="majorBidi"/>
          <w:sz w:val="22"/>
          <w:szCs w:val="22"/>
        </w:rPr>
        <w:t xml:space="preserve">les </w:t>
      </w:r>
      <w:r w:rsidR="00D045FE" w:rsidRPr="003F184D">
        <w:rPr>
          <w:rFonts w:asciiTheme="majorBidi" w:hAnsiTheme="majorBidi" w:cstheme="majorBidi"/>
          <w:sz w:val="22"/>
          <w:szCs w:val="22"/>
        </w:rPr>
        <w:t>"</w:t>
      </w:r>
      <w:r w:rsidR="00D045FE">
        <w:rPr>
          <w:rFonts w:asciiTheme="majorBidi" w:hAnsiTheme="majorBidi" w:cstheme="majorBidi"/>
          <w:sz w:val="22"/>
          <w:szCs w:val="22"/>
        </w:rPr>
        <w:t>Logement, eau, gaz, électricité et autres</w:t>
      </w:r>
      <w:r w:rsidR="00D045FE" w:rsidRPr="003F184D">
        <w:rPr>
          <w:rFonts w:asciiTheme="majorBidi" w:hAnsiTheme="majorBidi" w:cstheme="majorBidi"/>
          <w:sz w:val="22"/>
          <w:szCs w:val="22"/>
        </w:rPr>
        <w:t>"</w:t>
      </w:r>
      <w:r w:rsidR="00D045FE">
        <w:rPr>
          <w:rFonts w:asciiTheme="majorBidi" w:hAnsiTheme="majorBidi" w:cstheme="majorBidi"/>
          <w:sz w:val="22"/>
          <w:szCs w:val="22"/>
        </w:rPr>
        <w:t xml:space="preserve"> avec 0,2%, les </w:t>
      </w:r>
      <w:r w:rsidR="00F674E7" w:rsidRPr="003F184D">
        <w:rPr>
          <w:rFonts w:asciiTheme="majorBidi" w:hAnsiTheme="majorBidi" w:cstheme="majorBidi"/>
          <w:sz w:val="22"/>
          <w:szCs w:val="22"/>
        </w:rPr>
        <w:t xml:space="preserve">"Transports" avec </w:t>
      </w:r>
      <w:r w:rsidR="00D045FE">
        <w:rPr>
          <w:rFonts w:asciiTheme="majorBidi" w:hAnsiTheme="majorBidi" w:cstheme="majorBidi"/>
          <w:sz w:val="22"/>
          <w:szCs w:val="22"/>
        </w:rPr>
        <w:t>0</w:t>
      </w:r>
      <w:r w:rsidR="00F674E7" w:rsidRPr="003F184D">
        <w:rPr>
          <w:rFonts w:asciiTheme="majorBidi" w:hAnsiTheme="majorBidi" w:cstheme="majorBidi"/>
          <w:sz w:val="22"/>
          <w:szCs w:val="22"/>
        </w:rPr>
        <w:t>,</w:t>
      </w:r>
      <w:r w:rsidR="00D045FE">
        <w:rPr>
          <w:rFonts w:asciiTheme="majorBidi" w:hAnsiTheme="majorBidi" w:cstheme="majorBidi"/>
          <w:sz w:val="22"/>
          <w:szCs w:val="22"/>
        </w:rPr>
        <w:t>7</w:t>
      </w:r>
      <w:r w:rsidR="00F674E7" w:rsidRPr="003F184D">
        <w:rPr>
          <w:rFonts w:asciiTheme="majorBidi" w:hAnsiTheme="majorBidi" w:cstheme="majorBidi"/>
          <w:sz w:val="22"/>
          <w:szCs w:val="22"/>
        </w:rPr>
        <w:t>%</w:t>
      </w:r>
      <w:r w:rsidR="00D045FE">
        <w:rPr>
          <w:rFonts w:asciiTheme="majorBidi" w:hAnsiTheme="majorBidi" w:cstheme="majorBidi"/>
          <w:sz w:val="22"/>
          <w:szCs w:val="22"/>
        </w:rPr>
        <w:t xml:space="preserve">et les </w:t>
      </w:r>
      <w:r w:rsidR="00D045FE" w:rsidRPr="003F184D">
        <w:rPr>
          <w:rFonts w:asciiTheme="majorBidi" w:hAnsiTheme="majorBidi" w:cstheme="majorBidi"/>
          <w:sz w:val="22"/>
          <w:szCs w:val="22"/>
        </w:rPr>
        <w:t>"</w:t>
      </w:r>
      <w:r w:rsidR="00D045FE">
        <w:rPr>
          <w:rFonts w:asciiTheme="majorBidi" w:hAnsiTheme="majorBidi" w:cstheme="majorBidi"/>
          <w:sz w:val="22"/>
          <w:szCs w:val="22"/>
        </w:rPr>
        <w:t>Biens et services divers</w:t>
      </w:r>
      <w:r w:rsidR="00D045FE" w:rsidRPr="003F184D">
        <w:rPr>
          <w:rFonts w:asciiTheme="majorBidi" w:hAnsiTheme="majorBidi" w:cstheme="majorBidi"/>
          <w:sz w:val="22"/>
          <w:szCs w:val="22"/>
        </w:rPr>
        <w:t>"</w:t>
      </w:r>
      <w:r w:rsidR="00D045FE">
        <w:rPr>
          <w:rFonts w:asciiTheme="majorBidi" w:hAnsiTheme="majorBidi" w:cstheme="majorBidi"/>
          <w:sz w:val="22"/>
          <w:szCs w:val="22"/>
        </w:rPr>
        <w:t xml:space="preserve"> avec 0,1%.</w:t>
      </w:r>
    </w:p>
    <w:p w:rsidR="004C54F7" w:rsidRPr="003F184D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F184D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3F184D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3F184D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3F184D" w:rsidRDefault="00717FDA" w:rsidP="00C5304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En </w:t>
      </w:r>
      <w:r w:rsidR="00184093" w:rsidRPr="003F184D">
        <w:rPr>
          <w:rFonts w:asciiTheme="majorBidi" w:hAnsiTheme="majorBidi" w:cstheme="majorBidi"/>
          <w:sz w:val="22"/>
          <w:szCs w:val="22"/>
        </w:rPr>
        <w:t>termes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C53044">
        <w:rPr>
          <w:rFonts w:asciiTheme="majorBidi" w:hAnsiTheme="majorBidi" w:cstheme="majorBidi"/>
          <w:sz w:val="22"/>
          <w:szCs w:val="22"/>
        </w:rPr>
        <w:t>glissements annuels</w:t>
      </w:r>
      <w:r w:rsidR="004C54F7" w:rsidRPr="003F184D">
        <w:rPr>
          <w:rFonts w:asciiTheme="majorBidi" w:hAnsiTheme="majorBidi" w:cstheme="majorBidi"/>
          <w:sz w:val="22"/>
          <w:szCs w:val="22"/>
        </w:rPr>
        <w:t>, l’indice des prix à la consommation</w:t>
      </w:r>
      <w:r w:rsidR="00520FB2" w:rsidRPr="003F184D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3F184D">
        <w:rPr>
          <w:rFonts w:asciiTheme="majorBidi" w:hAnsiTheme="majorBidi" w:cstheme="majorBidi"/>
          <w:sz w:val="22"/>
          <w:szCs w:val="22"/>
        </w:rPr>
        <w:t>Kenitra</w:t>
      </w:r>
      <w:r w:rsidR="004C54F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3F184D">
        <w:rPr>
          <w:rFonts w:asciiTheme="majorBidi" w:hAnsiTheme="majorBidi" w:cstheme="majorBidi"/>
          <w:sz w:val="22"/>
          <w:szCs w:val="22"/>
        </w:rPr>
        <w:t xml:space="preserve">a </w:t>
      </w:r>
      <w:r w:rsidR="00F674E7" w:rsidRPr="003F184D">
        <w:rPr>
          <w:rFonts w:asciiTheme="majorBidi" w:hAnsiTheme="majorBidi" w:cstheme="majorBidi"/>
          <w:sz w:val="22"/>
          <w:szCs w:val="22"/>
        </w:rPr>
        <w:t>progressé</w:t>
      </w:r>
      <w:r w:rsidR="001E5281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997368">
        <w:rPr>
          <w:rFonts w:asciiTheme="majorBidi" w:hAnsiTheme="majorBidi" w:cstheme="majorBidi"/>
          <w:sz w:val="22"/>
          <w:szCs w:val="22"/>
        </w:rPr>
        <w:t>3</w:t>
      </w:r>
      <w:r w:rsidR="009C215D" w:rsidRPr="003F184D">
        <w:rPr>
          <w:rFonts w:asciiTheme="majorBidi" w:hAnsiTheme="majorBidi" w:cstheme="majorBidi"/>
          <w:sz w:val="22"/>
          <w:szCs w:val="22"/>
        </w:rPr>
        <w:t>,</w:t>
      </w:r>
      <w:r w:rsidR="00997368">
        <w:rPr>
          <w:rFonts w:asciiTheme="majorBidi" w:hAnsiTheme="majorBidi" w:cstheme="majorBidi"/>
          <w:sz w:val="22"/>
          <w:szCs w:val="22"/>
        </w:rPr>
        <w:t>9</w:t>
      </w:r>
      <w:r w:rsidR="001E5281" w:rsidRPr="003F184D">
        <w:rPr>
          <w:rFonts w:asciiTheme="majorBidi" w:hAnsiTheme="majorBidi" w:cstheme="majorBidi"/>
          <w:sz w:val="22"/>
          <w:szCs w:val="22"/>
        </w:rPr>
        <w:t>%</w:t>
      </w:r>
      <w:r w:rsidR="004C54F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contre </w:t>
      </w:r>
      <w:r w:rsidR="00F674E7" w:rsidRPr="003F184D">
        <w:rPr>
          <w:rFonts w:asciiTheme="majorBidi" w:hAnsiTheme="majorBidi" w:cstheme="majorBidi"/>
          <w:sz w:val="22"/>
          <w:szCs w:val="22"/>
        </w:rPr>
        <w:t>4,</w:t>
      </w:r>
      <w:r w:rsidR="00997368">
        <w:rPr>
          <w:rFonts w:asciiTheme="majorBidi" w:hAnsiTheme="majorBidi" w:cstheme="majorBidi"/>
          <w:sz w:val="22"/>
          <w:szCs w:val="22"/>
        </w:rPr>
        <w:t>3</w:t>
      </w:r>
      <w:r w:rsidR="006C0A4D" w:rsidRPr="003F184D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pour </w:t>
      </w:r>
      <w:r w:rsidR="00F674E7" w:rsidRPr="003F184D">
        <w:rPr>
          <w:rFonts w:asciiTheme="majorBidi" w:hAnsiTheme="majorBidi" w:cstheme="majorBidi"/>
          <w:sz w:val="22"/>
          <w:szCs w:val="22"/>
        </w:rPr>
        <w:t>celui</w:t>
      </w:r>
      <w:r w:rsidR="00E10220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36E" w:rsidRPr="003F184D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. Ceci, </w:t>
      </w:r>
      <w:r w:rsidRPr="003F184D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3F184D">
        <w:rPr>
          <w:rFonts w:asciiTheme="majorBidi" w:hAnsiTheme="majorBidi" w:cstheme="majorBidi"/>
          <w:sz w:val="22"/>
          <w:szCs w:val="22"/>
        </w:rPr>
        <w:t xml:space="preserve">l’effet </w:t>
      </w:r>
      <w:r w:rsidR="00F674E7" w:rsidRPr="003F184D">
        <w:rPr>
          <w:rFonts w:asciiTheme="majorBidi" w:hAnsiTheme="majorBidi" w:cstheme="majorBidi"/>
          <w:sz w:val="22"/>
          <w:szCs w:val="22"/>
        </w:rPr>
        <w:t>combin</w:t>
      </w:r>
      <w:r w:rsidR="00B3075C" w:rsidRPr="003F184D">
        <w:rPr>
          <w:rFonts w:asciiTheme="majorBidi" w:hAnsiTheme="majorBidi" w:cstheme="majorBidi"/>
          <w:sz w:val="22"/>
          <w:szCs w:val="22"/>
        </w:rPr>
        <w:t>é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3F184D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3F184D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3F184D">
        <w:rPr>
          <w:rFonts w:asciiTheme="majorBidi" w:hAnsiTheme="majorBidi" w:cstheme="majorBidi"/>
          <w:sz w:val="22"/>
          <w:szCs w:val="22"/>
        </w:rPr>
        <w:t>"P</w:t>
      </w:r>
      <w:r w:rsidR="00201C28" w:rsidRPr="003F184D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3F184D">
        <w:rPr>
          <w:rFonts w:asciiTheme="majorBidi" w:hAnsiTheme="majorBidi" w:cstheme="majorBidi"/>
          <w:sz w:val="22"/>
          <w:szCs w:val="22"/>
        </w:rPr>
        <w:t>"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997368">
        <w:rPr>
          <w:rFonts w:asciiTheme="majorBidi" w:hAnsiTheme="majorBidi" w:cstheme="majorBidi"/>
          <w:sz w:val="22"/>
          <w:szCs w:val="22"/>
        </w:rPr>
        <w:t>7</w:t>
      </w:r>
      <w:r w:rsidR="009C215D" w:rsidRPr="003F184D">
        <w:rPr>
          <w:rFonts w:asciiTheme="majorBidi" w:hAnsiTheme="majorBidi" w:cstheme="majorBidi"/>
          <w:sz w:val="22"/>
          <w:szCs w:val="22"/>
        </w:rPr>
        <w:t>,</w:t>
      </w:r>
      <w:r w:rsidR="00997368">
        <w:rPr>
          <w:rFonts w:asciiTheme="majorBidi" w:hAnsiTheme="majorBidi" w:cstheme="majorBidi"/>
          <w:sz w:val="22"/>
          <w:szCs w:val="22"/>
        </w:rPr>
        <w:t>1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3F184D">
        <w:rPr>
          <w:rFonts w:asciiTheme="majorBidi" w:hAnsiTheme="majorBidi" w:cstheme="majorBidi"/>
          <w:sz w:val="22"/>
          <w:szCs w:val="22"/>
        </w:rPr>
        <w:t>de ce</w:t>
      </w:r>
      <w:r w:rsidR="00A131AC" w:rsidRPr="003F184D">
        <w:rPr>
          <w:rFonts w:asciiTheme="majorBidi" w:hAnsiTheme="majorBidi" w:cstheme="majorBidi"/>
          <w:sz w:val="22"/>
          <w:szCs w:val="22"/>
        </w:rPr>
        <w:t>lle</w:t>
      </w:r>
      <w:r w:rsidR="00616205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3F184D">
        <w:rPr>
          <w:rFonts w:asciiTheme="majorBidi" w:hAnsiTheme="majorBidi" w:cstheme="majorBidi"/>
          <w:sz w:val="22"/>
          <w:szCs w:val="22"/>
        </w:rPr>
        <w:t>"P</w:t>
      </w:r>
      <w:r w:rsidR="00201C28" w:rsidRPr="003F184D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3F184D">
        <w:rPr>
          <w:rFonts w:asciiTheme="majorBidi" w:hAnsiTheme="majorBidi" w:cstheme="majorBidi"/>
          <w:sz w:val="22"/>
          <w:szCs w:val="22"/>
        </w:rPr>
        <w:t>"</w:t>
      </w:r>
      <w:r w:rsidR="003C3AFE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997368">
        <w:rPr>
          <w:rFonts w:asciiTheme="majorBidi" w:hAnsiTheme="majorBidi" w:cstheme="majorBidi"/>
          <w:sz w:val="22"/>
          <w:szCs w:val="22"/>
        </w:rPr>
        <w:t>1</w:t>
      </w:r>
      <w:r w:rsidR="00E10220" w:rsidRPr="003F184D">
        <w:rPr>
          <w:rFonts w:asciiTheme="majorBidi" w:hAnsiTheme="majorBidi" w:cstheme="majorBidi"/>
          <w:sz w:val="22"/>
          <w:szCs w:val="22"/>
        </w:rPr>
        <w:t>,</w:t>
      </w:r>
      <w:r w:rsidR="00997368">
        <w:rPr>
          <w:rFonts w:asciiTheme="majorBidi" w:hAnsiTheme="majorBidi" w:cstheme="majorBidi"/>
          <w:sz w:val="22"/>
          <w:szCs w:val="22"/>
        </w:rPr>
        <w:t>3</w:t>
      </w:r>
      <w:r w:rsidR="003C3AFE" w:rsidRPr="003F184D">
        <w:rPr>
          <w:rFonts w:asciiTheme="majorBidi" w:hAnsiTheme="majorBidi" w:cstheme="majorBidi"/>
          <w:sz w:val="22"/>
          <w:szCs w:val="22"/>
        </w:rPr>
        <w:t>%.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3F184D" w:rsidRDefault="00A131AC" w:rsidP="00E168CB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Concernant la première division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Pr="003F184D">
        <w:rPr>
          <w:rFonts w:asciiTheme="majorBidi" w:hAnsiTheme="majorBidi" w:cstheme="majorBidi"/>
          <w:sz w:val="22"/>
          <w:szCs w:val="22"/>
        </w:rPr>
        <w:t>,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on souligne que presque toutes les classes ont connu des variations positives de leurs indices dont trois</w:t>
      </w:r>
      <w:r w:rsidR="00782BF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Pr="003F184D">
        <w:rPr>
          <w:rFonts w:asciiTheme="majorBidi" w:hAnsiTheme="majorBidi" w:cstheme="majorBidi"/>
          <w:sz w:val="22"/>
          <w:szCs w:val="22"/>
        </w:rPr>
        <w:t xml:space="preserve">ont enregistré des taux d’inflation </w:t>
      </w:r>
      <w:r w:rsidR="00782BF1" w:rsidRPr="003F184D">
        <w:rPr>
          <w:rFonts w:asciiTheme="majorBidi" w:hAnsiTheme="majorBidi" w:cstheme="majorBidi"/>
          <w:sz w:val="22"/>
          <w:szCs w:val="22"/>
        </w:rPr>
        <w:t xml:space="preserve">annuels </w:t>
      </w:r>
      <w:r w:rsidRPr="003F184D">
        <w:rPr>
          <w:rFonts w:asciiTheme="majorBidi" w:hAnsiTheme="majorBidi" w:cstheme="majorBidi"/>
          <w:sz w:val="22"/>
          <w:szCs w:val="22"/>
        </w:rPr>
        <w:t>à deux chiffres. Il s’agit</w:t>
      </w:r>
      <w:r w:rsidR="00563CDD" w:rsidRPr="003F184D">
        <w:rPr>
          <w:rFonts w:asciiTheme="majorBidi" w:hAnsiTheme="majorBidi" w:cstheme="majorBidi"/>
          <w:sz w:val="22"/>
          <w:szCs w:val="22"/>
        </w:rPr>
        <w:t>, selon le degré d’importance</w:t>
      </w:r>
      <w:r w:rsidR="00E168CB">
        <w:rPr>
          <w:rFonts w:asciiTheme="majorBidi" w:hAnsiTheme="majorBidi" w:cstheme="majorBidi"/>
          <w:sz w:val="22"/>
          <w:szCs w:val="22"/>
        </w:rPr>
        <w:t xml:space="preserve"> de la hausse</w:t>
      </w:r>
      <w:r w:rsidR="00563CDD" w:rsidRPr="003F184D">
        <w:rPr>
          <w:rFonts w:asciiTheme="majorBidi" w:hAnsiTheme="majorBidi" w:cstheme="majorBidi"/>
          <w:sz w:val="22"/>
          <w:szCs w:val="22"/>
        </w:rPr>
        <w:t>,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des </w:t>
      </w:r>
      <w:r w:rsidR="00F674E7" w:rsidRPr="003F184D">
        <w:rPr>
          <w:rFonts w:asciiTheme="majorBidi" w:hAnsiTheme="majorBidi" w:cstheme="majorBidi"/>
          <w:sz w:val="22"/>
          <w:szCs w:val="22"/>
        </w:rPr>
        <w:t>"Légumes"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avec </w:t>
      </w:r>
      <w:r w:rsidR="00C53044">
        <w:rPr>
          <w:rFonts w:asciiTheme="majorBidi" w:hAnsiTheme="majorBidi" w:cstheme="majorBidi"/>
          <w:sz w:val="22"/>
          <w:szCs w:val="22"/>
        </w:rPr>
        <w:t>21</w:t>
      </w:r>
      <w:r w:rsidR="003F184D" w:rsidRPr="003F184D">
        <w:rPr>
          <w:rFonts w:asciiTheme="majorBidi" w:hAnsiTheme="majorBidi" w:cstheme="majorBidi"/>
          <w:sz w:val="22"/>
          <w:szCs w:val="22"/>
        </w:rPr>
        <w:t>,</w:t>
      </w:r>
      <w:r w:rsidR="00C53044">
        <w:rPr>
          <w:rFonts w:asciiTheme="majorBidi" w:hAnsiTheme="majorBidi" w:cstheme="majorBidi"/>
          <w:sz w:val="22"/>
          <w:szCs w:val="22"/>
        </w:rPr>
        <w:t>2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%,  des  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"Fruits"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avec </w:t>
      </w:r>
      <w:r w:rsidR="003F184D" w:rsidRPr="003F184D">
        <w:rPr>
          <w:rFonts w:asciiTheme="majorBidi" w:hAnsiTheme="majorBidi" w:cstheme="majorBidi"/>
          <w:sz w:val="22"/>
          <w:szCs w:val="22"/>
        </w:rPr>
        <w:t>1</w:t>
      </w:r>
      <w:r w:rsidR="00C53044">
        <w:rPr>
          <w:rFonts w:asciiTheme="majorBidi" w:hAnsiTheme="majorBidi" w:cstheme="majorBidi"/>
          <w:sz w:val="22"/>
          <w:szCs w:val="22"/>
        </w:rPr>
        <w:t>7</w:t>
      </w:r>
      <w:r w:rsidR="003F184D" w:rsidRPr="003F184D">
        <w:rPr>
          <w:rFonts w:asciiTheme="majorBidi" w:hAnsiTheme="majorBidi" w:cstheme="majorBidi"/>
          <w:sz w:val="22"/>
          <w:szCs w:val="22"/>
        </w:rPr>
        <w:t>,</w:t>
      </w:r>
      <w:r w:rsidR="00C53044">
        <w:rPr>
          <w:rFonts w:asciiTheme="majorBidi" w:hAnsiTheme="majorBidi" w:cstheme="majorBidi"/>
          <w:sz w:val="22"/>
          <w:szCs w:val="22"/>
        </w:rPr>
        <w:t>3</w:t>
      </w:r>
      <w:r w:rsidR="009C215D" w:rsidRPr="003F184D">
        <w:rPr>
          <w:rFonts w:asciiTheme="majorBidi" w:hAnsiTheme="majorBidi" w:cstheme="majorBidi"/>
          <w:sz w:val="22"/>
          <w:szCs w:val="22"/>
        </w:rPr>
        <w:t xml:space="preserve">% et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E10220" w:rsidRPr="003F184D">
        <w:rPr>
          <w:rFonts w:asciiTheme="majorBidi" w:hAnsiTheme="majorBidi" w:cstheme="majorBidi"/>
          <w:sz w:val="22"/>
          <w:szCs w:val="22"/>
        </w:rPr>
        <w:t>d</w:t>
      </w:r>
      <w:r w:rsidR="00C53044">
        <w:rPr>
          <w:rFonts w:asciiTheme="majorBidi" w:hAnsiTheme="majorBidi" w:cstheme="majorBidi"/>
          <w:sz w:val="22"/>
          <w:szCs w:val="22"/>
        </w:rPr>
        <w:t xml:space="preserve">es </w:t>
      </w:r>
      <w:r w:rsidR="00E10220" w:rsidRPr="003F184D">
        <w:rPr>
          <w:rFonts w:asciiTheme="majorBidi" w:hAnsiTheme="majorBidi" w:cstheme="majorBidi"/>
          <w:sz w:val="22"/>
          <w:szCs w:val="22"/>
        </w:rPr>
        <w:t xml:space="preserve"> "</w:t>
      </w:r>
      <w:r w:rsidR="00C53044">
        <w:rPr>
          <w:rFonts w:asciiTheme="majorBidi" w:hAnsiTheme="majorBidi" w:cstheme="majorBidi"/>
          <w:sz w:val="22"/>
          <w:szCs w:val="22"/>
        </w:rPr>
        <w:t>Poissons et fruits de mer</w:t>
      </w:r>
      <w:r w:rsidR="00E10220" w:rsidRPr="003F184D">
        <w:rPr>
          <w:rFonts w:asciiTheme="majorBidi" w:hAnsiTheme="majorBidi" w:cstheme="majorBidi"/>
          <w:sz w:val="22"/>
          <w:szCs w:val="22"/>
        </w:rPr>
        <w:t>" avec 1</w:t>
      </w:r>
      <w:r w:rsidR="003F184D" w:rsidRPr="003F184D">
        <w:rPr>
          <w:rFonts w:asciiTheme="majorBidi" w:hAnsiTheme="majorBidi" w:cstheme="majorBidi"/>
          <w:sz w:val="22"/>
          <w:szCs w:val="22"/>
        </w:rPr>
        <w:t>0</w:t>
      </w:r>
      <w:r w:rsidR="009C215D" w:rsidRPr="003F184D">
        <w:rPr>
          <w:rFonts w:asciiTheme="majorBidi" w:hAnsiTheme="majorBidi" w:cstheme="majorBidi"/>
          <w:sz w:val="22"/>
          <w:szCs w:val="22"/>
        </w:rPr>
        <w:t xml:space="preserve">%. </w:t>
      </w:r>
      <w:r w:rsidR="000B02DB" w:rsidRPr="003F184D">
        <w:rPr>
          <w:rFonts w:asciiTheme="majorBidi" w:hAnsiTheme="majorBidi" w:cstheme="majorBidi"/>
          <w:sz w:val="22"/>
          <w:szCs w:val="22"/>
        </w:rPr>
        <w:t>Quant à la 2</w:t>
      </w:r>
      <w:r w:rsidR="000B02DB" w:rsidRPr="003F184D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 division qui comprend les "Boissons alcoolisées et </w:t>
      </w:r>
      <w:r w:rsidR="009C215D" w:rsidRPr="003F184D">
        <w:rPr>
          <w:rFonts w:asciiTheme="majorBidi" w:hAnsiTheme="majorBidi" w:cstheme="majorBidi"/>
          <w:sz w:val="22"/>
          <w:szCs w:val="22"/>
        </w:rPr>
        <w:t>T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abac", on observe une </w:t>
      </w:r>
      <w:r w:rsidR="00E168CB">
        <w:rPr>
          <w:rFonts w:asciiTheme="majorBidi" w:hAnsiTheme="majorBidi" w:cstheme="majorBidi"/>
          <w:sz w:val="22"/>
          <w:szCs w:val="22"/>
        </w:rPr>
        <w:t>augmentation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 significative pour la </w:t>
      </w:r>
      <w:r w:rsidR="0057607A" w:rsidRPr="003F184D">
        <w:rPr>
          <w:rFonts w:asciiTheme="majorBidi" w:hAnsiTheme="majorBidi" w:cstheme="majorBidi"/>
          <w:sz w:val="22"/>
          <w:szCs w:val="22"/>
        </w:rPr>
        <w:t>"</w:t>
      </w:r>
      <w:r w:rsidR="000B02DB" w:rsidRPr="003F184D">
        <w:rPr>
          <w:rFonts w:asciiTheme="majorBidi" w:hAnsiTheme="majorBidi" w:cstheme="majorBidi"/>
          <w:sz w:val="22"/>
          <w:szCs w:val="22"/>
        </w:rPr>
        <w:t>Bière</w:t>
      </w:r>
      <w:r w:rsidR="0057607A" w:rsidRPr="003F184D">
        <w:rPr>
          <w:rFonts w:asciiTheme="majorBidi" w:hAnsiTheme="majorBidi" w:cstheme="majorBidi"/>
          <w:sz w:val="22"/>
          <w:szCs w:val="22"/>
        </w:rPr>
        <w:t>"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 dont l’indice a grimpé de 12,6%.</w:t>
      </w:r>
    </w:p>
    <w:p w:rsidR="00467888" w:rsidRPr="003F184D" w:rsidRDefault="000B02DB" w:rsidP="00E168CB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Pr="003F184D">
        <w:rPr>
          <w:rFonts w:asciiTheme="majorBidi" w:hAnsiTheme="majorBidi" w:cstheme="majorBidi"/>
          <w:sz w:val="22"/>
          <w:szCs w:val="22"/>
        </w:rPr>
        <w:t>les</w:t>
      </w:r>
      <w:r w:rsidR="005F52BA" w:rsidRPr="003F184D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3F184D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3F184D">
        <w:rPr>
          <w:rFonts w:asciiTheme="majorBidi" w:hAnsiTheme="majorBidi" w:cstheme="majorBidi"/>
          <w:sz w:val="22"/>
          <w:szCs w:val="22"/>
        </w:rPr>
        <w:t xml:space="preserve">non alimentaires, </w:t>
      </w:r>
      <w:r w:rsidR="00E168CB">
        <w:rPr>
          <w:rFonts w:asciiTheme="majorBidi" w:hAnsiTheme="majorBidi" w:cstheme="majorBidi"/>
          <w:sz w:val="22"/>
          <w:szCs w:val="22"/>
        </w:rPr>
        <w:t>la hausse</w:t>
      </w:r>
      <w:r w:rsidR="00CF0D43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Pr="003F184D">
        <w:rPr>
          <w:rFonts w:asciiTheme="majorBidi" w:hAnsiTheme="majorBidi" w:cstheme="majorBidi"/>
          <w:sz w:val="22"/>
          <w:szCs w:val="22"/>
        </w:rPr>
        <w:t>l</w:t>
      </w:r>
      <w:r w:rsidR="00E168CB">
        <w:rPr>
          <w:rFonts w:asciiTheme="majorBidi" w:hAnsiTheme="majorBidi" w:cstheme="majorBidi"/>
          <w:sz w:val="22"/>
          <w:szCs w:val="22"/>
        </w:rPr>
        <w:t xml:space="preserve">a </w:t>
      </w:r>
      <w:r w:rsidRPr="003F184D">
        <w:rPr>
          <w:rFonts w:asciiTheme="majorBidi" w:hAnsiTheme="majorBidi" w:cstheme="majorBidi"/>
          <w:sz w:val="22"/>
          <w:szCs w:val="22"/>
        </w:rPr>
        <w:t xml:space="preserve"> plus </w:t>
      </w:r>
      <w:r w:rsidR="00E168CB">
        <w:rPr>
          <w:rFonts w:asciiTheme="majorBidi" w:hAnsiTheme="majorBidi" w:cstheme="majorBidi"/>
          <w:sz w:val="22"/>
          <w:szCs w:val="22"/>
        </w:rPr>
        <w:t>forte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E168CB">
        <w:rPr>
          <w:rFonts w:asciiTheme="majorBidi" w:hAnsiTheme="majorBidi" w:cstheme="majorBidi"/>
          <w:sz w:val="22"/>
          <w:szCs w:val="22"/>
        </w:rPr>
        <w:t>a été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9C215D" w:rsidRPr="003F184D">
        <w:rPr>
          <w:rFonts w:asciiTheme="majorBidi" w:hAnsiTheme="majorBidi" w:cstheme="majorBidi"/>
          <w:sz w:val="22"/>
          <w:szCs w:val="22"/>
        </w:rPr>
        <w:t xml:space="preserve">enregistrée auprès </w:t>
      </w:r>
      <w:r w:rsidR="00E168CB">
        <w:rPr>
          <w:rFonts w:asciiTheme="majorBidi" w:hAnsiTheme="majorBidi" w:cstheme="majorBidi"/>
          <w:sz w:val="22"/>
          <w:szCs w:val="22"/>
        </w:rPr>
        <w:t xml:space="preserve"> </w:t>
      </w:r>
      <w:r w:rsidR="00A45682" w:rsidRPr="003F184D">
        <w:rPr>
          <w:rFonts w:asciiTheme="majorBidi" w:hAnsiTheme="majorBidi" w:cstheme="majorBidi"/>
          <w:sz w:val="22"/>
          <w:szCs w:val="22"/>
        </w:rPr>
        <w:t>d</w:t>
      </w:r>
      <w:r w:rsidRPr="003F184D">
        <w:rPr>
          <w:rFonts w:asciiTheme="majorBidi" w:hAnsiTheme="majorBidi" w:cstheme="majorBidi"/>
          <w:sz w:val="22"/>
          <w:szCs w:val="22"/>
        </w:rPr>
        <w:t xml:space="preserve">es </w:t>
      </w:r>
      <w:r w:rsidR="00A45682" w:rsidRPr="003F184D">
        <w:rPr>
          <w:rFonts w:asciiTheme="majorBidi" w:hAnsiTheme="majorBidi" w:cstheme="majorBidi"/>
          <w:sz w:val="22"/>
          <w:szCs w:val="22"/>
        </w:rPr>
        <w:t>"</w:t>
      </w:r>
      <w:r w:rsidRPr="003F184D">
        <w:rPr>
          <w:rFonts w:asciiTheme="majorBidi" w:hAnsiTheme="majorBidi" w:cstheme="majorBidi"/>
          <w:sz w:val="22"/>
          <w:szCs w:val="22"/>
        </w:rPr>
        <w:t>Restaurants et hôtels</w:t>
      </w:r>
      <w:r w:rsidR="00A45682" w:rsidRPr="003F184D">
        <w:rPr>
          <w:rFonts w:asciiTheme="majorBidi" w:hAnsiTheme="majorBidi" w:cstheme="majorBidi"/>
          <w:sz w:val="22"/>
          <w:szCs w:val="22"/>
        </w:rPr>
        <w:t>" avec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1</w:t>
      </w:r>
      <w:r w:rsidR="009C215D" w:rsidRPr="003F184D">
        <w:rPr>
          <w:rFonts w:asciiTheme="majorBidi" w:hAnsiTheme="majorBidi" w:cstheme="majorBidi"/>
          <w:sz w:val="22"/>
          <w:szCs w:val="22"/>
        </w:rPr>
        <w:t>2</w:t>
      </w:r>
      <w:r w:rsidR="00467888" w:rsidRPr="003F184D">
        <w:rPr>
          <w:rFonts w:asciiTheme="majorBidi" w:hAnsiTheme="majorBidi" w:cstheme="majorBidi"/>
          <w:sz w:val="22"/>
          <w:szCs w:val="22"/>
        </w:rPr>
        <w:t>,</w:t>
      </w:r>
      <w:r w:rsidR="009C215D" w:rsidRPr="003F184D">
        <w:rPr>
          <w:rFonts w:asciiTheme="majorBidi" w:hAnsiTheme="majorBidi" w:cstheme="majorBidi"/>
          <w:sz w:val="22"/>
          <w:szCs w:val="22"/>
        </w:rPr>
        <w:t>4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%. </w:t>
      </w:r>
      <w:r w:rsidR="00E168CB">
        <w:rPr>
          <w:rFonts w:asciiTheme="majorBidi" w:hAnsiTheme="majorBidi" w:cstheme="majorBidi"/>
          <w:sz w:val="22"/>
          <w:szCs w:val="22"/>
        </w:rPr>
        <w:t>Six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autres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divisions ont également varié positivement </w:t>
      </w:r>
      <w:r w:rsidR="001E00A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mais </w:t>
      </w:r>
      <w:r w:rsidR="00467888" w:rsidRPr="003F184D">
        <w:rPr>
          <w:rFonts w:asciiTheme="majorBidi" w:hAnsiTheme="majorBidi" w:cstheme="majorBidi"/>
          <w:sz w:val="22"/>
          <w:szCs w:val="22"/>
        </w:rPr>
        <w:t>avec des taux</w:t>
      </w:r>
      <w:r w:rsidR="001E00AD" w:rsidRPr="003F184D">
        <w:rPr>
          <w:rFonts w:asciiTheme="majorBidi" w:hAnsiTheme="majorBidi" w:cstheme="majorBidi"/>
          <w:sz w:val="22"/>
          <w:szCs w:val="22"/>
        </w:rPr>
        <w:t xml:space="preserve"> moins importants et qui vont  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0,1% 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pour les "Communications" </w:t>
      </w:r>
      <w:r w:rsidR="00960B6C" w:rsidRPr="003F184D">
        <w:rPr>
          <w:rFonts w:asciiTheme="majorBidi" w:hAnsiTheme="majorBidi" w:cstheme="majorBidi"/>
          <w:sz w:val="22"/>
          <w:szCs w:val="22"/>
        </w:rPr>
        <w:t>à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E168CB">
        <w:rPr>
          <w:rFonts w:asciiTheme="majorBidi" w:hAnsiTheme="majorBidi" w:cstheme="majorBidi"/>
          <w:sz w:val="22"/>
          <w:szCs w:val="22"/>
        </w:rPr>
        <w:t xml:space="preserve"> 3</w:t>
      </w:r>
      <w:r w:rsidR="00960B6C" w:rsidRPr="003F184D">
        <w:rPr>
          <w:rFonts w:asciiTheme="majorBidi" w:hAnsiTheme="majorBidi" w:cstheme="majorBidi"/>
          <w:sz w:val="22"/>
          <w:szCs w:val="22"/>
        </w:rPr>
        <w:t>,</w:t>
      </w:r>
      <w:r w:rsidR="00E168CB">
        <w:rPr>
          <w:rFonts w:asciiTheme="majorBidi" w:hAnsiTheme="majorBidi" w:cstheme="majorBidi"/>
          <w:sz w:val="22"/>
          <w:szCs w:val="22"/>
        </w:rPr>
        <w:t>7</w:t>
      </w:r>
      <w:r w:rsidR="00960B6C" w:rsidRPr="003F184D">
        <w:rPr>
          <w:rFonts w:asciiTheme="majorBidi" w:hAnsiTheme="majorBidi" w:cstheme="majorBidi"/>
          <w:sz w:val="22"/>
          <w:szCs w:val="22"/>
        </w:rPr>
        <w:t>%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pour les "</w:t>
      </w:r>
      <w:r w:rsidR="00E168CB">
        <w:rPr>
          <w:rFonts w:asciiTheme="majorBidi" w:hAnsiTheme="majorBidi" w:cstheme="majorBidi"/>
          <w:sz w:val="22"/>
          <w:szCs w:val="22"/>
        </w:rPr>
        <w:t>Meubles, articles de ménage et entretien courant du foyer</w:t>
      </w:r>
      <w:r w:rsidR="00887E7D" w:rsidRPr="003F184D">
        <w:rPr>
          <w:rFonts w:asciiTheme="majorBidi" w:hAnsiTheme="majorBidi" w:cstheme="majorBidi"/>
          <w:sz w:val="22"/>
          <w:szCs w:val="22"/>
        </w:rPr>
        <w:t>"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. Toutefois, </w:t>
      </w:r>
      <w:r w:rsidR="00887E7D" w:rsidRPr="003F184D">
        <w:rPr>
          <w:rFonts w:asciiTheme="majorBidi" w:hAnsiTheme="majorBidi" w:cstheme="majorBidi"/>
          <w:sz w:val="22"/>
          <w:szCs w:val="22"/>
        </w:rPr>
        <w:t>trois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divisions</w:t>
      </w:r>
      <w:r w:rsidR="00E749E9" w:rsidRPr="003F184D">
        <w:rPr>
          <w:rFonts w:asciiTheme="majorBidi" w:hAnsiTheme="majorBidi" w:cstheme="majorBidi"/>
          <w:sz w:val="22"/>
          <w:szCs w:val="22"/>
        </w:rPr>
        <w:t>,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à savoir</w:t>
      </w:r>
      <w:r w:rsidR="00DC34DB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la "Santé"  les "Transports"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et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les "Loisirs et culture"</w:t>
      </w:r>
      <w:r w:rsidR="00E749E9" w:rsidRPr="003F184D">
        <w:rPr>
          <w:rFonts w:asciiTheme="majorBidi" w:hAnsiTheme="majorBidi" w:cstheme="majorBidi"/>
          <w:sz w:val="22"/>
          <w:szCs w:val="22"/>
        </w:rPr>
        <w:t>,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ont </w:t>
      </w:r>
      <w:r w:rsidR="00E168CB">
        <w:rPr>
          <w:rFonts w:asciiTheme="majorBidi" w:hAnsiTheme="majorBidi" w:cstheme="majorBidi"/>
          <w:sz w:val="22"/>
          <w:szCs w:val="22"/>
        </w:rPr>
        <w:t>connu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une baisse de leurs indices avec, respectivement 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3F184D">
        <w:rPr>
          <w:rFonts w:asciiTheme="majorBidi" w:hAnsiTheme="majorBidi" w:cstheme="majorBidi"/>
          <w:sz w:val="22"/>
          <w:szCs w:val="22"/>
        </w:rPr>
        <w:t>(-</w:t>
      </w:r>
      <w:r w:rsidR="003F184D" w:rsidRPr="003F184D">
        <w:rPr>
          <w:rFonts w:asciiTheme="majorBidi" w:hAnsiTheme="majorBidi" w:cstheme="majorBidi"/>
          <w:sz w:val="22"/>
          <w:szCs w:val="22"/>
        </w:rPr>
        <w:t>0</w:t>
      </w:r>
      <w:r w:rsidR="00960B6C" w:rsidRPr="003F184D">
        <w:rPr>
          <w:rFonts w:asciiTheme="majorBidi" w:hAnsiTheme="majorBidi" w:cstheme="majorBidi"/>
          <w:sz w:val="22"/>
          <w:szCs w:val="22"/>
        </w:rPr>
        <w:t>,2%)</w:t>
      </w:r>
      <w:r w:rsidR="00E168CB">
        <w:rPr>
          <w:rFonts w:asciiTheme="majorBidi" w:hAnsiTheme="majorBidi" w:cstheme="majorBidi"/>
          <w:sz w:val="22"/>
          <w:szCs w:val="22"/>
        </w:rPr>
        <w:t xml:space="preserve"> pour les deux premières divisions </w:t>
      </w:r>
      <w:r w:rsidR="00887E7D" w:rsidRPr="003F184D">
        <w:rPr>
          <w:rFonts w:asciiTheme="majorBidi" w:hAnsiTheme="majorBidi" w:cstheme="majorBidi"/>
          <w:sz w:val="22"/>
          <w:szCs w:val="22"/>
        </w:rPr>
        <w:t>et (-0,</w:t>
      </w:r>
      <w:r w:rsidR="003F184D" w:rsidRPr="003F184D">
        <w:rPr>
          <w:rFonts w:asciiTheme="majorBidi" w:hAnsiTheme="majorBidi" w:cstheme="majorBidi"/>
          <w:sz w:val="22"/>
          <w:szCs w:val="22"/>
        </w:rPr>
        <w:t>7</w:t>
      </w:r>
      <w:r w:rsidR="00887E7D" w:rsidRPr="003F184D">
        <w:rPr>
          <w:rFonts w:asciiTheme="majorBidi" w:hAnsiTheme="majorBidi" w:cstheme="majorBidi"/>
          <w:sz w:val="22"/>
          <w:szCs w:val="22"/>
        </w:rPr>
        <w:t>%)</w:t>
      </w:r>
      <w:r w:rsidR="00DC34DB">
        <w:rPr>
          <w:rFonts w:asciiTheme="majorBidi" w:hAnsiTheme="majorBidi" w:cstheme="majorBidi"/>
          <w:sz w:val="22"/>
          <w:szCs w:val="22"/>
        </w:rPr>
        <w:t xml:space="preserve"> pour la troisième</w:t>
      </w:r>
      <w:r w:rsidR="00960B6C" w:rsidRPr="003F184D">
        <w:rPr>
          <w:rFonts w:asciiTheme="majorBidi" w:hAnsiTheme="majorBidi" w:cstheme="majorBidi"/>
          <w:sz w:val="22"/>
          <w:szCs w:val="22"/>
        </w:rPr>
        <w:t>.</w:t>
      </w:r>
    </w:p>
    <w:p w:rsidR="00A708BE" w:rsidRPr="003F184D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3F184D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AE19D3" w:rsidRPr="003F184D" w:rsidRDefault="00AE19D3" w:rsidP="00BD45B0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Entre Septembre et Octobre 2023, huit villes ont connu une baisse de leurs indices allant de (-2,6%) pour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Beni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Mellal à (-0,2%) pour Marrakech et Dakhla. La stagnation des indices a été constatée dans les villes de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et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>. Le reste des cités, objet du champ de l’IPC</w:t>
      </w:r>
      <w:r w:rsidR="00BD45B0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(base 100,2017), ont vu leurs indices varier positivement au cours de ce mois</w:t>
      </w:r>
      <w:r w:rsidR="00BD45B0">
        <w:rPr>
          <w:rFonts w:ascii="Times New Roman" w:hAnsi="Times New Roman"/>
          <w:spacing w:val="0"/>
          <w:sz w:val="24"/>
          <w:szCs w:val="24"/>
          <w:lang w:eastAsia="fr-FR"/>
        </w:rPr>
        <w:t>. Il s’agit des villes d’Agadir, Casablanca, et Tétouan avec 0,1%, de Tanger avec 0,2%, de Fès, Kenitra et Rabat avec 0,5% et de  Laayoune avec 0,6%.</w:t>
      </w: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5460D5" w:rsidRPr="005460D5" w:rsidTr="005460D5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460D5" w:rsidRPr="005460D5" w:rsidTr="005460D5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7,2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7,1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3,6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3,7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12,4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3,9</w:t>
            </w:r>
          </w:p>
        </w:tc>
      </w:tr>
      <w:tr w:rsidR="005460D5" w:rsidRPr="005460D5" w:rsidTr="005460D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853"/>
        <w:gridCol w:w="1341"/>
        <w:gridCol w:w="941"/>
        <w:gridCol w:w="1127"/>
        <w:gridCol w:w="941"/>
        <w:gridCol w:w="834"/>
        <w:gridCol w:w="850"/>
      </w:tblGrid>
      <w:tr w:rsidR="005460D5" w:rsidRPr="005460D5" w:rsidTr="005460D5">
        <w:trPr>
          <w:trHeight w:val="510"/>
          <w:tblHeader/>
        </w:trPr>
        <w:tc>
          <w:tcPr>
            <w:tcW w:w="198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460D5" w:rsidRPr="005460D5" w:rsidTr="005460D5">
        <w:trPr>
          <w:trHeight w:val="540"/>
          <w:tblHeader/>
        </w:trPr>
        <w:tc>
          <w:tcPr>
            <w:tcW w:w="198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460D5" w:rsidRPr="005460D5" w:rsidRDefault="005460D5" w:rsidP="005460D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460D5" w:rsidRPr="005460D5" w:rsidTr="005460D5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7,2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7,6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-2,5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114,0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114,2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10,0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122,1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7,5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145,4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145,7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126,2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148,0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-1,6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17,3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140,8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147,4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4,7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21,2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5460D5" w:rsidRPr="005460D5" w:rsidTr="005460D5">
        <w:trPr>
          <w:trHeight w:val="54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5460D5" w:rsidRPr="005460D5" w:rsidTr="005460D5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2,0</w:t>
            </w:r>
          </w:p>
        </w:tc>
      </w:tr>
      <w:tr w:rsidR="005460D5" w:rsidRPr="005460D5" w:rsidTr="005460D5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5460D5" w:rsidRPr="005460D5" w:rsidTr="005460D5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5460D5" w:rsidRPr="005460D5" w:rsidTr="005460D5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60D5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5460D5" w:rsidRPr="005460D5" w:rsidTr="005460D5">
        <w:trPr>
          <w:trHeight w:val="31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7,1</w:t>
            </w:r>
          </w:p>
        </w:tc>
      </w:tr>
      <w:tr w:rsidR="005460D5" w:rsidRPr="005460D5" w:rsidTr="005460D5">
        <w:trPr>
          <w:trHeight w:val="42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460D5" w:rsidRPr="005460D5" w:rsidRDefault="005460D5" w:rsidP="005460D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60D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5F" w:rsidRDefault="00DD555F">
      <w:r>
        <w:separator/>
      </w:r>
    </w:p>
    <w:p w:rsidR="00DD555F" w:rsidRDefault="00DD555F"/>
  </w:endnote>
  <w:endnote w:type="continuationSeparator" w:id="0">
    <w:p w:rsidR="00DD555F" w:rsidRDefault="00DD555F">
      <w:r>
        <w:continuationSeparator/>
      </w:r>
    </w:p>
    <w:p w:rsidR="00DD555F" w:rsidRDefault="00DD55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FB06A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5F" w:rsidRDefault="00DD555F">
      <w:r>
        <w:separator/>
      </w:r>
    </w:p>
    <w:p w:rsidR="00DD555F" w:rsidRDefault="00DD555F"/>
  </w:footnote>
  <w:footnote w:type="continuationSeparator" w:id="0">
    <w:p w:rsidR="00DD555F" w:rsidRDefault="00DD555F">
      <w:r>
        <w:continuationSeparator/>
      </w:r>
    </w:p>
    <w:p w:rsidR="00DD555F" w:rsidRDefault="00DD55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6EE7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BBCE7B-9867-48A7-861C-965A4764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2023-11-23T11:50:00Z</dcterms:created>
  <dcterms:modified xsi:type="dcterms:W3CDTF">2023-11-24T10:23:00Z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