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7B7F86" w:rsidP="007B7F8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Janvier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DC771D" w:rsidRDefault="00C11EDD" w:rsidP="00C11ED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DC771D">
        <w:rPr>
          <w:rFonts w:asciiTheme="majorBidi" w:hAnsiTheme="majorBidi" w:cstheme="majorBidi"/>
          <w:sz w:val="22"/>
          <w:szCs w:val="22"/>
        </w:rPr>
        <w:t xml:space="preserve">Le début de l’année  2024 a été marqué par un recul du niveau général des prix. En effet,  l’Indice des Prix à la Consommation du </w:t>
      </w:r>
      <w:r w:rsidR="00E4125B" w:rsidRPr="00DC771D">
        <w:rPr>
          <w:rFonts w:asciiTheme="majorBidi" w:hAnsiTheme="majorBidi" w:cstheme="majorBidi"/>
          <w:sz w:val="22"/>
          <w:szCs w:val="22"/>
        </w:rPr>
        <w:t xml:space="preserve"> mois de </w:t>
      </w:r>
      <w:r w:rsidRPr="00DC771D">
        <w:rPr>
          <w:rFonts w:asciiTheme="majorBidi" w:hAnsiTheme="majorBidi" w:cstheme="majorBidi"/>
          <w:sz w:val="22"/>
          <w:szCs w:val="22"/>
        </w:rPr>
        <w:t xml:space="preserve">Janvier </w:t>
      </w:r>
      <w:r w:rsidR="00E4125B" w:rsidRPr="00DC771D">
        <w:rPr>
          <w:rFonts w:asciiTheme="majorBidi" w:hAnsiTheme="majorBidi" w:cstheme="majorBidi"/>
          <w:sz w:val="22"/>
          <w:szCs w:val="22"/>
        </w:rPr>
        <w:t xml:space="preserve"> a enregistré un taux d’inflation négatif, soit (-0,7%) par rapport à Décembre 2023, contre (-0,6%) pour le niveau national.</w:t>
      </w:r>
    </w:p>
    <w:p w:rsidR="002B4717" w:rsidRPr="00DC771D" w:rsidRDefault="00986F1B" w:rsidP="001A7908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DC771D">
        <w:rPr>
          <w:rFonts w:asciiTheme="majorBidi" w:hAnsiTheme="majorBidi" w:cstheme="majorBidi"/>
          <w:sz w:val="22"/>
          <w:szCs w:val="22"/>
        </w:rPr>
        <w:t xml:space="preserve">Cette </w:t>
      </w:r>
      <w:r w:rsidR="00C11EDD" w:rsidRPr="00DC771D">
        <w:rPr>
          <w:rFonts w:asciiTheme="majorBidi" w:hAnsiTheme="majorBidi" w:cstheme="majorBidi"/>
          <w:sz w:val="22"/>
          <w:szCs w:val="22"/>
        </w:rPr>
        <w:t>régression</w:t>
      </w:r>
      <w:r w:rsidR="00E4125B" w:rsidRPr="00DC771D">
        <w:rPr>
          <w:rFonts w:asciiTheme="majorBidi" w:hAnsiTheme="majorBidi" w:cstheme="majorBidi"/>
          <w:sz w:val="22"/>
          <w:szCs w:val="22"/>
        </w:rPr>
        <w:t xml:space="preserve"> de </w:t>
      </w:r>
      <w:r w:rsidR="00C11EDD" w:rsidRPr="00DC771D">
        <w:rPr>
          <w:rFonts w:asciiTheme="majorBidi" w:hAnsiTheme="majorBidi" w:cstheme="majorBidi"/>
          <w:sz w:val="22"/>
          <w:szCs w:val="22"/>
        </w:rPr>
        <w:t xml:space="preserve">l’IPC  </w:t>
      </w:r>
      <w:r w:rsidR="00E4125B" w:rsidRPr="00DC771D">
        <w:rPr>
          <w:rFonts w:asciiTheme="majorBidi" w:hAnsiTheme="majorBidi" w:cstheme="majorBidi"/>
          <w:sz w:val="22"/>
          <w:szCs w:val="22"/>
        </w:rPr>
        <w:t xml:space="preserve">provient </w:t>
      </w:r>
      <w:r w:rsidR="008E6EE7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DC771D">
        <w:rPr>
          <w:rFonts w:asciiTheme="majorBidi" w:hAnsiTheme="majorBidi" w:cstheme="majorBidi"/>
          <w:sz w:val="22"/>
          <w:szCs w:val="22"/>
        </w:rPr>
        <w:t>de la baisse</w:t>
      </w:r>
      <w:r w:rsidR="001A7908" w:rsidRPr="00DC771D">
        <w:rPr>
          <w:rFonts w:asciiTheme="majorBidi" w:hAnsiTheme="majorBidi" w:cstheme="majorBidi"/>
          <w:sz w:val="22"/>
          <w:szCs w:val="22"/>
        </w:rPr>
        <w:t xml:space="preserve"> simultanée </w:t>
      </w:r>
      <w:r w:rsidR="00E4125B" w:rsidRPr="00DC771D">
        <w:rPr>
          <w:rFonts w:asciiTheme="majorBidi" w:hAnsiTheme="majorBidi" w:cstheme="majorBidi"/>
          <w:sz w:val="22"/>
          <w:szCs w:val="22"/>
        </w:rPr>
        <w:t xml:space="preserve"> de </w:t>
      </w:r>
      <w:r w:rsidR="00CB4E32" w:rsidRPr="00DC771D">
        <w:rPr>
          <w:rFonts w:asciiTheme="majorBidi" w:hAnsiTheme="majorBidi" w:cstheme="majorBidi"/>
          <w:sz w:val="22"/>
          <w:szCs w:val="22"/>
        </w:rPr>
        <w:t>l’indice</w:t>
      </w:r>
      <w:r w:rsidR="00E4125B" w:rsidRPr="00DC771D">
        <w:rPr>
          <w:rFonts w:asciiTheme="majorBidi" w:hAnsiTheme="majorBidi" w:cstheme="majorBidi"/>
          <w:sz w:val="22"/>
          <w:szCs w:val="22"/>
        </w:rPr>
        <w:t xml:space="preserve"> de la grande division </w:t>
      </w:r>
      <w:r w:rsidR="002B4717" w:rsidRPr="00DC771D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="00E4125B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1A7908" w:rsidRPr="00DC771D">
        <w:rPr>
          <w:rFonts w:asciiTheme="majorBidi" w:hAnsiTheme="majorBidi" w:cstheme="majorBidi"/>
          <w:sz w:val="22"/>
          <w:szCs w:val="22"/>
        </w:rPr>
        <w:t>et de</w:t>
      </w:r>
      <w:r w:rsidR="00E4125B" w:rsidRPr="00DC771D">
        <w:rPr>
          <w:rFonts w:asciiTheme="majorBidi" w:hAnsiTheme="majorBidi" w:cstheme="majorBidi"/>
          <w:sz w:val="22"/>
          <w:szCs w:val="22"/>
        </w:rPr>
        <w:t xml:space="preserve"> celui </w:t>
      </w:r>
      <w:r w:rsidR="00CB1B56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DC771D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DC771D">
        <w:rPr>
          <w:rFonts w:asciiTheme="majorBidi" w:hAnsiTheme="majorBidi" w:cstheme="majorBidi"/>
          <w:sz w:val="22"/>
          <w:szCs w:val="22"/>
        </w:rPr>
        <w:t>alimentaires</w:t>
      </w:r>
      <w:r w:rsidR="00E4125B" w:rsidRPr="00DC771D">
        <w:rPr>
          <w:rFonts w:asciiTheme="majorBidi" w:hAnsiTheme="majorBidi" w:cstheme="majorBidi"/>
          <w:sz w:val="22"/>
          <w:szCs w:val="22"/>
        </w:rPr>
        <w:t>, avec respectivement (-1,1%) et (-0,3%).</w:t>
      </w:r>
    </w:p>
    <w:p w:rsidR="001A7908" w:rsidRPr="00DC771D" w:rsidRDefault="0057544D" w:rsidP="001145D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DC771D">
        <w:rPr>
          <w:rFonts w:asciiTheme="majorBidi" w:hAnsiTheme="majorBidi" w:cstheme="majorBidi"/>
          <w:sz w:val="22"/>
          <w:szCs w:val="22"/>
        </w:rPr>
        <w:t xml:space="preserve">Les </w:t>
      </w:r>
      <w:r w:rsidR="00DC1E02" w:rsidRPr="00DC771D">
        <w:rPr>
          <w:rFonts w:asciiTheme="majorBidi" w:hAnsiTheme="majorBidi" w:cstheme="majorBidi"/>
          <w:sz w:val="22"/>
          <w:szCs w:val="22"/>
        </w:rPr>
        <w:t>classes alimentaires</w:t>
      </w:r>
      <w:r w:rsidR="001A7908" w:rsidRPr="00DC771D">
        <w:rPr>
          <w:rFonts w:asciiTheme="majorBidi" w:hAnsiTheme="majorBidi" w:cstheme="majorBidi"/>
          <w:sz w:val="22"/>
          <w:szCs w:val="22"/>
        </w:rPr>
        <w:t xml:space="preserve"> dont l’indice  a diminué au terme du mois de Janvier</w:t>
      </w:r>
      <w:r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1145D5" w:rsidRPr="00DC771D">
        <w:rPr>
          <w:rFonts w:asciiTheme="majorBidi" w:hAnsiTheme="majorBidi" w:cstheme="majorBidi"/>
          <w:sz w:val="22"/>
          <w:szCs w:val="22"/>
        </w:rPr>
        <w:t xml:space="preserve">2024 </w:t>
      </w:r>
      <w:r w:rsidRPr="00DC771D">
        <w:rPr>
          <w:rFonts w:asciiTheme="majorBidi" w:hAnsiTheme="majorBidi" w:cstheme="majorBidi"/>
          <w:sz w:val="22"/>
          <w:szCs w:val="22"/>
        </w:rPr>
        <w:t xml:space="preserve">sont : les </w:t>
      </w:r>
      <w:r w:rsidR="001A7908" w:rsidRPr="00DC771D">
        <w:rPr>
          <w:rFonts w:asciiTheme="majorBidi" w:hAnsiTheme="majorBidi" w:cstheme="majorBidi"/>
          <w:sz w:val="22"/>
          <w:szCs w:val="22"/>
        </w:rPr>
        <w:t>"Poissons et fruits de mer" avec</w:t>
      </w:r>
      <w:r w:rsidR="001145D5" w:rsidRPr="00DC771D">
        <w:rPr>
          <w:rFonts w:asciiTheme="majorBidi" w:hAnsiTheme="majorBidi" w:cstheme="majorBidi"/>
          <w:sz w:val="22"/>
          <w:szCs w:val="22"/>
        </w:rPr>
        <w:t xml:space="preserve"> (-1,9%) et les "Légumes" avec  </w:t>
      </w:r>
      <w:r w:rsidR="001A7908" w:rsidRPr="00DC771D">
        <w:rPr>
          <w:rFonts w:asciiTheme="majorBidi" w:hAnsiTheme="majorBidi" w:cstheme="majorBidi"/>
          <w:sz w:val="22"/>
          <w:szCs w:val="22"/>
        </w:rPr>
        <w:t>(-11%)</w:t>
      </w:r>
      <w:r w:rsidR="001145D5" w:rsidRPr="00DC771D">
        <w:rPr>
          <w:rFonts w:asciiTheme="majorBidi" w:hAnsiTheme="majorBidi" w:cstheme="majorBidi"/>
          <w:sz w:val="22"/>
          <w:szCs w:val="22"/>
        </w:rPr>
        <w:t>. Tandis que les "Pains et céréales", les "Viandes" et  le " Lait, fromage et œufs" ont connu une stagnation. Les prix du reste des classes ont varié positivement avec des taux allant de 0,2% pour le "Sucre, confiture, miel, chocolat et confiserie" à 4,4% pour les "Fruits".</w:t>
      </w:r>
    </w:p>
    <w:p w:rsidR="00A23AD0" w:rsidRPr="00DC771D" w:rsidRDefault="006556E4" w:rsidP="0008060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DC771D">
        <w:rPr>
          <w:rFonts w:asciiTheme="majorBidi" w:hAnsiTheme="majorBidi" w:cstheme="majorBidi"/>
          <w:sz w:val="22"/>
          <w:szCs w:val="22"/>
        </w:rPr>
        <w:t xml:space="preserve">Du côté des </w:t>
      </w:r>
      <w:r w:rsidR="00A23AD0" w:rsidRPr="00DC771D">
        <w:rPr>
          <w:rFonts w:asciiTheme="majorBidi" w:hAnsiTheme="majorBidi" w:cstheme="majorBidi"/>
          <w:sz w:val="22"/>
          <w:szCs w:val="22"/>
        </w:rPr>
        <w:t>produits non alimentaires</w:t>
      </w:r>
      <w:r w:rsidR="004C1C22" w:rsidRPr="00DC771D">
        <w:rPr>
          <w:rFonts w:asciiTheme="majorBidi" w:hAnsiTheme="majorBidi" w:cstheme="majorBidi"/>
          <w:sz w:val="22"/>
          <w:szCs w:val="22"/>
        </w:rPr>
        <w:t>,</w:t>
      </w:r>
      <w:r w:rsidR="009D3552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3F58B1" w:rsidRPr="00DC771D">
        <w:rPr>
          <w:rFonts w:asciiTheme="majorBidi" w:hAnsiTheme="majorBidi" w:cstheme="majorBidi"/>
          <w:sz w:val="22"/>
          <w:szCs w:val="22"/>
        </w:rPr>
        <w:t>l</w:t>
      </w:r>
      <w:r w:rsidR="001F5C2D" w:rsidRPr="00DC771D">
        <w:rPr>
          <w:rFonts w:asciiTheme="majorBidi" w:hAnsiTheme="majorBidi" w:cstheme="majorBidi"/>
          <w:sz w:val="22"/>
          <w:szCs w:val="22"/>
        </w:rPr>
        <w:t>es</w:t>
      </w:r>
      <w:r w:rsidR="008E7C3D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08060D" w:rsidRPr="00DC771D">
        <w:rPr>
          <w:rFonts w:asciiTheme="majorBidi" w:hAnsiTheme="majorBidi" w:cstheme="majorBidi"/>
          <w:sz w:val="22"/>
          <w:szCs w:val="22"/>
        </w:rPr>
        <w:t>baisses de</w:t>
      </w:r>
      <w:r w:rsidR="008E7C3D" w:rsidRPr="00DC771D">
        <w:rPr>
          <w:rFonts w:asciiTheme="majorBidi" w:hAnsiTheme="majorBidi" w:cstheme="majorBidi"/>
          <w:sz w:val="22"/>
          <w:szCs w:val="22"/>
        </w:rPr>
        <w:t xml:space="preserve"> prix ont concerné</w:t>
      </w:r>
      <w:r w:rsidR="0008060D" w:rsidRPr="00DC771D">
        <w:rPr>
          <w:rFonts w:asciiTheme="majorBidi" w:hAnsiTheme="majorBidi" w:cstheme="majorBidi"/>
          <w:sz w:val="22"/>
          <w:szCs w:val="22"/>
        </w:rPr>
        <w:t xml:space="preserve"> la Santé </w:t>
      </w:r>
      <w:r w:rsidR="008E7C3D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B21030" w:rsidRPr="00DC771D">
        <w:rPr>
          <w:rFonts w:asciiTheme="majorBidi" w:hAnsiTheme="majorBidi" w:cstheme="majorBidi"/>
          <w:sz w:val="22"/>
          <w:szCs w:val="22"/>
        </w:rPr>
        <w:t xml:space="preserve">avec </w:t>
      </w:r>
      <w:r w:rsidR="0008060D" w:rsidRPr="00DC771D">
        <w:rPr>
          <w:rFonts w:asciiTheme="majorBidi" w:hAnsiTheme="majorBidi" w:cstheme="majorBidi"/>
          <w:sz w:val="22"/>
          <w:szCs w:val="22"/>
        </w:rPr>
        <w:t>(-2%)</w:t>
      </w:r>
      <w:r w:rsidR="00B21030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432182" w:rsidRPr="00DC771D">
        <w:rPr>
          <w:rFonts w:asciiTheme="majorBidi" w:hAnsiTheme="majorBidi" w:cstheme="majorBidi"/>
          <w:sz w:val="22"/>
          <w:szCs w:val="22"/>
        </w:rPr>
        <w:t xml:space="preserve">et </w:t>
      </w:r>
      <w:r w:rsidR="00D045FE" w:rsidRPr="00DC771D">
        <w:rPr>
          <w:rFonts w:asciiTheme="majorBidi" w:hAnsiTheme="majorBidi" w:cstheme="majorBidi"/>
          <w:sz w:val="22"/>
          <w:szCs w:val="22"/>
        </w:rPr>
        <w:t xml:space="preserve"> les </w:t>
      </w:r>
      <w:r w:rsidR="00F674E7" w:rsidRPr="00DC771D">
        <w:rPr>
          <w:rFonts w:asciiTheme="majorBidi" w:hAnsiTheme="majorBidi" w:cstheme="majorBidi"/>
          <w:sz w:val="22"/>
          <w:szCs w:val="22"/>
        </w:rPr>
        <w:t xml:space="preserve">"Transports" avec </w:t>
      </w:r>
      <w:r w:rsidR="00432182" w:rsidRPr="00DC771D">
        <w:rPr>
          <w:rFonts w:asciiTheme="majorBidi" w:hAnsiTheme="majorBidi" w:cstheme="majorBidi"/>
          <w:sz w:val="22"/>
          <w:szCs w:val="22"/>
        </w:rPr>
        <w:t>(-</w:t>
      </w:r>
      <w:r w:rsidR="0008060D" w:rsidRPr="00DC771D">
        <w:rPr>
          <w:rFonts w:asciiTheme="majorBidi" w:hAnsiTheme="majorBidi" w:cstheme="majorBidi"/>
          <w:sz w:val="22"/>
          <w:szCs w:val="22"/>
        </w:rPr>
        <w:t>1</w:t>
      </w:r>
      <w:r w:rsidR="00F674E7" w:rsidRPr="00DC771D">
        <w:rPr>
          <w:rFonts w:asciiTheme="majorBidi" w:hAnsiTheme="majorBidi" w:cstheme="majorBidi"/>
          <w:sz w:val="22"/>
          <w:szCs w:val="22"/>
        </w:rPr>
        <w:t>,</w:t>
      </w:r>
      <w:r w:rsidR="0008060D" w:rsidRPr="00DC771D">
        <w:rPr>
          <w:rFonts w:asciiTheme="majorBidi" w:hAnsiTheme="majorBidi" w:cstheme="majorBidi"/>
          <w:sz w:val="22"/>
          <w:szCs w:val="22"/>
        </w:rPr>
        <w:t>2</w:t>
      </w:r>
      <w:r w:rsidR="008E7C3D" w:rsidRPr="00DC771D">
        <w:rPr>
          <w:rFonts w:asciiTheme="majorBidi" w:hAnsiTheme="majorBidi" w:cstheme="majorBidi"/>
          <w:sz w:val="22"/>
          <w:szCs w:val="22"/>
        </w:rPr>
        <w:t>%)</w:t>
      </w:r>
      <w:r w:rsidR="00432182" w:rsidRPr="00DC771D">
        <w:rPr>
          <w:rFonts w:asciiTheme="majorBidi" w:hAnsiTheme="majorBidi" w:cstheme="majorBidi"/>
          <w:sz w:val="22"/>
          <w:szCs w:val="22"/>
        </w:rPr>
        <w:t>.</w:t>
      </w:r>
      <w:r w:rsidR="0008060D" w:rsidRPr="00DC771D">
        <w:rPr>
          <w:rFonts w:asciiTheme="majorBidi" w:hAnsiTheme="majorBidi" w:cstheme="majorBidi"/>
          <w:sz w:val="22"/>
          <w:szCs w:val="22"/>
        </w:rPr>
        <w:t xml:space="preserve"> A l’opposé,  les hausses de prix ont été constatées auprès des "Logements, eau, gaz, électricité et autres combustibles" avec 0,1%, les "Loisirs et culture" avec 0,2% et  les "Biens et services divers" avec 0,1%. Quant au reste des divisions non alimentaires, leurs indices ont stagné au cours de cette période</w:t>
      </w:r>
      <w:r w:rsidR="00F603E0" w:rsidRPr="00DC771D">
        <w:rPr>
          <w:rFonts w:asciiTheme="majorBidi" w:hAnsiTheme="majorBidi" w:cstheme="majorBidi"/>
          <w:sz w:val="22"/>
          <w:szCs w:val="22"/>
        </w:rPr>
        <w:t xml:space="preserve"> mensuelle</w:t>
      </w:r>
      <w:r w:rsidR="0008060D" w:rsidRPr="00DC771D">
        <w:rPr>
          <w:rFonts w:asciiTheme="majorBidi" w:hAnsiTheme="majorBidi" w:cstheme="majorBidi"/>
          <w:sz w:val="22"/>
          <w:szCs w:val="22"/>
        </w:rPr>
        <w:t>.</w:t>
      </w:r>
    </w:p>
    <w:p w:rsidR="004C54F7" w:rsidRPr="00DC771D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DC771D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DC771D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DC771D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DC771D" w:rsidRDefault="00717FDA" w:rsidP="00DC771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DC771D">
        <w:rPr>
          <w:rFonts w:asciiTheme="majorBidi" w:hAnsiTheme="majorBidi" w:cstheme="majorBidi"/>
          <w:sz w:val="22"/>
          <w:szCs w:val="22"/>
        </w:rPr>
        <w:t xml:space="preserve">En </w:t>
      </w:r>
      <w:r w:rsidR="00D82F54" w:rsidRPr="00DC771D">
        <w:rPr>
          <w:rFonts w:asciiTheme="majorBidi" w:hAnsiTheme="majorBidi" w:cstheme="majorBidi"/>
          <w:sz w:val="22"/>
          <w:szCs w:val="22"/>
        </w:rPr>
        <w:t>glissements</w:t>
      </w:r>
      <w:r w:rsidR="00C53044" w:rsidRPr="00DC771D">
        <w:rPr>
          <w:rFonts w:asciiTheme="majorBidi" w:hAnsiTheme="majorBidi" w:cstheme="majorBidi"/>
          <w:sz w:val="22"/>
          <w:szCs w:val="22"/>
        </w:rPr>
        <w:t xml:space="preserve"> annuel</w:t>
      </w:r>
      <w:r w:rsidR="00DA09C1" w:rsidRPr="00DC771D">
        <w:rPr>
          <w:rFonts w:asciiTheme="majorBidi" w:hAnsiTheme="majorBidi" w:cstheme="majorBidi"/>
          <w:sz w:val="22"/>
          <w:szCs w:val="22"/>
        </w:rPr>
        <w:t>s,</w:t>
      </w:r>
      <w:r w:rsidR="004C54F7" w:rsidRPr="00DC771D">
        <w:rPr>
          <w:rFonts w:asciiTheme="majorBidi" w:hAnsiTheme="majorBidi" w:cstheme="majorBidi"/>
          <w:sz w:val="22"/>
          <w:szCs w:val="22"/>
        </w:rPr>
        <w:t xml:space="preserve"> l’indice </w:t>
      </w:r>
      <w:r w:rsidR="00DA09C1" w:rsidRPr="00DC771D">
        <w:rPr>
          <w:rFonts w:asciiTheme="majorBidi" w:hAnsiTheme="majorBidi" w:cstheme="majorBidi"/>
          <w:sz w:val="22"/>
          <w:szCs w:val="22"/>
        </w:rPr>
        <w:t xml:space="preserve">général </w:t>
      </w:r>
      <w:r w:rsidR="004C54F7" w:rsidRPr="00DC771D">
        <w:rPr>
          <w:rFonts w:asciiTheme="majorBidi" w:hAnsiTheme="majorBidi" w:cstheme="majorBidi"/>
          <w:sz w:val="22"/>
          <w:szCs w:val="22"/>
        </w:rPr>
        <w:t>des prix à la consommation</w:t>
      </w:r>
      <w:r w:rsidR="00520FB2" w:rsidRPr="00DC771D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DC771D">
        <w:rPr>
          <w:rFonts w:asciiTheme="majorBidi" w:hAnsiTheme="majorBidi" w:cstheme="majorBidi"/>
          <w:sz w:val="22"/>
          <w:szCs w:val="22"/>
        </w:rPr>
        <w:t>Kenitra</w:t>
      </w:r>
      <w:r w:rsidR="004C54F7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DC771D">
        <w:rPr>
          <w:rFonts w:asciiTheme="majorBidi" w:hAnsiTheme="majorBidi" w:cstheme="majorBidi"/>
          <w:sz w:val="22"/>
          <w:szCs w:val="22"/>
        </w:rPr>
        <w:t xml:space="preserve">a </w:t>
      </w:r>
      <w:r w:rsidR="00F674E7" w:rsidRPr="00DC771D">
        <w:rPr>
          <w:rFonts w:asciiTheme="majorBidi" w:hAnsiTheme="majorBidi" w:cstheme="majorBidi"/>
          <w:sz w:val="22"/>
          <w:szCs w:val="22"/>
        </w:rPr>
        <w:t>progressé</w:t>
      </w:r>
      <w:r w:rsidR="001E5281" w:rsidRPr="00DC771D">
        <w:rPr>
          <w:rFonts w:asciiTheme="majorBidi" w:hAnsiTheme="majorBidi" w:cstheme="majorBidi"/>
          <w:sz w:val="22"/>
          <w:szCs w:val="22"/>
        </w:rPr>
        <w:t xml:space="preserve"> de </w:t>
      </w:r>
      <w:r w:rsidR="000076B1" w:rsidRPr="00DC771D">
        <w:rPr>
          <w:rFonts w:asciiTheme="majorBidi" w:hAnsiTheme="majorBidi" w:cstheme="majorBidi"/>
          <w:sz w:val="22"/>
          <w:szCs w:val="22"/>
        </w:rPr>
        <w:t>2%</w:t>
      </w:r>
      <w:r w:rsidR="004C54F7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DC771D">
        <w:rPr>
          <w:rFonts w:asciiTheme="majorBidi" w:hAnsiTheme="majorBidi" w:cstheme="majorBidi"/>
          <w:sz w:val="22"/>
          <w:szCs w:val="22"/>
        </w:rPr>
        <w:t xml:space="preserve">contre </w:t>
      </w:r>
      <w:r w:rsidR="000076B1" w:rsidRPr="00DC771D">
        <w:rPr>
          <w:rFonts w:asciiTheme="majorBidi" w:hAnsiTheme="majorBidi" w:cstheme="majorBidi"/>
          <w:sz w:val="22"/>
          <w:szCs w:val="22"/>
        </w:rPr>
        <w:t>2</w:t>
      </w:r>
      <w:r w:rsidR="00F674E7" w:rsidRPr="00DC771D">
        <w:rPr>
          <w:rFonts w:asciiTheme="majorBidi" w:hAnsiTheme="majorBidi" w:cstheme="majorBidi"/>
          <w:sz w:val="22"/>
          <w:szCs w:val="22"/>
        </w:rPr>
        <w:t>,</w:t>
      </w:r>
      <w:r w:rsidR="000076B1" w:rsidRPr="00DC771D">
        <w:rPr>
          <w:rFonts w:asciiTheme="majorBidi" w:hAnsiTheme="majorBidi" w:cstheme="majorBidi"/>
          <w:sz w:val="22"/>
          <w:szCs w:val="22"/>
        </w:rPr>
        <w:t>3</w:t>
      </w:r>
      <w:r w:rsidR="006C0A4D" w:rsidRPr="00DC771D">
        <w:rPr>
          <w:rFonts w:asciiTheme="majorBidi" w:hAnsiTheme="majorBidi" w:cstheme="majorBidi"/>
          <w:sz w:val="22"/>
          <w:szCs w:val="22"/>
        </w:rPr>
        <w:t xml:space="preserve">% </w:t>
      </w:r>
      <w:r w:rsidR="00201C28" w:rsidRPr="00DC771D">
        <w:rPr>
          <w:rFonts w:asciiTheme="majorBidi" w:hAnsiTheme="majorBidi" w:cstheme="majorBidi"/>
          <w:sz w:val="22"/>
          <w:szCs w:val="22"/>
        </w:rPr>
        <w:t xml:space="preserve">pour </w:t>
      </w:r>
      <w:r w:rsidR="00F674E7" w:rsidRPr="00DC771D">
        <w:rPr>
          <w:rFonts w:asciiTheme="majorBidi" w:hAnsiTheme="majorBidi" w:cstheme="majorBidi"/>
          <w:sz w:val="22"/>
          <w:szCs w:val="22"/>
        </w:rPr>
        <w:t>celui</w:t>
      </w:r>
      <w:r w:rsidR="00E10220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88736E" w:rsidRPr="00DC771D">
        <w:rPr>
          <w:rFonts w:asciiTheme="majorBidi" w:hAnsiTheme="majorBidi" w:cstheme="majorBidi"/>
          <w:sz w:val="22"/>
          <w:szCs w:val="22"/>
        </w:rPr>
        <w:t xml:space="preserve"> national</w:t>
      </w:r>
      <w:r w:rsidR="00201C28" w:rsidRPr="00DC771D">
        <w:rPr>
          <w:rFonts w:asciiTheme="majorBidi" w:hAnsiTheme="majorBidi" w:cstheme="majorBidi"/>
          <w:sz w:val="22"/>
          <w:szCs w:val="22"/>
        </w:rPr>
        <w:t xml:space="preserve">. Ceci, </w:t>
      </w:r>
      <w:r w:rsidRPr="00DC771D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DC771D">
        <w:rPr>
          <w:rFonts w:asciiTheme="majorBidi" w:hAnsiTheme="majorBidi" w:cstheme="majorBidi"/>
          <w:sz w:val="22"/>
          <w:szCs w:val="22"/>
        </w:rPr>
        <w:t xml:space="preserve">l’effet </w:t>
      </w:r>
      <w:r w:rsidR="00DC771D">
        <w:rPr>
          <w:rFonts w:asciiTheme="majorBidi" w:hAnsiTheme="majorBidi" w:cstheme="majorBidi"/>
          <w:sz w:val="22"/>
          <w:szCs w:val="22"/>
        </w:rPr>
        <w:t>combiné</w:t>
      </w:r>
      <w:r w:rsidR="00DA09C1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1E5281" w:rsidRPr="00DC771D">
        <w:rPr>
          <w:rFonts w:asciiTheme="majorBidi" w:hAnsiTheme="majorBidi" w:cstheme="majorBidi"/>
          <w:sz w:val="22"/>
          <w:szCs w:val="22"/>
        </w:rPr>
        <w:t>de la croissance</w:t>
      </w:r>
      <w:r w:rsidR="00616205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DC771D">
        <w:rPr>
          <w:rFonts w:asciiTheme="majorBidi" w:hAnsiTheme="majorBidi" w:cstheme="majorBidi"/>
          <w:sz w:val="22"/>
          <w:szCs w:val="22"/>
        </w:rPr>
        <w:t xml:space="preserve">des prix </w:t>
      </w:r>
      <w:r w:rsidR="00A131AC" w:rsidRPr="00DC771D">
        <w:rPr>
          <w:rFonts w:asciiTheme="majorBidi" w:hAnsiTheme="majorBidi" w:cstheme="majorBidi"/>
          <w:sz w:val="22"/>
          <w:szCs w:val="22"/>
        </w:rPr>
        <w:t xml:space="preserve">de la grande division </w:t>
      </w:r>
      <w:r w:rsidR="00201C28" w:rsidRPr="00DC771D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DC771D">
        <w:rPr>
          <w:rFonts w:asciiTheme="majorBidi" w:hAnsiTheme="majorBidi" w:cstheme="majorBidi"/>
          <w:sz w:val="22"/>
          <w:szCs w:val="22"/>
        </w:rPr>
        <w:t>"P</w:t>
      </w:r>
      <w:r w:rsidR="00201C28" w:rsidRPr="00DC771D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DC771D">
        <w:rPr>
          <w:rFonts w:asciiTheme="majorBidi" w:hAnsiTheme="majorBidi" w:cstheme="majorBidi"/>
          <w:sz w:val="22"/>
          <w:szCs w:val="22"/>
        </w:rPr>
        <w:t>"</w:t>
      </w:r>
      <w:r w:rsidR="00201C28" w:rsidRPr="00DC771D">
        <w:rPr>
          <w:rFonts w:asciiTheme="majorBidi" w:hAnsiTheme="majorBidi" w:cstheme="majorBidi"/>
          <w:sz w:val="22"/>
          <w:szCs w:val="22"/>
        </w:rPr>
        <w:t xml:space="preserve"> de </w:t>
      </w:r>
      <w:r w:rsidR="000076B1" w:rsidRPr="00DC771D">
        <w:rPr>
          <w:rFonts w:asciiTheme="majorBidi" w:hAnsiTheme="majorBidi" w:cstheme="majorBidi"/>
          <w:sz w:val="22"/>
          <w:szCs w:val="22"/>
        </w:rPr>
        <w:t>3</w:t>
      </w:r>
      <w:r w:rsidR="009C215D" w:rsidRPr="00DC771D">
        <w:rPr>
          <w:rFonts w:asciiTheme="majorBidi" w:hAnsiTheme="majorBidi" w:cstheme="majorBidi"/>
          <w:sz w:val="22"/>
          <w:szCs w:val="22"/>
        </w:rPr>
        <w:t>,</w:t>
      </w:r>
      <w:r w:rsidR="000076B1" w:rsidRPr="00DC771D">
        <w:rPr>
          <w:rFonts w:asciiTheme="majorBidi" w:hAnsiTheme="majorBidi" w:cstheme="majorBidi"/>
          <w:sz w:val="22"/>
          <w:szCs w:val="22"/>
        </w:rPr>
        <w:t>9</w:t>
      </w:r>
      <w:r w:rsidR="00201C28" w:rsidRPr="00DC771D">
        <w:rPr>
          <w:rFonts w:asciiTheme="majorBidi" w:hAnsiTheme="majorBidi" w:cstheme="majorBidi"/>
          <w:sz w:val="22"/>
          <w:szCs w:val="22"/>
        </w:rPr>
        <w:t xml:space="preserve">% et </w:t>
      </w:r>
      <w:r w:rsidR="00616205" w:rsidRPr="00DC771D">
        <w:rPr>
          <w:rFonts w:asciiTheme="majorBidi" w:hAnsiTheme="majorBidi" w:cstheme="majorBidi"/>
          <w:sz w:val="22"/>
          <w:szCs w:val="22"/>
        </w:rPr>
        <w:t>de ce</w:t>
      </w:r>
      <w:r w:rsidR="00A131AC" w:rsidRPr="00DC771D">
        <w:rPr>
          <w:rFonts w:asciiTheme="majorBidi" w:hAnsiTheme="majorBidi" w:cstheme="majorBidi"/>
          <w:sz w:val="22"/>
          <w:szCs w:val="22"/>
        </w:rPr>
        <w:t>lle</w:t>
      </w:r>
      <w:r w:rsidR="00616205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DC771D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DC771D">
        <w:rPr>
          <w:rFonts w:asciiTheme="majorBidi" w:hAnsiTheme="majorBidi" w:cstheme="majorBidi"/>
          <w:sz w:val="22"/>
          <w:szCs w:val="22"/>
        </w:rPr>
        <w:t>"P</w:t>
      </w:r>
      <w:r w:rsidR="00201C28" w:rsidRPr="00DC771D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DC771D">
        <w:rPr>
          <w:rFonts w:asciiTheme="majorBidi" w:hAnsiTheme="majorBidi" w:cstheme="majorBidi"/>
          <w:sz w:val="22"/>
          <w:szCs w:val="22"/>
        </w:rPr>
        <w:t>"</w:t>
      </w:r>
      <w:r w:rsidR="003C3AFE" w:rsidRPr="00DC771D">
        <w:rPr>
          <w:rFonts w:asciiTheme="majorBidi" w:hAnsiTheme="majorBidi" w:cstheme="majorBidi"/>
          <w:sz w:val="22"/>
          <w:szCs w:val="22"/>
        </w:rPr>
        <w:t xml:space="preserve"> de </w:t>
      </w:r>
      <w:r w:rsidR="00DA09C1" w:rsidRPr="00DC771D">
        <w:rPr>
          <w:rFonts w:asciiTheme="majorBidi" w:hAnsiTheme="majorBidi" w:cstheme="majorBidi"/>
          <w:sz w:val="22"/>
          <w:szCs w:val="22"/>
        </w:rPr>
        <w:t>0</w:t>
      </w:r>
      <w:r w:rsidR="00E10220" w:rsidRPr="00DC771D">
        <w:rPr>
          <w:rFonts w:asciiTheme="majorBidi" w:hAnsiTheme="majorBidi" w:cstheme="majorBidi"/>
          <w:sz w:val="22"/>
          <w:szCs w:val="22"/>
        </w:rPr>
        <w:t>,</w:t>
      </w:r>
      <w:r w:rsidR="000076B1" w:rsidRPr="00DC771D">
        <w:rPr>
          <w:rFonts w:asciiTheme="majorBidi" w:hAnsiTheme="majorBidi" w:cstheme="majorBidi"/>
          <w:sz w:val="22"/>
          <w:szCs w:val="22"/>
        </w:rPr>
        <w:t>4</w:t>
      </w:r>
      <w:r w:rsidR="003C3AFE" w:rsidRPr="00DC771D">
        <w:rPr>
          <w:rFonts w:asciiTheme="majorBidi" w:hAnsiTheme="majorBidi" w:cstheme="majorBidi"/>
          <w:sz w:val="22"/>
          <w:szCs w:val="22"/>
        </w:rPr>
        <w:t>%.</w:t>
      </w:r>
      <w:r w:rsidR="00201C28" w:rsidRPr="00DC771D">
        <w:rPr>
          <w:rFonts w:asciiTheme="majorBidi" w:hAnsiTheme="majorBidi" w:cstheme="majorBidi"/>
          <w:sz w:val="22"/>
          <w:szCs w:val="22"/>
        </w:rPr>
        <w:t xml:space="preserve"> </w:t>
      </w:r>
    </w:p>
    <w:p w:rsidR="00563CDD" w:rsidRPr="00DC771D" w:rsidRDefault="00DA09C1" w:rsidP="000076B1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DC771D">
        <w:rPr>
          <w:rFonts w:asciiTheme="majorBidi" w:hAnsiTheme="majorBidi" w:cstheme="majorBidi"/>
          <w:sz w:val="22"/>
          <w:szCs w:val="22"/>
        </w:rPr>
        <w:t>Pour ce qui est de</w:t>
      </w:r>
      <w:r w:rsidR="00A131AC" w:rsidRPr="00DC771D">
        <w:rPr>
          <w:rFonts w:asciiTheme="majorBidi" w:hAnsiTheme="majorBidi" w:cstheme="majorBidi"/>
          <w:sz w:val="22"/>
          <w:szCs w:val="22"/>
        </w:rPr>
        <w:t xml:space="preserve"> la première </w:t>
      </w:r>
      <w:r w:rsidR="00AB187F" w:rsidRPr="00DC771D">
        <w:rPr>
          <w:rFonts w:asciiTheme="majorBidi" w:hAnsiTheme="majorBidi" w:cstheme="majorBidi"/>
          <w:sz w:val="22"/>
          <w:szCs w:val="22"/>
        </w:rPr>
        <w:t xml:space="preserve">grande </w:t>
      </w:r>
      <w:r w:rsidR="00A131AC" w:rsidRPr="00DC771D">
        <w:rPr>
          <w:rFonts w:asciiTheme="majorBidi" w:hAnsiTheme="majorBidi" w:cstheme="majorBidi"/>
          <w:sz w:val="22"/>
          <w:szCs w:val="22"/>
        </w:rPr>
        <w:t>division,</w:t>
      </w:r>
      <w:r w:rsidR="00745A39" w:rsidRPr="00DC771D">
        <w:rPr>
          <w:rFonts w:asciiTheme="majorBidi" w:hAnsiTheme="majorBidi" w:cstheme="majorBidi"/>
          <w:sz w:val="22"/>
          <w:szCs w:val="22"/>
        </w:rPr>
        <w:t xml:space="preserve"> on souligne que seules </w:t>
      </w:r>
      <w:r w:rsidR="00D82F54" w:rsidRPr="00DC771D">
        <w:rPr>
          <w:rFonts w:asciiTheme="majorBidi" w:hAnsiTheme="majorBidi" w:cstheme="majorBidi"/>
          <w:sz w:val="22"/>
          <w:szCs w:val="22"/>
        </w:rPr>
        <w:t>trois</w:t>
      </w:r>
      <w:r w:rsidR="003F184D" w:rsidRPr="00DC771D">
        <w:rPr>
          <w:rFonts w:asciiTheme="majorBidi" w:hAnsiTheme="majorBidi" w:cstheme="majorBidi"/>
          <w:sz w:val="22"/>
          <w:szCs w:val="22"/>
        </w:rPr>
        <w:t xml:space="preserve"> classes </w:t>
      </w:r>
      <w:r w:rsidR="008D4715" w:rsidRPr="00DC771D">
        <w:rPr>
          <w:rFonts w:asciiTheme="majorBidi" w:hAnsiTheme="majorBidi" w:cstheme="majorBidi"/>
          <w:sz w:val="22"/>
          <w:szCs w:val="22"/>
        </w:rPr>
        <w:t xml:space="preserve">alimentaires </w:t>
      </w:r>
      <w:r w:rsidR="003F184D" w:rsidRPr="00DC771D">
        <w:rPr>
          <w:rFonts w:asciiTheme="majorBidi" w:hAnsiTheme="majorBidi" w:cstheme="majorBidi"/>
          <w:sz w:val="22"/>
          <w:szCs w:val="22"/>
        </w:rPr>
        <w:t xml:space="preserve">ont connu des variations </w:t>
      </w:r>
      <w:r w:rsidR="00745A39" w:rsidRPr="00DC771D">
        <w:rPr>
          <w:rFonts w:asciiTheme="majorBidi" w:hAnsiTheme="majorBidi" w:cstheme="majorBidi"/>
          <w:sz w:val="22"/>
          <w:szCs w:val="22"/>
        </w:rPr>
        <w:t>néga</w:t>
      </w:r>
      <w:r w:rsidR="003F184D" w:rsidRPr="00DC771D">
        <w:rPr>
          <w:rFonts w:asciiTheme="majorBidi" w:hAnsiTheme="majorBidi" w:cstheme="majorBidi"/>
          <w:sz w:val="22"/>
          <w:szCs w:val="22"/>
        </w:rPr>
        <w:t>tives de leurs indices</w:t>
      </w:r>
      <w:r w:rsidR="00A131AC" w:rsidRPr="00DC771D">
        <w:rPr>
          <w:rFonts w:asciiTheme="majorBidi" w:hAnsiTheme="majorBidi" w:cstheme="majorBidi"/>
          <w:sz w:val="22"/>
          <w:szCs w:val="22"/>
        </w:rPr>
        <w:t>. Il s’agit</w:t>
      </w:r>
      <w:r w:rsidR="00DC68FB" w:rsidRPr="00DC771D">
        <w:rPr>
          <w:rFonts w:asciiTheme="majorBidi" w:hAnsiTheme="majorBidi" w:cstheme="majorBidi"/>
          <w:sz w:val="22"/>
          <w:szCs w:val="22"/>
        </w:rPr>
        <w:t xml:space="preserve"> des "</w:t>
      </w:r>
      <w:r w:rsidR="000076B1" w:rsidRPr="00DC771D">
        <w:rPr>
          <w:rFonts w:asciiTheme="majorBidi" w:hAnsiTheme="majorBidi" w:cstheme="majorBidi"/>
          <w:sz w:val="22"/>
          <w:szCs w:val="22"/>
        </w:rPr>
        <w:t>Pains et céréales</w:t>
      </w:r>
      <w:r w:rsidR="00DC68FB" w:rsidRPr="00DC771D">
        <w:rPr>
          <w:rFonts w:asciiTheme="majorBidi" w:hAnsiTheme="majorBidi" w:cstheme="majorBidi"/>
          <w:sz w:val="22"/>
          <w:szCs w:val="22"/>
        </w:rPr>
        <w:t>" avec (-</w:t>
      </w:r>
      <w:r w:rsidR="000076B1" w:rsidRPr="00DC771D">
        <w:rPr>
          <w:rFonts w:asciiTheme="majorBidi" w:hAnsiTheme="majorBidi" w:cstheme="majorBidi"/>
          <w:sz w:val="22"/>
          <w:szCs w:val="22"/>
        </w:rPr>
        <w:t>0</w:t>
      </w:r>
      <w:r w:rsidR="00DC68FB" w:rsidRPr="00DC771D">
        <w:rPr>
          <w:rFonts w:asciiTheme="majorBidi" w:hAnsiTheme="majorBidi" w:cstheme="majorBidi"/>
          <w:sz w:val="22"/>
          <w:szCs w:val="22"/>
        </w:rPr>
        <w:t>,</w:t>
      </w:r>
      <w:r w:rsidR="000076B1" w:rsidRPr="00DC771D">
        <w:rPr>
          <w:rFonts w:asciiTheme="majorBidi" w:hAnsiTheme="majorBidi" w:cstheme="majorBidi"/>
          <w:sz w:val="22"/>
          <w:szCs w:val="22"/>
        </w:rPr>
        <w:t>2</w:t>
      </w:r>
      <w:r w:rsidR="00DC68FB" w:rsidRPr="00DC771D">
        <w:rPr>
          <w:rFonts w:asciiTheme="majorBidi" w:hAnsiTheme="majorBidi" w:cstheme="majorBidi"/>
          <w:sz w:val="22"/>
          <w:szCs w:val="22"/>
        </w:rPr>
        <w:t>%)</w:t>
      </w:r>
      <w:r w:rsidR="00563CDD" w:rsidRPr="00DC771D">
        <w:rPr>
          <w:rFonts w:asciiTheme="majorBidi" w:hAnsiTheme="majorBidi" w:cstheme="majorBidi"/>
          <w:sz w:val="22"/>
          <w:szCs w:val="22"/>
        </w:rPr>
        <w:t>,</w:t>
      </w:r>
      <w:r w:rsidR="00DC68FB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0076B1" w:rsidRPr="00DC771D">
        <w:rPr>
          <w:rFonts w:asciiTheme="majorBidi" w:hAnsiTheme="majorBidi" w:cstheme="majorBidi"/>
          <w:sz w:val="22"/>
          <w:szCs w:val="22"/>
        </w:rPr>
        <w:t>d</w:t>
      </w:r>
      <w:r w:rsidR="00371113" w:rsidRPr="00DC771D">
        <w:rPr>
          <w:rFonts w:asciiTheme="majorBidi" w:hAnsiTheme="majorBidi" w:cstheme="majorBidi"/>
          <w:sz w:val="22"/>
          <w:szCs w:val="22"/>
        </w:rPr>
        <w:t>es "Huiles et graisses" avec</w:t>
      </w:r>
      <w:r w:rsidR="00DC771D">
        <w:rPr>
          <w:rFonts w:asciiTheme="majorBidi" w:hAnsiTheme="majorBidi" w:cstheme="majorBidi"/>
          <w:sz w:val="22"/>
          <w:szCs w:val="22"/>
        </w:rPr>
        <w:t xml:space="preserve">       </w:t>
      </w:r>
      <w:r w:rsidR="00371113" w:rsidRPr="00DC771D">
        <w:rPr>
          <w:rFonts w:asciiTheme="majorBidi" w:hAnsiTheme="majorBidi" w:cstheme="majorBidi"/>
          <w:sz w:val="22"/>
          <w:szCs w:val="22"/>
        </w:rPr>
        <w:t xml:space="preserve"> (-</w:t>
      </w:r>
      <w:r w:rsidR="000076B1" w:rsidRPr="00DC771D">
        <w:rPr>
          <w:rFonts w:asciiTheme="majorBidi" w:hAnsiTheme="majorBidi" w:cstheme="majorBidi"/>
          <w:sz w:val="22"/>
          <w:szCs w:val="22"/>
        </w:rPr>
        <w:t>1</w:t>
      </w:r>
      <w:r w:rsidR="00371113" w:rsidRPr="00DC771D">
        <w:rPr>
          <w:rFonts w:asciiTheme="majorBidi" w:hAnsiTheme="majorBidi" w:cstheme="majorBidi"/>
          <w:sz w:val="22"/>
          <w:szCs w:val="22"/>
        </w:rPr>
        <w:t>,</w:t>
      </w:r>
      <w:r w:rsidR="000076B1" w:rsidRPr="00DC771D">
        <w:rPr>
          <w:rFonts w:asciiTheme="majorBidi" w:hAnsiTheme="majorBidi" w:cstheme="majorBidi"/>
          <w:sz w:val="22"/>
          <w:szCs w:val="22"/>
        </w:rPr>
        <w:t>4</w:t>
      </w:r>
      <w:r w:rsidR="00DC68FB" w:rsidRPr="00DC771D">
        <w:rPr>
          <w:rFonts w:asciiTheme="majorBidi" w:hAnsiTheme="majorBidi" w:cstheme="majorBidi"/>
          <w:sz w:val="22"/>
          <w:szCs w:val="22"/>
        </w:rPr>
        <w:t>%),</w:t>
      </w:r>
      <w:r w:rsidR="00371113" w:rsidRPr="00DC771D">
        <w:rPr>
          <w:rFonts w:asciiTheme="majorBidi" w:hAnsiTheme="majorBidi" w:cstheme="majorBidi"/>
          <w:sz w:val="22"/>
          <w:szCs w:val="22"/>
        </w:rPr>
        <w:t xml:space="preserve"> et </w:t>
      </w:r>
      <w:r w:rsidR="00DC68FB" w:rsidRPr="00DC771D">
        <w:rPr>
          <w:rFonts w:asciiTheme="majorBidi" w:hAnsiTheme="majorBidi" w:cstheme="majorBidi"/>
          <w:sz w:val="22"/>
          <w:szCs w:val="22"/>
        </w:rPr>
        <w:t xml:space="preserve"> les "Sucres, confitures, miel, chocolat et confiserie" avec (-</w:t>
      </w:r>
      <w:r w:rsidR="000076B1" w:rsidRPr="00DC771D">
        <w:rPr>
          <w:rFonts w:asciiTheme="majorBidi" w:hAnsiTheme="majorBidi" w:cstheme="majorBidi"/>
          <w:sz w:val="22"/>
          <w:szCs w:val="22"/>
        </w:rPr>
        <w:t>0,5</w:t>
      </w:r>
      <w:r w:rsidR="00DC68FB" w:rsidRPr="00DC771D">
        <w:rPr>
          <w:rFonts w:asciiTheme="majorBidi" w:hAnsiTheme="majorBidi" w:cstheme="majorBidi"/>
          <w:sz w:val="22"/>
          <w:szCs w:val="22"/>
        </w:rPr>
        <w:t xml:space="preserve">%). Quant au reste des classes alimentaires, </w:t>
      </w:r>
      <w:r w:rsidR="000076B1" w:rsidRPr="00DC771D">
        <w:rPr>
          <w:rFonts w:asciiTheme="majorBidi" w:hAnsiTheme="majorBidi" w:cstheme="majorBidi"/>
          <w:sz w:val="22"/>
          <w:szCs w:val="22"/>
        </w:rPr>
        <w:t>il a</w:t>
      </w:r>
      <w:r w:rsidR="00DC68FB" w:rsidRPr="00DC771D">
        <w:rPr>
          <w:rFonts w:asciiTheme="majorBidi" w:hAnsiTheme="majorBidi" w:cstheme="majorBidi"/>
          <w:sz w:val="22"/>
          <w:szCs w:val="22"/>
        </w:rPr>
        <w:t xml:space="preserve"> connu des hausses allant de </w:t>
      </w:r>
      <w:r w:rsidR="00371113" w:rsidRPr="00DC771D">
        <w:rPr>
          <w:rFonts w:asciiTheme="majorBidi" w:hAnsiTheme="majorBidi" w:cstheme="majorBidi"/>
          <w:sz w:val="22"/>
          <w:szCs w:val="22"/>
        </w:rPr>
        <w:t>0</w:t>
      </w:r>
      <w:r w:rsidR="005B23B1" w:rsidRPr="00DC771D">
        <w:rPr>
          <w:rFonts w:asciiTheme="majorBidi" w:hAnsiTheme="majorBidi" w:cstheme="majorBidi"/>
          <w:sz w:val="22"/>
          <w:szCs w:val="22"/>
        </w:rPr>
        <w:t>,</w:t>
      </w:r>
      <w:r w:rsidR="000076B1" w:rsidRPr="00DC771D">
        <w:rPr>
          <w:rFonts w:asciiTheme="majorBidi" w:hAnsiTheme="majorBidi" w:cstheme="majorBidi"/>
          <w:sz w:val="22"/>
          <w:szCs w:val="22"/>
        </w:rPr>
        <w:t>6</w:t>
      </w:r>
      <w:r w:rsidR="005B23B1" w:rsidRPr="00DC771D">
        <w:rPr>
          <w:rFonts w:asciiTheme="majorBidi" w:hAnsiTheme="majorBidi" w:cstheme="majorBidi"/>
          <w:sz w:val="22"/>
          <w:szCs w:val="22"/>
        </w:rPr>
        <w:t xml:space="preserve">% pour les </w:t>
      </w:r>
      <w:r w:rsidR="00371113" w:rsidRPr="00DC771D">
        <w:rPr>
          <w:rFonts w:asciiTheme="majorBidi" w:hAnsiTheme="majorBidi" w:cstheme="majorBidi"/>
          <w:sz w:val="22"/>
          <w:szCs w:val="22"/>
        </w:rPr>
        <w:t>"</w:t>
      </w:r>
      <w:r w:rsidR="000076B1" w:rsidRPr="00DC771D">
        <w:rPr>
          <w:rFonts w:asciiTheme="majorBidi" w:hAnsiTheme="majorBidi" w:cstheme="majorBidi"/>
          <w:sz w:val="22"/>
          <w:szCs w:val="22"/>
        </w:rPr>
        <w:t>Poissons et fruits de mer</w:t>
      </w:r>
      <w:r w:rsidR="00371113" w:rsidRPr="00DC771D">
        <w:rPr>
          <w:rFonts w:asciiTheme="majorBidi" w:hAnsiTheme="majorBidi" w:cstheme="majorBidi"/>
          <w:sz w:val="22"/>
          <w:szCs w:val="22"/>
        </w:rPr>
        <w:t xml:space="preserve">" </w:t>
      </w:r>
      <w:r w:rsidR="005B23B1" w:rsidRPr="00DC771D">
        <w:rPr>
          <w:rFonts w:asciiTheme="majorBidi" w:hAnsiTheme="majorBidi" w:cstheme="majorBidi"/>
          <w:sz w:val="22"/>
          <w:szCs w:val="22"/>
        </w:rPr>
        <w:t xml:space="preserve">à </w:t>
      </w:r>
      <w:r w:rsidR="000076B1" w:rsidRPr="00DC771D">
        <w:rPr>
          <w:rFonts w:asciiTheme="majorBidi" w:hAnsiTheme="majorBidi" w:cstheme="majorBidi"/>
          <w:sz w:val="22"/>
          <w:szCs w:val="22"/>
        </w:rPr>
        <w:t>13</w:t>
      </w:r>
      <w:r w:rsidR="00371113" w:rsidRPr="00DC771D">
        <w:rPr>
          <w:rFonts w:asciiTheme="majorBidi" w:hAnsiTheme="majorBidi" w:cstheme="majorBidi"/>
          <w:sz w:val="22"/>
          <w:szCs w:val="22"/>
        </w:rPr>
        <w:t>,</w:t>
      </w:r>
      <w:r w:rsidR="000076B1" w:rsidRPr="00DC771D">
        <w:rPr>
          <w:rFonts w:asciiTheme="majorBidi" w:hAnsiTheme="majorBidi" w:cstheme="majorBidi"/>
          <w:sz w:val="22"/>
          <w:szCs w:val="22"/>
        </w:rPr>
        <w:t>7</w:t>
      </w:r>
      <w:r w:rsidR="005B23B1" w:rsidRPr="00DC771D">
        <w:rPr>
          <w:rFonts w:asciiTheme="majorBidi" w:hAnsiTheme="majorBidi" w:cstheme="majorBidi"/>
          <w:sz w:val="22"/>
          <w:szCs w:val="22"/>
        </w:rPr>
        <w:t>% pour les "</w:t>
      </w:r>
      <w:r w:rsidR="000076B1" w:rsidRPr="00DC771D">
        <w:rPr>
          <w:rFonts w:asciiTheme="majorBidi" w:hAnsiTheme="majorBidi" w:cstheme="majorBidi"/>
          <w:sz w:val="22"/>
          <w:szCs w:val="22"/>
        </w:rPr>
        <w:t>Fruit</w:t>
      </w:r>
      <w:r w:rsidR="005B23B1" w:rsidRPr="00DC771D">
        <w:rPr>
          <w:rFonts w:asciiTheme="majorBidi" w:hAnsiTheme="majorBidi" w:cstheme="majorBidi"/>
          <w:sz w:val="22"/>
          <w:szCs w:val="22"/>
        </w:rPr>
        <w:t>s".</w:t>
      </w:r>
    </w:p>
    <w:p w:rsidR="00467888" w:rsidRPr="00DC771D" w:rsidRDefault="000B02DB" w:rsidP="0037141F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DC771D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Pr="00DC771D">
        <w:rPr>
          <w:rFonts w:asciiTheme="majorBidi" w:hAnsiTheme="majorBidi" w:cstheme="majorBidi"/>
          <w:sz w:val="22"/>
          <w:szCs w:val="22"/>
        </w:rPr>
        <w:t>les</w:t>
      </w:r>
      <w:r w:rsidR="005F52BA" w:rsidRPr="00DC771D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DC771D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DC771D">
        <w:rPr>
          <w:rFonts w:asciiTheme="majorBidi" w:hAnsiTheme="majorBidi" w:cstheme="majorBidi"/>
          <w:sz w:val="22"/>
          <w:szCs w:val="22"/>
        </w:rPr>
        <w:t xml:space="preserve">non alimentaires, </w:t>
      </w:r>
      <w:r w:rsidR="00504824" w:rsidRPr="00DC771D">
        <w:rPr>
          <w:rFonts w:asciiTheme="majorBidi" w:hAnsiTheme="majorBidi" w:cstheme="majorBidi"/>
          <w:sz w:val="22"/>
          <w:szCs w:val="22"/>
        </w:rPr>
        <w:t>les</w:t>
      </w:r>
      <w:r w:rsidR="00E168CB" w:rsidRPr="00DC771D">
        <w:rPr>
          <w:rFonts w:asciiTheme="majorBidi" w:hAnsiTheme="majorBidi" w:cstheme="majorBidi"/>
          <w:sz w:val="22"/>
          <w:szCs w:val="22"/>
        </w:rPr>
        <w:t xml:space="preserve"> hausse</w:t>
      </w:r>
      <w:r w:rsidR="00504824" w:rsidRPr="00DC771D">
        <w:rPr>
          <w:rFonts w:asciiTheme="majorBidi" w:hAnsiTheme="majorBidi" w:cstheme="majorBidi"/>
          <w:sz w:val="22"/>
          <w:szCs w:val="22"/>
        </w:rPr>
        <w:t>s enregistrées varient de 0,</w:t>
      </w:r>
      <w:r w:rsidR="0037141F" w:rsidRPr="00DC771D">
        <w:rPr>
          <w:rFonts w:asciiTheme="majorBidi" w:hAnsiTheme="majorBidi" w:cstheme="majorBidi"/>
          <w:sz w:val="22"/>
          <w:szCs w:val="22"/>
        </w:rPr>
        <w:t>1</w:t>
      </w:r>
      <w:r w:rsidR="00504824" w:rsidRPr="00DC771D">
        <w:rPr>
          <w:rFonts w:asciiTheme="majorBidi" w:hAnsiTheme="majorBidi" w:cstheme="majorBidi"/>
          <w:sz w:val="22"/>
          <w:szCs w:val="22"/>
        </w:rPr>
        <w:t>% pour</w:t>
      </w:r>
      <w:r w:rsidR="0037141F" w:rsidRPr="00DC771D">
        <w:rPr>
          <w:rFonts w:asciiTheme="majorBidi" w:hAnsiTheme="majorBidi" w:cstheme="majorBidi"/>
          <w:sz w:val="22"/>
          <w:szCs w:val="22"/>
        </w:rPr>
        <w:t xml:space="preserve"> les "Communications" et  les</w:t>
      </w:r>
      <w:r w:rsidR="00504824" w:rsidRPr="00DC771D">
        <w:rPr>
          <w:rFonts w:asciiTheme="majorBidi" w:hAnsiTheme="majorBidi" w:cstheme="majorBidi"/>
          <w:sz w:val="22"/>
          <w:szCs w:val="22"/>
        </w:rPr>
        <w:t xml:space="preserve"> "</w:t>
      </w:r>
      <w:r w:rsidR="0037141F" w:rsidRPr="00DC771D">
        <w:rPr>
          <w:rFonts w:asciiTheme="majorBidi" w:hAnsiTheme="majorBidi" w:cstheme="majorBidi"/>
          <w:sz w:val="22"/>
          <w:szCs w:val="22"/>
        </w:rPr>
        <w:t>Loisirs e</w:t>
      </w:r>
      <w:r w:rsidR="00504824" w:rsidRPr="00DC771D">
        <w:rPr>
          <w:rFonts w:asciiTheme="majorBidi" w:hAnsiTheme="majorBidi" w:cstheme="majorBidi"/>
          <w:sz w:val="22"/>
          <w:szCs w:val="22"/>
        </w:rPr>
        <w:t>t</w:t>
      </w:r>
      <w:r w:rsidR="0037141F" w:rsidRPr="00DC771D">
        <w:rPr>
          <w:rFonts w:asciiTheme="majorBidi" w:hAnsiTheme="majorBidi" w:cstheme="majorBidi"/>
          <w:sz w:val="22"/>
          <w:szCs w:val="22"/>
        </w:rPr>
        <w:t xml:space="preserve"> culture</w:t>
      </w:r>
      <w:r w:rsidR="00504824" w:rsidRPr="00DC771D">
        <w:rPr>
          <w:rFonts w:asciiTheme="majorBidi" w:hAnsiTheme="majorBidi" w:cstheme="majorBidi"/>
          <w:sz w:val="22"/>
          <w:szCs w:val="22"/>
        </w:rPr>
        <w:t>" à  2,</w:t>
      </w:r>
      <w:r w:rsidR="0037141F" w:rsidRPr="00DC771D">
        <w:rPr>
          <w:rFonts w:asciiTheme="majorBidi" w:hAnsiTheme="majorBidi" w:cstheme="majorBidi"/>
          <w:sz w:val="22"/>
          <w:szCs w:val="22"/>
        </w:rPr>
        <w:t>6</w:t>
      </w:r>
      <w:r w:rsidR="00504824" w:rsidRPr="00DC771D">
        <w:rPr>
          <w:rFonts w:asciiTheme="majorBidi" w:hAnsiTheme="majorBidi" w:cstheme="majorBidi"/>
          <w:sz w:val="22"/>
          <w:szCs w:val="22"/>
        </w:rPr>
        <w:t>% pour les "Articles d’habillement et chaussures</w:t>
      </w:r>
      <w:r w:rsidR="00960B6C" w:rsidRPr="00DC771D">
        <w:rPr>
          <w:rFonts w:asciiTheme="majorBidi" w:hAnsiTheme="majorBidi" w:cstheme="majorBidi"/>
          <w:sz w:val="22"/>
          <w:szCs w:val="22"/>
        </w:rPr>
        <w:t xml:space="preserve">. </w:t>
      </w:r>
      <w:r w:rsidR="000372AE" w:rsidRPr="00DC771D">
        <w:rPr>
          <w:rFonts w:asciiTheme="majorBidi" w:hAnsiTheme="majorBidi" w:cstheme="majorBidi"/>
          <w:sz w:val="22"/>
          <w:szCs w:val="22"/>
        </w:rPr>
        <w:t>D’un autre côté</w:t>
      </w:r>
      <w:r w:rsidR="00960B6C" w:rsidRPr="00DC771D">
        <w:rPr>
          <w:rFonts w:asciiTheme="majorBidi" w:hAnsiTheme="majorBidi" w:cstheme="majorBidi"/>
          <w:sz w:val="22"/>
          <w:szCs w:val="22"/>
        </w:rPr>
        <w:t xml:space="preserve">, </w:t>
      </w:r>
      <w:r w:rsidR="000372AE" w:rsidRPr="00DC771D">
        <w:rPr>
          <w:rFonts w:asciiTheme="majorBidi" w:hAnsiTheme="majorBidi" w:cstheme="majorBidi"/>
          <w:sz w:val="22"/>
          <w:szCs w:val="22"/>
        </w:rPr>
        <w:t>deux</w:t>
      </w:r>
      <w:r w:rsidR="00960B6C" w:rsidRPr="00DC771D">
        <w:rPr>
          <w:rFonts w:asciiTheme="majorBidi" w:hAnsiTheme="majorBidi" w:cstheme="majorBidi"/>
          <w:sz w:val="22"/>
          <w:szCs w:val="22"/>
        </w:rPr>
        <w:t xml:space="preserve"> divisions</w:t>
      </w:r>
      <w:r w:rsidR="00E749E9" w:rsidRPr="00DC771D">
        <w:rPr>
          <w:rFonts w:asciiTheme="majorBidi" w:hAnsiTheme="majorBidi" w:cstheme="majorBidi"/>
          <w:sz w:val="22"/>
          <w:szCs w:val="22"/>
        </w:rPr>
        <w:t>,</w:t>
      </w:r>
      <w:r w:rsidR="00960B6C" w:rsidRPr="00DC771D">
        <w:rPr>
          <w:rFonts w:asciiTheme="majorBidi" w:hAnsiTheme="majorBidi" w:cstheme="majorBidi"/>
          <w:sz w:val="22"/>
          <w:szCs w:val="22"/>
        </w:rPr>
        <w:t xml:space="preserve"> à savoir</w:t>
      </w:r>
      <w:r w:rsidR="00DC34DB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960B6C" w:rsidRPr="00DC771D">
        <w:rPr>
          <w:rFonts w:asciiTheme="majorBidi" w:hAnsiTheme="majorBidi" w:cstheme="majorBidi"/>
          <w:sz w:val="22"/>
          <w:szCs w:val="22"/>
        </w:rPr>
        <w:t>l</w:t>
      </w:r>
      <w:r w:rsidR="0037141F" w:rsidRPr="00DC771D">
        <w:rPr>
          <w:rFonts w:asciiTheme="majorBidi" w:hAnsiTheme="majorBidi" w:cstheme="majorBidi"/>
          <w:sz w:val="22"/>
          <w:szCs w:val="22"/>
        </w:rPr>
        <w:t>a</w:t>
      </w:r>
      <w:r w:rsidR="00960B6C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37141F" w:rsidRPr="00DC771D">
        <w:rPr>
          <w:rFonts w:asciiTheme="majorBidi" w:hAnsiTheme="majorBidi" w:cstheme="majorBidi"/>
          <w:sz w:val="22"/>
          <w:szCs w:val="22"/>
        </w:rPr>
        <w:t xml:space="preserve">"Santé", et  les </w:t>
      </w:r>
      <w:r w:rsidR="00960B6C" w:rsidRPr="00DC771D">
        <w:rPr>
          <w:rFonts w:asciiTheme="majorBidi" w:hAnsiTheme="majorBidi" w:cstheme="majorBidi"/>
          <w:sz w:val="22"/>
          <w:szCs w:val="22"/>
        </w:rPr>
        <w:t>"Transports"</w:t>
      </w:r>
      <w:r w:rsidR="00887E7D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960B6C" w:rsidRPr="00DC771D">
        <w:rPr>
          <w:rFonts w:asciiTheme="majorBidi" w:hAnsiTheme="majorBidi" w:cstheme="majorBidi"/>
          <w:sz w:val="22"/>
          <w:szCs w:val="22"/>
        </w:rPr>
        <w:t xml:space="preserve">ont </w:t>
      </w:r>
      <w:r w:rsidR="00E168CB" w:rsidRPr="00DC771D">
        <w:rPr>
          <w:rFonts w:asciiTheme="majorBidi" w:hAnsiTheme="majorBidi" w:cstheme="majorBidi"/>
          <w:sz w:val="22"/>
          <w:szCs w:val="22"/>
        </w:rPr>
        <w:t>connu</w:t>
      </w:r>
      <w:r w:rsidR="00960B6C" w:rsidRPr="00DC771D">
        <w:rPr>
          <w:rFonts w:asciiTheme="majorBidi" w:hAnsiTheme="majorBidi" w:cstheme="majorBidi"/>
          <w:sz w:val="22"/>
          <w:szCs w:val="22"/>
        </w:rPr>
        <w:t xml:space="preserve"> une baisse de leurs indices avec, respectivement</w:t>
      </w:r>
      <w:r w:rsidR="000372AE" w:rsidRPr="00DC771D">
        <w:rPr>
          <w:rFonts w:asciiTheme="majorBidi" w:hAnsiTheme="majorBidi" w:cstheme="majorBidi"/>
          <w:sz w:val="22"/>
          <w:szCs w:val="22"/>
        </w:rPr>
        <w:t>,</w:t>
      </w:r>
      <w:r w:rsidR="003F184D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37141F" w:rsidRPr="00DC771D">
        <w:rPr>
          <w:rFonts w:asciiTheme="majorBidi" w:hAnsiTheme="majorBidi" w:cstheme="majorBidi"/>
          <w:sz w:val="22"/>
          <w:szCs w:val="22"/>
        </w:rPr>
        <w:t xml:space="preserve">   </w:t>
      </w:r>
      <w:r w:rsidR="00960B6C" w:rsidRPr="00DC771D">
        <w:rPr>
          <w:rFonts w:asciiTheme="majorBidi" w:hAnsiTheme="majorBidi" w:cstheme="majorBidi"/>
          <w:sz w:val="22"/>
          <w:szCs w:val="22"/>
        </w:rPr>
        <w:t>(-</w:t>
      </w:r>
      <w:r w:rsidR="0037141F" w:rsidRPr="00DC771D">
        <w:rPr>
          <w:rFonts w:asciiTheme="majorBidi" w:hAnsiTheme="majorBidi" w:cstheme="majorBidi"/>
          <w:sz w:val="22"/>
          <w:szCs w:val="22"/>
        </w:rPr>
        <w:t>2</w:t>
      </w:r>
      <w:r w:rsidR="00960B6C" w:rsidRPr="00DC771D">
        <w:rPr>
          <w:rFonts w:asciiTheme="majorBidi" w:hAnsiTheme="majorBidi" w:cstheme="majorBidi"/>
          <w:sz w:val="22"/>
          <w:szCs w:val="22"/>
        </w:rPr>
        <w:t>%)</w:t>
      </w:r>
      <w:r w:rsidR="00E168CB" w:rsidRPr="00DC771D">
        <w:rPr>
          <w:rFonts w:asciiTheme="majorBidi" w:hAnsiTheme="majorBidi" w:cstheme="majorBidi"/>
          <w:sz w:val="22"/>
          <w:szCs w:val="22"/>
        </w:rPr>
        <w:t xml:space="preserve"> </w:t>
      </w:r>
      <w:r w:rsidR="00887E7D" w:rsidRPr="00DC771D">
        <w:rPr>
          <w:rFonts w:asciiTheme="majorBidi" w:hAnsiTheme="majorBidi" w:cstheme="majorBidi"/>
          <w:sz w:val="22"/>
          <w:szCs w:val="22"/>
        </w:rPr>
        <w:t>et (-0,</w:t>
      </w:r>
      <w:r w:rsidR="0037141F" w:rsidRPr="00DC771D">
        <w:rPr>
          <w:rFonts w:asciiTheme="majorBidi" w:hAnsiTheme="majorBidi" w:cstheme="majorBidi"/>
          <w:sz w:val="22"/>
          <w:szCs w:val="22"/>
        </w:rPr>
        <w:t>7</w:t>
      </w:r>
      <w:r w:rsidR="00887E7D" w:rsidRPr="00DC771D">
        <w:rPr>
          <w:rFonts w:asciiTheme="majorBidi" w:hAnsiTheme="majorBidi" w:cstheme="majorBidi"/>
          <w:sz w:val="22"/>
          <w:szCs w:val="22"/>
        </w:rPr>
        <w:t>%)</w:t>
      </w:r>
      <w:r w:rsidR="00960B6C" w:rsidRPr="00DC771D">
        <w:rPr>
          <w:rFonts w:asciiTheme="majorBidi" w:hAnsiTheme="majorBidi" w:cstheme="majorBidi"/>
          <w:sz w:val="22"/>
          <w:szCs w:val="22"/>
        </w:rPr>
        <w:t>.</w:t>
      </w:r>
    </w:p>
    <w:p w:rsidR="00A708BE" w:rsidRPr="00DC771D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DC771D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883B65" w:rsidRPr="00DC771D" w:rsidRDefault="000372AE" w:rsidP="00DC771D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Au </w:t>
      </w:r>
      <w:r w:rsidR="00543FB9" w:rsidRPr="00DC771D">
        <w:rPr>
          <w:rFonts w:ascii="Times New Roman" w:hAnsi="Times New Roman"/>
          <w:spacing w:val="0"/>
          <w:sz w:val="24"/>
          <w:szCs w:val="24"/>
          <w:lang w:eastAsia="fr-FR"/>
        </w:rPr>
        <w:t>terme</w:t>
      </w:r>
      <w:r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 du mois </w:t>
      </w:r>
      <w:r w:rsidR="00543FB9"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de </w:t>
      </w:r>
      <w:r w:rsidR="00883B65" w:rsidRPr="00DC771D">
        <w:rPr>
          <w:rFonts w:ascii="Times New Roman" w:hAnsi="Times New Roman"/>
          <w:spacing w:val="0"/>
          <w:sz w:val="24"/>
          <w:szCs w:val="24"/>
          <w:lang w:eastAsia="fr-FR"/>
        </w:rPr>
        <w:t>Janvier</w:t>
      </w:r>
      <w:r w:rsidR="00543FB9"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 202</w:t>
      </w:r>
      <w:r w:rsidR="00883B65" w:rsidRPr="00DC771D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AE19D3" w:rsidRPr="00DC771D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3B3BC5" w:rsidRPr="00DC771D">
        <w:rPr>
          <w:rFonts w:ascii="Times New Roman" w:hAnsi="Times New Roman"/>
          <w:spacing w:val="0"/>
          <w:sz w:val="24"/>
          <w:szCs w:val="24"/>
          <w:lang w:eastAsia="fr-FR"/>
        </w:rPr>
        <w:t> </w:t>
      </w:r>
      <w:r w:rsidR="00883B65" w:rsidRPr="00DC771D">
        <w:rPr>
          <w:rFonts w:ascii="Times New Roman" w:hAnsi="Times New Roman"/>
          <w:spacing w:val="0"/>
          <w:sz w:val="24"/>
          <w:szCs w:val="24"/>
          <w:lang w:eastAsia="fr-FR"/>
        </w:rPr>
        <w:t>seize</w:t>
      </w:r>
      <w:r w:rsidR="00AE19D3"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 villes </w:t>
      </w:r>
      <w:r w:rsidR="00883B65"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dont Kenitra, </w:t>
      </w:r>
      <w:r w:rsidR="00AE19D3"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ont connu une baisse de leurs indices </w:t>
      </w:r>
      <w:r w:rsidR="003B3BC5"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par rapport </w:t>
      </w:r>
      <w:r w:rsidR="00883B65" w:rsidRPr="00DC771D">
        <w:rPr>
          <w:rFonts w:ascii="Times New Roman" w:hAnsi="Times New Roman"/>
          <w:spacing w:val="0"/>
          <w:sz w:val="24"/>
          <w:szCs w:val="24"/>
          <w:lang w:eastAsia="fr-FR"/>
        </w:rPr>
        <w:t>à Décembre 2023</w:t>
      </w:r>
      <w:r w:rsidR="00AE19D3" w:rsidRPr="00DC771D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  <w:r w:rsidR="00883B65"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 Ces baisses vont de (-1%) pour Oujda à (-0,2%) </w:t>
      </w:r>
      <w:r w:rsidR="00DC771D" w:rsidRPr="00DC771D">
        <w:rPr>
          <w:rFonts w:ascii="Times New Roman" w:hAnsi="Times New Roman"/>
          <w:spacing w:val="0"/>
          <w:sz w:val="24"/>
          <w:szCs w:val="24"/>
          <w:lang w:eastAsia="fr-FR"/>
        </w:rPr>
        <w:t>pour Fès et Settat.</w:t>
      </w:r>
      <w:r w:rsidR="00AE19D3" w:rsidRPr="00DC771D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</w:p>
    <w:p w:rsidR="007F7CCC" w:rsidRPr="00DC771D" w:rsidRDefault="00DC771D" w:rsidP="00746443">
      <w:pPr>
        <w:ind w:left="0"/>
        <w:rPr>
          <w:rFonts w:asciiTheme="majorBidi" w:hAnsiTheme="majorBidi" w:cstheme="majorBidi"/>
          <w:sz w:val="24"/>
          <w:szCs w:val="24"/>
        </w:rPr>
      </w:pPr>
      <w:r w:rsidRPr="00DC771D">
        <w:rPr>
          <w:rFonts w:asciiTheme="majorBidi" w:hAnsiTheme="majorBidi" w:cstheme="majorBidi"/>
          <w:sz w:val="24"/>
          <w:szCs w:val="24"/>
        </w:rPr>
        <w:t xml:space="preserve">Il est à noter que la ville de Safi a connu une stagnation de son indice général alors que celui de  la ville de </w:t>
      </w:r>
      <w:proofErr w:type="spellStart"/>
      <w:r w:rsidRPr="00DC771D">
        <w:rPr>
          <w:rFonts w:asciiTheme="majorBidi" w:hAnsiTheme="majorBidi" w:cstheme="majorBidi"/>
          <w:sz w:val="24"/>
          <w:szCs w:val="24"/>
        </w:rPr>
        <w:t>Laayoune</w:t>
      </w:r>
      <w:proofErr w:type="spellEnd"/>
      <w:r w:rsidRPr="00DC771D">
        <w:rPr>
          <w:rFonts w:asciiTheme="majorBidi" w:hAnsiTheme="majorBidi" w:cstheme="majorBidi"/>
          <w:sz w:val="24"/>
          <w:szCs w:val="24"/>
        </w:rPr>
        <w:t xml:space="preserve"> a augmenté de 0,3% au cours de cette même période.</w:t>
      </w:r>
    </w:p>
    <w:p w:rsidR="007F7CCC" w:rsidRDefault="007F7CC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7CCC" w:rsidRDefault="007F7CC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7CCC" w:rsidRDefault="007F7CC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C771D" w:rsidRDefault="00DC771D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C771D" w:rsidRDefault="00DC771D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C771D" w:rsidRDefault="00DC771D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C771D" w:rsidRDefault="00DC771D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C771D" w:rsidRDefault="00DC771D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C771D" w:rsidRDefault="00DC771D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C771D" w:rsidRDefault="00DC771D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D516C1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E4125B" w:rsidRPr="00E4125B" w:rsidTr="00E4125B">
        <w:trPr>
          <w:trHeight w:val="589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Janv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Dec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Janv</w:t>
            </w:r>
            <w:proofErr w:type="spellEnd"/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E4125B" w:rsidRPr="00E4125B" w:rsidTr="00E4125B">
        <w:trPr>
          <w:trHeight w:val="51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120,4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-1,3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4,0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139,0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2,4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120,9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3,9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113,5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2,6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104,4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-2,0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120,5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119,1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-1,2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</w:tr>
      <w:tr w:rsidR="00E4125B" w:rsidRPr="00E4125B" w:rsidTr="00E4125B">
        <w:trPr>
          <w:trHeight w:val="495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2,0</w:t>
            </w:r>
          </w:p>
        </w:tc>
      </w:tr>
      <w:tr w:rsidR="00E4125B" w:rsidRPr="00E4125B" w:rsidTr="00E4125B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2,3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p w:rsidR="00E4125B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949"/>
        <w:gridCol w:w="1341"/>
        <w:gridCol w:w="883"/>
        <w:gridCol w:w="1065"/>
        <w:gridCol w:w="883"/>
        <w:gridCol w:w="920"/>
        <w:gridCol w:w="846"/>
      </w:tblGrid>
      <w:tr w:rsidR="00E4125B" w:rsidRPr="00E4125B" w:rsidTr="00E4125B">
        <w:trPr>
          <w:trHeight w:val="420"/>
          <w:tblHeader/>
        </w:trPr>
        <w:tc>
          <w:tcPr>
            <w:tcW w:w="203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DIVISION/GROUPE/CLASSE DE PRODUITS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JANVIER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DECEMBRE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JANVIER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VARIATION (%)</w:t>
            </w:r>
          </w:p>
        </w:tc>
      </w:tr>
      <w:tr w:rsidR="00E4125B" w:rsidRPr="00E4125B" w:rsidTr="00E4125B">
        <w:trPr>
          <w:trHeight w:val="420"/>
          <w:tblHeader/>
        </w:trPr>
        <w:tc>
          <w:tcPr>
            <w:tcW w:w="203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4125B" w:rsidRPr="00E4125B" w:rsidRDefault="00E4125B" w:rsidP="00E4125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Annuelle</w:t>
            </w:r>
          </w:p>
        </w:tc>
      </w:tr>
      <w:tr w:rsidR="00E4125B" w:rsidRPr="00E4125B" w:rsidTr="00E4125B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4,0</w:t>
            </w:r>
          </w:p>
        </w:tc>
      </w:tr>
      <w:tr w:rsidR="00E4125B" w:rsidRPr="00E4125B" w:rsidTr="00E4125B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121,2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4,1</w:t>
            </w:r>
          </w:p>
        </w:tc>
      </w:tr>
      <w:tr w:rsidR="00E4125B" w:rsidRPr="00E4125B" w:rsidTr="00E4125B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122,2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</w:tr>
      <w:tr w:rsidR="00E4125B" w:rsidRPr="00E4125B" w:rsidTr="00E4125B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lastRenderedPageBreak/>
              <w:t>VIANDE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112,9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8,9</w:t>
            </w:r>
          </w:p>
        </w:tc>
      </w:tr>
      <w:tr w:rsidR="00E4125B" w:rsidRPr="00E4125B" w:rsidTr="00E4125B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106,0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</w:tr>
      <w:tr w:rsidR="00E4125B" w:rsidRPr="00E4125B" w:rsidTr="00E4125B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118,2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5,2</w:t>
            </w:r>
          </w:p>
        </w:tc>
      </w:tr>
      <w:tr w:rsidR="00E4125B" w:rsidRPr="00E4125B" w:rsidTr="00E4125B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153,2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149,1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151,1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-1,4</w:t>
            </w:r>
          </w:p>
        </w:tc>
      </w:tr>
      <w:tr w:rsidR="00E4125B" w:rsidRPr="00E4125B" w:rsidTr="00E4125B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112,2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13,7</w:t>
            </w:r>
          </w:p>
        </w:tc>
      </w:tr>
      <w:tr w:rsidR="00E4125B" w:rsidRPr="00E4125B" w:rsidTr="00E4125B">
        <w:trPr>
          <w:trHeight w:val="45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127,9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152,3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135,6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-11,0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6,0</w:t>
            </w:r>
          </w:p>
        </w:tc>
      </w:tr>
      <w:tr w:rsidR="00E4125B" w:rsidRPr="00E4125B" w:rsidTr="00E4125B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110,6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</w:tr>
      <w:tr w:rsidR="00E4125B" w:rsidRPr="00E4125B" w:rsidTr="00E4125B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104,9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2,8</w:t>
            </w:r>
          </w:p>
        </w:tc>
      </w:tr>
      <w:tr w:rsidR="00E4125B" w:rsidRPr="00E4125B" w:rsidTr="00E4125B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1,9</w:t>
            </w:r>
          </w:p>
        </w:tc>
      </w:tr>
      <w:tr w:rsidR="00E4125B" w:rsidRPr="00E4125B" w:rsidTr="00E4125B">
        <w:trPr>
          <w:trHeight w:val="54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110,7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E4125B" w:rsidRPr="00E4125B" w:rsidTr="00E4125B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1,1</w:t>
            </w:r>
          </w:p>
        </w:tc>
      </w:tr>
      <w:tr w:rsidR="00E4125B" w:rsidRPr="00E4125B" w:rsidTr="00E4125B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E4125B" w:rsidRPr="00E4125B" w:rsidTr="00E4125B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6,3</w:t>
            </w:r>
          </w:p>
        </w:tc>
      </w:tr>
      <w:tr w:rsidR="00E4125B" w:rsidRPr="00E4125B" w:rsidTr="00E4125B">
        <w:trPr>
          <w:trHeight w:val="555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</w:tr>
      <w:tr w:rsidR="00E4125B" w:rsidRPr="00E4125B" w:rsidTr="00E4125B">
        <w:trPr>
          <w:trHeight w:val="42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</w:tr>
      <w:tr w:rsidR="00E4125B" w:rsidRPr="00E4125B" w:rsidTr="00E4125B">
        <w:trPr>
          <w:trHeight w:val="375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12,6</w:t>
            </w:r>
          </w:p>
        </w:tc>
      </w:tr>
      <w:tr w:rsidR="00E4125B" w:rsidRPr="00E4125B" w:rsidTr="00E4125B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E4125B" w:rsidRPr="00E4125B" w:rsidTr="00E4125B">
        <w:trPr>
          <w:trHeight w:val="51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4125B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E4125B" w:rsidRPr="00E4125B" w:rsidTr="00E4125B">
        <w:trPr>
          <w:trHeight w:val="540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120,9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E4125B" w:rsidRPr="00E4125B" w:rsidTr="00E4125B">
        <w:trPr>
          <w:trHeight w:val="555"/>
        </w:trPr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4125B" w:rsidRPr="00E4125B" w:rsidRDefault="00E4125B" w:rsidP="00E4125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4125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9D" w:rsidRDefault="0050249D">
      <w:r>
        <w:separator/>
      </w:r>
    </w:p>
    <w:p w:rsidR="0050249D" w:rsidRDefault="0050249D"/>
  </w:endnote>
  <w:endnote w:type="continuationSeparator" w:id="0">
    <w:p w:rsidR="0050249D" w:rsidRDefault="0050249D">
      <w:r>
        <w:continuationSeparator/>
      </w:r>
    </w:p>
    <w:p w:rsidR="0050249D" w:rsidRDefault="005024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236AD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9D" w:rsidRDefault="0050249D">
      <w:r>
        <w:separator/>
      </w:r>
    </w:p>
    <w:p w:rsidR="0050249D" w:rsidRDefault="0050249D"/>
  </w:footnote>
  <w:footnote w:type="continuationSeparator" w:id="0">
    <w:p w:rsidR="0050249D" w:rsidRDefault="0050249D">
      <w:r>
        <w:continuationSeparator/>
      </w:r>
    </w:p>
    <w:p w:rsidR="0050249D" w:rsidRDefault="005024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32C5"/>
    <w:rsid w:val="00124EE5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6EE7"/>
    <w:rsid w:val="008E7A08"/>
    <w:rsid w:val="008E7C3D"/>
    <w:rsid w:val="008E7ED9"/>
    <w:rsid w:val="008F07B1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81E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187F48-D4E9-493A-9DC1-BD1802A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2024-02-27T10:05:00Z</dcterms:created>
  <dcterms:modified xsi:type="dcterms:W3CDTF">2024-02-29T12:41:00Z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