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C10945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Septembre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51293D" w:rsidRDefault="00B26DDE" w:rsidP="00324B6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>Au terme du mois d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e Septembre </w:t>
      </w:r>
      <w:r w:rsidRPr="0051293D">
        <w:rPr>
          <w:rFonts w:asciiTheme="majorBidi" w:hAnsiTheme="majorBidi" w:cstheme="majorBidi"/>
          <w:sz w:val="22"/>
          <w:szCs w:val="22"/>
        </w:rPr>
        <w:t xml:space="preserve"> 2024,  </w:t>
      </w:r>
      <w:r w:rsidR="00C94901" w:rsidRPr="0051293D">
        <w:rPr>
          <w:rFonts w:asciiTheme="majorBidi" w:hAnsiTheme="majorBidi" w:cstheme="majorBidi"/>
          <w:sz w:val="22"/>
          <w:szCs w:val="22"/>
        </w:rPr>
        <w:t>L’Indice</w:t>
      </w:r>
      <w:r w:rsidR="00C11EDD" w:rsidRPr="0051293D">
        <w:rPr>
          <w:rFonts w:asciiTheme="majorBidi" w:hAnsiTheme="majorBidi" w:cstheme="majorBidi"/>
          <w:sz w:val="22"/>
          <w:szCs w:val="22"/>
        </w:rPr>
        <w:t xml:space="preserve"> des Prix à la Consommation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 de la ville de </w:t>
      </w:r>
      <w:proofErr w:type="spellStart"/>
      <w:r w:rsidR="00324B69" w:rsidRPr="0051293D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="00324B69" w:rsidRPr="0051293D">
        <w:rPr>
          <w:rFonts w:asciiTheme="majorBidi" w:hAnsiTheme="majorBidi" w:cstheme="majorBidi"/>
          <w:sz w:val="22"/>
          <w:szCs w:val="22"/>
        </w:rPr>
        <w:t xml:space="preserve">  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a </w:t>
      </w:r>
      <w:r w:rsidR="001E7B5B" w:rsidRPr="0051293D">
        <w:rPr>
          <w:rFonts w:asciiTheme="majorBidi" w:hAnsiTheme="majorBidi" w:cstheme="majorBidi"/>
          <w:sz w:val="22"/>
          <w:szCs w:val="22"/>
        </w:rPr>
        <w:t>c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onnu une hausse </w:t>
      </w:r>
      <w:r w:rsidR="00C55809" w:rsidRPr="0051293D">
        <w:rPr>
          <w:rFonts w:asciiTheme="majorBidi" w:hAnsiTheme="majorBidi" w:cstheme="majorBidi"/>
          <w:sz w:val="22"/>
          <w:szCs w:val="22"/>
        </w:rPr>
        <w:t xml:space="preserve">de </w:t>
      </w:r>
      <w:r w:rsidR="006011F5" w:rsidRPr="0051293D">
        <w:rPr>
          <w:rFonts w:asciiTheme="majorBidi" w:hAnsiTheme="majorBidi" w:cstheme="majorBidi"/>
          <w:sz w:val="22"/>
          <w:szCs w:val="22"/>
        </w:rPr>
        <w:t>0,</w:t>
      </w:r>
      <w:r w:rsidR="00324B69" w:rsidRPr="0051293D">
        <w:rPr>
          <w:rFonts w:asciiTheme="majorBidi" w:hAnsiTheme="majorBidi" w:cstheme="majorBidi"/>
          <w:sz w:val="22"/>
          <w:szCs w:val="22"/>
        </w:rPr>
        <w:t>3</w:t>
      </w:r>
      <w:r w:rsidR="00C55809" w:rsidRPr="0051293D">
        <w:rPr>
          <w:rFonts w:asciiTheme="majorBidi" w:hAnsiTheme="majorBidi" w:cstheme="majorBidi"/>
          <w:sz w:val="22"/>
          <w:szCs w:val="22"/>
        </w:rPr>
        <w:t xml:space="preserve">% </w:t>
      </w:r>
      <w:r w:rsidR="00324B69" w:rsidRPr="0051293D">
        <w:rPr>
          <w:rFonts w:asciiTheme="majorBidi" w:hAnsiTheme="majorBidi" w:cstheme="majorBidi"/>
          <w:sz w:val="22"/>
          <w:szCs w:val="22"/>
        </w:rPr>
        <w:t>contre une stagnation</w:t>
      </w:r>
      <w:r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51293D">
        <w:rPr>
          <w:rFonts w:asciiTheme="majorBidi" w:hAnsiTheme="majorBidi" w:cstheme="majorBidi"/>
          <w:sz w:val="22"/>
          <w:szCs w:val="22"/>
        </w:rPr>
        <w:t>pour le niveau national.</w:t>
      </w:r>
    </w:p>
    <w:p w:rsidR="00C64EF8" w:rsidRPr="0051293D" w:rsidRDefault="00C55809" w:rsidP="00324B6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 xml:space="preserve">Cette </w:t>
      </w:r>
      <w:r w:rsidR="00B26DDE" w:rsidRPr="0051293D">
        <w:rPr>
          <w:rFonts w:asciiTheme="majorBidi" w:hAnsiTheme="majorBidi" w:cstheme="majorBidi"/>
          <w:sz w:val="22"/>
          <w:szCs w:val="22"/>
        </w:rPr>
        <w:t>pro</w:t>
      </w:r>
      <w:r w:rsidR="006011F5" w:rsidRPr="0051293D">
        <w:rPr>
          <w:rFonts w:asciiTheme="majorBidi" w:hAnsiTheme="majorBidi" w:cstheme="majorBidi"/>
          <w:sz w:val="22"/>
          <w:szCs w:val="22"/>
        </w:rPr>
        <w:t>gression</w:t>
      </w:r>
      <w:r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587C60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51293D">
        <w:rPr>
          <w:rFonts w:asciiTheme="majorBidi" w:hAnsiTheme="majorBidi" w:cstheme="majorBidi"/>
          <w:sz w:val="22"/>
          <w:szCs w:val="22"/>
        </w:rPr>
        <w:t xml:space="preserve">l’IPC </w:t>
      </w:r>
      <w:r w:rsidRPr="0051293D">
        <w:rPr>
          <w:rFonts w:asciiTheme="majorBidi" w:hAnsiTheme="majorBidi" w:cstheme="majorBidi"/>
          <w:sz w:val="22"/>
          <w:szCs w:val="22"/>
        </w:rPr>
        <w:t>de la ville de Kenitra</w:t>
      </w:r>
      <w:r w:rsidR="006011F5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est la </w:t>
      </w:r>
      <w:r w:rsidR="00B26DDE" w:rsidRPr="0051293D">
        <w:rPr>
          <w:rFonts w:asciiTheme="majorBidi" w:hAnsiTheme="majorBidi" w:cstheme="majorBidi"/>
          <w:sz w:val="22"/>
          <w:szCs w:val="22"/>
        </w:rPr>
        <w:t>résult</w:t>
      </w:r>
      <w:r w:rsidR="00324B69" w:rsidRPr="0051293D">
        <w:rPr>
          <w:rFonts w:asciiTheme="majorBidi" w:hAnsiTheme="majorBidi" w:cstheme="majorBidi"/>
          <w:sz w:val="22"/>
          <w:szCs w:val="22"/>
        </w:rPr>
        <w:t>ante</w:t>
      </w:r>
      <w:r w:rsidR="00B26DDE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51293D">
        <w:rPr>
          <w:rFonts w:asciiTheme="majorBidi" w:hAnsiTheme="majorBidi" w:cstheme="majorBidi"/>
          <w:sz w:val="22"/>
          <w:szCs w:val="22"/>
        </w:rPr>
        <w:t xml:space="preserve"> d’une </w:t>
      </w:r>
      <w:r w:rsidR="00B26DDE" w:rsidRPr="0051293D">
        <w:rPr>
          <w:rFonts w:asciiTheme="majorBidi" w:hAnsiTheme="majorBidi" w:cstheme="majorBidi"/>
          <w:sz w:val="22"/>
          <w:szCs w:val="22"/>
        </w:rPr>
        <w:t>h</w:t>
      </w:r>
      <w:r w:rsidR="006011F5" w:rsidRPr="0051293D">
        <w:rPr>
          <w:rFonts w:asciiTheme="majorBidi" w:hAnsiTheme="majorBidi" w:cstheme="majorBidi"/>
          <w:sz w:val="22"/>
          <w:szCs w:val="22"/>
        </w:rPr>
        <w:t>a</w:t>
      </w:r>
      <w:r w:rsidR="00B26DDE" w:rsidRPr="0051293D">
        <w:rPr>
          <w:rFonts w:asciiTheme="majorBidi" w:hAnsiTheme="majorBidi" w:cstheme="majorBidi"/>
          <w:sz w:val="22"/>
          <w:szCs w:val="22"/>
        </w:rPr>
        <w:t>u</w:t>
      </w:r>
      <w:r w:rsidR="006011F5" w:rsidRPr="0051293D">
        <w:rPr>
          <w:rFonts w:asciiTheme="majorBidi" w:hAnsiTheme="majorBidi" w:cstheme="majorBidi"/>
          <w:sz w:val="22"/>
          <w:szCs w:val="22"/>
        </w:rPr>
        <w:t>sse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 simultanée </w:t>
      </w:r>
      <w:r w:rsidR="006011F5" w:rsidRPr="0051293D">
        <w:rPr>
          <w:rFonts w:asciiTheme="majorBidi" w:hAnsiTheme="majorBidi" w:cstheme="majorBidi"/>
          <w:sz w:val="22"/>
          <w:szCs w:val="22"/>
        </w:rPr>
        <w:t xml:space="preserve"> de </w:t>
      </w:r>
      <w:r w:rsidR="00324B69" w:rsidRPr="0051293D">
        <w:rPr>
          <w:rFonts w:asciiTheme="majorBidi" w:hAnsiTheme="majorBidi" w:cstheme="majorBidi"/>
          <w:sz w:val="22"/>
          <w:szCs w:val="22"/>
        </w:rPr>
        <w:t>0</w:t>
      </w:r>
      <w:r w:rsidR="00BE5B7E" w:rsidRPr="0051293D">
        <w:rPr>
          <w:rFonts w:asciiTheme="majorBidi" w:hAnsiTheme="majorBidi" w:cstheme="majorBidi"/>
          <w:sz w:val="22"/>
          <w:szCs w:val="22"/>
        </w:rPr>
        <w:t>,</w:t>
      </w:r>
      <w:r w:rsidR="00324B69" w:rsidRPr="0051293D">
        <w:rPr>
          <w:rFonts w:asciiTheme="majorBidi" w:hAnsiTheme="majorBidi" w:cstheme="majorBidi"/>
          <w:sz w:val="22"/>
          <w:szCs w:val="22"/>
        </w:rPr>
        <w:t>1</w:t>
      </w:r>
      <w:r w:rsidR="006011F5" w:rsidRPr="0051293D">
        <w:rPr>
          <w:rFonts w:asciiTheme="majorBidi" w:hAnsiTheme="majorBidi" w:cstheme="majorBidi"/>
          <w:sz w:val="22"/>
          <w:szCs w:val="22"/>
        </w:rPr>
        <w:t>%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51293D">
        <w:rPr>
          <w:rFonts w:asciiTheme="majorBidi" w:hAnsiTheme="majorBidi" w:cstheme="majorBidi"/>
          <w:sz w:val="22"/>
          <w:szCs w:val="22"/>
        </w:rPr>
        <w:t>l’indice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51293D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51293D">
        <w:rPr>
          <w:rFonts w:asciiTheme="majorBidi" w:hAnsiTheme="majorBidi" w:cstheme="majorBidi"/>
          <w:sz w:val="22"/>
          <w:szCs w:val="22"/>
        </w:rPr>
        <w:t xml:space="preserve">et </w:t>
      </w:r>
      <w:r w:rsidR="00324B69" w:rsidRPr="0051293D">
        <w:rPr>
          <w:rFonts w:asciiTheme="majorBidi" w:hAnsiTheme="majorBidi" w:cstheme="majorBidi"/>
          <w:sz w:val="22"/>
          <w:szCs w:val="22"/>
        </w:rPr>
        <w:t xml:space="preserve">de 0,4% </w:t>
      </w:r>
      <w:r w:rsidR="006011F5" w:rsidRPr="0051293D">
        <w:rPr>
          <w:rFonts w:asciiTheme="majorBidi" w:hAnsiTheme="majorBidi" w:cstheme="majorBidi"/>
          <w:sz w:val="22"/>
          <w:szCs w:val="22"/>
        </w:rPr>
        <w:t>de celui</w:t>
      </w:r>
      <w:r w:rsidR="00E4125B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51293D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51293D">
        <w:rPr>
          <w:rFonts w:asciiTheme="majorBidi" w:hAnsiTheme="majorBidi" w:cstheme="majorBidi"/>
          <w:sz w:val="22"/>
          <w:szCs w:val="22"/>
        </w:rPr>
        <w:t>alimentaires</w:t>
      </w:r>
      <w:r w:rsidR="00C64EF8" w:rsidRPr="0051293D">
        <w:rPr>
          <w:rFonts w:asciiTheme="majorBidi" w:hAnsiTheme="majorBidi" w:cstheme="majorBidi"/>
          <w:sz w:val="22"/>
          <w:szCs w:val="22"/>
        </w:rPr>
        <w:t>.</w:t>
      </w:r>
    </w:p>
    <w:p w:rsidR="001456C5" w:rsidRPr="0051293D" w:rsidRDefault="00324B69" w:rsidP="0035620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>A</w:t>
      </w:r>
      <w:r w:rsidR="00C64EF8" w:rsidRPr="0051293D">
        <w:rPr>
          <w:rFonts w:asciiTheme="majorBidi" w:hAnsiTheme="majorBidi" w:cstheme="majorBidi"/>
          <w:sz w:val="22"/>
          <w:szCs w:val="22"/>
        </w:rPr>
        <w:t>u niveau des</w:t>
      </w:r>
      <w:r w:rsidR="00EA607D" w:rsidRPr="0051293D">
        <w:rPr>
          <w:rFonts w:asciiTheme="majorBidi" w:hAnsiTheme="majorBidi" w:cstheme="majorBidi"/>
          <w:sz w:val="22"/>
          <w:szCs w:val="22"/>
        </w:rPr>
        <w:t xml:space="preserve"> classes des produits</w:t>
      </w:r>
      <w:r w:rsidR="00DC1E02" w:rsidRPr="0051293D">
        <w:rPr>
          <w:rFonts w:asciiTheme="majorBidi" w:hAnsiTheme="majorBidi" w:cstheme="majorBidi"/>
          <w:sz w:val="22"/>
          <w:szCs w:val="22"/>
        </w:rPr>
        <w:t xml:space="preserve"> alimentaires</w:t>
      </w:r>
      <w:r w:rsidR="001456C5" w:rsidRPr="0051293D">
        <w:rPr>
          <w:rFonts w:asciiTheme="majorBidi" w:hAnsiTheme="majorBidi" w:cstheme="majorBidi"/>
          <w:sz w:val="22"/>
          <w:szCs w:val="22"/>
        </w:rPr>
        <w:t xml:space="preserve">, </w:t>
      </w:r>
      <w:r w:rsidRPr="0051293D">
        <w:rPr>
          <w:rFonts w:asciiTheme="majorBidi" w:hAnsiTheme="majorBidi" w:cstheme="majorBidi"/>
          <w:sz w:val="22"/>
          <w:szCs w:val="22"/>
        </w:rPr>
        <w:t xml:space="preserve">seuls les "Lait, fromage et œufs", les "Huiles et graisses" et les "Fruits" </w:t>
      </w:r>
      <w:r w:rsidR="001456C5" w:rsidRPr="0051293D">
        <w:rPr>
          <w:rFonts w:asciiTheme="majorBidi" w:hAnsiTheme="majorBidi" w:cstheme="majorBidi"/>
          <w:sz w:val="22"/>
          <w:szCs w:val="22"/>
        </w:rPr>
        <w:t>ont enregistré des hausses</w:t>
      </w:r>
      <w:r w:rsidRPr="0051293D">
        <w:rPr>
          <w:rFonts w:asciiTheme="majorBidi" w:hAnsiTheme="majorBidi" w:cstheme="majorBidi"/>
          <w:sz w:val="22"/>
          <w:szCs w:val="22"/>
        </w:rPr>
        <w:t xml:space="preserve"> de prix respectives de 2,</w:t>
      </w:r>
      <w:r w:rsidR="00F4672A" w:rsidRPr="0051293D">
        <w:rPr>
          <w:rFonts w:asciiTheme="majorBidi" w:hAnsiTheme="majorBidi" w:cstheme="majorBidi"/>
          <w:sz w:val="22"/>
          <w:szCs w:val="22"/>
        </w:rPr>
        <w:t>1</w:t>
      </w:r>
      <w:r w:rsidRPr="0051293D">
        <w:rPr>
          <w:rFonts w:asciiTheme="majorBidi" w:hAnsiTheme="majorBidi" w:cstheme="majorBidi"/>
          <w:sz w:val="22"/>
          <w:szCs w:val="22"/>
        </w:rPr>
        <w:t>%,</w:t>
      </w:r>
      <w:r w:rsidR="00F4672A" w:rsidRPr="0051293D">
        <w:rPr>
          <w:rFonts w:asciiTheme="majorBidi" w:hAnsiTheme="majorBidi" w:cstheme="majorBidi"/>
          <w:sz w:val="22"/>
          <w:szCs w:val="22"/>
        </w:rPr>
        <w:t xml:space="preserve"> de 0,6% et de 2,7%.</w:t>
      </w:r>
      <w:r w:rsidR="001456C5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F4672A" w:rsidRPr="0051293D">
        <w:rPr>
          <w:rFonts w:asciiTheme="majorBidi" w:hAnsiTheme="majorBidi" w:cstheme="majorBidi"/>
          <w:sz w:val="22"/>
          <w:szCs w:val="22"/>
        </w:rPr>
        <w:t xml:space="preserve">En contrepartie, les classes des "Pains et céréales", des </w:t>
      </w:r>
      <w:r w:rsidR="001456C5" w:rsidRPr="0051293D">
        <w:rPr>
          <w:rFonts w:asciiTheme="majorBidi" w:hAnsiTheme="majorBidi" w:cstheme="majorBidi"/>
          <w:sz w:val="22"/>
          <w:szCs w:val="22"/>
        </w:rPr>
        <w:t>"Viandes"</w:t>
      </w:r>
      <w:r w:rsidR="00F4672A" w:rsidRPr="0051293D">
        <w:rPr>
          <w:rFonts w:asciiTheme="majorBidi" w:hAnsiTheme="majorBidi" w:cstheme="majorBidi"/>
          <w:sz w:val="22"/>
          <w:szCs w:val="22"/>
        </w:rPr>
        <w:t>, des "Poissons et fruits de mer" et des "Légumes", ont vu leurs indices baisser, respectivement de (</w:t>
      </w:r>
      <w:r w:rsidR="00356207" w:rsidRPr="0051293D">
        <w:rPr>
          <w:rFonts w:asciiTheme="majorBidi" w:hAnsiTheme="majorBidi" w:cstheme="majorBidi"/>
          <w:sz w:val="22"/>
          <w:szCs w:val="22"/>
        </w:rPr>
        <w:t>-0,3%), de (-0,1%),  de (-3,6%) et de (-1,8%)</w:t>
      </w:r>
      <w:r w:rsidR="001456C5" w:rsidRPr="0051293D">
        <w:rPr>
          <w:rFonts w:asciiTheme="majorBidi" w:hAnsiTheme="majorBidi" w:cstheme="majorBidi"/>
          <w:sz w:val="22"/>
          <w:szCs w:val="22"/>
        </w:rPr>
        <w:t>.</w:t>
      </w:r>
      <w:r w:rsidR="00AF5271" w:rsidRPr="0051293D">
        <w:rPr>
          <w:rFonts w:asciiTheme="majorBidi" w:hAnsiTheme="majorBidi" w:cstheme="majorBidi"/>
          <w:sz w:val="22"/>
          <w:szCs w:val="22"/>
        </w:rPr>
        <w:t xml:space="preserve"> Le groupe des boissons non alcoolisées a vu son indice croitre de 0,</w:t>
      </w:r>
      <w:r w:rsidR="00F4672A" w:rsidRPr="0051293D">
        <w:rPr>
          <w:rFonts w:asciiTheme="majorBidi" w:hAnsiTheme="majorBidi" w:cstheme="majorBidi"/>
          <w:sz w:val="22"/>
          <w:szCs w:val="22"/>
        </w:rPr>
        <w:t>7</w:t>
      </w:r>
      <w:r w:rsidR="00AF5271" w:rsidRPr="0051293D">
        <w:rPr>
          <w:rFonts w:asciiTheme="majorBidi" w:hAnsiTheme="majorBidi" w:cstheme="majorBidi"/>
          <w:sz w:val="22"/>
          <w:szCs w:val="22"/>
        </w:rPr>
        <w:t xml:space="preserve">%, par contre les prix des boissons alcoolisées et du tabac n’ont connu aucune variation. </w:t>
      </w:r>
    </w:p>
    <w:p w:rsidR="00B561F3" w:rsidRPr="0051293D" w:rsidRDefault="00250797" w:rsidP="00C24E7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>Concernant</w:t>
      </w:r>
      <w:r w:rsidR="009447A5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Pr="0051293D">
        <w:rPr>
          <w:rFonts w:asciiTheme="majorBidi" w:hAnsiTheme="majorBidi" w:cstheme="majorBidi"/>
          <w:sz w:val="22"/>
          <w:szCs w:val="22"/>
        </w:rPr>
        <w:t xml:space="preserve"> les </w:t>
      </w:r>
      <w:r w:rsidR="006556E4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A23AD0" w:rsidRPr="0051293D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51293D">
        <w:rPr>
          <w:rFonts w:asciiTheme="majorBidi" w:hAnsiTheme="majorBidi" w:cstheme="majorBidi"/>
          <w:sz w:val="22"/>
          <w:szCs w:val="22"/>
        </w:rPr>
        <w:t>,</w:t>
      </w:r>
      <w:r w:rsidR="009D3552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B561F3" w:rsidRPr="0051293D">
        <w:rPr>
          <w:rFonts w:asciiTheme="majorBidi" w:hAnsiTheme="majorBidi" w:cstheme="majorBidi"/>
          <w:sz w:val="22"/>
          <w:szCs w:val="22"/>
        </w:rPr>
        <w:t>quatre</w:t>
      </w:r>
      <w:r w:rsidR="00760481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567C5C" w:rsidRPr="0051293D">
        <w:rPr>
          <w:rFonts w:asciiTheme="majorBidi" w:hAnsiTheme="majorBidi" w:cstheme="majorBidi"/>
          <w:sz w:val="22"/>
          <w:szCs w:val="22"/>
        </w:rPr>
        <w:t>divisions</w:t>
      </w:r>
      <w:r w:rsidR="00B561F3" w:rsidRPr="0051293D">
        <w:rPr>
          <w:rFonts w:asciiTheme="majorBidi" w:hAnsiTheme="majorBidi" w:cstheme="majorBidi"/>
          <w:sz w:val="22"/>
          <w:szCs w:val="22"/>
        </w:rPr>
        <w:t xml:space="preserve"> ont connu une hausse de leurs indices, au cours de ce mois. Il s’agit des "Articles d’habillement et chaussures" avec 0,2%, de l’"Enseignement" avec 4,8%, des "Restaurants et hôtels" avec 0,7% et des "Biens et services divers" avec 1,2%. Deux divisions, à savoir, les " Transports" et les "Loisirs et culture" ont vu leurs indices baisser respectivement de (-1,1%) et de (-0,3%).</w:t>
      </w:r>
      <w:r w:rsidR="00C24E72" w:rsidRPr="0051293D">
        <w:rPr>
          <w:rFonts w:asciiTheme="majorBidi" w:hAnsiTheme="majorBidi" w:cstheme="majorBidi"/>
          <w:sz w:val="22"/>
          <w:szCs w:val="22"/>
        </w:rPr>
        <w:t xml:space="preserve"> Q</w:t>
      </w:r>
      <w:r w:rsidR="00B561F3" w:rsidRPr="0051293D">
        <w:rPr>
          <w:rFonts w:asciiTheme="majorBidi" w:hAnsiTheme="majorBidi" w:cstheme="majorBidi"/>
          <w:sz w:val="22"/>
          <w:szCs w:val="22"/>
        </w:rPr>
        <w:t>uant au reste des divisions non alimentaires, e</w:t>
      </w:r>
      <w:r w:rsidR="00C24E72" w:rsidRPr="0051293D">
        <w:rPr>
          <w:rFonts w:asciiTheme="majorBidi" w:hAnsiTheme="majorBidi" w:cstheme="majorBidi"/>
          <w:sz w:val="22"/>
          <w:szCs w:val="22"/>
        </w:rPr>
        <w:t>lles ont noté une stagnation du niveau général de leurs prix.</w:t>
      </w:r>
    </w:p>
    <w:p w:rsidR="004C54F7" w:rsidRPr="0051293D" w:rsidRDefault="00567C5C" w:rsidP="00C24E7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4C54F7" w:rsidRPr="0051293D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51293D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="004C54F7" w:rsidRPr="0051293D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51293D" w:rsidRDefault="00717FDA" w:rsidP="00C24E7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 xml:space="preserve">En </w:t>
      </w:r>
      <w:r w:rsidR="00A20DC2" w:rsidRPr="0051293D">
        <w:rPr>
          <w:rFonts w:asciiTheme="majorBidi" w:hAnsiTheme="majorBidi" w:cstheme="majorBidi"/>
          <w:sz w:val="22"/>
          <w:szCs w:val="22"/>
        </w:rPr>
        <w:t>termes de variation annuelle</w:t>
      </w:r>
      <w:r w:rsidR="00DA09C1" w:rsidRPr="0051293D">
        <w:rPr>
          <w:rFonts w:asciiTheme="majorBidi" w:hAnsiTheme="majorBidi" w:cstheme="majorBidi"/>
          <w:sz w:val="22"/>
          <w:szCs w:val="22"/>
        </w:rPr>
        <w:t>,</w:t>
      </w:r>
      <w:r w:rsidR="004C54F7" w:rsidRPr="0051293D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51293D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51293D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51293D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51293D">
        <w:rPr>
          <w:rFonts w:asciiTheme="majorBidi" w:hAnsiTheme="majorBidi" w:cstheme="majorBidi"/>
          <w:sz w:val="22"/>
          <w:szCs w:val="22"/>
        </w:rPr>
        <w:t>Kenitra</w:t>
      </w:r>
      <w:r w:rsidR="004C54F7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51293D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51293D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A20DC2" w:rsidRPr="0051293D">
        <w:rPr>
          <w:rFonts w:asciiTheme="majorBidi" w:hAnsiTheme="majorBidi" w:cstheme="majorBidi"/>
          <w:sz w:val="22"/>
          <w:szCs w:val="22"/>
        </w:rPr>
        <w:t>hau</w:t>
      </w:r>
      <w:r w:rsidR="009A60DC" w:rsidRPr="0051293D">
        <w:rPr>
          <w:rFonts w:asciiTheme="majorBidi" w:hAnsiTheme="majorBidi" w:cstheme="majorBidi"/>
          <w:sz w:val="22"/>
          <w:szCs w:val="22"/>
        </w:rPr>
        <w:t>sse</w:t>
      </w:r>
      <w:r w:rsidR="001E5281" w:rsidRPr="0051293D">
        <w:rPr>
          <w:rFonts w:asciiTheme="majorBidi" w:hAnsiTheme="majorBidi" w:cstheme="majorBidi"/>
          <w:sz w:val="22"/>
          <w:szCs w:val="22"/>
        </w:rPr>
        <w:t xml:space="preserve"> de </w:t>
      </w:r>
      <w:r w:rsidR="00371C87" w:rsidRPr="0051293D">
        <w:rPr>
          <w:rFonts w:asciiTheme="majorBidi" w:hAnsiTheme="majorBidi" w:cstheme="majorBidi"/>
          <w:sz w:val="22"/>
          <w:szCs w:val="22"/>
        </w:rPr>
        <w:t>1</w:t>
      </w:r>
      <w:r w:rsidR="00C24E72" w:rsidRPr="0051293D">
        <w:rPr>
          <w:rFonts w:asciiTheme="majorBidi" w:hAnsiTheme="majorBidi" w:cstheme="majorBidi"/>
          <w:sz w:val="22"/>
          <w:szCs w:val="22"/>
        </w:rPr>
        <w:t>,3</w:t>
      </w:r>
      <w:r w:rsidR="000076B1" w:rsidRPr="0051293D">
        <w:rPr>
          <w:rFonts w:asciiTheme="majorBidi" w:hAnsiTheme="majorBidi" w:cstheme="majorBidi"/>
          <w:sz w:val="22"/>
          <w:szCs w:val="22"/>
        </w:rPr>
        <w:t>%</w:t>
      </w:r>
      <w:r w:rsidR="004C54F7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51293D">
        <w:rPr>
          <w:rFonts w:asciiTheme="majorBidi" w:hAnsiTheme="majorBidi" w:cstheme="majorBidi"/>
          <w:sz w:val="22"/>
          <w:szCs w:val="22"/>
        </w:rPr>
        <w:t>contre</w:t>
      </w:r>
      <w:r w:rsidR="00A20DC2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C24E72" w:rsidRPr="0051293D">
        <w:rPr>
          <w:rFonts w:asciiTheme="majorBidi" w:hAnsiTheme="majorBidi" w:cstheme="majorBidi"/>
          <w:sz w:val="22"/>
          <w:szCs w:val="22"/>
        </w:rPr>
        <w:t>0</w:t>
      </w:r>
      <w:r w:rsidR="003371A7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8</w:t>
      </w:r>
      <w:r w:rsidR="009A60DC" w:rsidRPr="0051293D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51293D">
        <w:rPr>
          <w:rFonts w:asciiTheme="majorBidi" w:hAnsiTheme="majorBidi" w:cstheme="majorBidi"/>
          <w:sz w:val="22"/>
          <w:szCs w:val="22"/>
        </w:rPr>
        <w:t>national</w:t>
      </w:r>
      <w:r w:rsidR="009A60DC" w:rsidRPr="0051293D">
        <w:rPr>
          <w:rFonts w:asciiTheme="majorBidi" w:hAnsiTheme="majorBidi" w:cstheme="majorBidi"/>
          <w:sz w:val="22"/>
          <w:szCs w:val="22"/>
        </w:rPr>
        <w:t>e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. Ceci, </w:t>
      </w:r>
      <w:r w:rsidRPr="0051293D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51293D">
        <w:rPr>
          <w:rFonts w:asciiTheme="majorBidi" w:hAnsiTheme="majorBidi" w:cstheme="majorBidi"/>
          <w:sz w:val="22"/>
          <w:szCs w:val="22"/>
        </w:rPr>
        <w:t xml:space="preserve">l’effet </w:t>
      </w:r>
      <w:r w:rsidR="00C24E72" w:rsidRPr="0051293D">
        <w:rPr>
          <w:rFonts w:asciiTheme="majorBidi" w:hAnsiTheme="majorBidi" w:cstheme="majorBidi"/>
          <w:sz w:val="22"/>
          <w:szCs w:val="22"/>
        </w:rPr>
        <w:t>double</w:t>
      </w:r>
      <w:r w:rsidR="00DA09C1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51293D">
        <w:rPr>
          <w:rFonts w:asciiTheme="majorBidi" w:hAnsiTheme="majorBidi" w:cstheme="majorBidi"/>
          <w:sz w:val="22"/>
          <w:szCs w:val="22"/>
        </w:rPr>
        <w:t xml:space="preserve">de </w:t>
      </w:r>
      <w:r w:rsidR="00216963" w:rsidRPr="0051293D">
        <w:rPr>
          <w:rFonts w:asciiTheme="majorBidi" w:hAnsiTheme="majorBidi" w:cstheme="majorBidi"/>
          <w:sz w:val="22"/>
          <w:szCs w:val="22"/>
        </w:rPr>
        <w:t>l</w:t>
      </w:r>
      <w:r w:rsidR="00A20DC2" w:rsidRPr="0051293D">
        <w:rPr>
          <w:rFonts w:asciiTheme="majorBidi" w:hAnsiTheme="majorBidi" w:cstheme="majorBidi"/>
          <w:sz w:val="22"/>
          <w:szCs w:val="22"/>
        </w:rPr>
        <w:t>’augmentation</w:t>
      </w:r>
      <w:r w:rsidR="00216963" w:rsidRPr="0051293D">
        <w:rPr>
          <w:rFonts w:asciiTheme="majorBidi" w:hAnsiTheme="majorBidi" w:cstheme="majorBidi"/>
          <w:sz w:val="22"/>
          <w:szCs w:val="22"/>
        </w:rPr>
        <w:t xml:space="preserve"> des prix de </w:t>
      </w:r>
      <w:r w:rsidR="00A131AC" w:rsidRPr="0051293D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51293D">
        <w:rPr>
          <w:rFonts w:asciiTheme="majorBidi" w:hAnsiTheme="majorBidi" w:cstheme="majorBidi"/>
          <w:sz w:val="22"/>
          <w:szCs w:val="22"/>
        </w:rPr>
        <w:t>"P</w:t>
      </w:r>
      <w:r w:rsidR="00201C28" w:rsidRPr="0051293D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51293D">
        <w:rPr>
          <w:rFonts w:asciiTheme="majorBidi" w:hAnsiTheme="majorBidi" w:cstheme="majorBidi"/>
          <w:sz w:val="22"/>
          <w:szCs w:val="22"/>
        </w:rPr>
        <w:t>"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A20DC2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371C87" w:rsidRPr="0051293D">
        <w:rPr>
          <w:rFonts w:asciiTheme="majorBidi" w:hAnsiTheme="majorBidi" w:cstheme="majorBidi"/>
          <w:sz w:val="22"/>
          <w:szCs w:val="22"/>
        </w:rPr>
        <w:t>1</w:t>
      </w:r>
      <w:r w:rsidR="00A20DC2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5</w:t>
      </w:r>
      <w:r w:rsidR="00201C28" w:rsidRPr="0051293D">
        <w:rPr>
          <w:rFonts w:asciiTheme="majorBidi" w:hAnsiTheme="majorBidi" w:cstheme="majorBidi"/>
          <w:sz w:val="22"/>
          <w:szCs w:val="22"/>
        </w:rPr>
        <w:t>%</w:t>
      </w:r>
      <w:r w:rsidR="008E5AD8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 et </w:t>
      </w:r>
      <w:r w:rsidR="003371A7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616205" w:rsidRPr="0051293D">
        <w:rPr>
          <w:rFonts w:asciiTheme="majorBidi" w:hAnsiTheme="majorBidi" w:cstheme="majorBidi"/>
          <w:sz w:val="22"/>
          <w:szCs w:val="22"/>
        </w:rPr>
        <w:t>de</w:t>
      </w:r>
      <w:r w:rsidR="00216963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371C87" w:rsidRPr="0051293D">
        <w:rPr>
          <w:rFonts w:asciiTheme="majorBidi" w:hAnsiTheme="majorBidi" w:cstheme="majorBidi"/>
          <w:sz w:val="22"/>
          <w:szCs w:val="22"/>
        </w:rPr>
        <w:t>celle</w:t>
      </w:r>
      <w:r w:rsidR="00216963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51293D">
        <w:rPr>
          <w:rFonts w:asciiTheme="majorBidi" w:hAnsiTheme="majorBidi" w:cstheme="majorBidi"/>
          <w:sz w:val="22"/>
          <w:szCs w:val="22"/>
        </w:rPr>
        <w:t>"P</w:t>
      </w:r>
      <w:r w:rsidR="00201C28" w:rsidRPr="0051293D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51293D">
        <w:rPr>
          <w:rFonts w:asciiTheme="majorBidi" w:hAnsiTheme="majorBidi" w:cstheme="majorBidi"/>
          <w:sz w:val="22"/>
          <w:szCs w:val="22"/>
        </w:rPr>
        <w:t>"</w:t>
      </w:r>
      <w:r w:rsidR="003C3AFE" w:rsidRPr="0051293D">
        <w:rPr>
          <w:rFonts w:asciiTheme="majorBidi" w:hAnsiTheme="majorBidi" w:cstheme="majorBidi"/>
          <w:sz w:val="22"/>
          <w:szCs w:val="22"/>
        </w:rPr>
        <w:t xml:space="preserve"> de </w:t>
      </w:r>
      <w:r w:rsidR="00C24E72" w:rsidRPr="0051293D">
        <w:rPr>
          <w:rFonts w:asciiTheme="majorBidi" w:hAnsiTheme="majorBidi" w:cstheme="majorBidi"/>
          <w:sz w:val="22"/>
          <w:szCs w:val="22"/>
        </w:rPr>
        <w:t>1</w:t>
      </w:r>
      <w:r w:rsidR="003C3AFE" w:rsidRPr="0051293D">
        <w:rPr>
          <w:rFonts w:asciiTheme="majorBidi" w:hAnsiTheme="majorBidi" w:cstheme="majorBidi"/>
          <w:sz w:val="22"/>
          <w:szCs w:val="22"/>
        </w:rPr>
        <w:t>%.</w:t>
      </w:r>
      <w:r w:rsidR="00201C28" w:rsidRPr="0051293D">
        <w:rPr>
          <w:rFonts w:asciiTheme="majorBidi" w:hAnsiTheme="majorBidi" w:cstheme="majorBidi"/>
          <w:sz w:val="22"/>
          <w:szCs w:val="22"/>
        </w:rPr>
        <w:t xml:space="preserve"> </w:t>
      </w:r>
    </w:p>
    <w:p w:rsidR="004477D4" w:rsidRPr="0051293D" w:rsidRDefault="00DA09C1" w:rsidP="00C24E7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51293D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51293D">
        <w:rPr>
          <w:rFonts w:asciiTheme="majorBidi" w:hAnsiTheme="majorBidi" w:cstheme="majorBidi"/>
          <w:sz w:val="22"/>
          <w:szCs w:val="22"/>
        </w:rPr>
        <w:t xml:space="preserve"> on souligne que</w:t>
      </w:r>
      <w:r w:rsidR="00371C87" w:rsidRPr="0051293D">
        <w:rPr>
          <w:rFonts w:asciiTheme="majorBidi" w:hAnsiTheme="majorBidi" w:cstheme="majorBidi"/>
          <w:sz w:val="22"/>
          <w:szCs w:val="22"/>
        </w:rPr>
        <w:t xml:space="preserve"> les fortes hausses au sein du</w:t>
      </w:r>
      <w:r w:rsidR="00D84ED4" w:rsidRPr="0051293D">
        <w:rPr>
          <w:rFonts w:asciiTheme="majorBidi" w:hAnsiTheme="majorBidi" w:cstheme="majorBidi"/>
          <w:sz w:val="22"/>
          <w:szCs w:val="22"/>
        </w:rPr>
        <w:t xml:space="preserve"> groupe des produits </w:t>
      </w:r>
      <w:r w:rsidR="003F184D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8D4715" w:rsidRPr="0051293D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71C87" w:rsidRPr="0051293D">
        <w:rPr>
          <w:rFonts w:asciiTheme="majorBidi" w:hAnsiTheme="majorBidi" w:cstheme="majorBidi"/>
          <w:sz w:val="22"/>
          <w:szCs w:val="22"/>
        </w:rPr>
        <w:t>ont touché les "Viandes" avec 1</w:t>
      </w:r>
      <w:r w:rsidR="00C24E72" w:rsidRPr="0051293D">
        <w:rPr>
          <w:rFonts w:asciiTheme="majorBidi" w:hAnsiTheme="majorBidi" w:cstheme="majorBidi"/>
          <w:sz w:val="22"/>
          <w:szCs w:val="22"/>
        </w:rPr>
        <w:t>4</w:t>
      </w:r>
      <w:r w:rsidR="00371C87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7</w:t>
      </w:r>
      <w:r w:rsidR="00371C87" w:rsidRPr="0051293D">
        <w:rPr>
          <w:rFonts w:asciiTheme="majorBidi" w:hAnsiTheme="majorBidi" w:cstheme="majorBidi"/>
          <w:sz w:val="22"/>
          <w:szCs w:val="22"/>
        </w:rPr>
        <w:t xml:space="preserve">% et les "Poissons et  fruits de mer" avec </w:t>
      </w:r>
      <w:r w:rsidR="00C24E72" w:rsidRPr="0051293D">
        <w:rPr>
          <w:rFonts w:asciiTheme="majorBidi" w:hAnsiTheme="majorBidi" w:cstheme="majorBidi"/>
          <w:sz w:val="22"/>
          <w:szCs w:val="22"/>
        </w:rPr>
        <w:t>15</w:t>
      </w:r>
      <w:r w:rsidR="00371C87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8</w:t>
      </w:r>
      <w:r w:rsidR="00371C87" w:rsidRPr="0051293D">
        <w:rPr>
          <w:rFonts w:asciiTheme="majorBidi" w:hAnsiTheme="majorBidi" w:cstheme="majorBidi"/>
          <w:sz w:val="22"/>
          <w:szCs w:val="22"/>
        </w:rPr>
        <w:t xml:space="preserve">%. A l’opposé, les baisses significatives des prix ont concerné </w:t>
      </w:r>
      <w:r w:rsidR="00C24E72" w:rsidRPr="0051293D">
        <w:rPr>
          <w:rFonts w:asciiTheme="majorBidi" w:hAnsiTheme="majorBidi" w:cstheme="majorBidi"/>
          <w:sz w:val="22"/>
          <w:szCs w:val="22"/>
        </w:rPr>
        <w:t xml:space="preserve">notamment </w:t>
      </w:r>
      <w:r w:rsidR="00371C87" w:rsidRPr="0051293D">
        <w:rPr>
          <w:rFonts w:asciiTheme="majorBidi" w:hAnsiTheme="majorBidi" w:cstheme="majorBidi"/>
          <w:sz w:val="22"/>
          <w:szCs w:val="22"/>
        </w:rPr>
        <w:t>les "Légumes" avec (-</w:t>
      </w:r>
      <w:r w:rsidR="00C24E72" w:rsidRPr="0051293D">
        <w:rPr>
          <w:rFonts w:asciiTheme="majorBidi" w:hAnsiTheme="majorBidi" w:cstheme="majorBidi"/>
          <w:sz w:val="22"/>
          <w:szCs w:val="22"/>
        </w:rPr>
        <w:t>14</w:t>
      </w:r>
      <w:r w:rsidR="00371C87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4</w:t>
      </w:r>
      <w:r w:rsidR="004477D4" w:rsidRPr="0051293D">
        <w:rPr>
          <w:rFonts w:asciiTheme="majorBidi" w:hAnsiTheme="majorBidi" w:cstheme="majorBidi"/>
          <w:sz w:val="22"/>
          <w:szCs w:val="22"/>
        </w:rPr>
        <w:t>%).</w:t>
      </w:r>
    </w:p>
    <w:p w:rsidR="00563CDD" w:rsidRPr="0051293D" w:rsidRDefault="00D17B94" w:rsidP="004477D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 xml:space="preserve">En ce qui concerne </w:t>
      </w:r>
      <w:r w:rsidR="00B93443" w:rsidRPr="0051293D">
        <w:rPr>
          <w:rFonts w:asciiTheme="majorBidi" w:hAnsiTheme="majorBidi" w:cstheme="majorBidi"/>
          <w:sz w:val="22"/>
          <w:szCs w:val="22"/>
        </w:rPr>
        <w:t xml:space="preserve">le groupe des Boissons non alcoolisées, il a </w:t>
      </w:r>
      <w:r w:rsidRPr="0051293D">
        <w:rPr>
          <w:rFonts w:asciiTheme="majorBidi" w:hAnsiTheme="majorBidi" w:cstheme="majorBidi"/>
          <w:sz w:val="22"/>
          <w:szCs w:val="22"/>
        </w:rPr>
        <w:t xml:space="preserve"> enregistré </w:t>
      </w:r>
      <w:r w:rsidR="00B93443" w:rsidRPr="0051293D">
        <w:rPr>
          <w:rFonts w:asciiTheme="majorBidi" w:hAnsiTheme="majorBidi" w:cstheme="majorBidi"/>
          <w:sz w:val="22"/>
          <w:szCs w:val="22"/>
        </w:rPr>
        <w:t xml:space="preserve">une  hausse de </w:t>
      </w:r>
      <w:r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4477D4" w:rsidRPr="0051293D">
        <w:rPr>
          <w:rFonts w:asciiTheme="majorBidi" w:hAnsiTheme="majorBidi" w:cstheme="majorBidi"/>
          <w:sz w:val="22"/>
          <w:szCs w:val="22"/>
        </w:rPr>
        <w:t>2</w:t>
      </w:r>
      <w:r w:rsidR="00B93443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8</w:t>
      </w:r>
      <w:r w:rsidR="00DD52CD" w:rsidRPr="0051293D">
        <w:rPr>
          <w:rFonts w:asciiTheme="majorBidi" w:hAnsiTheme="majorBidi" w:cstheme="majorBidi"/>
          <w:sz w:val="22"/>
          <w:szCs w:val="22"/>
        </w:rPr>
        <w:t>%</w:t>
      </w:r>
      <w:r w:rsidR="004B54D8" w:rsidRPr="0051293D">
        <w:rPr>
          <w:rFonts w:asciiTheme="majorBidi" w:hAnsiTheme="majorBidi" w:cstheme="majorBidi"/>
          <w:sz w:val="22"/>
          <w:szCs w:val="22"/>
        </w:rPr>
        <w:t>.</w:t>
      </w:r>
      <w:r w:rsidR="00685DCE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51293D">
        <w:rPr>
          <w:rFonts w:asciiTheme="majorBidi" w:hAnsiTheme="majorBidi" w:cstheme="majorBidi"/>
          <w:sz w:val="22"/>
          <w:szCs w:val="22"/>
        </w:rPr>
        <w:t>Il est</w:t>
      </w:r>
      <w:r w:rsidR="00685DCE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51293D">
        <w:rPr>
          <w:rFonts w:asciiTheme="majorBidi" w:hAnsiTheme="majorBidi" w:cstheme="majorBidi"/>
          <w:sz w:val="22"/>
          <w:szCs w:val="22"/>
        </w:rPr>
        <w:t>à</w:t>
      </w:r>
      <w:r w:rsidR="00685DCE" w:rsidRPr="0051293D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51293D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51293D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51293D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51293D">
        <w:rPr>
          <w:rFonts w:asciiTheme="majorBidi" w:hAnsiTheme="majorBidi" w:cstheme="majorBidi"/>
          <w:sz w:val="22"/>
          <w:szCs w:val="22"/>
        </w:rPr>
        <w:t>l’indice du</w:t>
      </w:r>
      <w:r w:rsidR="00685DCE" w:rsidRPr="0051293D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51293D">
        <w:rPr>
          <w:rFonts w:asciiTheme="majorBidi" w:hAnsiTheme="majorBidi" w:cstheme="majorBidi"/>
          <w:sz w:val="22"/>
          <w:szCs w:val="22"/>
        </w:rPr>
        <w:t>"B</w:t>
      </w:r>
      <w:r w:rsidR="00685DCE" w:rsidRPr="0051293D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51293D">
        <w:rPr>
          <w:rFonts w:asciiTheme="majorBidi" w:hAnsiTheme="majorBidi" w:cstheme="majorBidi"/>
          <w:sz w:val="22"/>
          <w:szCs w:val="22"/>
        </w:rPr>
        <w:t xml:space="preserve">" a connu une hausse </w:t>
      </w:r>
      <w:r w:rsidR="00D84ED4" w:rsidRPr="0051293D">
        <w:rPr>
          <w:rFonts w:asciiTheme="majorBidi" w:hAnsiTheme="majorBidi" w:cstheme="majorBidi"/>
          <w:sz w:val="22"/>
          <w:szCs w:val="22"/>
        </w:rPr>
        <w:t>de 5,1</w:t>
      </w:r>
      <w:r w:rsidR="00560792" w:rsidRPr="0051293D">
        <w:rPr>
          <w:rFonts w:asciiTheme="majorBidi" w:hAnsiTheme="majorBidi" w:cstheme="majorBidi"/>
          <w:sz w:val="22"/>
          <w:szCs w:val="22"/>
        </w:rPr>
        <w:t>% contre 2,2% pour le "Tabac"</w:t>
      </w:r>
      <w:r w:rsidR="005B23B1" w:rsidRPr="0051293D">
        <w:rPr>
          <w:rFonts w:asciiTheme="majorBidi" w:hAnsiTheme="majorBidi" w:cstheme="majorBidi"/>
          <w:sz w:val="22"/>
          <w:szCs w:val="22"/>
        </w:rPr>
        <w:t>.</w:t>
      </w:r>
    </w:p>
    <w:p w:rsidR="00B93443" w:rsidRPr="0051293D" w:rsidRDefault="000B02DB" w:rsidP="00C24E7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Pr="0051293D">
        <w:rPr>
          <w:rFonts w:asciiTheme="majorBidi" w:hAnsiTheme="majorBidi" w:cstheme="majorBidi"/>
          <w:sz w:val="22"/>
          <w:szCs w:val="22"/>
        </w:rPr>
        <w:t>les</w:t>
      </w:r>
      <w:r w:rsidR="005F52BA" w:rsidRPr="0051293D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51293D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51293D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51293D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51293D">
        <w:rPr>
          <w:rFonts w:asciiTheme="majorBidi" w:hAnsiTheme="majorBidi" w:cstheme="majorBidi"/>
          <w:sz w:val="22"/>
          <w:szCs w:val="22"/>
        </w:rPr>
        <w:t>seules les</w:t>
      </w:r>
      <w:r w:rsidR="00DD52CD" w:rsidRPr="0051293D">
        <w:rPr>
          <w:rFonts w:asciiTheme="majorBidi" w:hAnsiTheme="majorBidi" w:cstheme="majorBidi"/>
          <w:sz w:val="22"/>
          <w:szCs w:val="22"/>
        </w:rPr>
        <w:t xml:space="preserve"> divisions </w:t>
      </w:r>
      <w:r w:rsidR="00B93443" w:rsidRPr="0051293D">
        <w:rPr>
          <w:rFonts w:asciiTheme="majorBidi" w:hAnsiTheme="majorBidi" w:cstheme="majorBidi"/>
          <w:sz w:val="22"/>
          <w:szCs w:val="22"/>
        </w:rPr>
        <w:t>de la "Santé"</w:t>
      </w:r>
      <w:r w:rsidR="004477D4" w:rsidRPr="0051293D">
        <w:rPr>
          <w:rFonts w:asciiTheme="majorBidi" w:hAnsiTheme="majorBidi" w:cstheme="majorBidi"/>
          <w:sz w:val="22"/>
          <w:szCs w:val="22"/>
        </w:rPr>
        <w:t xml:space="preserve">, des "Transports" </w:t>
      </w:r>
      <w:r w:rsidR="00B93443" w:rsidRPr="0051293D">
        <w:rPr>
          <w:rFonts w:asciiTheme="majorBidi" w:hAnsiTheme="majorBidi" w:cstheme="majorBidi"/>
          <w:sz w:val="22"/>
          <w:szCs w:val="22"/>
        </w:rPr>
        <w:t>et  des "Loisirs et culture" ont vu leurs prix baisser au cours de cette anné</w:t>
      </w:r>
      <w:r w:rsidR="004477D4" w:rsidRPr="0051293D">
        <w:rPr>
          <w:rFonts w:asciiTheme="majorBidi" w:hAnsiTheme="majorBidi" w:cstheme="majorBidi"/>
          <w:sz w:val="22"/>
          <w:szCs w:val="22"/>
        </w:rPr>
        <w:t>e, soit  respectivement,  (-2%),</w:t>
      </w:r>
      <w:r w:rsidR="00B93443" w:rsidRPr="0051293D">
        <w:rPr>
          <w:rFonts w:asciiTheme="majorBidi" w:hAnsiTheme="majorBidi" w:cstheme="majorBidi"/>
          <w:sz w:val="22"/>
          <w:szCs w:val="22"/>
        </w:rPr>
        <w:t xml:space="preserve"> (-</w:t>
      </w:r>
      <w:r w:rsidR="00C24E72" w:rsidRPr="0051293D">
        <w:rPr>
          <w:rFonts w:asciiTheme="majorBidi" w:hAnsiTheme="majorBidi" w:cstheme="majorBidi"/>
          <w:sz w:val="22"/>
          <w:szCs w:val="22"/>
        </w:rPr>
        <w:t>3</w:t>
      </w:r>
      <w:r w:rsidR="00B93443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6</w:t>
      </w:r>
      <w:r w:rsidR="00B93443" w:rsidRPr="0051293D">
        <w:rPr>
          <w:rFonts w:asciiTheme="majorBidi" w:hAnsiTheme="majorBidi" w:cstheme="majorBidi"/>
          <w:sz w:val="22"/>
          <w:szCs w:val="22"/>
        </w:rPr>
        <w:t>%)</w:t>
      </w:r>
      <w:r w:rsidR="004477D4" w:rsidRPr="0051293D">
        <w:rPr>
          <w:rFonts w:asciiTheme="majorBidi" w:hAnsiTheme="majorBidi" w:cstheme="majorBidi"/>
          <w:sz w:val="22"/>
          <w:szCs w:val="22"/>
        </w:rPr>
        <w:t xml:space="preserve"> et (-</w:t>
      </w:r>
      <w:r w:rsidR="00C24E72" w:rsidRPr="0051293D">
        <w:rPr>
          <w:rFonts w:asciiTheme="majorBidi" w:hAnsiTheme="majorBidi" w:cstheme="majorBidi"/>
          <w:sz w:val="22"/>
          <w:szCs w:val="22"/>
        </w:rPr>
        <w:t>1</w:t>
      </w:r>
      <w:r w:rsidR="004477D4" w:rsidRPr="0051293D">
        <w:rPr>
          <w:rFonts w:asciiTheme="majorBidi" w:hAnsiTheme="majorBidi" w:cstheme="majorBidi"/>
          <w:sz w:val="22"/>
          <w:szCs w:val="22"/>
        </w:rPr>
        <w:t>,</w:t>
      </w:r>
      <w:r w:rsidR="00C24E72" w:rsidRPr="0051293D">
        <w:rPr>
          <w:rFonts w:asciiTheme="majorBidi" w:hAnsiTheme="majorBidi" w:cstheme="majorBidi"/>
          <w:sz w:val="22"/>
          <w:szCs w:val="22"/>
        </w:rPr>
        <w:t>2</w:t>
      </w:r>
      <w:r w:rsidR="004477D4" w:rsidRPr="0051293D">
        <w:rPr>
          <w:rFonts w:asciiTheme="majorBidi" w:hAnsiTheme="majorBidi" w:cstheme="majorBidi"/>
          <w:sz w:val="22"/>
          <w:szCs w:val="22"/>
        </w:rPr>
        <w:t>%)</w:t>
      </w:r>
      <w:r w:rsidR="00B93443" w:rsidRPr="0051293D">
        <w:rPr>
          <w:rFonts w:asciiTheme="majorBidi" w:hAnsiTheme="majorBidi" w:cstheme="majorBidi"/>
          <w:sz w:val="22"/>
          <w:szCs w:val="22"/>
        </w:rPr>
        <w:t>.</w:t>
      </w:r>
    </w:p>
    <w:p w:rsidR="00DD52CD" w:rsidRPr="0051293D" w:rsidRDefault="00B93443" w:rsidP="00C24E7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51293D">
        <w:rPr>
          <w:rFonts w:asciiTheme="majorBidi" w:hAnsiTheme="majorBidi" w:cstheme="majorBidi"/>
          <w:sz w:val="22"/>
          <w:szCs w:val="22"/>
        </w:rPr>
        <w:t>Cependant, les autres divisions non alimentaires ont enregistré des h</w:t>
      </w:r>
      <w:r w:rsidR="004477D4" w:rsidRPr="0051293D">
        <w:rPr>
          <w:rFonts w:asciiTheme="majorBidi" w:hAnsiTheme="majorBidi" w:cstheme="majorBidi"/>
          <w:sz w:val="22"/>
          <w:szCs w:val="22"/>
        </w:rPr>
        <w:t>ausses allant de 0,3</w:t>
      </w:r>
      <w:r w:rsidRPr="0051293D">
        <w:rPr>
          <w:rFonts w:asciiTheme="majorBidi" w:hAnsiTheme="majorBidi" w:cstheme="majorBidi"/>
          <w:sz w:val="22"/>
          <w:szCs w:val="22"/>
        </w:rPr>
        <w:t xml:space="preserve">%  pour les </w:t>
      </w:r>
      <w:r w:rsidR="004477D4" w:rsidRPr="0051293D">
        <w:rPr>
          <w:rFonts w:asciiTheme="majorBidi" w:hAnsiTheme="majorBidi" w:cstheme="majorBidi"/>
          <w:sz w:val="22"/>
          <w:szCs w:val="22"/>
        </w:rPr>
        <w:t xml:space="preserve">"Meubles, articles de ménage et entretien courant du foyer" et les "Communications" à </w:t>
      </w:r>
      <w:r w:rsidR="00C24E72" w:rsidRPr="0051293D">
        <w:rPr>
          <w:rFonts w:asciiTheme="majorBidi" w:hAnsiTheme="majorBidi" w:cstheme="majorBidi"/>
          <w:sz w:val="22"/>
          <w:szCs w:val="22"/>
        </w:rPr>
        <w:t>4</w:t>
      </w:r>
      <w:r w:rsidRPr="0051293D">
        <w:rPr>
          <w:rFonts w:asciiTheme="majorBidi" w:hAnsiTheme="majorBidi" w:cstheme="majorBidi"/>
          <w:sz w:val="22"/>
          <w:szCs w:val="22"/>
        </w:rPr>
        <w:t>,</w:t>
      </w:r>
      <w:r w:rsidR="004477D4" w:rsidRPr="0051293D">
        <w:rPr>
          <w:rFonts w:asciiTheme="majorBidi" w:hAnsiTheme="majorBidi" w:cstheme="majorBidi"/>
          <w:sz w:val="22"/>
          <w:szCs w:val="22"/>
        </w:rPr>
        <w:t>8</w:t>
      </w:r>
      <w:r w:rsidR="00C24E72" w:rsidRPr="0051293D">
        <w:rPr>
          <w:rFonts w:asciiTheme="majorBidi" w:hAnsiTheme="majorBidi" w:cstheme="majorBidi"/>
          <w:sz w:val="22"/>
          <w:szCs w:val="22"/>
        </w:rPr>
        <w:t>% pour l’</w:t>
      </w:r>
      <w:r w:rsidR="00592BD2" w:rsidRPr="0051293D">
        <w:rPr>
          <w:rFonts w:asciiTheme="majorBidi" w:hAnsiTheme="majorBidi" w:cstheme="majorBidi"/>
          <w:sz w:val="22"/>
          <w:szCs w:val="22"/>
        </w:rPr>
        <w:t>"</w:t>
      </w:r>
      <w:r w:rsidR="00C24E72" w:rsidRPr="0051293D">
        <w:rPr>
          <w:rFonts w:asciiTheme="majorBidi" w:hAnsiTheme="majorBidi" w:cstheme="majorBidi"/>
          <w:sz w:val="22"/>
          <w:szCs w:val="22"/>
        </w:rPr>
        <w:t>Enseignement</w:t>
      </w:r>
      <w:r w:rsidR="00592BD2" w:rsidRPr="0051293D">
        <w:rPr>
          <w:rFonts w:asciiTheme="majorBidi" w:hAnsiTheme="majorBidi" w:cstheme="majorBidi"/>
          <w:sz w:val="22"/>
          <w:szCs w:val="22"/>
        </w:rPr>
        <w:t>".</w:t>
      </w:r>
    </w:p>
    <w:p w:rsidR="00A708BE" w:rsidRPr="0051293D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51293D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7630E5" w:rsidRPr="0051293D" w:rsidRDefault="000372AE" w:rsidP="0051293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51293D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4477D4" w:rsidRPr="0051293D">
        <w:rPr>
          <w:rFonts w:ascii="Times New Roman" w:hAnsi="Times New Roman"/>
          <w:spacing w:val="0"/>
          <w:sz w:val="24"/>
          <w:szCs w:val="24"/>
          <w:lang w:eastAsia="fr-FR"/>
        </w:rPr>
        <w:t>d</w:t>
      </w:r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>e Septembre</w:t>
      </w:r>
      <w:r w:rsidR="00FD2A38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543FB9" w:rsidRPr="0051293D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51293D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51293D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51293D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>huit</w:t>
      </w:r>
      <w:r w:rsidR="004477D4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les</w:t>
      </w:r>
      <w:r w:rsidR="007630E5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ont e</w:t>
      </w:r>
      <w:r w:rsidR="004477D4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nregistré des taux d’inflation </w:t>
      </w:r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au dessous de la moyenne nationale. Il s’agit d’El </w:t>
      </w:r>
      <w:proofErr w:type="spellStart"/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(-2,7%), d’Agadir avec (-0,7%), de Tétouan et Tanger avec (-0,2%), de Fès et Oujda avec (-0,1%) et </w:t>
      </w:r>
      <w:r w:rsidR="004477D4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de</w:t>
      </w:r>
      <w:r w:rsidR="0051293D"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 Marrakech et Meknès avec un taux nul</w:t>
      </w:r>
      <w:r w:rsidR="002C0FAF" w:rsidRPr="0051293D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51293D" w:rsidRPr="0051293D" w:rsidRDefault="0051293D" w:rsidP="0051293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villes dont la ville de </w:t>
      </w:r>
      <w:proofErr w:type="spellStart"/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 xml:space="preserve">, ont connu des variations positives allant de 0,2% pour Casablanca à 0,6% pour </w:t>
      </w:r>
      <w:proofErr w:type="spellStart"/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Pr="0051293D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2C0FAF" w:rsidRPr="008A2BA8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C10945" w:rsidRPr="00C10945" w:rsidTr="00C10945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Août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10945" w:rsidRPr="00C10945" w:rsidTr="00C10945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128,8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3,8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-2,0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-3,6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-1,2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129,8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4,8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121,4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4,0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</w:tr>
      <w:tr w:rsidR="00C10945" w:rsidRPr="00C10945" w:rsidTr="00C1094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</w:tbl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61"/>
        <w:gridCol w:w="1341"/>
        <w:gridCol w:w="1127"/>
        <w:gridCol w:w="912"/>
        <w:gridCol w:w="1127"/>
        <w:gridCol w:w="912"/>
        <w:gridCol w:w="913"/>
      </w:tblGrid>
      <w:tr w:rsidR="00C10945" w:rsidRPr="00C10945" w:rsidTr="00C10945">
        <w:trPr>
          <w:trHeight w:val="510"/>
          <w:tblHeader/>
        </w:trPr>
        <w:tc>
          <w:tcPr>
            <w:tcW w:w="18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AOUT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10945" w:rsidRPr="00C10945" w:rsidTr="00C10945">
        <w:trPr>
          <w:trHeight w:val="540"/>
          <w:tblHeader/>
        </w:trPr>
        <w:tc>
          <w:tcPr>
            <w:tcW w:w="18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10945" w:rsidRPr="00C10945" w:rsidRDefault="00C10945" w:rsidP="00C1094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C10945" w:rsidRPr="00C10945" w:rsidTr="00C10945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120,2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140,5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14,7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114,0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137,0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132,0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15,8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123,5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145,7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144,7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145,5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144,1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148,0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-1,6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122,7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-1,8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-14,4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</w:tr>
      <w:tr w:rsidR="00C10945" w:rsidRPr="00C10945" w:rsidTr="00C10945">
        <w:trPr>
          <w:trHeight w:val="54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107,7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10,3</w:t>
            </w:r>
          </w:p>
        </w:tc>
      </w:tr>
      <w:tr w:rsidR="00C10945" w:rsidRPr="00C10945" w:rsidTr="00C10945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2,8</w:t>
            </w:r>
          </w:p>
        </w:tc>
      </w:tr>
      <w:tr w:rsidR="00C10945" w:rsidRPr="00C10945" w:rsidTr="00C10945">
        <w:trPr>
          <w:trHeight w:val="40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111,8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</w:tr>
      <w:tr w:rsidR="00C10945" w:rsidRPr="00C10945" w:rsidTr="00C10945">
        <w:trPr>
          <w:trHeight w:val="51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C10945" w:rsidRPr="00C10945" w:rsidTr="00C10945">
        <w:trPr>
          <w:trHeight w:val="300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1094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C10945" w:rsidRPr="00C10945" w:rsidTr="00C10945">
        <w:trPr>
          <w:trHeight w:val="31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10945" w:rsidRPr="00C10945" w:rsidTr="00C10945">
        <w:trPr>
          <w:trHeight w:val="315"/>
        </w:trPr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10945" w:rsidRPr="00C10945" w:rsidRDefault="00C10945" w:rsidP="00C1094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1094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</w:tbl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1DF" w:rsidRDefault="003A21DF">
      <w:r>
        <w:separator/>
      </w:r>
    </w:p>
    <w:p w:rsidR="003A21DF" w:rsidRDefault="003A21DF"/>
  </w:endnote>
  <w:endnote w:type="continuationSeparator" w:id="0">
    <w:p w:rsidR="003A21DF" w:rsidRDefault="003A21DF">
      <w:r>
        <w:continuationSeparator/>
      </w:r>
    </w:p>
    <w:p w:rsidR="003A21DF" w:rsidRDefault="003A21D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CD494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1DF" w:rsidRDefault="003A21DF">
      <w:r>
        <w:separator/>
      </w:r>
    </w:p>
    <w:p w:rsidR="003A21DF" w:rsidRDefault="003A21DF"/>
  </w:footnote>
  <w:footnote w:type="continuationSeparator" w:id="0">
    <w:p w:rsidR="003A21DF" w:rsidRDefault="003A21DF">
      <w:r>
        <w:continuationSeparator/>
      </w:r>
    </w:p>
    <w:p w:rsidR="003A21DF" w:rsidRDefault="003A21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081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31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04E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0E7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BB9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6C5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B5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0FAF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B69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2E7A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07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25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1C87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1DF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27A1B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477D4"/>
    <w:rsid w:val="00450072"/>
    <w:rsid w:val="00450153"/>
    <w:rsid w:val="004516A8"/>
    <w:rsid w:val="00451B4D"/>
    <w:rsid w:val="0045232E"/>
    <w:rsid w:val="00453486"/>
    <w:rsid w:val="004536E1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93D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481"/>
    <w:rsid w:val="007606BC"/>
    <w:rsid w:val="00760D39"/>
    <w:rsid w:val="00761681"/>
    <w:rsid w:val="00761B8B"/>
    <w:rsid w:val="00762778"/>
    <w:rsid w:val="00762824"/>
    <w:rsid w:val="007629E2"/>
    <w:rsid w:val="007630E5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8A2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58D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0BD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5F77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3A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2BA8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89D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66D6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1E01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0DC2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271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6DDE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1F3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443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B7E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0945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4E72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068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EF8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946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92D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4ED4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4822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97C6F"/>
    <w:rsid w:val="00EA01F1"/>
    <w:rsid w:val="00EA2452"/>
    <w:rsid w:val="00EA26F2"/>
    <w:rsid w:val="00EA2FCB"/>
    <w:rsid w:val="00EA354E"/>
    <w:rsid w:val="00EA35C9"/>
    <w:rsid w:val="00EA4A4A"/>
    <w:rsid w:val="00EA51F5"/>
    <w:rsid w:val="00EA607D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745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58DF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72A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010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498F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A82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9F1E9D2-E713-426E-B24E-C15118D4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1060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2024-12-05T12:04:00Z</dcterms:created>
  <dcterms:modified xsi:type="dcterms:W3CDTF">2024-12-05T13:43:00Z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