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drawings/drawing1.xml" ContentType="application/vnd.openxmlformats-officedocument.drawingml.chartshapes+xml"/>
  <Override PartName="/word/drawings/drawing2.xml" ContentType="application/vnd.openxmlformats-officedocument.drawingml.chartshapes+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65E1" w:rsidRDefault="004F65E1" w:rsidP="004F65E1">
      <w:pPr>
        <w:pBdr>
          <w:top w:val="nil"/>
          <w:left w:val="nil"/>
          <w:bottom w:val="nil"/>
          <w:right w:val="nil"/>
          <w:between w:val="nil"/>
        </w:pBdr>
        <w:bidi/>
        <w:spacing w:line="360" w:lineRule="auto"/>
        <w:jc w:val="center"/>
        <w:rPr>
          <w:rFonts w:asciiTheme="majorBidi" w:eastAsia="Times New Roman" w:hAnsiTheme="majorBidi" w:cstheme="majorBidi"/>
          <w:bCs/>
          <w:i/>
          <w:color w:val="366091"/>
          <w:sz w:val="32"/>
          <w:szCs w:val="32"/>
        </w:rPr>
      </w:pPr>
      <w:r w:rsidRPr="00384C3B">
        <w:rPr>
          <w:rFonts w:asciiTheme="majorBidi" w:hAnsiTheme="majorBidi" w:cstheme="majorBidi"/>
          <w:noProof/>
          <w:lang w:eastAsia="fr-FR"/>
        </w:rPr>
        <w:drawing>
          <wp:inline distT="0" distB="0" distL="0" distR="0">
            <wp:extent cx="1456896" cy="1268351"/>
            <wp:effectExtent l="0" t="0" r="0" b="0"/>
            <wp:docPr id="19"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5" cstate="print"/>
                    <a:srcRect/>
                    <a:stretch>
                      <a:fillRect/>
                    </a:stretch>
                  </pic:blipFill>
                  <pic:spPr>
                    <a:xfrm>
                      <a:off x="0" y="0"/>
                      <a:ext cx="1456896" cy="1268351"/>
                    </a:xfrm>
                    <a:prstGeom prst="rect">
                      <a:avLst/>
                    </a:prstGeom>
                    <a:ln/>
                  </pic:spPr>
                </pic:pic>
              </a:graphicData>
            </a:graphic>
          </wp:inline>
        </w:drawing>
      </w:r>
    </w:p>
    <w:p w:rsidR="004F65E1" w:rsidRDefault="004F65E1" w:rsidP="004F65E1">
      <w:pPr>
        <w:pBdr>
          <w:top w:val="nil"/>
          <w:left w:val="nil"/>
          <w:bottom w:val="nil"/>
          <w:right w:val="nil"/>
          <w:between w:val="nil"/>
        </w:pBdr>
        <w:bidi/>
        <w:spacing w:line="360" w:lineRule="auto"/>
        <w:jc w:val="center"/>
        <w:rPr>
          <w:rFonts w:asciiTheme="majorBidi" w:eastAsia="Times New Roman" w:hAnsiTheme="majorBidi" w:cstheme="majorBidi"/>
          <w:bCs/>
          <w:i/>
          <w:color w:val="366091"/>
          <w:sz w:val="32"/>
          <w:szCs w:val="32"/>
        </w:rPr>
      </w:pPr>
    </w:p>
    <w:p w:rsidR="003D39B0" w:rsidRPr="001E6A33" w:rsidRDefault="008D2FD7" w:rsidP="004F65E1">
      <w:pPr>
        <w:pBdr>
          <w:top w:val="nil"/>
          <w:left w:val="nil"/>
          <w:bottom w:val="nil"/>
          <w:right w:val="nil"/>
          <w:between w:val="nil"/>
        </w:pBdr>
        <w:bidi/>
        <w:spacing w:line="360" w:lineRule="auto"/>
        <w:jc w:val="center"/>
        <w:rPr>
          <w:rFonts w:asciiTheme="majorBidi" w:eastAsia="Times New Roman" w:hAnsiTheme="majorBidi" w:cstheme="majorBidi"/>
          <w:bCs/>
          <w:i/>
          <w:color w:val="366091"/>
          <w:sz w:val="32"/>
          <w:szCs w:val="32"/>
        </w:rPr>
      </w:pPr>
      <w:r w:rsidRPr="001E6A33">
        <w:rPr>
          <w:rFonts w:asciiTheme="majorBidi" w:eastAsia="Times New Roman" w:hAnsiTheme="majorBidi" w:cstheme="majorBidi"/>
          <w:bCs/>
          <w:i/>
          <w:color w:val="366091"/>
          <w:sz w:val="32"/>
          <w:szCs w:val="32"/>
          <w:rtl/>
        </w:rPr>
        <w:t>التكلفة الاجتماعية للعنف ضد النساء والفتيات:</w:t>
      </w:r>
    </w:p>
    <w:p w:rsidR="003D39B0" w:rsidRPr="001E6A33" w:rsidRDefault="008D2FD7" w:rsidP="001E6A33">
      <w:pPr>
        <w:pBdr>
          <w:top w:val="nil"/>
          <w:left w:val="nil"/>
          <w:bottom w:val="nil"/>
          <w:right w:val="nil"/>
          <w:between w:val="nil"/>
        </w:pBdr>
        <w:bidi/>
        <w:spacing w:line="360" w:lineRule="auto"/>
        <w:jc w:val="center"/>
        <w:rPr>
          <w:rFonts w:asciiTheme="majorBidi" w:eastAsia="Times New Roman" w:hAnsiTheme="majorBidi" w:cstheme="majorBidi"/>
          <w:bCs/>
          <w:sz w:val="32"/>
          <w:szCs w:val="32"/>
        </w:rPr>
      </w:pPr>
      <w:r w:rsidRPr="001E6A33">
        <w:rPr>
          <w:rFonts w:asciiTheme="majorBidi" w:eastAsia="Times New Roman" w:hAnsiTheme="majorBidi" w:cstheme="majorBidi"/>
          <w:bCs/>
          <w:i/>
          <w:color w:val="366091"/>
          <w:sz w:val="32"/>
          <w:szCs w:val="32"/>
          <w:rtl/>
        </w:rPr>
        <w:t>الآثار على حياة ضحايا  العنف وعلى أطفالهن وعلى المجتمع</w:t>
      </w:r>
    </w:p>
    <w:p w:rsidR="003D39B0" w:rsidRPr="001E6A33" w:rsidRDefault="008D2FD7" w:rsidP="001E6A33">
      <w:pPr>
        <w:bidi/>
        <w:spacing w:line="360" w:lineRule="auto"/>
        <w:jc w:val="both"/>
        <w:rPr>
          <w:rFonts w:asciiTheme="majorBidi" w:eastAsia="Times New Roman" w:hAnsiTheme="majorBidi" w:cstheme="majorBidi"/>
          <w:sz w:val="28"/>
          <w:szCs w:val="28"/>
        </w:rPr>
      </w:pPr>
      <w:r w:rsidRPr="001E6A33">
        <w:rPr>
          <w:rFonts w:asciiTheme="majorBidi" w:eastAsia="Times New Roman" w:hAnsiTheme="majorBidi" w:cstheme="majorBidi"/>
          <w:sz w:val="28"/>
          <w:szCs w:val="28"/>
          <w:rtl/>
        </w:rPr>
        <w:t>في إطار الحملة الوطنية والدولية للتعبئة من أجل القضاء على العنف ضد النساء</w:t>
      </w:r>
      <w:r w:rsidRPr="001E6A33">
        <w:rPr>
          <w:rFonts w:asciiTheme="majorBidi" w:eastAsia="Times New Roman" w:hAnsiTheme="majorBidi" w:cstheme="majorBidi"/>
          <w:b/>
          <w:bCs/>
          <w:sz w:val="28"/>
          <w:szCs w:val="28"/>
          <w:rtl/>
        </w:rPr>
        <w:t>،</w:t>
      </w:r>
      <w:r w:rsidRPr="001E6A33">
        <w:rPr>
          <w:rFonts w:asciiTheme="majorBidi" w:eastAsia="Times New Roman" w:hAnsiTheme="majorBidi" w:cstheme="majorBidi"/>
          <w:sz w:val="28"/>
          <w:szCs w:val="28"/>
          <w:rtl/>
        </w:rPr>
        <w:t xml:space="preserve"> تقدم المندوبية السامية للتخطيط النتائج المتعلقة بالتكلفة الاجتماعية للعنف ضد النساء والفتيات اعتمادا على البحث الوطني حول العنف ضد النساء والرجال الذي تم إنجازه بدعم من منظمة الأمم المتحدة للمرأة في المغرب خلال الفترة الممتدة بين فبراير ويوليوز 2019.  </w:t>
      </w:r>
    </w:p>
    <w:p w:rsidR="003D39B0" w:rsidRPr="001E6A33" w:rsidRDefault="008D2FD7" w:rsidP="001E6A33">
      <w:pPr>
        <w:bidi/>
        <w:spacing w:line="360" w:lineRule="auto"/>
        <w:jc w:val="both"/>
        <w:rPr>
          <w:rFonts w:asciiTheme="majorBidi" w:eastAsia="Times New Roman" w:hAnsiTheme="majorBidi" w:cstheme="majorBidi"/>
          <w:sz w:val="28"/>
          <w:szCs w:val="28"/>
        </w:rPr>
      </w:pPr>
      <w:r w:rsidRPr="001E6A33">
        <w:rPr>
          <w:rFonts w:asciiTheme="majorBidi" w:eastAsia="Times New Roman" w:hAnsiTheme="majorBidi" w:cstheme="majorBidi"/>
          <w:sz w:val="28"/>
          <w:szCs w:val="28"/>
          <w:rtl/>
        </w:rPr>
        <w:t>من المرجح أن يكون للعنف ضد المرأة عواقب وخيمة مباشرة وغير مباشرة على صحة الضحايا وعلى رفاههم الجسدي والمعنوي والاجتماعي. كما يمكن أن تكون آثاره، الجسدية و/أو النفسية ، ضارة بنوعية حياتهم، وأن تؤثر على أنشطتهم الاجتماعية والمهنية. وعلاوة على تجربة العنف على المستوى الشخصي، يمكن أن يكون له تداعيات وآثار ضارة على أطفال الضحايا وعلى أسرهم وعلى المجتمع ككل.</w:t>
      </w:r>
    </w:p>
    <w:p w:rsidR="003D39B0" w:rsidRPr="001E6A33" w:rsidRDefault="008D2FD7" w:rsidP="001E6A33">
      <w:pPr>
        <w:bidi/>
        <w:spacing w:line="360" w:lineRule="auto"/>
        <w:jc w:val="both"/>
        <w:rPr>
          <w:rFonts w:asciiTheme="majorBidi" w:eastAsia="Times New Roman" w:hAnsiTheme="majorBidi" w:cstheme="majorBidi"/>
          <w:sz w:val="28"/>
          <w:szCs w:val="28"/>
        </w:rPr>
      </w:pPr>
      <w:r w:rsidRPr="001E6A33">
        <w:rPr>
          <w:rFonts w:asciiTheme="majorBidi" w:eastAsia="Times New Roman" w:hAnsiTheme="majorBidi" w:cstheme="majorBidi"/>
          <w:sz w:val="28"/>
          <w:szCs w:val="28"/>
          <w:rtl/>
        </w:rPr>
        <w:t>همت دراسة التكلفة الاجتماعية للعنف، الفتيات والنساء اللواتي تتراوح أعمارهن بين 15 و 74 سنة ، واللواتي صرحن بتعرضهن لتجارب من العنف الجسدي و/أو الجنسي خلال  الـ 12 شهرا الماضية. كما تم تقدير هذه التكلفة وفقًا للفضاء الذي يمارس فيه العنف، سواء كان مع الشريك أو مع العائلة أو في مكان العمل أو الدراسة أو في الأماكن العامة.</w:t>
      </w:r>
    </w:p>
    <w:p w:rsidR="004F65E1" w:rsidRDefault="004F65E1" w:rsidP="001E6A33">
      <w:pPr>
        <w:bidi/>
        <w:spacing w:line="360" w:lineRule="auto"/>
        <w:jc w:val="both"/>
        <w:rPr>
          <w:rFonts w:asciiTheme="majorBidi" w:eastAsia="Times New Roman" w:hAnsiTheme="majorBidi" w:cstheme="majorBidi"/>
          <w:bCs/>
          <w:i/>
          <w:color w:val="366091"/>
          <w:sz w:val="28"/>
          <w:szCs w:val="28"/>
          <w:rtl/>
        </w:rPr>
      </w:pPr>
    </w:p>
    <w:p w:rsidR="004F65E1" w:rsidRDefault="004F65E1" w:rsidP="004F65E1">
      <w:pPr>
        <w:bidi/>
        <w:spacing w:line="360" w:lineRule="auto"/>
        <w:jc w:val="both"/>
        <w:rPr>
          <w:rFonts w:asciiTheme="majorBidi" w:eastAsia="Times New Roman" w:hAnsiTheme="majorBidi" w:cstheme="majorBidi"/>
          <w:bCs/>
          <w:i/>
          <w:color w:val="366091"/>
          <w:sz w:val="28"/>
          <w:szCs w:val="28"/>
          <w:rtl/>
        </w:rPr>
      </w:pPr>
    </w:p>
    <w:p w:rsidR="004F65E1" w:rsidRDefault="004F65E1" w:rsidP="004F65E1">
      <w:pPr>
        <w:bidi/>
        <w:spacing w:line="360" w:lineRule="auto"/>
        <w:jc w:val="both"/>
        <w:rPr>
          <w:rFonts w:asciiTheme="majorBidi" w:eastAsia="Times New Roman" w:hAnsiTheme="majorBidi" w:cstheme="majorBidi"/>
          <w:bCs/>
          <w:i/>
          <w:color w:val="366091"/>
          <w:sz w:val="28"/>
          <w:szCs w:val="28"/>
          <w:rtl/>
        </w:rPr>
      </w:pPr>
    </w:p>
    <w:p w:rsidR="003D39B0" w:rsidRPr="001E6A33" w:rsidRDefault="008D2FD7" w:rsidP="004F65E1">
      <w:pPr>
        <w:bidi/>
        <w:spacing w:line="360" w:lineRule="auto"/>
        <w:jc w:val="both"/>
        <w:rPr>
          <w:rFonts w:asciiTheme="majorBidi" w:eastAsia="Times New Roman" w:hAnsiTheme="majorBidi" w:cstheme="majorBidi"/>
          <w:bCs/>
          <w:i/>
          <w:color w:val="366091"/>
          <w:sz w:val="28"/>
          <w:szCs w:val="28"/>
        </w:rPr>
      </w:pPr>
      <w:r w:rsidRPr="001E6A33">
        <w:rPr>
          <w:rFonts w:asciiTheme="majorBidi" w:eastAsia="Times New Roman" w:hAnsiTheme="majorBidi" w:cstheme="majorBidi"/>
          <w:bCs/>
          <w:i/>
          <w:color w:val="366091"/>
          <w:sz w:val="28"/>
          <w:szCs w:val="28"/>
          <w:rtl/>
        </w:rPr>
        <w:lastRenderedPageBreak/>
        <w:t xml:space="preserve">عانت واحدة من كل أربع ضحايا العنف الجسدي </w:t>
      </w:r>
      <w:r w:rsidR="004F65E1" w:rsidRPr="001E6A33">
        <w:rPr>
          <w:rFonts w:asciiTheme="majorBidi" w:eastAsia="Times New Roman" w:hAnsiTheme="majorBidi" w:cstheme="majorBidi" w:hint="cs"/>
          <w:bCs/>
          <w:i/>
          <w:color w:val="366091"/>
          <w:sz w:val="28"/>
          <w:szCs w:val="28"/>
          <w:rtl/>
        </w:rPr>
        <w:t>وواحدة</w:t>
      </w:r>
      <w:r w:rsidRPr="001E6A33">
        <w:rPr>
          <w:rFonts w:asciiTheme="majorBidi" w:eastAsia="Times New Roman" w:hAnsiTheme="majorBidi" w:cstheme="majorBidi"/>
          <w:bCs/>
          <w:i/>
          <w:color w:val="366091"/>
          <w:sz w:val="28"/>
          <w:szCs w:val="28"/>
          <w:rtl/>
        </w:rPr>
        <w:t xml:space="preserve"> من كل عشرة من ضحايا العنف الجنسي من إصابات و/ أو مشاكل نفسية</w:t>
      </w:r>
    </w:p>
    <w:p w:rsidR="003D39B0" w:rsidRPr="001E6A33" w:rsidRDefault="008D2FD7" w:rsidP="001E6A33">
      <w:pPr>
        <w:bidi/>
        <w:spacing w:line="360" w:lineRule="auto"/>
        <w:jc w:val="both"/>
        <w:rPr>
          <w:rFonts w:asciiTheme="majorBidi" w:eastAsia="Times New Roman" w:hAnsiTheme="majorBidi" w:cstheme="majorBidi"/>
          <w:sz w:val="28"/>
          <w:szCs w:val="28"/>
        </w:rPr>
      </w:pPr>
      <w:r w:rsidRPr="001E6A33">
        <w:rPr>
          <w:rFonts w:asciiTheme="majorBidi" w:eastAsia="Times New Roman" w:hAnsiTheme="majorBidi" w:cstheme="majorBidi"/>
          <w:sz w:val="28"/>
          <w:szCs w:val="28"/>
          <w:rtl/>
        </w:rPr>
        <w:t>في إطار العلاقة مع الشريك ، تعرضت 25% من ضحايا العنف الجسدي و 10% من ضحايا العنف الجنسي لإصابات و/ أو مشاكل نفسية نتيجة أشد حدث عنف جسدي أو جنسي تعرضت له خلال 12 شهرا الأخيرة.</w:t>
      </w:r>
    </w:p>
    <w:p w:rsidR="003D39B0" w:rsidRPr="001E6A33" w:rsidRDefault="008D2FD7" w:rsidP="001E6A33">
      <w:pPr>
        <w:bidi/>
        <w:spacing w:line="360" w:lineRule="auto"/>
        <w:jc w:val="both"/>
        <w:rPr>
          <w:rFonts w:asciiTheme="majorBidi" w:eastAsia="Times New Roman" w:hAnsiTheme="majorBidi" w:cstheme="majorBidi"/>
          <w:sz w:val="28"/>
          <w:szCs w:val="28"/>
        </w:rPr>
      </w:pPr>
      <w:r w:rsidRPr="001E6A33">
        <w:rPr>
          <w:rFonts w:asciiTheme="majorBidi" w:eastAsia="Times New Roman" w:hAnsiTheme="majorBidi" w:cstheme="majorBidi"/>
          <w:sz w:val="28"/>
          <w:szCs w:val="28"/>
          <w:rtl/>
        </w:rPr>
        <w:t>من بين هؤلاء الضحايا ، 60,2% صرحن بإصابتهن باضطرابات نفسية عند تعرضهن للعنف الجسدي و 79% عند تعرضهن للعنف الجنسي. العواقب النفسية الأكثر شيوعاً للعنف الجسدي والجنسي هي الشعور بالتوتر والإحباط والقلق (24% في حالات العنف الجسدي و 18% في حالات العنف الجنسي) ، اضطرابات النوم (16% و 17%). ) الشعور بإرهاق دائم (15% و 16%).</w:t>
      </w:r>
    </w:p>
    <w:p w:rsidR="003D39B0" w:rsidRPr="001E6A33" w:rsidRDefault="008D2FD7" w:rsidP="001E6A33">
      <w:pPr>
        <w:bidi/>
        <w:spacing w:line="360" w:lineRule="auto"/>
        <w:jc w:val="both"/>
        <w:rPr>
          <w:rFonts w:asciiTheme="majorBidi" w:eastAsia="Times New Roman" w:hAnsiTheme="majorBidi" w:cstheme="majorBidi"/>
          <w:sz w:val="28"/>
          <w:szCs w:val="28"/>
        </w:rPr>
      </w:pPr>
      <w:r w:rsidRPr="001E6A33">
        <w:rPr>
          <w:rFonts w:asciiTheme="majorBidi" w:eastAsia="Times New Roman" w:hAnsiTheme="majorBidi" w:cstheme="majorBidi"/>
          <w:sz w:val="28"/>
          <w:szCs w:val="28"/>
          <w:rtl/>
        </w:rPr>
        <w:t>في حالة العنف الجسدي ، تعرضت هؤلاء النساء لخدوش وكدمات (52,2%) ، التواءات وخلع (11,2%) ، شقوق عميقة وإصابات خطيرة (5,5%) ، إصابات في طبلة الأذن أو العيون (5%) ، كسر أو تشقق العظام (5,2%) ، كسر الأسنان (4,9%). وفي حالات العنف الجنسي ، عانت الضحايا في الغالب من إصابات وتمزقات في الأعضاء التناسلية (13,6%) ونزيف (11,7%) وأمراض متنقلة جنسيا (9%) وإصابات وكدمات ( 6,6%) وكذلك حالات الحمل غير المرغوب فيه (3,5%).</w:t>
      </w:r>
    </w:p>
    <w:p w:rsidR="003D39B0" w:rsidRPr="001E6A33" w:rsidRDefault="008D2FD7" w:rsidP="001E6A33">
      <w:pPr>
        <w:bidi/>
        <w:spacing w:after="0" w:line="360" w:lineRule="auto"/>
        <w:jc w:val="both"/>
        <w:rPr>
          <w:rFonts w:asciiTheme="majorBidi" w:eastAsia="Times New Roman" w:hAnsiTheme="majorBidi" w:cstheme="majorBidi"/>
          <w:bCs/>
          <w:color w:val="000000"/>
          <w:sz w:val="28"/>
          <w:szCs w:val="28"/>
        </w:rPr>
      </w:pPr>
      <w:r w:rsidRPr="001E6A33">
        <w:rPr>
          <w:rFonts w:asciiTheme="majorBidi" w:eastAsia="Times New Roman" w:hAnsiTheme="majorBidi" w:cstheme="majorBidi"/>
          <w:bCs/>
          <w:color w:val="000000"/>
          <w:sz w:val="28"/>
          <w:szCs w:val="28"/>
          <w:rtl/>
        </w:rPr>
        <w:t xml:space="preserve">مبيان 1: توزيع النساء ضحايا العنف الزوجي حسب نوع المشاكل الصحية الناتجة عن أشد حدث عنف جسدي تعرضت له خلال 12 شهرا الماضية </w:t>
      </w:r>
      <w:r w:rsidR="001E6A33" w:rsidRPr="001E6A33">
        <w:rPr>
          <w:rFonts w:asciiTheme="majorBidi" w:eastAsia="Times New Roman" w:hAnsiTheme="majorBidi" w:cstheme="majorBidi"/>
          <w:bCs/>
          <w:color w:val="000000"/>
          <w:sz w:val="28"/>
          <w:szCs w:val="28"/>
        </w:rPr>
        <w:t>)</w:t>
      </w:r>
      <w:r w:rsidRPr="001E6A33">
        <w:rPr>
          <w:rFonts w:asciiTheme="majorBidi" w:eastAsia="Times New Roman" w:hAnsiTheme="majorBidi" w:cstheme="majorBidi"/>
          <w:bCs/>
          <w:color w:val="000000"/>
          <w:sz w:val="28"/>
          <w:szCs w:val="28"/>
          <w:rtl/>
        </w:rPr>
        <w:t>ب</w:t>
      </w:r>
      <w:r w:rsidRPr="001E6A33">
        <w:rPr>
          <w:rFonts w:asciiTheme="majorBidi" w:eastAsia="Times New Roman" w:hAnsiTheme="majorBidi" w:cstheme="majorBidi"/>
          <w:bCs/>
          <w:color w:val="000000"/>
          <w:sz w:val="28"/>
          <w:szCs w:val="28"/>
        </w:rPr>
        <w:t>%</w:t>
      </w:r>
      <w:r w:rsidR="001E6A33" w:rsidRPr="001E6A33">
        <w:rPr>
          <w:rFonts w:asciiTheme="majorBidi" w:eastAsia="Times New Roman" w:hAnsiTheme="majorBidi" w:cstheme="majorBidi" w:hint="cs"/>
          <w:bCs/>
          <w:color w:val="000000"/>
          <w:sz w:val="28"/>
          <w:szCs w:val="28"/>
          <w:rtl/>
        </w:rPr>
        <w:t>)</w:t>
      </w:r>
    </w:p>
    <w:p w:rsidR="003D39B0" w:rsidRPr="001E6A33" w:rsidRDefault="008D2FD7" w:rsidP="001E6A33">
      <w:pPr>
        <w:bidi/>
        <w:spacing w:after="0" w:line="360" w:lineRule="auto"/>
        <w:jc w:val="both"/>
        <w:rPr>
          <w:rFonts w:asciiTheme="majorBidi" w:eastAsia="Times New Roman" w:hAnsiTheme="majorBidi" w:cstheme="majorBidi"/>
          <w:b/>
          <w:color w:val="000000"/>
          <w:sz w:val="28"/>
          <w:szCs w:val="28"/>
        </w:rPr>
      </w:pPr>
      <w:r w:rsidRPr="001E6A33">
        <w:rPr>
          <w:rFonts w:asciiTheme="majorBidi" w:eastAsia="Times New Roman" w:hAnsiTheme="majorBidi" w:cstheme="majorBidi"/>
          <w:b/>
          <w:noProof/>
          <w:color w:val="000000"/>
          <w:sz w:val="28"/>
          <w:szCs w:val="28"/>
          <w:lang w:eastAsia="fr-FR"/>
        </w:rPr>
        <w:drawing>
          <wp:inline distT="0" distB="0" distL="0" distR="0">
            <wp:extent cx="5819775" cy="2295525"/>
            <wp:effectExtent l="19050" t="0" r="9525"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3D39B0" w:rsidRPr="001E6A33" w:rsidRDefault="008D2FD7" w:rsidP="001E6A33">
      <w:pPr>
        <w:bidi/>
        <w:spacing w:after="0" w:line="360" w:lineRule="auto"/>
        <w:jc w:val="both"/>
        <w:rPr>
          <w:rFonts w:asciiTheme="majorBidi" w:eastAsia="Times New Roman" w:hAnsiTheme="majorBidi" w:cstheme="majorBidi"/>
          <w:bCs/>
          <w:color w:val="000000"/>
          <w:sz w:val="28"/>
          <w:szCs w:val="28"/>
        </w:rPr>
      </w:pPr>
      <w:r w:rsidRPr="001E6A33">
        <w:rPr>
          <w:rFonts w:asciiTheme="majorBidi" w:eastAsia="Times New Roman" w:hAnsiTheme="majorBidi" w:cstheme="majorBidi"/>
          <w:bCs/>
          <w:color w:val="000000"/>
          <w:sz w:val="28"/>
          <w:szCs w:val="28"/>
          <w:rtl/>
        </w:rPr>
        <w:t>المصدر: المندوبية السامية للتخطيط ، البحث الوطني للعنف ضد النساء والرجال 2019</w:t>
      </w:r>
    </w:p>
    <w:p w:rsidR="001E6A33" w:rsidRDefault="001E6A33" w:rsidP="001E6A33">
      <w:pPr>
        <w:bidi/>
        <w:spacing w:after="0" w:line="360" w:lineRule="auto"/>
        <w:jc w:val="both"/>
        <w:rPr>
          <w:rFonts w:asciiTheme="majorBidi" w:eastAsia="Times New Roman" w:hAnsiTheme="majorBidi" w:cstheme="majorBidi"/>
          <w:bCs/>
          <w:color w:val="000000"/>
          <w:sz w:val="28"/>
          <w:szCs w:val="28"/>
          <w:rtl/>
        </w:rPr>
      </w:pPr>
    </w:p>
    <w:p w:rsidR="003D39B0" w:rsidRPr="001E6A33" w:rsidRDefault="008D2FD7" w:rsidP="001E6A33">
      <w:pPr>
        <w:bidi/>
        <w:spacing w:after="0" w:line="360" w:lineRule="auto"/>
        <w:jc w:val="both"/>
        <w:rPr>
          <w:rFonts w:asciiTheme="majorBidi" w:eastAsia="Times New Roman" w:hAnsiTheme="majorBidi" w:cstheme="majorBidi"/>
          <w:b/>
          <w:color w:val="000000"/>
          <w:sz w:val="28"/>
          <w:szCs w:val="28"/>
        </w:rPr>
      </w:pPr>
      <w:r w:rsidRPr="001E6A33">
        <w:rPr>
          <w:rFonts w:asciiTheme="majorBidi" w:eastAsia="Times New Roman" w:hAnsiTheme="majorBidi" w:cstheme="majorBidi"/>
          <w:bCs/>
          <w:color w:val="000000"/>
          <w:sz w:val="28"/>
          <w:szCs w:val="28"/>
          <w:rtl/>
        </w:rPr>
        <w:lastRenderedPageBreak/>
        <w:t xml:space="preserve">مبيان 2: توزيع النساء ضحايا العنف الزوجي حسب نوع المشاكل الصحية الناتجة عن أشد حدث عنف جنسي تعرضت له خلال 12 شهرا الماضية </w:t>
      </w:r>
      <w:r w:rsidR="001E6A33" w:rsidRPr="001E6A33">
        <w:rPr>
          <w:rFonts w:asciiTheme="majorBidi" w:eastAsia="Times New Roman" w:hAnsiTheme="majorBidi" w:cstheme="majorBidi"/>
          <w:bCs/>
          <w:color w:val="000000"/>
          <w:sz w:val="28"/>
          <w:szCs w:val="28"/>
        </w:rPr>
        <w:t>)</w:t>
      </w:r>
      <w:r w:rsidR="001E6A33" w:rsidRPr="001E6A33">
        <w:rPr>
          <w:rFonts w:asciiTheme="majorBidi" w:eastAsia="Times New Roman" w:hAnsiTheme="majorBidi" w:cstheme="majorBidi"/>
          <w:bCs/>
          <w:color w:val="000000"/>
          <w:sz w:val="28"/>
          <w:szCs w:val="28"/>
          <w:rtl/>
        </w:rPr>
        <w:t>ب</w:t>
      </w:r>
      <w:r w:rsidR="001E6A33" w:rsidRPr="001E6A33">
        <w:rPr>
          <w:rFonts w:asciiTheme="majorBidi" w:eastAsia="Times New Roman" w:hAnsiTheme="majorBidi" w:cstheme="majorBidi"/>
          <w:bCs/>
          <w:color w:val="000000"/>
          <w:sz w:val="28"/>
          <w:szCs w:val="28"/>
        </w:rPr>
        <w:t>%</w:t>
      </w:r>
      <w:r w:rsidR="001E6A33" w:rsidRPr="001E6A33">
        <w:rPr>
          <w:rFonts w:asciiTheme="majorBidi" w:eastAsia="Times New Roman" w:hAnsiTheme="majorBidi" w:cstheme="majorBidi" w:hint="cs"/>
          <w:bCs/>
          <w:color w:val="000000"/>
          <w:sz w:val="28"/>
          <w:szCs w:val="28"/>
          <w:rtl/>
        </w:rPr>
        <w:t>)</w:t>
      </w:r>
    </w:p>
    <w:p w:rsidR="003D39B0" w:rsidRPr="001E6A33" w:rsidRDefault="008D2FD7" w:rsidP="001E6A33">
      <w:pPr>
        <w:bidi/>
        <w:spacing w:after="0" w:line="360" w:lineRule="auto"/>
        <w:jc w:val="both"/>
        <w:rPr>
          <w:rFonts w:asciiTheme="majorBidi" w:eastAsia="Times New Roman" w:hAnsiTheme="majorBidi" w:cstheme="majorBidi"/>
          <w:b/>
          <w:color w:val="000000"/>
          <w:sz w:val="28"/>
          <w:szCs w:val="28"/>
        </w:rPr>
      </w:pPr>
      <w:r w:rsidRPr="001E6A33">
        <w:rPr>
          <w:rFonts w:asciiTheme="majorBidi" w:eastAsia="Times New Roman" w:hAnsiTheme="majorBidi" w:cstheme="majorBidi"/>
          <w:b/>
          <w:noProof/>
          <w:color w:val="000000"/>
          <w:sz w:val="28"/>
          <w:szCs w:val="28"/>
          <w:lang w:eastAsia="fr-FR"/>
        </w:rPr>
        <w:drawing>
          <wp:inline distT="0" distB="0" distL="0" distR="0">
            <wp:extent cx="5819775" cy="2524125"/>
            <wp:effectExtent l="19050" t="0" r="9525"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3D39B0" w:rsidRPr="001E6A33" w:rsidRDefault="008D2FD7" w:rsidP="001E6A33">
      <w:pPr>
        <w:bidi/>
        <w:spacing w:after="0" w:line="360" w:lineRule="auto"/>
        <w:jc w:val="both"/>
        <w:rPr>
          <w:rFonts w:asciiTheme="majorBidi" w:eastAsia="Times New Roman" w:hAnsiTheme="majorBidi" w:cstheme="majorBidi"/>
          <w:bCs/>
          <w:color w:val="000000"/>
          <w:sz w:val="28"/>
          <w:szCs w:val="28"/>
          <w:rtl/>
        </w:rPr>
      </w:pPr>
      <w:r w:rsidRPr="001E6A33">
        <w:rPr>
          <w:rFonts w:asciiTheme="majorBidi" w:eastAsia="Times New Roman" w:hAnsiTheme="majorBidi" w:cstheme="majorBidi"/>
          <w:bCs/>
          <w:color w:val="000000"/>
          <w:sz w:val="28"/>
          <w:szCs w:val="28"/>
          <w:rtl/>
        </w:rPr>
        <w:t>المصدر: المندوبية السامية للتخطيط ، البحث الوطني للعنف ضد النساء والرجال 2019</w:t>
      </w:r>
    </w:p>
    <w:p w:rsidR="004F65E1" w:rsidRDefault="004F65E1" w:rsidP="001E6A33">
      <w:pPr>
        <w:bidi/>
        <w:spacing w:after="0" w:line="360" w:lineRule="auto"/>
        <w:jc w:val="both"/>
        <w:rPr>
          <w:rFonts w:asciiTheme="majorBidi" w:eastAsia="Times New Roman" w:hAnsiTheme="majorBidi" w:cstheme="majorBidi"/>
          <w:sz w:val="28"/>
          <w:szCs w:val="28"/>
          <w:rtl/>
        </w:rPr>
      </w:pPr>
    </w:p>
    <w:p w:rsidR="003D39B0" w:rsidRPr="001E6A33" w:rsidRDefault="008D2FD7" w:rsidP="004F65E1">
      <w:pPr>
        <w:bidi/>
        <w:spacing w:after="0" w:line="360" w:lineRule="auto"/>
        <w:jc w:val="both"/>
        <w:rPr>
          <w:rFonts w:asciiTheme="majorBidi" w:eastAsia="Times New Roman" w:hAnsiTheme="majorBidi" w:cstheme="majorBidi"/>
          <w:sz w:val="28"/>
          <w:szCs w:val="28"/>
        </w:rPr>
      </w:pPr>
      <w:r w:rsidRPr="001E6A33">
        <w:rPr>
          <w:rFonts w:asciiTheme="majorBidi" w:eastAsia="Times New Roman" w:hAnsiTheme="majorBidi" w:cstheme="majorBidi"/>
          <w:sz w:val="28"/>
          <w:szCs w:val="28"/>
          <w:rtl/>
        </w:rPr>
        <w:t xml:space="preserve">من جهة </w:t>
      </w:r>
      <w:r w:rsidR="004F65E1" w:rsidRPr="001E6A33">
        <w:rPr>
          <w:rFonts w:asciiTheme="majorBidi" w:eastAsia="Times New Roman" w:hAnsiTheme="majorBidi" w:cstheme="majorBidi" w:hint="cs"/>
          <w:sz w:val="28"/>
          <w:szCs w:val="28"/>
          <w:rtl/>
        </w:rPr>
        <w:t>أخرى،</w:t>
      </w:r>
      <w:r w:rsidRPr="001E6A33">
        <w:rPr>
          <w:rFonts w:asciiTheme="majorBidi" w:eastAsia="Times New Roman" w:hAnsiTheme="majorBidi" w:cstheme="majorBidi"/>
          <w:sz w:val="28"/>
          <w:szCs w:val="28"/>
          <w:rtl/>
        </w:rPr>
        <w:t xml:space="preserve"> فإن العنف الممارس في الأماكن العامة، له أيضًا آثار وخيمة على الصحة الجسدية والنفسية للضحايا، وفي هذا </w:t>
      </w:r>
      <w:r w:rsidR="004F65E1" w:rsidRPr="001E6A33">
        <w:rPr>
          <w:rFonts w:asciiTheme="majorBidi" w:eastAsia="Times New Roman" w:hAnsiTheme="majorBidi" w:cstheme="majorBidi" w:hint="cs"/>
          <w:sz w:val="28"/>
          <w:szCs w:val="28"/>
          <w:rtl/>
        </w:rPr>
        <w:t>السياق،</w:t>
      </w:r>
      <w:r w:rsidRPr="001E6A33">
        <w:rPr>
          <w:rFonts w:asciiTheme="majorBidi" w:eastAsia="Times New Roman" w:hAnsiTheme="majorBidi" w:cstheme="majorBidi"/>
          <w:sz w:val="28"/>
          <w:szCs w:val="28"/>
          <w:rtl/>
        </w:rPr>
        <w:t xml:space="preserve"> تعاني النساء من اضطرابات نفسية (34,3% عند التعرض للعنف الجسدي و 79,1% عند التعرض للاعتداء الجنسي) و مشاكل جسدية </w:t>
      </w:r>
      <w:r w:rsidR="004F65E1" w:rsidRPr="001E6A33">
        <w:rPr>
          <w:rFonts w:asciiTheme="majorBidi" w:eastAsia="Times New Roman" w:hAnsiTheme="majorBidi" w:cstheme="majorBidi" w:hint="cs"/>
          <w:sz w:val="28"/>
          <w:szCs w:val="28"/>
          <w:rtl/>
        </w:rPr>
        <w:t>متعددة،</w:t>
      </w:r>
      <w:r w:rsidRPr="001E6A33">
        <w:rPr>
          <w:rFonts w:asciiTheme="majorBidi" w:eastAsia="Times New Roman" w:hAnsiTheme="majorBidi" w:cstheme="majorBidi"/>
          <w:sz w:val="28"/>
          <w:szCs w:val="28"/>
          <w:rtl/>
        </w:rPr>
        <w:t xml:space="preserve"> بما في ذلك الكدمات والخدوش (63,7% في حالة العنف الجسدي و 20,5% في حالة الاعتداء الجنسي).</w:t>
      </w:r>
    </w:p>
    <w:p w:rsidR="003D39B0" w:rsidRPr="001E6A33" w:rsidRDefault="003D39B0" w:rsidP="001E6A33">
      <w:pPr>
        <w:bidi/>
        <w:spacing w:after="0" w:line="360" w:lineRule="auto"/>
        <w:jc w:val="both"/>
        <w:rPr>
          <w:rFonts w:asciiTheme="majorBidi" w:eastAsia="Times New Roman" w:hAnsiTheme="majorBidi" w:cstheme="majorBidi"/>
          <w:sz w:val="28"/>
          <w:szCs w:val="28"/>
        </w:rPr>
      </w:pPr>
    </w:p>
    <w:p w:rsidR="003D39B0" w:rsidRPr="001E6A33" w:rsidRDefault="008D2FD7" w:rsidP="001E6A33">
      <w:pPr>
        <w:bidi/>
        <w:spacing w:after="0" w:line="360" w:lineRule="auto"/>
        <w:jc w:val="both"/>
        <w:rPr>
          <w:rFonts w:asciiTheme="majorBidi" w:eastAsia="Times New Roman" w:hAnsiTheme="majorBidi" w:cstheme="majorBidi"/>
          <w:bCs/>
          <w:i/>
          <w:color w:val="548DD4"/>
          <w:sz w:val="28"/>
          <w:szCs w:val="28"/>
        </w:rPr>
      </w:pPr>
      <w:r w:rsidRPr="001E6A33">
        <w:rPr>
          <w:rFonts w:asciiTheme="majorBidi" w:eastAsia="Times New Roman" w:hAnsiTheme="majorBidi" w:cstheme="majorBidi"/>
          <w:bCs/>
          <w:i/>
          <w:color w:val="366091"/>
          <w:sz w:val="28"/>
          <w:szCs w:val="28"/>
          <w:rtl/>
        </w:rPr>
        <w:t>خسارة 14 يوم عمل في السنة في حالة العنف الزوجي و 8 أيام في حالة العنف في الأماكن العامة عقب العنف الجسدي</w:t>
      </w:r>
    </w:p>
    <w:p w:rsidR="003D39B0" w:rsidRPr="001E6A33" w:rsidRDefault="008D2FD7" w:rsidP="001E6A33">
      <w:pPr>
        <w:pBdr>
          <w:top w:val="nil"/>
          <w:left w:val="nil"/>
          <w:bottom w:val="nil"/>
          <w:right w:val="nil"/>
          <w:between w:val="nil"/>
        </w:pBdr>
        <w:bidi/>
        <w:spacing w:before="240" w:after="240" w:line="360" w:lineRule="auto"/>
        <w:jc w:val="both"/>
        <w:rPr>
          <w:rFonts w:asciiTheme="majorBidi" w:eastAsia="Times New Roman" w:hAnsiTheme="majorBidi" w:cstheme="majorBidi"/>
          <w:sz w:val="28"/>
          <w:szCs w:val="28"/>
        </w:rPr>
      </w:pPr>
      <w:r w:rsidRPr="001E6A33">
        <w:rPr>
          <w:rFonts w:asciiTheme="majorBidi" w:eastAsia="Times New Roman" w:hAnsiTheme="majorBidi" w:cstheme="majorBidi"/>
          <w:sz w:val="28"/>
          <w:szCs w:val="28"/>
          <w:rtl/>
        </w:rPr>
        <w:t>للعنف الجسدي و/أو الجنسي في إطار العلاقة مع الشريك تداعيات سلبية ليس فقط على صحة الضحية ومحيطها، ولكن أيضًا على أنشطتها الاجتماعية والمهنية، ولا سيما من خلال التغيب عن العمل وعلى مختلف جوانب العلاقات الاجتماعية، إذ أن التغيب عن العمل ، سواء من طرف الضحية أو من طرف الزوج مرتكب العنف ، له آثار سلبية على الأسرة من حيث الخسارة المحتملة للدخل وعلى المجتمع من حيث نقص الإنتاجية. وقد أجبرت 14,3% من النساء النشيطات المشتغلات ضحايا العنف على التغيب عن العمل بعد أشد حدث عنف جسدي تعرضت له خلال 12  شهرا الماضية، إذ بلغ متوسط أيام الغياب عن العمل بالنسبة  للنشيطات المشغلات ضحايا هذا العنف 14 يوم عمل في السنة.</w:t>
      </w:r>
    </w:p>
    <w:p w:rsidR="003D39B0" w:rsidRPr="001E6A33" w:rsidRDefault="008D2FD7" w:rsidP="001E6A33">
      <w:pPr>
        <w:pBdr>
          <w:top w:val="nil"/>
          <w:left w:val="nil"/>
          <w:bottom w:val="nil"/>
          <w:right w:val="nil"/>
          <w:between w:val="nil"/>
        </w:pBdr>
        <w:bidi/>
        <w:spacing w:before="240" w:after="240" w:line="360" w:lineRule="auto"/>
        <w:jc w:val="both"/>
        <w:rPr>
          <w:rFonts w:asciiTheme="majorBidi" w:eastAsia="Times New Roman" w:hAnsiTheme="majorBidi" w:cstheme="majorBidi"/>
          <w:sz w:val="28"/>
          <w:szCs w:val="28"/>
        </w:rPr>
      </w:pPr>
      <w:r w:rsidRPr="001E6A33">
        <w:rPr>
          <w:rFonts w:asciiTheme="majorBidi" w:eastAsia="Times New Roman" w:hAnsiTheme="majorBidi" w:cstheme="majorBidi"/>
          <w:sz w:val="28"/>
          <w:szCs w:val="28"/>
          <w:rtl/>
        </w:rPr>
        <w:lastRenderedPageBreak/>
        <w:t>بالإضافة إلى الفضاء الزوجي، يعتبر التغيب عن العمل بين النساء النشيطات المشتغلات ضحايا العنف الجسدي في الأماكن العامة ظاهرة متكررة إلى حد ما (29,8%). ويبلغ متوسط ​​عدد أيام العمل الضائعة لهؤلاء النساء ضحايا العنف الجسدي في الأماكن العامة 8 أيام في السنة.</w:t>
      </w:r>
    </w:p>
    <w:p w:rsidR="003D39B0" w:rsidRPr="001E6A33" w:rsidRDefault="008D2FD7" w:rsidP="001E6A33">
      <w:pPr>
        <w:pBdr>
          <w:top w:val="nil"/>
          <w:left w:val="nil"/>
          <w:bottom w:val="nil"/>
          <w:right w:val="nil"/>
          <w:between w:val="nil"/>
        </w:pBdr>
        <w:bidi/>
        <w:spacing w:before="240" w:after="240" w:line="360" w:lineRule="auto"/>
        <w:jc w:val="both"/>
        <w:rPr>
          <w:rFonts w:asciiTheme="majorBidi" w:eastAsia="Times New Roman" w:hAnsiTheme="majorBidi" w:cstheme="majorBidi"/>
          <w:sz w:val="28"/>
          <w:szCs w:val="28"/>
        </w:rPr>
      </w:pPr>
      <w:r w:rsidRPr="001E6A33">
        <w:rPr>
          <w:rFonts w:asciiTheme="majorBidi" w:eastAsia="Times New Roman" w:hAnsiTheme="majorBidi" w:cstheme="majorBidi"/>
          <w:sz w:val="28"/>
          <w:szCs w:val="28"/>
          <w:rtl/>
        </w:rPr>
        <w:t>أما بالنسبة للآثار المباشرة للعنف الذي تتعرض له النساء أثناء ممارستهن لنشاط مهني، فقد أظهر البحث أن ردود أفعال الضحايا بعد تعرضهن للعنف الجسدي أو الجنسي تتجاوز التغيب عن العمل، حيث تؤثر تجربة العنف سلبا على مردودية  الضحايا والتزاماتهن الاجتماعية والمهنية (تغيير أو التخلي عن الشغل) وكذلك على رفاههن النفسي والاجتماعي ورفاهية من حولهن. وهكذا فإن أكثر من نصف ضحايا العنف الجسدي و/أو الجنسي، في سياق نشاطهن المهني، صرحن بانخفاض في مردودية عملهن (53%) ؛ وحوالي 40% منهن اضطررن إلى تغيير عملهن ؛ بينما غادرت 7% من الضحايا سوق الشغل كليًا.</w:t>
      </w:r>
    </w:p>
    <w:p w:rsidR="003D39B0" w:rsidRPr="001E6A33" w:rsidRDefault="008D2FD7" w:rsidP="001E6A33">
      <w:pPr>
        <w:bidi/>
        <w:spacing w:before="240" w:after="240" w:line="360" w:lineRule="auto"/>
        <w:jc w:val="both"/>
        <w:rPr>
          <w:rFonts w:asciiTheme="majorBidi" w:eastAsia="Times New Roman" w:hAnsiTheme="majorBidi" w:cstheme="majorBidi"/>
          <w:bCs/>
          <w:sz w:val="28"/>
          <w:szCs w:val="28"/>
        </w:rPr>
      </w:pPr>
      <w:r w:rsidRPr="001E6A33">
        <w:rPr>
          <w:rFonts w:asciiTheme="majorBidi" w:eastAsia="Times New Roman" w:hAnsiTheme="majorBidi" w:cstheme="majorBidi"/>
          <w:bCs/>
          <w:i/>
          <w:color w:val="366091"/>
          <w:sz w:val="28"/>
          <w:szCs w:val="28"/>
          <w:rtl/>
        </w:rPr>
        <w:t>اضطراب وتيرة حياة الضحايا وحياة أسرهن نتيجة العنف الزوجي</w:t>
      </w:r>
    </w:p>
    <w:p w:rsidR="003D39B0" w:rsidRPr="001E6A33" w:rsidRDefault="008D2FD7" w:rsidP="001E6A33">
      <w:pPr>
        <w:bidi/>
        <w:spacing w:before="240" w:after="240" w:line="360" w:lineRule="auto"/>
        <w:jc w:val="both"/>
        <w:rPr>
          <w:rFonts w:asciiTheme="majorBidi" w:eastAsia="Times New Roman" w:hAnsiTheme="majorBidi" w:cstheme="majorBidi"/>
          <w:sz w:val="28"/>
          <w:szCs w:val="28"/>
        </w:rPr>
      </w:pPr>
      <w:r w:rsidRPr="001E6A33">
        <w:rPr>
          <w:rFonts w:asciiTheme="majorBidi" w:eastAsia="Times New Roman" w:hAnsiTheme="majorBidi" w:cstheme="majorBidi"/>
          <w:sz w:val="28"/>
          <w:szCs w:val="28"/>
          <w:rtl/>
        </w:rPr>
        <w:t>بالإضافة لما سبق، ولكون المرأة ضحية اعتداء جسدي و/أو جنسي في إطار العلاقة الزوجية، فإنها تضطر أحيانا إلى التوقف عن القيام بالتزاماتها الأسرية، ولا سيما رعاية أفراد أسرتها أو رعاية نفسها وكذلك القيام ببعض الأشغال المنزلية. وقد لوحظ هذا الوضع بالفعل بين أكثر من 8 ضحايا من أصل 100 نتيجة أشد حدث عنف جسدي تعرضن له، وكذلك بين 3% من ضحايا العنف الجنسي. ويمكن لهذا الاضطراب في المسار الطبيعي للحياة الأسرية أن يصل إلى مستويات أكثر حدة عندما تلجأ الضحية إلى مغادرة المنزل هربا من العنف. وهكذا، غادرت 16 % من النساء الضحايا بيت الزوجية إثر أشد حدث عنف جسدي تعرضن له و3,5 % إثر أشد حدث عنف جنسي. وتلجأ هؤلاء الضحايا بالأساس إلى الإيواء عند الوالدين أو العائلة المقربة (94 % في حالات العنف الجسدي و80 % في حالات العنف الجنسي).</w:t>
      </w:r>
    </w:p>
    <w:p w:rsidR="003D39B0" w:rsidRPr="001E6A33" w:rsidRDefault="008D2FD7" w:rsidP="001E6A33">
      <w:pPr>
        <w:bidi/>
        <w:spacing w:before="240" w:after="240" w:line="360" w:lineRule="auto"/>
        <w:jc w:val="both"/>
        <w:rPr>
          <w:rFonts w:asciiTheme="majorBidi" w:eastAsia="Times New Roman" w:hAnsiTheme="majorBidi" w:cstheme="majorBidi"/>
          <w:sz w:val="28"/>
          <w:szCs w:val="28"/>
        </w:rPr>
      </w:pPr>
      <w:r w:rsidRPr="001E6A33">
        <w:rPr>
          <w:rFonts w:asciiTheme="majorBidi" w:eastAsia="Times New Roman" w:hAnsiTheme="majorBidi" w:cstheme="majorBidi"/>
          <w:sz w:val="28"/>
          <w:szCs w:val="28"/>
          <w:rtl/>
        </w:rPr>
        <w:t>إن مغادرة المنزل نتيجة العنف لا يؤثر فقط على استقرار الأسرة الذي يعتبر أمرا بالغ الأهمية للنمو النفسي والاجتماعي للأطفال، بل يؤثر كذلك على استقرار الأفراد والأسر التي لجأن إليهم ضحايا العنف والذين يشكلون لهن مصدر دعم غيرمنظم إذ تتأثر كذلك حياتهم اليومية ونوعيتها.</w:t>
      </w:r>
    </w:p>
    <w:p w:rsidR="003D39B0" w:rsidRPr="001E6A33" w:rsidRDefault="008D2FD7" w:rsidP="001E6A33">
      <w:pPr>
        <w:bidi/>
        <w:spacing w:before="240" w:after="240" w:line="360" w:lineRule="auto"/>
        <w:jc w:val="both"/>
        <w:rPr>
          <w:rFonts w:asciiTheme="majorBidi" w:eastAsia="Times New Roman" w:hAnsiTheme="majorBidi" w:cstheme="majorBidi"/>
          <w:bCs/>
          <w:sz w:val="28"/>
          <w:szCs w:val="28"/>
        </w:rPr>
      </w:pPr>
      <w:r w:rsidRPr="001E6A33">
        <w:rPr>
          <w:rFonts w:asciiTheme="majorBidi" w:eastAsia="Times New Roman" w:hAnsiTheme="majorBidi" w:cstheme="majorBidi"/>
          <w:bCs/>
          <w:i/>
          <w:color w:val="366091"/>
          <w:sz w:val="28"/>
          <w:szCs w:val="28"/>
          <w:rtl/>
        </w:rPr>
        <w:t>عبء إضافي على ميزانية الأسرة نتيجة لجوء الضحايا إلى الخدمات الصحية والخدمات القانونية</w:t>
      </w:r>
    </w:p>
    <w:p w:rsidR="003D39B0" w:rsidRPr="001E6A33" w:rsidRDefault="008D2FD7" w:rsidP="001E6A33">
      <w:pPr>
        <w:bidi/>
        <w:spacing w:before="240" w:after="240" w:line="360" w:lineRule="auto"/>
        <w:jc w:val="both"/>
        <w:rPr>
          <w:rFonts w:asciiTheme="majorBidi" w:eastAsia="Times New Roman" w:hAnsiTheme="majorBidi" w:cstheme="majorBidi"/>
          <w:sz w:val="28"/>
          <w:szCs w:val="28"/>
        </w:rPr>
      </w:pPr>
      <w:r w:rsidRPr="001E6A33">
        <w:rPr>
          <w:rFonts w:asciiTheme="majorBidi" w:eastAsia="Times New Roman" w:hAnsiTheme="majorBidi" w:cstheme="majorBidi"/>
          <w:sz w:val="28"/>
          <w:szCs w:val="28"/>
          <w:rtl/>
        </w:rPr>
        <w:t>يؤثر العنف ضد النساء بشكل عام والعنف الزوجي بشكل خاص كذلك على مستوى معيشة النساء أو أسرهن، بحيث أنه غالبا ما يترتب عنه نفقات إضافية تشكل عبئا زائدا على ميزانية الأسرة، خصوصا عند لجوء ضحية العنف و/أو شريكها إلى العلاجات الطبية، لجوءها إلى الخدمات القانونية في حالة متابعة مرتكب العنف أو تعويض و إصلاح الممتلكات التي تم إتلافها أو التنقل أو الإيواء.</w:t>
      </w:r>
    </w:p>
    <w:p w:rsidR="003D39B0" w:rsidRPr="001E6A33" w:rsidRDefault="008D2FD7" w:rsidP="001E6A33">
      <w:pPr>
        <w:bidi/>
        <w:spacing w:before="240" w:after="240" w:line="360" w:lineRule="auto"/>
        <w:jc w:val="both"/>
        <w:rPr>
          <w:rFonts w:asciiTheme="majorBidi" w:eastAsia="Times New Roman" w:hAnsiTheme="majorBidi" w:cstheme="majorBidi"/>
          <w:sz w:val="28"/>
          <w:szCs w:val="28"/>
        </w:rPr>
      </w:pPr>
      <w:r w:rsidRPr="001E6A33">
        <w:rPr>
          <w:rFonts w:asciiTheme="majorBidi" w:eastAsia="Times New Roman" w:hAnsiTheme="majorBidi" w:cstheme="majorBidi"/>
          <w:sz w:val="28"/>
          <w:szCs w:val="28"/>
          <w:rtl/>
        </w:rPr>
        <w:lastRenderedPageBreak/>
        <w:t>ومن بين الضحايا اللواتي عانين من مشاكل صحية إثر أشد حدث عنف جسدي تعرضن له خلال 12 شهرا الماضية، 48% منهن لجأن إلى أحد مقدمي الخدمات الصحية (طبيب، إطار شبه طبي...)، وتبلغ هذه النسبة 40 % في حالة أشد حدث عنف جنسي. وأما بالنسبة للنساء ضحايا العنف في الأماكن العامة واللواتي واجهن مشاكل صحية ولجأن إلى الخدمات الصحية، فتصل نسبهن إلى حوالي 60 % في حالة العنف الجسدي و 20 % في حالة العنف الجنسي.</w:t>
      </w:r>
    </w:p>
    <w:p w:rsidR="003D39B0" w:rsidRPr="001E6A33" w:rsidRDefault="008D2FD7" w:rsidP="001E6A33">
      <w:pPr>
        <w:bidi/>
        <w:spacing w:before="240" w:after="240" w:line="360" w:lineRule="auto"/>
        <w:jc w:val="both"/>
        <w:rPr>
          <w:rFonts w:asciiTheme="majorBidi" w:eastAsia="Times New Roman" w:hAnsiTheme="majorBidi" w:cstheme="majorBidi"/>
          <w:sz w:val="28"/>
          <w:szCs w:val="28"/>
        </w:rPr>
      </w:pPr>
      <w:r w:rsidRPr="001E6A33">
        <w:rPr>
          <w:rFonts w:asciiTheme="majorBidi" w:eastAsia="Times New Roman" w:hAnsiTheme="majorBidi" w:cstheme="majorBidi"/>
          <w:sz w:val="28"/>
          <w:szCs w:val="28"/>
          <w:rtl/>
        </w:rPr>
        <w:t>بالإضافة إلى النفقات المتعلقة بالمشاكل الصحية، فإن 7 % من النساء ضحايا العنف الجسدي و 2 % من ضحايا العنف الجنسي في الإطار الزوجي قد تقدمن بشكاية أو اتخذن إجراءات قانونية بعد أشد حدث عنف جسدي أو جنسي. وتسجل هذه النسب مستويات أعلى عندما يتعلق الأمر بالعنف في الوسط غير الزوجي (22% و 3,3% على التوالي).</w:t>
      </w:r>
    </w:p>
    <w:p w:rsidR="003D39B0" w:rsidRPr="001E6A33" w:rsidRDefault="008D2FD7" w:rsidP="001E6A33">
      <w:pPr>
        <w:bidi/>
        <w:spacing w:before="240" w:after="240" w:line="360" w:lineRule="auto"/>
        <w:jc w:val="both"/>
        <w:rPr>
          <w:rFonts w:asciiTheme="majorBidi" w:eastAsia="Times New Roman" w:hAnsiTheme="majorBidi" w:cstheme="majorBidi"/>
          <w:b/>
          <w:sz w:val="28"/>
          <w:szCs w:val="28"/>
        </w:rPr>
      </w:pPr>
      <w:r w:rsidRPr="001E6A33">
        <w:rPr>
          <w:rFonts w:asciiTheme="majorBidi" w:eastAsia="Times New Roman" w:hAnsiTheme="majorBidi" w:cstheme="majorBidi"/>
          <w:sz w:val="28"/>
          <w:szCs w:val="28"/>
          <w:rtl/>
        </w:rPr>
        <w:t>ولقد شهدت أكثر من 9% من النساء ضحايا العنف الزوجي إتلاف ممتلكات شخصية أو منزلية عقب أشد حدث عنف جسدي، حيث كان على 37,5% من الضحايا تعويضها أو إصلاحها.</w:t>
      </w:r>
    </w:p>
    <w:p w:rsidR="003D39B0" w:rsidRPr="001E6A33" w:rsidRDefault="008D2FD7" w:rsidP="001E6A33">
      <w:pPr>
        <w:bidi/>
        <w:spacing w:line="360" w:lineRule="auto"/>
        <w:jc w:val="both"/>
        <w:rPr>
          <w:rFonts w:asciiTheme="majorBidi" w:eastAsia="Times New Roman" w:hAnsiTheme="majorBidi" w:cstheme="majorBidi"/>
          <w:bCs/>
          <w:sz w:val="28"/>
          <w:szCs w:val="28"/>
        </w:rPr>
      </w:pPr>
      <w:r w:rsidRPr="001E6A33">
        <w:rPr>
          <w:rFonts w:asciiTheme="majorBidi" w:eastAsia="Times New Roman" w:hAnsiTheme="majorBidi" w:cstheme="majorBidi"/>
          <w:bCs/>
          <w:i/>
          <w:color w:val="366091"/>
          <w:sz w:val="28"/>
          <w:szCs w:val="28"/>
          <w:rtl/>
        </w:rPr>
        <w:t>تداعيات خطيرة على الصحة والنمو النفسي والاجتماعي لأطفال ضحايا العنف الزوجي: العزلة والحزن ونوبات القلق والتبول اللاإرادي والتراجع الدراسي</w:t>
      </w:r>
    </w:p>
    <w:p w:rsidR="003D39B0" w:rsidRPr="001E6A33" w:rsidRDefault="008D2FD7" w:rsidP="001E6A33">
      <w:pPr>
        <w:bidi/>
        <w:spacing w:line="360" w:lineRule="auto"/>
        <w:jc w:val="both"/>
        <w:rPr>
          <w:rFonts w:asciiTheme="majorBidi" w:eastAsia="Times New Roman" w:hAnsiTheme="majorBidi" w:cstheme="majorBidi"/>
          <w:sz w:val="28"/>
          <w:szCs w:val="28"/>
        </w:rPr>
      </w:pPr>
      <w:r w:rsidRPr="001E6A33">
        <w:rPr>
          <w:rFonts w:asciiTheme="majorBidi" w:eastAsia="Times New Roman" w:hAnsiTheme="majorBidi" w:cstheme="majorBidi"/>
          <w:sz w:val="28"/>
          <w:szCs w:val="28"/>
          <w:rtl/>
        </w:rPr>
        <w:t>إن التعرض للعنف الزوجي ليس بظاهرة معزولة حيث يؤثر على عدد كبير من أطفال الضحايا. ويمكن أن تتسبب تجربة العنف هذه، على المدى المتوسط والبعيد، في مشاكل صحية جسدية وعقلية وفي  اضطرابات معرفية (مشاكل في التركيز) أو مشاكل دراسية (تأخر أو فشل). حيث تظهر نتائج البحث أن العنف الزوجي له تداعيات خطيرة على صحة الأطفال ونموهم النفسي والاجتماعي. وهكذا، فقد صرحت حوالي 16% من النساء ضحايا العنف الزوجي أن أطفالهن ، الذين تتراوح أعمارهم بين 5 و 18 سنة ، يعانون من مشاكل صحية ، خاصة ذات طبيعة نفسية وسلوكية. وحسب نوع المشكلة التي يعاني منها أطفالهن، صرحت 40,4 % من النساء ضحايا العنف الزوجي بمشكلة العزلة والحزن، و32,4% منهن بنوبات القلق أو الصرع و21,5% بالكوابيس و22,4% بالتبول اللاإرادي.</w:t>
      </w:r>
    </w:p>
    <w:p w:rsidR="003D39B0" w:rsidRPr="001E6A33" w:rsidRDefault="008D2FD7" w:rsidP="001E6A33">
      <w:pPr>
        <w:bidi/>
        <w:spacing w:line="360" w:lineRule="auto"/>
        <w:jc w:val="both"/>
        <w:rPr>
          <w:rFonts w:asciiTheme="majorBidi" w:eastAsia="Times New Roman" w:hAnsiTheme="majorBidi" w:cstheme="majorBidi"/>
          <w:sz w:val="28"/>
          <w:szCs w:val="28"/>
        </w:rPr>
      </w:pPr>
      <w:r w:rsidRPr="001E6A33">
        <w:rPr>
          <w:rFonts w:asciiTheme="majorBidi" w:eastAsia="Times New Roman" w:hAnsiTheme="majorBidi" w:cstheme="majorBidi"/>
          <w:sz w:val="28"/>
          <w:szCs w:val="28"/>
          <w:rtl/>
        </w:rPr>
        <w:t>بالإضافة إلى المشاكل الصحية، يعاني الأطفال أيضًا من اضطرابات معرفية وسلوكية: التراجع الدراسي بالنسبة لـ 22,5% من الضحايا ، والعنف والعدوان بالنسبة  ل18,9% ،و التخلي عن الدراسة بالنسبة ل 7%، والانحراف بالنسبة ل 2,3% والهروب حسب 1% منهن. ومن جهة ثانية، وإثر أشد حدث عنف جسدي من طرف الشريك خلال الـ 12 شهرًا الماضية، ذكرت 8,1% من الضحايا  أن أطفالهن اضطروا للتغيب عن الدراسة.</w:t>
      </w:r>
    </w:p>
    <w:p w:rsidR="003D39B0" w:rsidRDefault="008D2FD7" w:rsidP="001E6A33">
      <w:pPr>
        <w:bidi/>
        <w:spacing w:line="360" w:lineRule="auto"/>
        <w:jc w:val="both"/>
        <w:rPr>
          <w:rFonts w:asciiTheme="majorBidi" w:eastAsia="Times New Roman" w:hAnsiTheme="majorBidi" w:cstheme="majorBidi"/>
          <w:bCs/>
          <w:sz w:val="28"/>
          <w:szCs w:val="28"/>
          <w:rtl/>
        </w:rPr>
      </w:pPr>
      <w:r w:rsidRPr="001E6A33">
        <w:rPr>
          <w:rFonts w:asciiTheme="majorBidi" w:eastAsia="Times New Roman" w:hAnsiTheme="majorBidi" w:cstheme="majorBidi"/>
          <w:bCs/>
          <w:sz w:val="28"/>
          <w:szCs w:val="28"/>
          <w:rtl/>
        </w:rPr>
        <w:lastRenderedPageBreak/>
        <w:t>مبيان 3: تأثير العنف الجسدي من طرف الشريك على الأطفال  ( ب %)</w:t>
      </w:r>
    </w:p>
    <w:p w:rsidR="001E6A33" w:rsidRDefault="001E6A33" w:rsidP="001E6A33">
      <w:pPr>
        <w:bidi/>
        <w:spacing w:line="360" w:lineRule="auto"/>
        <w:jc w:val="both"/>
        <w:rPr>
          <w:rFonts w:asciiTheme="majorBidi" w:eastAsia="Times New Roman" w:hAnsiTheme="majorBidi" w:cstheme="majorBidi"/>
          <w:sz w:val="28"/>
          <w:szCs w:val="28"/>
          <w:rtl/>
        </w:rPr>
      </w:pPr>
      <w:r>
        <w:rPr>
          <w:noProof/>
          <w:lang w:eastAsia="fr-FR"/>
        </w:rPr>
        <w:drawing>
          <wp:inline distT="0" distB="0" distL="0" distR="0">
            <wp:extent cx="5857875" cy="2266950"/>
            <wp:effectExtent l="19050" t="0" r="9525"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E6A33" w:rsidRPr="001E6A33" w:rsidRDefault="001E6A33" w:rsidP="001E6A33">
      <w:pPr>
        <w:bidi/>
        <w:spacing w:after="0" w:line="360" w:lineRule="auto"/>
        <w:jc w:val="both"/>
        <w:rPr>
          <w:rFonts w:asciiTheme="majorBidi" w:eastAsia="Times New Roman" w:hAnsiTheme="majorBidi" w:cstheme="majorBidi"/>
          <w:bCs/>
          <w:color w:val="000000"/>
          <w:sz w:val="28"/>
          <w:szCs w:val="28"/>
          <w:rtl/>
        </w:rPr>
      </w:pPr>
      <w:r w:rsidRPr="001E6A33">
        <w:rPr>
          <w:rFonts w:asciiTheme="majorBidi" w:eastAsia="Times New Roman" w:hAnsiTheme="majorBidi" w:cstheme="majorBidi"/>
          <w:bCs/>
          <w:color w:val="000000"/>
          <w:sz w:val="28"/>
          <w:szCs w:val="28"/>
          <w:rtl/>
        </w:rPr>
        <w:t>المصدر: المندوبية السامية للتخطيط ، البحث الوطني للعنف ضد النساء والرجال 2019</w:t>
      </w:r>
    </w:p>
    <w:p w:rsidR="004F65E1" w:rsidRDefault="00DE2214" w:rsidP="00DE2214">
      <w:pPr>
        <w:bidi/>
        <w:spacing w:line="360" w:lineRule="auto"/>
        <w:jc w:val="center"/>
        <w:rPr>
          <w:rFonts w:asciiTheme="majorBidi" w:eastAsia="Times New Roman" w:hAnsiTheme="majorBidi" w:cstheme="majorBidi"/>
          <w:sz w:val="28"/>
          <w:szCs w:val="28"/>
          <w:rtl/>
        </w:rPr>
      </w:pPr>
      <w:r>
        <w:rPr>
          <w:rFonts w:asciiTheme="majorBidi" w:eastAsia="Times New Roman" w:hAnsiTheme="majorBidi" w:cstheme="majorBidi"/>
          <w:sz w:val="28"/>
          <w:szCs w:val="28"/>
        </w:rPr>
        <w:t xml:space="preserve">                        </w:t>
      </w:r>
    </w:p>
    <w:p w:rsidR="003D39B0" w:rsidRPr="001E6A33" w:rsidRDefault="008D2FD7" w:rsidP="004F65E1">
      <w:pPr>
        <w:bidi/>
        <w:spacing w:line="360" w:lineRule="auto"/>
        <w:jc w:val="both"/>
        <w:rPr>
          <w:rFonts w:asciiTheme="majorBidi" w:eastAsia="Times New Roman" w:hAnsiTheme="majorBidi" w:cstheme="majorBidi"/>
          <w:sz w:val="28"/>
          <w:szCs w:val="28"/>
        </w:rPr>
      </w:pPr>
      <w:r w:rsidRPr="001E6A33">
        <w:rPr>
          <w:rFonts w:asciiTheme="majorBidi" w:eastAsia="Times New Roman" w:hAnsiTheme="majorBidi" w:cstheme="majorBidi"/>
          <w:sz w:val="28"/>
          <w:szCs w:val="28"/>
          <w:rtl/>
        </w:rPr>
        <w:t>بالإضافة إلى آثاره المباشرة على الأطفال، يؤثر العنف الزوجي بالتأكيد على جودة العلاقة بين الأم والطفل، مما يزيد من حدة محنة هذا الأخير. خاصة وأن الأم الضحية تصبح أقل استعدادًا للاستجابة لاحتياجات ومتطلبات الطفل في الوقت الذي يواجه فيها هذا الأخير صعوبات كبيرة تتطلب مزيدًا من الدعم.</w:t>
      </w:r>
    </w:p>
    <w:p w:rsidR="003D39B0" w:rsidRPr="008D2FD7" w:rsidRDefault="008D2FD7" w:rsidP="001E6A33">
      <w:pPr>
        <w:bidi/>
        <w:spacing w:line="360" w:lineRule="auto"/>
        <w:jc w:val="both"/>
        <w:rPr>
          <w:rFonts w:asciiTheme="majorBidi" w:eastAsia="Times New Roman" w:hAnsiTheme="majorBidi" w:cstheme="majorBidi"/>
          <w:sz w:val="28"/>
          <w:szCs w:val="28"/>
          <w:lang w:val="fr-MA"/>
        </w:rPr>
      </w:pPr>
      <w:r w:rsidRPr="001E6A33">
        <w:rPr>
          <w:rFonts w:asciiTheme="majorBidi" w:eastAsia="Times New Roman" w:hAnsiTheme="majorBidi" w:cstheme="majorBidi"/>
          <w:sz w:val="28"/>
          <w:szCs w:val="28"/>
          <w:rtl/>
        </w:rPr>
        <w:t xml:space="preserve">هؤلاء الأطفال الذين عايشوا العنف الزوجي هم أكثر عرضة لإعادة إنتاج النمط الأبوي وعيش علاقات حميمة تتسم بالعنف بمجرد بلوغهم سن الرشد، إذ أظهرت نتائج البحث أن معدل انتشار العنف مرتفع بشكل خاص بين النساء اللواتي عاش شريكهن في بيئة تتسم بالعنف الزوجي (73%) مقارنة بالنساء اللواتي لم يتعرض شركاؤهن لهذا العنف (45,1%). </w:t>
      </w:r>
    </w:p>
    <w:sectPr w:rsidR="003D39B0" w:rsidRPr="008D2FD7" w:rsidSect="00F45417">
      <w:pgSz w:w="11906" w:h="16838"/>
      <w:pgMar w:top="1417" w:right="1417" w:bottom="1417" w:left="1417" w:header="708" w:footer="708" w:gutter="0"/>
      <w:pgNumType w:start="1"/>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20"/>
  <w:hyphenationZone w:val="425"/>
  <w:characterSpacingControl w:val="doNotCompress"/>
  <w:compat/>
  <w:rsids>
    <w:rsidRoot w:val="003D39B0"/>
    <w:rsid w:val="001E6A33"/>
    <w:rsid w:val="003D39B0"/>
    <w:rsid w:val="004F65E1"/>
    <w:rsid w:val="00565334"/>
    <w:rsid w:val="008D2FD7"/>
    <w:rsid w:val="00B915AA"/>
    <w:rsid w:val="00D9084E"/>
    <w:rsid w:val="00DE2214"/>
    <w:rsid w:val="00F45417"/>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0BF3"/>
  </w:style>
  <w:style w:type="paragraph" w:styleId="Titre1">
    <w:name w:val="heading 1"/>
    <w:basedOn w:val="Normal"/>
    <w:next w:val="Normal"/>
    <w:rsid w:val="00F45417"/>
    <w:pPr>
      <w:keepNext/>
      <w:keepLines/>
      <w:spacing w:before="480" w:after="120"/>
      <w:outlineLvl w:val="0"/>
    </w:pPr>
    <w:rPr>
      <w:b/>
      <w:sz w:val="48"/>
      <w:szCs w:val="48"/>
    </w:rPr>
  </w:style>
  <w:style w:type="paragraph" w:styleId="Titre2">
    <w:name w:val="heading 2"/>
    <w:basedOn w:val="Normal"/>
    <w:next w:val="Normal"/>
    <w:rsid w:val="00F45417"/>
    <w:pPr>
      <w:keepNext/>
      <w:keepLines/>
      <w:spacing w:before="360" w:after="80"/>
      <w:outlineLvl w:val="1"/>
    </w:pPr>
    <w:rPr>
      <w:b/>
      <w:sz w:val="36"/>
      <w:szCs w:val="36"/>
    </w:rPr>
  </w:style>
  <w:style w:type="paragraph" w:styleId="Titre3">
    <w:name w:val="heading 3"/>
    <w:basedOn w:val="Normal"/>
    <w:next w:val="Normal"/>
    <w:rsid w:val="00F45417"/>
    <w:pPr>
      <w:keepNext/>
      <w:keepLines/>
      <w:spacing w:before="280" w:after="80"/>
      <w:outlineLvl w:val="2"/>
    </w:pPr>
    <w:rPr>
      <w:b/>
      <w:sz w:val="28"/>
      <w:szCs w:val="28"/>
    </w:rPr>
  </w:style>
  <w:style w:type="paragraph" w:styleId="Titre4">
    <w:name w:val="heading 4"/>
    <w:basedOn w:val="Normal"/>
    <w:next w:val="Normal"/>
    <w:rsid w:val="00F45417"/>
    <w:pPr>
      <w:keepNext/>
      <w:keepLines/>
      <w:spacing w:before="240" w:after="40"/>
      <w:outlineLvl w:val="3"/>
    </w:pPr>
    <w:rPr>
      <w:b/>
      <w:sz w:val="24"/>
      <w:szCs w:val="24"/>
    </w:rPr>
  </w:style>
  <w:style w:type="paragraph" w:styleId="Titre5">
    <w:name w:val="heading 5"/>
    <w:basedOn w:val="Normal"/>
    <w:next w:val="Normal"/>
    <w:rsid w:val="00F45417"/>
    <w:pPr>
      <w:keepNext/>
      <w:keepLines/>
      <w:spacing w:before="220" w:after="40"/>
      <w:outlineLvl w:val="4"/>
    </w:pPr>
    <w:rPr>
      <w:b/>
    </w:rPr>
  </w:style>
  <w:style w:type="paragraph" w:styleId="Titre6">
    <w:name w:val="heading 6"/>
    <w:basedOn w:val="Normal"/>
    <w:next w:val="Normal"/>
    <w:rsid w:val="00F45417"/>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rsid w:val="00F45417"/>
    <w:pPr>
      <w:keepNext/>
      <w:keepLines/>
      <w:spacing w:before="480" w:after="120"/>
    </w:pPr>
    <w:rPr>
      <w:b/>
      <w:sz w:val="72"/>
      <w:szCs w:val="72"/>
    </w:rPr>
  </w:style>
  <w:style w:type="character" w:styleId="Lienhypertexte">
    <w:name w:val="Hyperlink"/>
    <w:basedOn w:val="Policepardfaut"/>
    <w:uiPriority w:val="99"/>
    <w:semiHidden/>
    <w:unhideWhenUsed/>
    <w:rsid w:val="00E30030"/>
    <w:rPr>
      <w:color w:val="0000FF"/>
      <w:u w:val="single"/>
    </w:rPr>
  </w:style>
  <w:style w:type="paragraph" w:styleId="Paragraphedeliste">
    <w:name w:val="List Paragraph"/>
    <w:basedOn w:val="Normal"/>
    <w:uiPriority w:val="34"/>
    <w:qFormat/>
    <w:rsid w:val="002965B3"/>
    <w:pPr>
      <w:ind w:left="720"/>
      <w:contextualSpacing/>
    </w:pPr>
  </w:style>
  <w:style w:type="paragraph" w:styleId="Textedebulles">
    <w:name w:val="Balloon Text"/>
    <w:basedOn w:val="Normal"/>
    <w:link w:val="TextedebullesCar"/>
    <w:uiPriority w:val="99"/>
    <w:semiHidden/>
    <w:unhideWhenUsed/>
    <w:rsid w:val="00E02F3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02F30"/>
    <w:rPr>
      <w:rFonts w:ascii="Tahoma" w:hAnsi="Tahoma" w:cs="Tahoma"/>
      <w:sz w:val="16"/>
      <w:szCs w:val="16"/>
    </w:rPr>
  </w:style>
  <w:style w:type="paragraph" w:styleId="PrformatHTML">
    <w:name w:val="HTML Preformatted"/>
    <w:basedOn w:val="Normal"/>
    <w:link w:val="PrformatHTMLCar"/>
    <w:uiPriority w:val="99"/>
    <w:semiHidden/>
    <w:unhideWhenUsed/>
    <w:rsid w:val="008D2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uiPriority w:val="99"/>
    <w:semiHidden/>
    <w:rsid w:val="008D2439"/>
    <w:rPr>
      <w:rFonts w:ascii="Courier New" w:eastAsia="Times New Roman" w:hAnsi="Courier New" w:cs="Courier New"/>
      <w:sz w:val="20"/>
      <w:szCs w:val="20"/>
      <w:lang w:eastAsia="fr-FR"/>
    </w:rPr>
  </w:style>
  <w:style w:type="paragraph" w:styleId="Sous-titre">
    <w:name w:val="Subtitle"/>
    <w:basedOn w:val="Normal"/>
    <w:next w:val="Normal"/>
    <w:rsid w:val="00F45417"/>
    <w:pPr>
      <w:keepNext/>
      <w:keepLines/>
      <w:spacing w:before="360" w:after="80"/>
    </w:pPr>
    <w:rPr>
      <w:rFonts w:ascii="Georgia" w:eastAsia="Georgia" w:hAnsi="Georgia" w:cs="Georgia"/>
      <w:i/>
      <w:color w:val="666666"/>
      <w:sz w:val="48"/>
      <w:szCs w:val="4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chart" Target="charts/chart3.xml"/><Relationship Id="rId3" Type="http://schemas.openxmlformats.org/officeDocument/2006/relationships/settings" Target="settings.xml"/><Relationship Id="rId7" Type="http://schemas.openxmlformats.org/officeDocument/2006/relationships/chart" Target="charts/chart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chart" Target="charts/chart1.xm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lenovo\Downloads\graphiques%20note%20fr-ar_fin.xlsx"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C:\Users\lenovo\Downloads\graphiques%20note%20fr-ar_fin.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HP\Desktop\VAW%202020\vaw%20octobre%202020%20F\graphiques%20note%20fr-ar.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roundedCorners val="1"/>
  <c:chart>
    <c:autoTitleDeleted val="1"/>
    <c:plotArea>
      <c:layout>
        <c:manualLayout>
          <c:layoutTarget val="inner"/>
          <c:xMode val="edge"/>
          <c:yMode val="edge"/>
          <c:x val="0.35686289727131226"/>
          <c:y val="4.4436414626253952E-2"/>
          <c:w val="0.57899615730785192"/>
          <c:h val="0.90148347894869307"/>
        </c:manualLayout>
      </c:layout>
      <c:barChart>
        <c:barDir val="bar"/>
        <c:grouping val="clustered"/>
        <c:varyColors val="1"/>
        <c:ser>
          <c:idx val="0"/>
          <c:order val="0"/>
          <c:tx>
            <c:v>Violence physique</c:v>
          </c:tx>
          <c:spPr>
            <a:solidFill>
              <a:srgbClr val="5B9BD5"/>
            </a:solidFill>
          </c:spPr>
          <c:invertIfNegative val="1"/>
          <c:dLbls>
            <c:spPr>
              <a:noFill/>
              <a:ln>
                <a:noFill/>
              </a:ln>
              <a:effectLst/>
            </c:spPr>
            <c:txPr>
              <a:bodyPr/>
              <a:lstStyle/>
              <a:p>
                <a:pPr lvl="0">
                  <a:defRPr lang="en-US" sz="900" b="1" i="0">
                    <a:latin typeface="+mn-lt"/>
                  </a:defRPr>
                </a:pPr>
                <a:endParaRPr lang="fr-FR"/>
              </a:p>
            </c:txPr>
            <c:showVal val="1"/>
            <c:extLst xmlns:c16r2="http://schemas.microsoft.com/office/drawing/2015/06/chart">
              <c:ext xmlns:c15="http://schemas.microsoft.com/office/drawing/2012/chart" uri="{CE6537A1-D6FC-4f65-9D91-7224C49458BB}">
                <c15:showLeaderLines val="0"/>
              </c:ext>
            </c:extLst>
          </c:dLbls>
          <c:cat>
            <c:strRef>
              <c:f>'III_coût social de la violence '!$A$4:$A$15</c:f>
              <c:strCache>
                <c:ptCount val="12"/>
                <c:pt idx="0">
                  <c:v>مشاكل نفسية</c:v>
                </c:pt>
                <c:pt idx="1">
                  <c:v>خدش أو كدمات</c:v>
                </c:pt>
                <c:pt idx="2">
                  <c:v> التواء أو خلع</c:v>
                </c:pt>
                <c:pt idx="3">
                  <c:v> إصابة خطيرة أو شق عميق</c:v>
                </c:pt>
                <c:pt idx="4">
                  <c:v>كسور أو تشقق في العظام</c:v>
                </c:pt>
                <c:pt idx="5">
                  <c:v> إصابة طبلة الأذن أو إصابة العين</c:v>
                </c:pt>
                <c:pt idx="6">
                  <c:v>كسر / نزيف في الأسنان</c:v>
                </c:pt>
                <c:pt idx="7">
                  <c:v>إجهاض</c:v>
                </c:pt>
                <c:pt idx="8">
                  <c:v> نزيف</c:v>
                </c:pt>
                <c:pt idx="9">
                  <c:v>مشاكل في الحمل</c:v>
                </c:pt>
                <c:pt idx="10">
                  <c:v>حروق</c:v>
                </c:pt>
                <c:pt idx="11">
                  <c:v>آخر</c:v>
                </c:pt>
              </c:strCache>
            </c:strRef>
          </c:cat>
          <c:val>
            <c:numRef>
              <c:f>'III_coût social de la violence '!$B$4:$B$15</c:f>
              <c:numCache>
                <c:formatCode>###0.0%</c:formatCode>
                <c:ptCount val="12"/>
                <c:pt idx="0">
                  <c:v>0.60151799364638703</c:v>
                </c:pt>
                <c:pt idx="1">
                  <c:v>0.52229331361565134</c:v>
                </c:pt>
                <c:pt idx="2">
                  <c:v>0.11168168220744588</c:v>
                </c:pt>
                <c:pt idx="3">
                  <c:v>5.5280262592167076E-2</c:v>
                </c:pt>
                <c:pt idx="4">
                  <c:v>5.1748093441869467E-2</c:v>
                </c:pt>
                <c:pt idx="5">
                  <c:v>4.9791710696290424E-2</c:v>
                </c:pt>
                <c:pt idx="6">
                  <c:v>4.8919247523760354E-2</c:v>
                </c:pt>
                <c:pt idx="7">
                  <c:v>1.5928419875485805E-2</c:v>
                </c:pt>
                <c:pt idx="8">
                  <c:v>1.5928419875485805E-2</c:v>
                </c:pt>
                <c:pt idx="9">
                  <c:v>1.5436398282752287E-2</c:v>
                </c:pt>
                <c:pt idx="10" formatCode="####.0%">
                  <c:v>8.2032995542506548E-3</c:v>
                </c:pt>
                <c:pt idx="11">
                  <c:v>3.4053104718494112E-2</c:v>
                </c:pt>
              </c:numCache>
            </c:numRef>
          </c:val>
          <c:extLst xmlns:c16r2="http://schemas.microsoft.com/office/drawing/2015/06/chart">
            <c:ext xmlns:c14="http://schemas.microsoft.com/office/drawing/2007/8/2/chart" uri="{6F2FDCE9-48DA-4B69-8628-5D25D57E5C99}">
              <c14:invertSolidFillFmt>
                <c14:spPr xmlns:c14="http://schemas.microsoft.com/office/drawing/2007/8/2/chart">
                  <a:solidFill>
                    <a:srgbClr val="FFFFFF"/>
                  </a:solidFill>
                </c14:spPr>
              </c14:invertSolidFillFmt>
            </c:ext>
            <c:ext xmlns:c16="http://schemas.microsoft.com/office/drawing/2014/chart" uri="{C3380CC4-5D6E-409C-BE32-E72D297353CC}">
              <c16:uniqueId val="{00000000-07A4-4717-A179-3477BE3030C7}"/>
            </c:ext>
          </c:extLst>
        </c:ser>
        <c:axId val="131183360"/>
        <c:axId val="131185280"/>
      </c:barChart>
      <c:catAx>
        <c:axId val="131183360"/>
        <c:scaling>
          <c:orientation val="maxMin"/>
        </c:scaling>
        <c:axPos val="l"/>
        <c:title>
          <c:tx>
            <c:rich>
              <a:bodyPr/>
              <a:lstStyle/>
              <a:p>
                <a:pPr lvl="0">
                  <a:defRPr lang="en-US" b="0">
                    <a:solidFill>
                      <a:srgbClr val="000000"/>
                    </a:solidFill>
                    <a:latin typeface="+mn-lt"/>
                  </a:defRPr>
                </a:pPr>
                <a:endParaRPr lang="fr-FR"/>
              </a:p>
            </c:rich>
          </c:tx>
        </c:title>
        <c:numFmt formatCode="General" sourceLinked="1"/>
        <c:majorTickMark val="none"/>
        <c:tickLblPos val="nextTo"/>
        <c:txPr>
          <a:bodyPr/>
          <a:lstStyle/>
          <a:p>
            <a:pPr lvl="0">
              <a:defRPr lang="en-US" sz="900" b="1" i="0">
                <a:solidFill>
                  <a:srgbClr val="000000"/>
                </a:solidFill>
                <a:latin typeface="+mn-lt"/>
              </a:defRPr>
            </a:pPr>
            <a:endParaRPr lang="fr-FR"/>
          </a:p>
        </c:txPr>
        <c:crossAx val="131185280"/>
        <c:crossesAt val="0"/>
        <c:auto val="1"/>
        <c:lblAlgn val="ctr"/>
        <c:lblOffset val="100"/>
        <c:noMultiLvlLbl val="1"/>
      </c:catAx>
      <c:valAx>
        <c:axId val="131185280"/>
        <c:scaling>
          <c:orientation val="minMax"/>
          <c:max val="0.70000000000000062"/>
          <c:min val="0"/>
        </c:scaling>
        <c:delete val="1"/>
        <c:axPos val="b"/>
        <c:title>
          <c:tx>
            <c:rich>
              <a:bodyPr/>
              <a:lstStyle/>
              <a:p>
                <a:pPr lvl="0">
                  <a:defRPr lang="en-US" b="0">
                    <a:solidFill>
                      <a:srgbClr val="000000"/>
                    </a:solidFill>
                    <a:latin typeface="+mn-lt"/>
                  </a:defRPr>
                </a:pPr>
                <a:endParaRPr lang="fr-FR"/>
              </a:p>
            </c:rich>
          </c:tx>
        </c:title>
        <c:numFmt formatCode="###0.0%" sourceLinked="1"/>
        <c:majorTickMark val="none"/>
        <c:tickLblPos val="none"/>
        <c:crossAx val="131183360"/>
        <c:crosses val="max"/>
        <c:crossBetween val="between"/>
      </c:valAx>
    </c:plotArea>
    <c:plotVisOnly val="1"/>
    <c:dispBlanksAs val="zero"/>
    <c:showDLblsOverMax val="1"/>
  </c:chart>
  <c:externalData r:id="rId1"/>
  <c:userShapes r:id="rId2"/>
</c:chartSpace>
</file>

<file path=word/charts/chart2.xml><?xml version="1.0" encoding="utf-8"?>
<c:chartSpace xmlns:c="http://schemas.openxmlformats.org/drawingml/2006/chart" xmlns:a="http://schemas.openxmlformats.org/drawingml/2006/main" xmlns:r="http://schemas.openxmlformats.org/officeDocument/2006/relationships">
  <c:lang val="fr-FR"/>
  <c:roundedCorners val="1"/>
  <c:chart>
    <c:autoTitleDeleted val="1"/>
    <c:plotArea>
      <c:layout>
        <c:manualLayout>
          <c:layoutTarget val="inner"/>
          <c:xMode val="edge"/>
          <c:yMode val="edge"/>
          <c:x val="0.40476137357830272"/>
          <c:y val="5.2131728816916828E-2"/>
          <c:w val="0.5231205161854785"/>
          <c:h val="0.92272728173129259"/>
        </c:manualLayout>
      </c:layout>
      <c:barChart>
        <c:barDir val="bar"/>
        <c:grouping val="clustered"/>
        <c:varyColors val="1"/>
        <c:ser>
          <c:idx val="0"/>
          <c:order val="0"/>
          <c:tx>
            <c:v>Violence sexuelle</c:v>
          </c:tx>
          <c:spPr>
            <a:solidFill>
              <a:srgbClr val="5B9BD5"/>
            </a:solidFill>
          </c:spPr>
          <c:invertIfNegative val="1"/>
          <c:dLbls>
            <c:spPr>
              <a:noFill/>
              <a:ln>
                <a:noFill/>
              </a:ln>
              <a:effectLst/>
            </c:spPr>
            <c:txPr>
              <a:bodyPr/>
              <a:lstStyle/>
              <a:p>
                <a:pPr lvl="0">
                  <a:defRPr lang="en-US" sz="900" b="1" i="0">
                    <a:latin typeface="+mn-lt"/>
                  </a:defRPr>
                </a:pPr>
                <a:endParaRPr lang="fr-FR"/>
              </a:p>
            </c:txPr>
            <c:showVal val="1"/>
            <c:extLst xmlns:c16r2="http://schemas.microsoft.com/office/drawing/2015/06/chart">
              <c:ext xmlns:c15="http://schemas.microsoft.com/office/drawing/2012/chart" uri="{CE6537A1-D6FC-4f65-9D91-7224C49458BB}">
                <c15:showLeaderLines val="0"/>
              </c:ext>
            </c:extLst>
          </c:dLbls>
          <c:cat>
            <c:strRef>
              <c:f>'III_coût social de la violence '!$F$5:$F$14</c:f>
              <c:strCache>
                <c:ptCount val="10"/>
                <c:pt idx="0">
                  <c:v>مشاكل نفسية</c:v>
                </c:pt>
                <c:pt idx="1">
                  <c:v>إصابات وتمزقات في الأعضاء التناسلية</c:v>
                </c:pt>
                <c:pt idx="2">
                  <c:v> نزيف</c:v>
                </c:pt>
                <c:pt idx="3">
                  <c:v>عدوى بأمراض جنسية</c:v>
                </c:pt>
                <c:pt idx="4">
                  <c:v>خدش أو كدمات</c:v>
                </c:pt>
                <c:pt idx="5">
                  <c:v>حمل غير مرغوب فيه</c:v>
                </c:pt>
                <c:pt idx="6">
                  <c:v> إصابة خطيرة أو شق عميق</c:v>
                </c:pt>
                <c:pt idx="7">
                  <c:v> إصابة طبلة الأذن أو إصابة العين</c:v>
                </c:pt>
                <c:pt idx="8">
                  <c:v> التواء أو خلع</c:v>
                </c:pt>
                <c:pt idx="9">
                  <c:v>آخر</c:v>
                </c:pt>
              </c:strCache>
            </c:strRef>
          </c:cat>
          <c:val>
            <c:numRef>
              <c:f>'III_coût social de la violence '!$G$5:$G$14</c:f>
              <c:numCache>
                <c:formatCode>###0.0%</c:formatCode>
                <c:ptCount val="10"/>
                <c:pt idx="0">
                  <c:v>0.78982733659745663</c:v>
                </c:pt>
                <c:pt idx="1">
                  <c:v>0.13557677655993422</c:v>
                </c:pt>
                <c:pt idx="2">
                  <c:v>0.11745265748113397</c:v>
                </c:pt>
                <c:pt idx="3">
                  <c:v>8.9837559333828421E-2</c:v>
                </c:pt>
                <c:pt idx="4">
                  <c:v>6.6031298504741029E-2</c:v>
                </c:pt>
                <c:pt idx="5">
                  <c:v>3.5072579566423269E-2</c:v>
                </c:pt>
                <c:pt idx="6">
                  <c:v>1.4285630787046259E-2</c:v>
                </c:pt>
                <c:pt idx="7">
                  <c:v>1.136094893220066E-2</c:v>
                </c:pt>
                <c:pt idx="8" formatCode="####.0%">
                  <c:v>3.0855508654922762E-3</c:v>
                </c:pt>
                <c:pt idx="9">
                  <c:v>3.9213275064083127E-2</c:v>
                </c:pt>
              </c:numCache>
            </c:numRef>
          </c:val>
          <c:extLst xmlns:c16r2="http://schemas.microsoft.com/office/drawing/2015/06/chart">
            <c:ext xmlns:c14="http://schemas.microsoft.com/office/drawing/2007/8/2/chart" uri="{6F2FDCE9-48DA-4B69-8628-5D25D57E5C99}">
              <c14:invertSolidFillFmt>
                <c14:spPr xmlns:c14="http://schemas.microsoft.com/office/drawing/2007/8/2/chart">
                  <a:solidFill>
                    <a:srgbClr val="FFFFFF"/>
                  </a:solidFill>
                </c14:spPr>
              </c14:invertSolidFillFmt>
            </c:ext>
            <c:ext xmlns:c16="http://schemas.microsoft.com/office/drawing/2014/chart" uri="{C3380CC4-5D6E-409C-BE32-E72D297353CC}">
              <c16:uniqueId val="{00000000-7C6D-42E6-AAF1-2E2CB22D3A36}"/>
            </c:ext>
          </c:extLst>
        </c:ser>
        <c:axId val="131200512"/>
        <c:axId val="71197440"/>
      </c:barChart>
      <c:catAx>
        <c:axId val="131200512"/>
        <c:scaling>
          <c:orientation val="maxMin"/>
        </c:scaling>
        <c:axPos val="l"/>
        <c:title>
          <c:tx>
            <c:rich>
              <a:bodyPr/>
              <a:lstStyle/>
              <a:p>
                <a:pPr lvl="0">
                  <a:defRPr lang="en-US" b="0">
                    <a:solidFill>
                      <a:srgbClr val="000000"/>
                    </a:solidFill>
                    <a:latin typeface="+mn-lt"/>
                  </a:defRPr>
                </a:pPr>
                <a:endParaRPr lang="fr-FR"/>
              </a:p>
            </c:rich>
          </c:tx>
        </c:title>
        <c:numFmt formatCode="General" sourceLinked="1"/>
        <c:majorTickMark val="none"/>
        <c:tickLblPos val="nextTo"/>
        <c:txPr>
          <a:bodyPr/>
          <a:lstStyle/>
          <a:p>
            <a:pPr lvl="0">
              <a:defRPr lang="en-US" sz="900" b="1" i="0">
                <a:solidFill>
                  <a:srgbClr val="000000"/>
                </a:solidFill>
                <a:latin typeface="+mn-lt"/>
              </a:defRPr>
            </a:pPr>
            <a:endParaRPr lang="fr-FR"/>
          </a:p>
        </c:txPr>
        <c:crossAx val="71197440"/>
        <c:crosses val="autoZero"/>
        <c:auto val="1"/>
        <c:lblAlgn val="ctr"/>
        <c:lblOffset val="100"/>
        <c:noMultiLvlLbl val="1"/>
      </c:catAx>
      <c:valAx>
        <c:axId val="71197440"/>
        <c:scaling>
          <c:orientation val="minMax"/>
        </c:scaling>
        <c:delete val="1"/>
        <c:axPos val="b"/>
        <c:title>
          <c:tx>
            <c:rich>
              <a:bodyPr/>
              <a:lstStyle/>
              <a:p>
                <a:pPr lvl="0">
                  <a:defRPr lang="en-US" b="0">
                    <a:solidFill>
                      <a:srgbClr val="000000"/>
                    </a:solidFill>
                    <a:latin typeface="+mn-lt"/>
                  </a:defRPr>
                </a:pPr>
                <a:endParaRPr lang="fr-FR"/>
              </a:p>
            </c:rich>
          </c:tx>
        </c:title>
        <c:numFmt formatCode="###0.0%" sourceLinked="1"/>
        <c:majorTickMark val="none"/>
        <c:tickLblPos val="none"/>
        <c:crossAx val="131200512"/>
        <c:crosses val="max"/>
        <c:crossBetween val="between"/>
      </c:valAx>
    </c:plotArea>
    <c:plotVisOnly val="1"/>
    <c:dispBlanksAs val="zero"/>
    <c:showDLblsOverMax val="1"/>
  </c:chart>
  <c:externalData r:id="rId1"/>
  <c:userShapes r:id="rId2"/>
</c:chartSpace>
</file>

<file path=word/charts/chart3.xml><?xml version="1.0" encoding="utf-8"?>
<c:chartSpace xmlns:c="http://schemas.openxmlformats.org/drawingml/2006/chart" xmlns:a="http://schemas.openxmlformats.org/drawingml/2006/main" xmlns:r="http://schemas.openxmlformats.org/officeDocument/2006/relationships">
  <c:lang val="fr-FR"/>
  <c:roundedCorners val="1"/>
  <c:chart>
    <c:autoTitleDeleted val="1"/>
    <c:plotArea>
      <c:layout/>
      <c:barChart>
        <c:barDir val="bar"/>
        <c:grouping val="clustered"/>
        <c:varyColors val="1"/>
        <c:ser>
          <c:idx val="0"/>
          <c:order val="0"/>
          <c:spPr>
            <a:solidFill>
              <a:srgbClr val="5B9BD5"/>
            </a:solidFill>
          </c:spPr>
          <c:invertIfNegative val="1"/>
          <c:dLbls>
            <c:spPr>
              <a:noFill/>
              <a:ln>
                <a:noFill/>
              </a:ln>
              <a:effectLst/>
            </c:spPr>
            <c:txPr>
              <a:bodyPr/>
              <a:lstStyle/>
              <a:p>
                <a:pPr lvl="0">
                  <a:defRPr lang="en-US" sz="900" b="1" i="0">
                    <a:latin typeface="+mn-lt"/>
                  </a:defRPr>
                </a:pPr>
                <a:endParaRPr lang="fr-FR"/>
              </a:p>
            </c:txPr>
            <c:showVal val="1"/>
            <c:extLst xmlns:c16r2="http://schemas.microsoft.com/office/drawing/2015/06/chart">
              <c:ext xmlns:c15="http://schemas.microsoft.com/office/drawing/2012/chart" uri="{CE6537A1-D6FC-4f65-9D91-7224C49458BB}">
                <c15:showLeaderLines val="0"/>
              </c:ext>
            </c:extLst>
          </c:dLbls>
          <c:cat>
            <c:strRef>
              <c:f>'III_coût social de la violence '!$A$39:$A$48</c:f>
              <c:strCache>
                <c:ptCount val="10"/>
                <c:pt idx="0">
                  <c:v>إنطواء، حزن</c:v>
                </c:pt>
                <c:pt idx="1">
                  <c:v>رعشة أو نوبات خوف أو صرع</c:v>
                </c:pt>
                <c:pt idx="2">
                  <c:v>تدهور التحصيل المدرسي</c:v>
                </c:pt>
                <c:pt idx="3">
                  <c:v>تبول لا إرادي</c:v>
                </c:pt>
                <c:pt idx="4">
                  <c:v>كوابيس</c:v>
                </c:pt>
                <c:pt idx="5">
                  <c:v> عنف أو عدوانية</c:v>
                </c:pt>
                <c:pt idx="6">
                  <c:v>انقطاع عن الدراسة</c:v>
                </c:pt>
                <c:pt idx="7">
                  <c:v>الانحراف</c:v>
                </c:pt>
                <c:pt idx="8">
                  <c:v>الهروب من المنزل</c:v>
                </c:pt>
                <c:pt idx="9">
                  <c:v>آخر</c:v>
                </c:pt>
              </c:strCache>
            </c:strRef>
          </c:cat>
          <c:val>
            <c:numRef>
              <c:f>'III_coût social de la violence '!$B$39:$B$48</c:f>
              <c:numCache>
                <c:formatCode>###0.0%</c:formatCode>
                <c:ptCount val="10"/>
                <c:pt idx="0">
                  <c:v>0.40399914744132326</c:v>
                </c:pt>
                <c:pt idx="1">
                  <c:v>0.32404505863678229</c:v>
                </c:pt>
                <c:pt idx="2">
                  <c:v>0.22525315241892341</c:v>
                </c:pt>
                <c:pt idx="3">
                  <c:v>0.22448070690711869</c:v>
                </c:pt>
                <c:pt idx="4">
                  <c:v>0.21541015942910052</c:v>
                </c:pt>
                <c:pt idx="5">
                  <c:v>0.18858241791699037</c:v>
                </c:pt>
                <c:pt idx="6">
                  <c:v>7.043107471553918E-2</c:v>
                </c:pt>
                <c:pt idx="7">
                  <c:v>2.2773290837081312E-2</c:v>
                </c:pt>
                <c:pt idx="8" formatCode="####.0%">
                  <c:v>9.7644360357343005E-3</c:v>
                </c:pt>
                <c:pt idx="9">
                  <c:v>3.6449389176902595E-2</c:v>
                </c:pt>
              </c:numCache>
            </c:numRef>
          </c:val>
          <c:extLst xmlns:c16r2="http://schemas.microsoft.com/office/drawing/2015/06/chart">
            <c:ext xmlns:c14="http://schemas.microsoft.com/office/drawing/2007/8/2/chart" uri="{6F2FDCE9-48DA-4B69-8628-5D25D57E5C99}">
              <c14:invertSolidFillFmt>
                <c14:spPr xmlns:c14="http://schemas.microsoft.com/office/drawing/2007/8/2/chart">
                  <a:solidFill>
                    <a:srgbClr val="FFFFFF"/>
                  </a:solidFill>
                </c14:spPr>
              </c14:invertSolidFillFmt>
            </c:ext>
            <c:ext xmlns:c16="http://schemas.microsoft.com/office/drawing/2014/chart" uri="{C3380CC4-5D6E-409C-BE32-E72D297353CC}">
              <c16:uniqueId val="{00000000-75FD-4DD1-91FF-08F637C20C4E}"/>
            </c:ext>
          </c:extLst>
        </c:ser>
        <c:axId val="111575808"/>
        <c:axId val="111577728"/>
      </c:barChart>
      <c:catAx>
        <c:axId val="111575808"/>
        <c:scaling>
          <c:orientation val="maxMin"/>
        </c:scaling>
        <c:axPos val="l"/>
        <c:title>
          <c:tx>
            <c:rich>
              <a:bodyPr/>
              <a:lstStyle/>
              <a:p>
                <a:pPr lvl="0">
                  <a:defRPr lang="en-US" b="0">
                    <a:solidFill>
                      <a:srgbClr val="000000"/>
                    </a:solidFill>
                    <a:latin typeface="+mn-lt"/>
                  </a:defRPr>
                </a:pPr>
                <a:endParaRPr lang="fr-FR"/>
              </a:p>
            </c:rich>
          </c:tx>
        </c:title>
        <c:numFmt formatCode="General" sourceLinked="1"/>
        <c:majorTickMark val="none"/>
        <c:tickLblPos val="nextTo"/>
        <c:txPr>
          <a:bodyPr/>
          <a:lstStyle/>
          <a:p>
            <a:pPr lvl="0">
              <a:defRPr lang="en-US" sz="900" b="1" i="0">
                <a:solidFill>
                  <a:srgbClr val="000000"/>
                </a:solidFill>
                <a:latin typeface="+mn-lt"/>
              </a:defRPr>
            </a:pPr>
            <a:endParaRPr lang="fr-FR"/>
          </a:p>
        </c:txPr>
        <c:crossAx val="111577728"/>
        <c:crosses val="autoZero"/>
        <c:auto val="1"/>
        <c:lblAlgn val="ctr"/>
        <c:lblOffset val="100"/>
        <c:noMultiLvlLbl val="1"/>
      </c:catAx>
      <c:valAx>
        <c:axId val="111577728"/>
        <c:scaling>
          <c:orientation val="minMax"/>
        </c:scaling>
        <c:delete val="1"/>
        <c:axPos val="b"/>
        <c:title>
          <c:tx>
            <c:rich>
              <a:bodyPr/>
              <a:lstStyle/>
              <a:p>
                <a:pPr lvl="0">
                  <a:defRPr lang="en-US" b="0">
                    <a:solidFill>
                      <a:srgbClr val="000000"/>
                    </a:solidFill>
                    <a:latin typeface="+mn-lt"/>
                  </a:defRPr>
                </a:pPr>
                <a:endParaRPr lang="fr-FR"/>
              </a:p>
            </c:rich>
          </c:tx>
        </c:title>
        <c:numFmt formatCode="###0.0%" sourceLinked="1"/>
        <c:majorTickMark val="none"/>
        <c:tickLblPos val="none"/>
        <c:crossAx val="111575808"/>
        <c:crosses val="max"/>
        <c:crossBetween val="between"/>
      </c:valAx>
    </c:plotArea>
    <c:plotVisOnly val="1"/>
    <c:dispBlanksAs val="zero"/>
    <c:showDLblsOverMax val="1"/>
  </c:chart>
  <c:externalData r:id="rId1"/>
</c:chartSpace>
</file>

<file path=word/drawings/drawing1.xml><?xml version="1.0" encoding="utf-8"?>
<c:userShapes xmlns:c="http://schemas.openxmlformats.org/drawingml/2006/chart">
  <cdr:relSizeAnchor xmlns:cdr="http://schemas.openxmlformats.org/drawingml/2006/chartDrawing">
    <cdr:from>
      <cdr:x>0.28131</cdr:x>
      <cdr:y>0.0708</cdr:y>
    </cdr:from>
    <cdr:to>
      <cdr:x>0.75154</cdr:x>
      <cdr:y>0.10324</cdr:y>
    </cdr:to>
    <cdr:sp macro="" textlink="">
      <cdr:nvSpPr>
        <cdr:cNvPr id="2" name="TextBox 1"/>
        <cdr:cNvSpPr txBox="1"/>
      </cdr:nvSpPr>
      <cdr:spPr>
        <a:xfrm xmlns:a="http://schemas.openxmlformats.org/drawingml/2006/main">
          <a:off x="1304925" y="228600"/>
          <a:ext cx="2181225" cy="1047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100"/>
        </a:p>
      </cdr:txBody>
    </cdr:sp>
  </cdr:relSizeAnchor>
</c:userShapes>
</file>

<file path=word/drawings/drawing2.xml><?xml version="1.0" encoding="utf-8"?>
<c:userShapes xmlns:c="http://schemas.openxmlformats.org/drawingml/2006/chart">
  <cdr:relSizeAnchor xmlns:cdr="http://schemas.openxmlformats.org/drawingml/2006/chartDrawing">
    <cdr:from>
      <cdr:x>0.25833</cdr:x>
      <cdr:y>0</cdr:y>
    </cdr:from>
    <cdr:to>
      <cdr:x>0.6375</cdr:x>
      <cdr:y>0.13378</cdr:y>
    </cdr:to>
    <cdr:sp macro="" textlink="">
      <cdr:nvSpPr>
        <cdr:cNvPr id="3" name="TextBox 2"/>
        <cdr:cNvSpPr txBox="1"/>
      </cdr:nvSpPr>
      <cdr:spPr>
        <a:xfrm xmlns:a="http://schemas.openxmlformats.org/drawingml/2006/main">
          <a:off x="1181100" y="0"/>
          <a:ext cx="1733550" cy="3810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100"/>
        </a:p>
      </cdr:txBody>
    </cdr:sp>
  </cdr:relSizeAnchor>
</c:userShape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l1Un1+U3kOMZXNdUK+zZtCYkPaQ==">AMUW2mXGb2ojUTv2R/JRJzb99KGYMRYnoX/LVx338x67GtxD02gjdc4jhd4beujGHrwGpcVTdc4YrMjoDJG/Upn20KxRBM/ZnYrSSN8cj3ir+OT4ko8fwReB/le2BiTcKvAAA3uF6q09</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1327</Words>
  <Characters>7300</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8610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HCP</cp:lastModifiedBy>
  <cp:revision>2</cp:revision>
  <dcterms:created xsi:type="dcterms:W3CDTF">2020-11-25T22:08:00Z</dcterms:created>
  <dcterms:modified xsi:type="dcterms:W3CDTF">2020-11-25T22:08:00Z</dcterms:modified>
</cp:coreProperties>
</file>