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A8" w:rsidRPr="00170AA8" w:rsidRDefault="00170AA8" w:rsidP="00482EF2">
      <w:pPr>
        <w:pStyle w:val="Titre1"/>
        <w:shd w:val="clear" w:color="auto" w:fill="FFFFFF"/>
        <w:bidi/>
        <w:spacing w:before="0" w:beforeAutospacing="0" w:after="0" w:afterAutospacing="0"/>
        <w:rPr>
          <w:rFonts w:ascii="droid arabic kufi" w:hAnsi="droid arabic kufi"/>
          <w:sz w:val="32"/>
          <w:szCs w:val="32"/>
        </w:rPr>
      </w:pPr>
      <w:proofErr w:type="gramStart"/>
      <w:r w:rsidRPr="00170AA8">
        <w:rPr>
          <w:rFonts w:ascii="droid arabic kufi" w:hAnsi="droid arabic kufi"/>
          <w:sz w:val="32"/>
          <w:szCs w:val="32"/>
          <w:bdr w:val="none" w:sz="0" w:space="0" w:color="auto" w:frame="1"/>
          <w:rtl/>
        </w:rPr>
        <w:t>خاص</w:t>
      </w:r>
      <w:proofErr w:type="gramEnd"/>
      <w:r w:rsidR="00482EF2">
        <w:rPr>
          <w:rFonts w:ascii="droid arabic kufi" w:hAnsi="droid arabic kufi" w:hint="cs"/>
          <w:sz w:val="32"/>
          <w:szCs w:val="32"/>
          <w:bdr w:val="none" w:sz="0" w:space="0" w:color="auto" w:frame="1"/>
          <w:rtl/>
        </w:rPr>
        <w:t xml:space="preserve"> عن </w:t>
      </w:r>
      <w:hyperlink r:id="rId4" w:tgtFrame="_blank" w:history="1">
        <w:r w:rsidR="00482EF2" w:rsidRPr="00170AA8">
          <w:rPr>
            <w:rFonts w:ascii="Arial" w:hAnsi="Arial" w:cs="Arial"/>
            <w:color w:val="CC0000"/>
            <w:sz w:val="28"/>
            <w:szCs w:val="28"/>
          </w:rPr>
          <w:t>www.infomedia.ma</w:t>
        </w:r>
      </w:hyperlink>
      <w:r w:rsidRPr="00170AA8">
        <w:rPr>
          <w:rFonts w:ascii="droid arabic kufi" w:hAnsi="droid arabic kufi"/>
          <w:sz w:val="32"/>
          <w:szCs w:val="32"/>
          <w:bdr w:val="none" w:sz="0" w:space="0" w:color="auto" w:frame="1"/>
          <w:rtl/>
        </w:rPr>
        <w:t>…</w:t>
      </w:r>
      <w:r w:rsidR="00482EF2">
        <w:rPr>
          <w:rFonts w:ascii="droid arabic kufi" w:hAnsi="droid arabic kufi" w:hint="cs"/>
          <w:sz w:val="32"/>
          <w:szCs w:val="32"/>
          <w:bdr w:val="none" w:sz="0" w:space="0" w:color="auto" w:frame="1"/>
          <w:rtl/>
        </w:rPr>
        <w:t>المندوبية السامية للتخطيط</w:t>
      </w:r>
      <w:r w:rsidRPr="00170AA8">
        <w:rPr>
          <w:rFonts w:ascii="droid arabic kufi" w:hAnsi="droid arabic kufi"/>
          <w:sz w:val="32"/>
          <w:szCs w:val="32"/>
          <w:bdr w:val="none" w:sz="0" w:space="0" w:color="auto" w:frame="1"/>
          <w:rtl/>
        </w:rPr>
        <w:t xml:space="preserve"> </w:t>
      </w:r>
      <w:r w:rsidR="00482EF2">
        <w:rPr>
          <w:rFonts w:ascii="droid arabic kufi" w:hAnsi="droid arabic kufi" w:hint="cs"/>
          <w:sz w:val="32"/>
          <w:szCs w:val="32"/>
          <w:bdr w:val="none" w:sz="0" w:space="0" w:color="auto" w:frame="1"/>
          <w:rtl/>
        </w:rPr>
        <w:t xml:space="preserve"> ت</w:t>
      </w:r>
      <w:r w:rsidRPr="00170AA8">
        <w:rPr>
          <w:rFonts w:ascii="droid arabic kufi" w:hAnsi="droid arabic kufi"/>
          <w:sz w:val="32"/>
          <w:szCs w:val="32"/>
          <w:bdr w:val="none" w:sz="0" w:space="0" w:color="auto" w:frame="1"/>
          <w:rtl/>
        </w:rPr>
        <w:t>كشف بلغة الأرقام الأسباب الحقيقية وراء انخفاض أسعار المواد</w:t>
      </w:r>
      <w:r w:rsidRPr="00170AA8">
        <w:rPr>
          <w:rFonts w:ascii="droid arabic kufi" w:hAnsi="droid arabic kufi" w:hint="cs"/>
          <w:sz w:val="32"/>
          <w:szCs w:val="32"/>
          <w:bdr w:val="none" w:sz="0" w:space="0" w:color="auto" w:frame="1"/>
          <w:rtl/>
        </w:rPr>
        <w:t xml:space="preserve"> </w:t>
      </w:r>
      <w:r w:rsidRPr="00170AA8">
        <w:rPr>
          <w:rFonts w:ascii="droid arabic kufi" w:hAnsi="droid arabic kufi" w:cs="Arial"/>
          <w:color w:val="222222"/>
          <w:sz w:val="32"/>
          <w:szCs w:val="32"/>
          <w:bdr w:val="none" w:sz="0" w:space="0" w:color="auto" w:frame="1"/>
          <w:rtl/>
        </w:rPr>
        <w:t>الغذائية</w:t>
      </w:r>
    </w:p>
    <w:p w:rsidR="00170AA8" w:rsidRPr="00170AA8" w:rsidRDefault="00170AA8" w:rsidP="00170AA8">
      <w:pPr>
        <w:shd w:val="clear" w:color="auto" w:fill="FFFFFF"/>
        <w:bidi/>
        <w:spacing w:after="0" w:line="360" w:lineRule="atLeast"/>
        <w:outlineLvl w:val="0"/>
        <w:rPr>
          <w:rFonts w:ascii="droid arabic kufi" w:eastAsia="Times New Roman" w:hAnsi="droid arabic kufi" w:cs="Arial"/>
          <w:b/>
          <w:bCs/>
          <w:color w:val="222222"/>
          <w:kern w:val="36"/>
          <w:sz w:val="48"/>
          <w:szCs w:val="48"/>
        </w:rPr>
      </w:pPr>
    </w:p>
    <w:p w:rsidR="00170AA8" w:rsidRPr="00170AA8" w:rsidRDefault="00170AA8" w:rsidP="00170AA8">
      <w:pPr>
        <w:shd w:val="clear" w:color="auto" w:fill="FFFFFF"/>
        <w:bidi/>
        <w:spacing w:after="0" w:line="0" w:lineRule="auto"/>
        <w:rPr>
          <w:rFonts w:ascii="Century Gothic" w:eastAsia="Times New Roman" w:hAnsi="Century Gothic" w:cs="Arial"/>
          <w:color w:val="222222"/>
          <w:sz w:val="17"/>
          <w:szCs w:val="17"/>
        </w:rPr>
      </w:pPr>
      <w:r>
        <w:rPr>
          <w:rFonts w:ascii="Century Gothic" w:eastAsia="Times New Roman" w:hAnsi="Century Gothic" w:cs="Arial"/>
          <w:noProof/>
          <w:color w:val="222222"/>
          <w:sz w:val="17"/>
          <w:szCs w:val="17"/>
        </w:rPr>
        <w:drawing>
          <wp:inline distT="0" distB="0" distL="0" distR="0">
            <wp:extent cx="5905500" cy="3147060"/>
            <wp:effectExtent l="19050" t="0" r="0" b="0"/>
            <wp:docPr id="1" name="Image 1" descr="10474770-17185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74770-17185821"/>
                    <pic:cNvPicPr>
                      <a:picLocks noChangeAspect="1" noChangeArrowheads="1"/>
                    </pic:cNvPicPr>
                  </pic:nvPicPr>
                  <pic:blipFill>
                    <a:blip r:embed="rId5"/>
                    <a:srcRect/>
                    <a:stretch>
                      <a:fillRect/>
                    </a:stretch>
                  </pic:blipFill>
                  <pic:spPr bwMode="auto">
                    <a:xfrm>
                      <a:off x="0" y="0"/>
                      <a:ext cx="5905500" cy="3147060"/>
                    </a:xfrm>
                    <a:prstGeom prst="rect">
                      <a:avLst/>
                    </a:prstGeom>
                    <a:noFill/>
                    <a:ln w="9525">
                      <a:noFill/>
                      <a:miter lim="800000"/>
                      <a:headEnd/>
                      <a:tailEnd/>
                    </a:ln>
                  </pic:spPr>
                </pic:pic>
              </a:graphicData>
            </a:graphic>
          </wp:inline>
        </w:drawing>
      </w:r>
    </w:p>
    <w:p w:rsidR="00170AA8" w:rsidRPr="00170AA8" w:rsidRDefault="00170AA8" w:rsidP="00170AA8">
      <w:pPr>
        <w:pBdr>
          <w:bottom w:val="single" w:sz="4" w:space="3" w:color="F2F2F2"/>
        </w:pBdr>
        <w:shd w:val="clear" w:color="auto" w:fill="FFFFFF"/>
        <w:bidi/>
        <w:spacing w:after="0" w:line="360" w:lineRule="atLeast"/>
        <w:rPr>
          <w:rFonts w:ascii="Century Gothic" w:eastAsia="Times New Roman" w:hAnsi="Century Gothic" w:cs="Arial"/>
          <w:color w:val="AAAAAA"/>
          <w:sz w:val="12"/>
          <w:szCs w:val="12"/>
        </w:rPr>
      </w:pPr>
      <w:r w:rsidRPr="00170AA8">
        <w:rPr>
          <w:rFonts w:ascii="Century Gothic" w:eastAsia="Times New Roman" w:hAnsi="Century Gothic" w:cs="Arial"/>
          <w:color w:val="AAAAAA"/>
          <w:sz w:val="12"/>
          <w:szCs w:val="12"/>
        </w:rPr>
        <w:t> </w:t>
      </w:r>
      <w:r w:rsidRPr="00170AA8">
        <w:rPr>
          <w:rFonts w:ascii="Century Gothic" w:eastAsia="Times New Roman" w:hAnsi="Century Gothic" w:cs="Arial"/>
          <w:color w:val="AAAAAA"/>
          <w:sz w:val="12"/>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كشفت المندوبية السامية للتخطيط وبلغة الأرقام حقيقة انخفاض أسعار المواد الغذائية بالمغرب، حيث عممت تقريرا مفصلا عن ذلك</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Pr>
        <w:t>“</w:t>
      </w:r>
      <w:proofErr w:type="spellStart"/>
      <w:r w:rsidRPr="00170AA8">
        <w:rPr>
          <w:rFonts w:ascii="Century Gothic" w:eastAsia="Times New Roman" w:hAnsi="Century Gothic" w:cs="Arial"/>
          <w:color w:val="222222"/>
          <w:sz w:val="28"/>
          <w:szCs w:val="28"/>
          <w:rtl/>
        </w:rPr>
        <w:t>أنفوميديا</w:t>
      </w:r>
      <w:proofErr w:type="spellEnd"/>
      <w:r w:rsidRPr="00170AA8">
        <w:rPr>
          <w:rFonts w:ascii="Century Gothic" w:eastAsia="Times New Roman" w:hAnsi="Century Gothic" w:cs="Arial"/>
          <w:color w:val="222222"/>
          <w:sz w:val="28"/>
          <w:szCs w:val="28"/>
          <w:rtl/>
        </w:rPr>
        <w:t>” تنقل لكم الأسباب الحقيقية وراء انخفاض الأسعار، وفق ما جاء في تقرير المندوبية السامية للتخطيط</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rPr>
          <w:rFonts w:ascii="Century Gothic" w:eastAsia="Times New Roman" w:hAnsi="Century Gothic" w:cs="Arial"/>
          <w:color w:val="222222"/>
          <w:sz w:val="17"/>
          <w:szCs w:val="17"/>
        </w:rPr>
      </w:pPr>
      <w:r>
        <w:rPr>
          <w:rFonts w:ascii="Arial" w:eastAsia="Times New Roman" w:hAnsi="Arial" w:cs="Arial"/>
          <w:b/>
          <w:bCs/>
          <w:noProof/>
          <w:color w:val="CC0000"/>
          <w:sz w:val="14"/>
          <w:szCs w:val="14"/>
        </w:rPr>
        <w:drawing>
          <wp:inline distT="0" distB="0" distL="0" distR="0">
            <wp:extent cx="4983480" cy="3108960"/>
            <wp:effectExtent l="19050" t="0" r="7620" b="0"/>
            <wp:docPr id="2" name="Image 2" descr="H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
                      <a:hlinkClick r:id="rId6"/>
                    </pic:cNvPr>
                    <pic:cNvPicPr>
                      <a:picLocks noChangeAspect="1" noChangeArrowheads="1"/>
                    </pic:cNvPicPr>
                  </pic:nvPicPr>
                  <pic:blipFill>
                    <a:blip r:embed="rId7"/>
                    <a:srcRect/>
                    <a:stretch>
                      <a:fillRect/>
                    </a:stretch>
                  </pic:blipFill>
                  <pic:spPr bwMode="auto">
                    <a:xfrm>
                      <a:off x="0" y="0"/>
                      <a:ext cx="4983480" cy="3108960"/>
                    </a:xfrm>
                    <a:prstGeom prst="rect">
                      <a:avLst/>
                    </a:prstGeom>
                    <a:noFill/>
                    <a:ln w="9525">
                      <a:noFill/>
                      <a:miter lim="800000"/>
                      <a:headEnd/>
                      <a:tailEnd/>
                    </a:ln>
                  </pic:spPr>
                </pic:pic>
              </a:graphicData>
            </a:graphic>
          </wp:inline>
        </w:drawing>
      </w:r>
      <w:r w:rsidRPr="00170AA8">
        <w:rPr>
          <w:rFonts w:ascii="Century Gothic" w:eastAsia="Times New Roman" w:hAnsi="Century Gothic" w:cs="Arial"/>
          <w:color w:val="222222"/>
          <w:sz w:val="17"/>
        </w:rPr>
        <w:t> </w:t>
      </w:r>
    </w:p>
    <w:p w:rsidR="00170AA8" w:rsidRPr="00170AA8" w:rsidRDefault="00170AA8" w:rsidP="00170AA8">
      <w:pPr>
        <w:shd w:val="clear" w:color="auto" w:fill="FFFFFF"/>
        <w:bidi/>
        <w:spacing w:after="0" w:line="240" w:lineRule="auto"/>
        <w:rPr>
          <w:rFonts w:ascii="Century Gothic" w:eastAsia="Times New Roman" w:hAnsi="Century Gothic" w:cs="Arial"/>
          <w:color w:val="222222"/>
          <w:sz w:val="32"/>
          <w:szCs w:val="32"/>
        </w:rPr>
      </w:pPr>
      <w:proofErr w:type="gramStart"/>
      <w:r w:rsidRPr="00170AA8">
        <w:rPr>
          <w:rFonts w:ascii="Century Gothic" w:eastAsia="Times New Roman" w:hAnsi="Century Gothic" w:cs="Arial"/>
          <w:b/>
          <w:bCs/>
          <w:color w:val="0000FF"/>
          <w:sz w:val="32"/>
          <w:szCs w:val="32"/>
          <w:rtl/>
        </w:rPr>
        <w:t>انخفاض</w:t>
      </w:r>
      <w:proofErr w:type="gramEnd"/>
      <w:r w:rsidRPr="00170AA8">
        <w:rPr>
          <w:rFonts w:ascii="Century Gothic" w:eastAsia="Times New Roman" w:hAnsi="Century Gothic" w:cs="Arial"/>
          <w:b/>
          <w:bCs/>
          <w:color w:val="0000FF"/>
          <w:sz w:val="32"/>
          <w:szCs w:val="32"/>
          <w:rtl/>
        </w:rPr>
        <w:t xml:space="preserve"> أسعار السمك واللحوم</w:t>
      </w:r>
      <w:r w:rsidRPr="00170AA8">
        <w:rPr>
          <w:rFonts w:ascii="Century Gothic" w:eastAsia="Times New Roman" w:hAnsi="Century Gothic" w:cs="Arial"/>
          <w:b/>
          <w:bCs/>
          <w:color w:val="0000FF"/>
          <w:sz w:val="32"/>
          <w:szCs w:val="32"/>
        </w:rPr>
        <w:t>: </w:t>
      </w:r>
      <w:r w:rsidRPr="00170AA8">
        <w:rPr>
          <w:rFonts w:ascii="Century Gothic" w:eastAsia="Times New Roman" w:hAnsi="Century Gothic" w:cs="Arial"/>
          <w:color w:val="222222"/>
          <w:sz w:val="32"/>
          <w:szCs w:val="32"/>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lastRenderedPageBreak/>
        <w:t xml:space="preserve">سجلت المندوبية السامية للتخطيط، خلال شهر </w:t>
      </w:r>
      <w:proofErr w:type="spellStart"/>
      <w:r w:rsidRPr="00170AA8">
        <w:rPr>
          <w:rFonts w:ascii="Century Gothic" w:eastAsia="Times New Roman" w:hAnsi="Century Gothic" w:cs="Arial"/>
          <w:color w:val="222222"/>
          <w:sz w:val="28"/>
          <w:szCs w:val="28"/>
          <w:rtl/>
        </w:rPr>
        <w:t>نونبر</w:t>
      </w:r>
      <w:proofErr w:type="spellEnd"/>
      <w:r w:rsidRPr="00170AA8">
        <w:rPr>
          <w:rFonts w:ascii="Century Gothic" w:eastAsia="Times New Roman" w:hAnsi="Century Gothic" w:cs="Arial"/>
          <w:color w:val="222222"/>
          <w:sz w:val="28"/>
          <w:szCs w:val="28"/>
          <w:rtl/>
        </w:rPr>
        <w:t xml:space="preserve"> 2016، انخفاضا ب 0,3% بالمقارنة مع الشهر السابق، وقد نتج هذا الانخفاض عن تراجع أسعار المواد الغذائية ب 0,7% وتزايد أسعار المواد غير الغذائية ب 0,1</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وحسب مذكرة للمندوبية، فقد همت انخفاضات المواد الغذائية المسجلة ما بين شهري أكتوبر </w:t>
      </w:r>
      <w:proofErr w:type="spellStart"/>
      <w:r w:rsidRPr="00170AA8">
        <w:rPr>
          <w:rFonts w:ascii="Century Gothic" w:eastAsia="Times New Roman" w:hAnsi="Century Gothic" w:cs="Arial"/>
          <w:color w:val="222222"/>
          <w:sz w:val="28"/>
          <w:szCs w:val="28"/>
          <w:rtl/>
        </w:rPr>
        <w:t>ونونبر</w:t>
      </w:r>
      <w:proofErr w:type="spellEnd"/>
      <w:r w:rsidRPr="00170AA8">
        <w:rPr>
          <w:rFonts w:ascii="Century Gothic" w:eastAsia="Times New Roman" w:hAnsi="Century Gothic" w:cs="Arial"/>
          <w:color w:val="222222"/>
          <w:sz w:val="28"/>
          <w:szCs w:val="28"/>
          <w:rtl/>
        </w:rPr>
        <w:t xml:space="preserve"> 2016 على الخصوص أثمان “الفواكه” ب 18,2% و”السمك وفواكه البحر” ب 1,5% و”اللحوم” ب 0,1</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وأضافت المندوبية أن أهم الانخفاضات سجلت في مكناس ب 1,7% والعيون ب 1,1% </w:t>
      </w:r>
      <w:proofErr w:type="spellStart"/>
      <w:r w:rsidRPr="00170AA8">
        <w:rPr>
          <w:rFonts w:ascii="Century Gothic" w:eastAsia="Times New Roman" w:hAnsi="Century Gothic" w:cs="Arial"/>
          <w:color w:val="222222"/>
          <w:sz w:val="28"/>
          <w:szCs w:val="28"/>
          <w:rtl/>
        </w:rPr>
        <w:t>ووجدة</w:t>
      </w:r>
      <w:proofErr w:type="spellEnd"/>
      <w:r w:rsidRPr="00170AA8">
        <w:rPr>
          <w:rFonts w:ascii="Century Gothic" w:eastAsia="Times New Roman" w:hAnsi="Century Gothic" w:cs="Arial"/>
          <w:color w:val="222222"/>
          <w:sz w:val="28"/>
          <w:szCs w:val="28"/>
          <w:rtl/>
        </w:rPr>
        <w:t xml:space="preserve"> ب 0,9% وفي </w:t>
      </w:r>
      <w:proofErr w:type="spellStart"/>
      <w:r w:rsidRPr="00170AA8">
        <w:rPr>
          <w:rFonts w:ascii="Century Gothic" w:eastAsia="Times New Roman" w:hAnsi="Century Gothic" w:cs="Arial"/>
          <w:color w:val="222222"/>
          <w:sz w:val="28"/>
          <w:szCs w:val="28"/>
          <w:rtl/>
        </w:rPr>
        <w:t>تطوان</w:t>
      </w:r>
      <w:proofErr w:type="spellEnd"/>
      <w:r w:rsidRPr="00170AA8">
        <w:rPr>
          <w:rFonts w:ascii="Century Gothic" w:eastAsia="Times New Roman" w:hAnsi="Century Gothic" w:cs="Arial"/>
          <w:color w:val="222222"/>
          <w:sz w:val="28"/>
          <w:szCs w:val="28"/>
          <w:rtl/>
        </w:rPr>
        <w:t xml:space="preserve"> </w:t>
      </w:r>
      <w:proofErr w:type="spellStart"/>
      <w:r w:rsidRPr="00170AA8">
        <w:rPr>
          <w:rFonts w:ascii="Century Gothic" w:eastAsia="Times New Roman" w:hAnsi="Century Gothic" w:cs="Arial"/>
          <w:color w:val="222222"/>
          <w:sz w:val="28"/>
          <w:szCs w:val="28"/>
          <w:rtl/>
        </w:rPr>
        <w:t>وطنجة</w:t>
      </w:r>
      <w:proofErr w:type="spellEnd"/>
      <w:r w:rsidRPr="00170AA8">
        <w:rPr>
          <w:rFonts w:ascii="Century Gothic" w:eastAsia="Times New Roman" w:hAnsi="Century Gothic" w:cs="Arial"/>
          <w:color w:val="222222"/>
          <w:sz w:val="28"/>
          <w:szCs w:val="28"/>
          <w:rtl/>
        </w:rPr>
        <w:t xml:space="preserve"> ب 0,8% وفي </w:t>
      </w:r>
      <w:proofErr w:type="spellStart"/>
      <w:r w:rsidRPr="00170AA8">
        <w:rPr>
          <w:rFonts w:ascii="Century Gothic" w:eastAsia="Times New Roman" w:hAnsi="Century Gothic" w:cs="Arial"/>
          <w:color w:val="222222"/>
          <w:sz w:val="28"/>
          <w:szCs w:val="28"/>
          <w:rtl/>
        </w:rPr>
        <w:t>فاس</w:t>
      </w:r>
      <w:proofErr w:type="spellEnd"/>
      <w:r w:rsidRPr="00170AA8">
        <w:rPr>
          <w:rFonts w:ascii="Century Gothic" w:eastAsia="Times New Roman" w:hAnsi="Century Gothic" w:cs="Arial"/>
          <w:color w:val="222222"/>
          <w:sz w:val="28"/>
          <w:szCs w:val="28"/>
          <w:rtl/>
        </w:rPr>
        <w:t xml:space="preserve"> ب 0,7% والداخلة ب 0,4%. وعلى العكس من ذلك، سجل هذا الرقم ارتفاعا في كل من </w:t>
      </w:r>
      <w:proofErr w:type="spellStart"/>
      <w:r w:rsidRPr="00170AA8">
        <w:rPr>
          <w:rFonts w:ascii="Century Gothic" w:eastAsia="Times New Roman" w:hAnsi="Century Gothic" w:cs="Arial"/>
          <w:color w:val="222222"/>
          <w:sz w:val="28"/>
          <w:szCs w:val="28"/>
          <w:rtl/>
        </w:rPr>
        <w:t>آسفي</w:t>
      </w:r>
      <w:proofErr w:type="spellEnd"/>
      <w:r w:rsidRPr="00170AA8">
        <w:rPr>
          <w:rFonts w:ascii="Century Gothic" w:eastAsia="Times New Roman" w:hAnsi="Century Gothic" w:cs="Arial"/>
          <w:color w:val="222222"/>
          <w:sz w:val="28"/>
          <w:szCs w:val="28"/>
          <w:rtl/>
        </w:rPr>
        <w:t xml:space="preserve"> ب 1,3% </w:t>
      </w:r>
      <w:proofErr w:type="spellStart"/>
      <w:r w:rsidRPr="00170AA8">
        <w:rPr>
          <w:rFonts w:ascii="Century Gothic" w:eastAsia="Times New Roman" w:hAnsi="Century Gothic" w:cs="Arial"/>
          <w:color w:val="222222"/>
          <w:sz w:val="28"/>
          <w:szCs w:val="28"/>
          <w:rtl/>
        </w:rPr>
        <w:t>والحسيمة</w:t>
      </w:r>
      <w:proofErr w:type="spellEnd"/>
      <w:r w:rsidRPr="00170AA8">
        <w:rPr>
          <w:rFonts w:ascii="Century Gothic" w:eastAsia="Times New Roman" w:hAnsi="Century Gothic" w:cs="Arial"/>
          <w:color w:val="222222"/>
          <w:sz w:val="28"/>
          <w:szCs w:val="28"/>
          <w:rtl/>
        </w:rPr>
        <w:t xml:space="preserve"> ب 0,6% و في الدار البيضاء و بني </w:t>
      </w:r>
      <w:proofErr w:type="spellStart"/>
      <w:r w:rsidRPr="00170AA8">
        <w:rPr>
          <w:rFonts w:ascii="Century Gothic" w:eastAsia="Times New Roman" w:hAnsi="Century Gothic" w:cs="Arial"/>
          <w:color w:val="222222"/>
          <w:sz w:val="28"/>
          <w:szCs w:val="28"/>
          <w:rtl/>
        </w:rPr>
        <w:t>ملال</w:t>
      </w:r>
      <w:proofErr w:type="spellEnd"/>
      <w:r w:rsidRPr="00170AA8">
        <w:rPr>
          <w:rFonts w:ascii="Century Gothic" w:eastAsia="Times New Roman" w:hAnsi="Century Gothic" w:cs="Arial"/>
          <w:color w:val="222222"/>
          <w:sz w:val="28"/>
          <w:szCs w:val="28"/>
          <w:rtl/>
        </w:rPr>
        <w:t xml:space="preserve"> ب 0,3% و في </w:t>
      </w:r>
      <w:proofErr w:type="spellStart"/>
      <w:r w:rsidRPr="00170AA8">
        <w:rPr>
          <w:rFonts w:ascii="Century Gothic" w:eastAsia="Times New Roman" w:hAnsi="Century Gothic" w:cs="Arial"/>
          <w:color w:val="222222"/>
          <w:sz w:val="28"/>
          <w:szCs w:val="28"/>
          <w:rtl/>
        </w:rPr>
        <w:t>سطات</w:t>
      </w:r>
      <w:proofErr w:type="spellEnd"/>
      <w:r w:rsidRPr="00170AA8">
        <w:rPr>
          <w:rFonts w:ascii="Century Gothic" w:eastAsia="Times New Roman" w:hAnsi="Century Gothic" w:cs="Arial"/>
          <w:color w:val="222222"/>
          <w:sz w:val="28"/>
          <w:szCs w:val="28"/>
          <w:rtl/>
        </w:rPr>
        <w:t xml:space="preserve"> ب 0,2</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بالمقابل، ارتفعت أثمان “الخضر” ب 4,3% و”الزيوت </w:t>
      </w:r>
      <w:proofErr w:type="spellStart"/>
      <w:r w:rsidRPr="00170AA8">
        <w:rPr>
          <w:rFonts w:ascii="Century Gothic" w:eastAsia="Times New Roman" w:hAnsi="Century Gothic" w:cs="Arial"/>
          <w:color w:val="222222"/>
          <w:sz w:val="28"/>
          <w:szCs w:val="28"/>
          <w:rtl/>
        </w:rPr>
        <w:t>والذهنيات</w:t>
      </w:r>
      <w:proofErr w:type="spellEnd"/>
      <w:r w:rsidRPr="00170AA8">
        <w:rPr>
          <w:rFonts w:ascii="Century Gothic" w:eastAsia="Times New Roman" w:hAnsi="Century Gothic" w:cs="Arial"/>
          <w:color w:val="222222"/>
          <w:sz w:val="28"/>
          <w:szCs w:val="28"/>
          <w:rtl/>
        </w:rPr>
        <w:t>” ب 2,3% و”الحليب والجبن والبيض” ب 0,8</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وبالمقارنة مع نفس الشهر من السنة السابقة، سجلت أثمان الاستهلاك ارتفاعا ب 1,9% خلال شهر </w:t>
      </w:r>
      <w:proofErr w:type="spellStart"/>
      <w:r w:rsidRPr="00170AA8">
        <w:rPr>
          <w:rFonts w:ascii="Century Gothic" w:eastAsia="Times New Roman" w:hAnsi="Century Gothic" w:cs="Arial"/>
          <w:color w:val="222222"/>
          <w:sz w:val="28"/>
          <w:szCs w:val="28"/>
          <w:rtl/>
        </w:rPr>
        <w:t>نونبر</w:t>
      </w:r>
      <w:proofErr w:type="spellEnd"/>
      <w:r w:rsidRPr="00170AA8">
        <w:rPr>
          <w:rFonts w:ascii="Century Gothic" w:eastAsia="Times New Roman" w:hAnsi="Century Gothic" w:cs="Arial"/>
          <w:color w:val="222222"/>
          <w:sz w:val="28"/>
          <w:szCs w:val="28"/>
          <w:rtl/>
        </w:rPr>
        <w:t xml:space="preserve"> 2016. وقد نتج هذا الارتفاع عن تزايد أثمان المواد الغذائية ب 2,8% والمواد غير الغذائية ب 1,3</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وتراوحت نسب التغير للمواد غير الغذائية ما بين انخفاض قدره 0</w:t>
      </w:r>
      <w:proofErr w:type="gramStart"/>
      <w:r w:rsidRPr="00170AA8">
        <w:rPr>
          <w:rFonts w:ascii="Century Gothic" w:eastAsia="Times New Roman" w:hAnsi="Century Gothic" w:cs="Arial"/>
          <w:color w:val="222222"/>
          <w:sz w:val="28"/>
          <w:szCs w:val="28"/>
          <w:rtl/>
        </w:rPr>
        <w:t>,3%</w:t>
      </w:r>
      <w:proofErr w:type="gramEnd"/>
      <w:r w:rsidRPr="00170AA8">
        <w:rPr>
          <w:rFonts w:ascii="Century Gothic" w:eastAsia="Times New Roman" w:hAnsi="Century Gothic" w:cs="Arial"/>
          <w:color w:val="222222"/>
          <w:sz w:val="28"/>
          <w:szCs w:val="28"/>
          <w:rtl/>
        </w:rPr>
        <w:t xml:space="preserve"> بالنسبة ل “المواصلات” وارتفاعا قدره2,9% بالنسبة ل “التعليم</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وأوضحت المندوبية أن مؤشر التضخم الأساسي، الذي يستثني المواد ذات الأثمان المحددة والمواد ذات التقلبات العالية، قد عرف خلال شهر </w:t>
      </w:r>
      <w:proofErr w:type="spellStart"/>
      <w:r w:rsidRPr="00170AA8">
        <w:rPr>
          <w:rFonts w:ascii="Century Gothic" w:eastAsia="Times New Roman" w:hAnsi="Century Gothic" w:cs="Arial"/>
          <w:color w:val="222222"/>
          <w:sz w:val="28"/>
          <w:szCs w:val="28"/>
          <w:rtl/>
        </w:rPr>
        <w:t>نونبر</w:t>
      </w:r>
      <w:proofErr w:type="spellEnd"/>
      <w:r w:rsidRPr="00170AA8">
        <w:rPr>
          <w:rFonts w:ascii="Century Gothic" w:eastAsia="Times New Roman" w:hAnsi="Century Gothic" w:cs="Arial"/>
          <w:color w:val="222222"/>
          <w:sz w:val="28"/>
          <w:szCs w:val="28"/>
          <w:rtl/>
        </w:rPr>
        <w:t xml:space="preserve"> 2016 ارتفاعا ب 0,1% بالمقارنة مع شهر أكتوبر 2016 </w:t>
      </w:r>
      <w:proofErr w:type="spellStart"/>
      <w:r w:rsidRPr="00170AA8">
        <w:rPr>
          <w:rFonts w:ascii="Century Gothic" w:eastAsia="Times New Roman" w:hAnsi="Century Gothic" w:cs="Arial"/>
          <w:color w:val="222222"/>
          <w:sz w:val="28"/>
          <w:szCs w:val="28"/>
          <w:rtl/>
        </w:rPr>
        <w:t>وب</w:t>
      </w:r>
      <w:proofErr w:type="spellEnd"/>
      <w:r w:rsidRPr="00170AA8">
        <w:rPr>
          <w:rFonts w:ascii="Century Gothic" w:eastAsia="Times New Roman" w:hAnsi="Century Gothic" w:cs="Arial"/>
          <w:color w:val="222222"/>
          <w:sz w:val="28"/>
          <w:szCs w:val="28"/>
          <w:rtl/>
        </w:rPr>
        <w:t xml:space="preserve"> 1,1% بالمقارنة مع شهر </w:t>
      </w:r>
      <w:proofErr w:type="spellStart"/>
      <w:r w:rsidRPr="00170AA8">
        <w:rPr>
          <w:rFonts w:ascii="Century Gothic" w:eastAsia="Times New Roman" w:hAnsi="Century Gothic" w:cs="Arial"/>
          <w:color w:val="222222"/>
          <w:sz w:val="28"/>
          <w:szCs w:val="28"/>
          <w:rtl/>
        </w:rPr>
        <w:t>نونبر</w:t>
      </w:r>
      <w:proofErr w:type="spellEnd"/>
      <w:r w:rsidRPr="00170AA8">
        <w:rPr>
          <w:rFonts w:ascii="Century Gothic" w:eastAsia="Times New Roman" w:hAnsi="Century Gothic" w:cs="Arial"/>
          <w:color w:val="222222"/>
          <w:sz w:val="28"/>
          <w:szCs w:val="28"/>
          <w:rtl/>
        </w:rPr>
        <w:t xml:space="preserve"> 2015</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rPr>
          <w:rFonts w:ascii="Century Gothic" w:eastAsia="Times New Roman" w:hAnsi="Century Gothic" w:cs="Arial"/>
          <w:color w:val="222222"/>
          <w:sz w:val="17"/>
          <w:szCs w:val="17"/>
        </w:rPr>
      </w:pPr>
      <w:r>
        <w:rPr>
          <w:rFonts w:ascii="Arial" w:eastAsia="Times New Roman" w:hAnsi="Arial" w:cs="Arial"/>
          <w:b/>
          <w:bCs/>
          <w:noProof/>
          <w:color w:val="CC0000"/>
          <w:sz w:val="14"/>
          <w:szCs w:val="14"/>
        </w:rPr>
        <w:drawing>
          <wp:inline distT="0" distB="0" distL="0" distR="0">
            <wp:extent cx="5059680" cy="2849880"/>
            <wp:effectExtent l="19050" t="0" r="7620" b="0"/>
            <wp:docPr id="3" name="Image 3" descr="A fruit vendor serves customers at a ma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fruit vendor serves customers at a mar">
                      <a:hlinkClick r:id="rId8"/>
                    </pic:cNvPr>
                    <pic:cNvPicPr>
                      <a:picLocks noChangeAspect="1" noChangeArrowheads="1"/>
                    </pic:cNvPicPr>
                  </pic:nvPicPr>
                  <pic:blipFill>
                    <a:blip r:embed="rId9"/>
                    <a:srcRect/>
                    <a:stretch>
                      <a:fillRect/>
                    </a:stretch>
                  </pic:blipFill>
                  <pic:spPr bwMode="auto">
                    <a:xfrm>
                      <a:off x="0" y="0"/>
                      <a:ext cx="5059680" cy="2849880"/>
                    </a:xfrm>
                    <a:prstGeom prst="rect">
                      <a:avLst/>
                    </a:prstGeom>
                    <a:noFill/>
                    <a:ln w="9525">
                      <a:noFill/>
                      <a:miter lim="800000"/>
                      <a:headEnd/>
                      <a:tailEnd/>
                    </a:ln>
                  </pic:spPr>
                </pic:pic>
              </a:graphicData>
            </a:graphic>
          </wp:inline>
        </w:drawing>
      </w:r>
      <w:r w:rsidRPr="00170AA8">
        <w:rPr>
          <w:rFonts w:ascii="Century Gothic" w:eastAsia="Times New Roman" w:hAnsi="Century Gothic" w:cs="Arial"/>
          <w:color w:val="222222"/>
          <w:sz w:val="17"/>
        </w:rPr>
        <w:t> </w:t>
      </w:r>
    </w:p>
    <w:p w:rsidR="00170AA8" w:rsidRPr="00170AA8" w:rsidRDefault="00170AA8" w:rsidP="00170AA8">
      <w:pPr>
        <w:shd w:val="clear" w:color="auto" w:fill="FFFFFF"/>
        <w:bidi/>
        <w:spacing w:after="0" w:line="240" w:lineRule="auto"/>
        <w:rPr>
          <w:rFonts w:ascii="Century Gothic" w:eastAsia="Times New Roman" w:hAnsi="Century Gothic" w:cs="Arial"/>
          <w:b/>
          <w:bCs/>
          <w:color w:val="222222"/>
          <w:sz w:val="32"/>
          <w:szCs w:val="32"/>
        </w:rPr>
      </w:pPr>
      <w:r w:rsidRPr="00170AA8">
        <w:rPr>
          <w:rFonts w:ascii="Century Gothic" w:eastAsia="Times New Roman" w:hAnsi="Century Gothic" w:cs="Arial"/>
          <w:b/>
          <w:bCs/>
          <w:color w:val="0000FF"/>
          <w:sz w:val="32"/>
          <w:szCs w:val="32"/>
          <w:bdr w:val="none" w:sz="0" w:space="0" w:color="auto" w:frame="1"/>
          <w:rtl/>
        </w:rPr>
        <w:t xml:space="preserve">أسباب الانخفاض في </w:t>
      </w:r>
      <w:proofErr w:type="spellStart"/>
      <w:r w:rsidRPr="00170AA8">
        <w:rPr>
          <w:rFonts w:ascii="Century Gothic" w:eastAsia="Times New Roman" w:hAnsi="Century Gothic" w:cs="Arial"/>
          <w:b/>
          <w:bCs/>
          <w:color w:val="0000FF"/>
          <w:sz w:val="32"/>
          <w:szCs w:val="32"/>
          <w:bdr w:val="none" w:sz="0" w:space="0" w:color="auto" w:frame="1"/>
          <w:rtl/>
        </w:rPr>
        <w:t>الأثمنة</w:t>
      </w:r>
      <w:proofErr w:type="spellEnd"/>
      <w:r w:rsidRPr="00170AA8">
        <w:rPr>
          <w:rFonts w:ascii="Century Gothic" w:eastAsia="Times New Roman" w:hAnsi="Century Gothic" w:cs="Arial"/>
          <w:b/>
          <w:bCs/>
          <w:color w:val="0000FF"/>
          <w:sz w:val="32"/>
          <w:szCs w:val="32"/>
          <w:bdr w:val="none" w:sz="0" w:space="0" w:color="auto" w:frame="1"/>
        </w:rPr>
        <w:t>:</w:t>
      </w:r>
      <w:r w:rsidRPr="00170AA8">
        <w:rPr>
          <w:rFonts w:ascii="Century Gothic" w:eastAsia="Times New Roman" w:hAnsi="Century Gothic" w:cs="Arial"/>
          <w:b/>
          <w:bCs/>
          <w:color w:val="222222"/>
          <w:sz w:val="32"/>
          <w:szCs w:val="32"/>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proofErr w:type="gramStart"/>
      <w:r w:rsidRPr="00170AA8">
        <w:rPr>
          <w:rFonts w:ascii="Century Gothic" w:eastAsia="Times New Roman" w:hAnsi="Century Gothic" w:cs="Arial"/>
          <w:color w:val="222222"/>
          <w:sz w:val="28"/>
          <w:szCs w:val="28"/>
          <w:rtl/>
        </w:rPr>
        <w:t>عزت</w:t>
      </w:r>
      <w:proofErr w:type="gramEnd"/>
      <w:r w:rsidRPr="00170AA8">
        <w:rPr>
          <w:rFonts w:ascii="Century Gothic" w:eastAsia="Times New Roman" w:hAnsi="Century Gothic" w:cs="Arial"/>
          <w:color w:val="222222"/>
          <w:sz w:val="28"/>
          <w:szCs w:val="28"/>
          <w:rtl/>
        </w:rPr>
        <w:t xml:space="preserve"> المندوبية السامية للتخطيط انخفاض الأثمان إلى أن مبيعات قطاع تجارة الجملة في السوق الداخلي قد تكون عرفت انخفاضا خلال الفصل الثالث من سنة 2016، وذلك حسب 39 في المائة من أرباب المقاولات</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proofErr w:type="gramStart"/>
      <w:r w:rsidRPr="00170AA8">
        <w:rPr>
          <w:rFonts w:ascii="Century Gothic" w:eastAsia="Times New Roman" w:hAnsi="Century Gothic" w:cs="Arial"/>
          <w:color w:val="222222"/>
          <w:sz w:val="28"/>
          <w:szCs w:val="28"/>
          <w:rtl/>
        </w:rPr>
        <w:t>وأوضحت</w:t>
      </w:r>
      <w:proofErr w:type="gramEnd"/>
      <w:r w:rsidRPr="00170AA8">
        <w:rPr>
          <w:rFonts w:ascii="Century Gothic" w:eastAsia="Times New Roman" w:hAnsi="Century Gothic" w:cs="Arial"/>
          <w:color w:val="222222"/>
          <w:sz w:val="28"/>
          <w:szCs w:val="28"/>
          <w:rtl/>
        </w:rPr>
        <w:t xml:space="preserve"> المندوبية السامية، ضمن بحوثها الفصلية حول الظرفية الاقتصادية، أن هذا الانخفاض قد يعزى بالأساس إلى تراجع مبيعات “أصناف أخرى من تجارة الجملة المتخصصة”، وإلى </w:t>
      </w:r>
      <w:r w:rsidRPr="00170AA8">
        <w:rPr>
          <w:rFonts w:ascii="Century Gothic" w:eastAsia="Times New Roman" w:hAnsi="Century Gothic" w:cs="Arial"/>
          <w:color w:val="222222"/>
          <w:sz w:val="28"/>
          <w:szCs w:val="28"/>
          <w:rtl/>
        </w:rPr>
        <w:lastRenderedPageBreak/>
        <w:t xml:space="preserve">التحسن المسجل في أنشطة “تجارة المواد الغذائية والمشروبات والتبغ” وفي “تجارة تجهيزات صناعية </w:t>
      </w:r>
      <w:proofErr w:type="gramStart"/>
      <w:r w:rsidRPr="00170AA8">
        <w:rPr>
          <w:rFonts w:ascii="Century Gothic" w:eastAsia="Times New Roman" w:hAnsi="Century Gothic" w:cs="Arial"/>
          <w:color w:val="222222"/>
          <w:sz w:val="28"/>
          <w:szCs w:val="28"/>
          <w:rtl/>
        </w:rPr>
        <w:t>أخرى</w:t>
      </w:r>
      <w:proofErr w:type="gramEnd"/>
      <w:r w:rsidRPr="00170AA8">
        <w:rPr>
          <w:rFonts w:ascii="Century Gothic" w:eastAsia="Times New Roman" w:hAnsi="Century Gothic" w:cs="Arial"/>
          <w:color w:val="222222"/>
          <w:sz w:val="28"/>
          <w:szCs w:val="28"/>
          <w:rtl/>
        </w:rPr>
        <w:t xml:space="preserve"> بالجملة</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proofErr w:type="gramStart"/>
      <w:r w:rsidRPr="00170AA8">
        <w:rPr>
          <w:rFonts w:ascii="Century Gothic" w:eastAsia="Times New Roman" w:hAnsi="Century Gothic" w:cs="Arial"/>
          <w:color w:val="222222"/>
          <w:sz w:val="28"/>
          <w:szCs w:val="28"/>
          <w:rtl/>
        </w:rPr>
        <w:t>وأشارت</w:t>
      </w:r>
      <w:proofErr w:type="gramEnd"/>
      <w:r w:rsidRPr="00170AA8">
        <w:rPr>
          <w:rFonts w:ascii="Century Gothic" w:eastAsia="Times New Roman" w:hAnsi="Century Gothic" w:cs="Arial"/>
          <w:color w:val="222222"/>
          <w:sz w:val="28"/>
          <w:szCs w:val="28"/>
          <w:rtl/>
        </w:rPr>
        <w:t xml:space="preserve"> المندوبية إلى أن عدد المشتغلين قد يكون عرف استقرارا حسب 82 في المائة من أرباب المقاولات، وارتفاعا حسب 12 في المائة منهم. </w:t>
      </w:r>
      <w:proofErr w:type="gramStart"/>
      <w:r w:rsidRPr="00170AA8">
        <w:rPr>
          <w:rFonts w:ascii="Century Gothic" w:eastAsia="Times New Roman" w:hAnsi="Century Gothic" w:cs="Arial"/>
          <w:color w:val="222222"/>
          <w:sz w:val="28"/>
          <w:szCs w:val="28"/>
          <w:rtl/>
        </w:rPr>
        <w:t>وحسب</w:t>
      </w:r>
      <w:proofErr w:type="gramEnd"/>
      <w:r w:rsidRPr="00170AA8">
        <w:rPr>
          <w:rFonts w:ascii="Century Gothic" w:eastAsia="Times New Roman" w:hAnsi="Century Gothic" w:cs="Arial"/>
          <w:color w:val="222222"/>
          <w:sz w:val="28"/>
          <w:szCs w:val="28"/>
          <w:rtl/>
        </w:rPr>
        <w:t xml:space="preserve"> ذات المصدر، فإن 62 في المائة من تجار الجملة اعتبروا أن مستوى المخزون من السلع كان عاديا، وفوق العادي بالنسبة لنحو 11 في المائة منهم. أما في ما يتعلق بأسعار البيع، فقد تكون عرفت، حسب 76 في المائة من أرباب مقاولات قطاع تجارة الجملة، استقرارا في “تجارة المواد الغذائية والمشروبات والتبغ” و “تجارة المواد </w:t>
      </w:r>
      <w:proofErr w:type="spellStart"/>
      <w:r w:rsidRPr="00170AA8">
        <w:rPr>
          <w:rFonts w:ascii="Century Gothic" w:eastAsia="Times New Roman" w:hAnsi="Century Gothic" w:cs="Arial"/>
          <w:color w:val="222222"/>
          <w:sz w:val="28"/>
          <w:szCs w:val="28"/>
          <w:rtl/>
        </w:rPr>
        <w:t>الفلاحية</w:t>
      </w:r>
      <w:proofErr w:type="spellEnd"/>
      <w:r w:rsidRPr="00170AA8">
        <w:rPr>
          <w:rFonts w:ascii="Century Gothic" w:eastAsia="Times New Roman" w:hAnsi="Century Gothic" w:cs="Arial"/>
          <w:color w:val="222222"/>
          <w:sz w:val="28"/>
          <w:szCs w:val="28"/>
          <w:rtl/>
        </w:rPr>
        <w:t xml:space="preserve"> الخام والحيوانات الحية” و”تجارة الجملة غير المتخصصة</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من جهة أخرى، أبرزت المندوبية أن نحو 43 في المائة من تجار الجملة يتوقعون ارتفاعا في حجم المبيعات خلال الفصل الرابع من سنة </w:t>
      </w:r>
      <w:proofErr w:type="gramStart"/>
      <w:r w:rsidRPr="00170AA8">
        <w:rPr>
          <w:rFonts w:ascii="Century Gothic" w:eastAsia="Times New Roman" w:hAnsi="Century Gothic" w:cs="Arial"/>
          <w:color w:val="222222"/>
          <w:sz w:val="28"/>
          <w:szCs w:val="28"/>
          <w:rtl/>
        </w:rPr>
        <w:t>2016 ،</w:t>
      </w:r>
      <w:proofErr w:type="gramEnd"/>
      <w:r w:rsidRPr="00170AA8">
        <w:rPr>
          <w:rFonts w:ascii="Century Gothic" w:eastAsia="Times New Roman" w:hAnsi="Century Gothic" w:cs="Arial"/>
          <w:color w:val="222222"/>
          <w:sz w:val="28"/>
          <w:szCs w:val="28"/>
          <w:rtl/>
        </w:rPr>
        <w:t xml:space="preserve"> موضحة أن هذا التحسن يهم أساسا أنشطة “أصناف أخرى من تجارة الجملة المتخصصة” و”تجارة تجهيزات صناعية أخرى بالجملة”.</w:t>
      </w:r>
      <w:proofErr w:type="gramStart"/>
      <w:r w:rsidRPr="00170AA8">
        <w:rPr>
          <w:rFonts w:ascii="Century Gothic" w:eastAsia="Times New Roman" w:hAnsi="Century Gothic" w:cs="Arial"/>
          <w:color w:val="222222"/>
          <w:sz w:val="28"/>
          <w:szCs w:val="28"/>
          <w:rtl/>
        </w:rPr>
        <w:t>وعلاقة</w:t>
      </w:r>
      <w:proofErr w:type="gramEnd"/>
      <w:r w:rsidRPr="00170AA8">
        <w:rPr>
          <w:rFonts w:ascii="Century Gothic" w:eastAsia="Times New Roman" w:hAnsi="Century Gothic" w:cs="Arial"/>
          <w:color w:val="222222"/>
          <w:sz w:val="28"/>
          <w:szCs w:val="28"/>
          <w:rtl/>
        </w:rPr>
        <w:t xml:space="preserve"> بذلك، فإنه يتوقع ارتفاع في عدد المشتغلين حسب 31 في المائة من أرباب المقاولات، فيما يتوقع، بخصوص مستوى دفاتر الطلب، أن يكون عاديا حسب 75 في المائة من تجار الجملة</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rPr>
          <w:rFonts w:ascii="Century Gothic" w:eastAsia="Times New Roman" w:hAnsi="Century Gothic" w:cs="Arial"/>
          <w:color w:val="222222"/>
          <w:sz w:val="17"/>
          <w:szCs w:val="17"/>
        </w:rPr>
      </w:pPr>
      <w:r>
        <w:rPr>
          <w:rFonts w:ascii="Arial" w:eastAsia="Times New Roman" w:hAnsi="Arial" w:cs="Arial"/>
          <w:b/>
          <w:bCs/>
          <w:noProof/>
          <w:color w:val="CC0000"/>
          <w:sz w:val="14"/>
          <w:szCs w:val="14"/>
        </w:rPr>
        <w:lastRenderedPageBreak/>
        <w:drawing>
          <wp:inline distT="0" distB="0" distL="0" distR="0">
            <wp:extent cx="2857500" cy="2141220"/>
            <wp:effectExtent l="19050" t="0" r="0" b="0"/>
            <wp:docPr id="4" name="Image 4" descr="10474770-171858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474770-17185821">
                      <a:hlinkClick r:id="rId10"/>
                    </pic:cNvPr>
                    <pic:cNvPicPr>
                      <a:picLocks noChangeAspect="1" noChangeArrowheads="1"/>
                    </pic:cNvPicPr>
                  </pic:nvPicPr>
                  <pic:blipFill>
                    <a:blip r:embed="rId11"/>
                    <a:srcRect/>
                    <a:stretch>
                      <a:fillRect/>
                    </a:stretch>
                  </pic:blipFill>
                  <pic:spPr bwMode="auto">
                    <a:xfrm>
                      <a:off x="0" y="0"/>
                      <a:ext cx="2857500" cy="2141220"/>
                    </a:xfrm>
                    <a:prstGeom prst="rect">
                      <a:avLst/>
                    </a:prstGeom>
                    <a:noFill/>
                    <a:ln w="9525">
                      <a:noFill/>
                      <a:miter lim="800000"/>
                      <a:headEnd/>
                      <a:tailEnd/>
                    </a:ln>
                  </pic:spPr>
                </pic:pic>
              </a:graphicData>
            </a:graphic>
          </wp:inline>
        </w:drawing>
      </w:r>
      <w:r w:rsidRPr="00170AA8">
        <w:rPr>
          <w:rFonts w:ascii="Century Gothic" w:eastAsia="Times New Roman" w:hAnsi="Century Gothic" w:cs="Arial"/>
          <w:color w:val="222222"/>
          <w:sz w:val="17"/>
        </w:rPr>
        <w:t> </w:t>
      </w:r>
      <w:r w:rsidRPr="00170AA8">
        <w:rPr>
          <w:rFonts w:ascii="Century Gothic" w:eastAsia="Times New Roman" w:hAnsi="Century Gothic" w:cs="Arial"/>
          <w:color w:val="222222"/>
          <w:sz w:val="17"/>
          <w:szCs w:val="17"/>
        </w:rPr>
        <w:t> </w:t>
      </w:r>
      <w:r>
        <w:rPr>
          <w:rFonts w:ascii="Arial" w:eastAsia="Times New Roman" w:hAnsi="Arial" w:cs="Arial"/>
          <w:b/>
          <w:bCs/>
          <w:noProof/>
          <w:color w:val="CC0000"/>
          <w:sz w:val="14"/>
          <w:szCs w:val="14"/>
        </w:rPr>
        <w:drawing>
          <wp:inline distT="0" distB="0" distL="0" distR="0">
            <wp:extent cx="2857500" cy="2141220"/>
            <wp:effectExtent l="19050" t="0" r="0" b="0"/>
            <wp:docPr id="5" name="Image 5" descr="hqdefaul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qdefault">
                      <a:hlinkClick r:id="rId12"/>
                    </pic:cNvPr>
                    <pic:cNvPicPr>
                      <a:picLocks noChangeAspect="1" noChangeArrowheads="1"/>
                    </pic:cNvPicPr>
                  </pic:nvPicPr>
                  <pic:blipFill>
                    <a:blip r:embed="rId13"/>
                    <a:srcRect/>
                    <a:stretch>
                      <a:fillRect/>
                    </a:stretch>
                  </pic:blipFill>
                  <pic:spPr bwMode="auto">
                    <a:xfrm>
                      <a:off x="0" y="0"/>
                      <a:ext cx="2857500" cy="2141220"/>
                    </a:xfrm>
                    <a:prstGeom prst="rect">
                      <a:avLst/>
                    </a:prstGeom>
                    <a:noFill/>
                    <a:ln w="9525">
                      <a:noFill/>
                      <a:miter lim="800000"/>
                      <a:headEnd/>
                      <a:tailEnd/>
                    </a:ln>
                  </pic:spPr>
                </pic:pic>
              </a:graphicData>
            </a:graphic>
          </wp:inline>
        </w:drawing>
      </w:r>
      <w:r w:rsidRPr="00170AA8">
        <w:rPr>
          <w:rFonts w:ascii="Century Gothic" w:eastAsia="Times New Roman" w:hAnsi="Century Gothic" w:cs="Arial"/>
          <w:color w:val="222222"/>
          <w:sz w:val="17"/>
        </w:rPr>
        <w:t> </w:t>
      </w:r>
      <w:r w:rsidRPr="00170AA8">
        <w:rPr>
          <w:rFonts w:ascii="Century Gothic" w:eastAsia="Times New Roman" w:hAnsi="Century Gothic" w:cs="Arial"/>
          <w:color w:val="222222"/>
          <w:sz w:val="17"/>
          <w:szCs w:val="17"/>
        </w:rPr>
        <w:br/>
      </w:r>
      <w:r>
        <w:rPr>
          <w:rFonts w:ascii="Arial" w:eastAsia="Times New Roman" w:hAnsi="Arial" w:cs="Arial"/>
          <w:b/>
          <w:bCs/>
          <w:noProof/>
          <w:color w:val="CC0000"/>
          <w:sz w:val="14"/>
          <w:szCs w:val="14"/>
        </w:rPr>
        <w:drawing>
          <wp:inline distT="0" distB="0" distL="0" distR="0">
            <wp:extent cx="5059680" cy="2103120"/>
            <wp:effectExtent l="19050" t="0" r="7620" b="0"/>
            <wp:docPr id="6" name="Image 6" descr="A fruit vendor serves customers at a ma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fruit vendor serves customers at a mar">
                      <a:hlinkClick r:id="rId8"/>
                    </pic:cNvPr>
                    <pic:cNvPicPr>
                      <a:picLocks noChangeAspect="1" noChangeArrowheads="1"/>
                    </pic:cNvPicPr>
                  </pic:nvPicPr>
                  <pic:blipFill>
                    <a:blip r:embed="rId9"/>
                    <a:srcRect/>
                    <a:stretch>
                      <a:fillRect/>
                    </a:stretch>
                  </pic:blipFill>
                  <pic:spPr bwMode="auto">
                    <a:xfrm>
                      <a:off x="0" y="0"/>
                      <a:ext cx="5059680" cy="2103120"/>
                    </a:xfrm>
                    <a:prstGeom prst="rect">
                      <a:avLst/>
                    </a:prstGeom>
                    <a:noFill/>
                    <a:ln w="9525">
                      <a:noFill/>
                      <a:miter lim="800000"/>
                      <a:headEnd/>
                      <a:tailEnd/>
                    </a:ln>
                  </pic:spPr>
                </pic:pic>
              </a:graphicData>
            </a:graphic>
          </wp:inline>
        </w:drawing>
      </w:r>
      <w:r w:rsidRPr="00170AA8">
        <w:rPr>
          <w:rFonts w:ascii="Century Gothic" w:eastAsia="Times New Roman" w:hAnsi="Century Gothic" w:cs="Arial"/>
          <w:color w:val="222222"/>
          <w:sz w:val="17"/>
        </w:rPr>
        <w:t> </w:t>
      </w:r>
    </w:p>
    <w:p w:rsidR="00170AA8" w:rsidRPr="00170AA8" w:rsidRDefault="00170AA8" w:rsidP="00170AA8">
      <w:pPr>
        <w:shd w:val="clear" w:color="auto" w:fill="FFFFFF"/>
        <w:bidi/>
        <w:spacing w:after="0" w:line="240" w:lineRule="auto"/>
        <w:rPr>
          <w:rFonts w:ascii="Century Gothic" w:eastAsia="Times New Roman" w:hAnsi="Century Gothic" w:cs="Arial"/>
          <w:color w:val="222222"/>
          <w:sz w:val="17"/>
          <w:szCs w:val="17"/>
        </w:rPr>
      </w:pPr>
      <w:r w:rsidRPr="00170AA8">
        <w:rPr>
          <w:rFonts w:ascii="Century Gothic" w:eastAsia="Times New Roman" w:hAnsi="Century Gothic" w:cs="Arial"/>
          <w:color w:val="0000FF"/>
          <w:sz w:val="17"/>
          <w:szCs w:val="17"/>
          <w:bdr w:val="none" w:sz="0" w:space="0" w:color="auto" w:frame="1"/>
          <w:rtl/>
        </w:rPr>
        <w:t xml:space="preserve">مؤشرات الانخفاض </w:t>
      </w:r>
      <w:proofErr w:type="gramStart"/>
      <w:r w:rsidRPr="00170AA8">
        <w:rPr>
          <w:rFonts w:ascii="Century Gothic" w:eastAsia="Times New Roman" w:hAnsi="Century Gothic" w:cs="Arial"/>
          <w:color w:val="0000FF"/>
          <w:sz w:val="17"/>
          <w:szCs w:val="17"/>
          <w:bdr w:val="none" w:sz="0" w:space="0" w:color="auto" w:frame="1"/>
          <w:rtl/>
        </w:rPr>
        <w:t>حسب</w:t>
      </w:r>
      <w:proofErr w:type="gramEnd"/>
      <w:r w:rsidRPr="00170AA8">
        <w:rPr>
          <w:rFonts w:ascii="Century Gothic" w:eastAsia="Times New Roman" w:hAnsi="Century Gothic" w:cs="Arial"/>
          <w:color w:val="0000FF"/>
          <w:sz w:val="17"/>
          <w:szCs w:val="17"/>
          <w:bdr w:val="none" w:sz="0" w:space="0" w:color="auto" w:frame="1"/>
          <w:rtl/>
        </w:rPr>
        <w:t xml:space="preserve"> المدن</w:t>
      </w:r>
      <w:r w:rsidRPr="00170AA8">
        <w:rPr>
          <w:rFonts w:ascii="Century Gothic" w:eastAsia="Times New Roman" w:hAnsi="Century Gothic" w:cs="Arial"/>
          <w:color w:val="0000FF"/>
          <w:sz w:val="17"/>
          <w:szCs w:val="17"/>
          <w:bdr w:val="none" w:sz="0" w:space="0" w:color="auto" w:frame="1"/>
        </w:rPr>
        <w:t>:</w:t>
      </w:r>
      <w:r w:rsidRPr="00170AA8">
        <w:rPr>
          <w:rFonts w:ascii="Century Gothic" w:eastAsia="Times New Roman" w:hAnsi="Century Gothic" w:cs="Arial"/>
          <w:color w:val="222222"/>
          <w:sz w:val="17"/>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شهد الرقم الاستدلالي للأسعار عند الاستهلاك انخفاضاً ب 0,3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خلال الشهر الماضي، وذلك حسب مذكرة إخبارية للمندوبية السامية للتخطيط. وعز</w:t>
      </w:r>
      <w:proofErr w:type="gramStart"/>
      <w:r w:rsidRPr="00170AA8">
        <w:rPr>
          <w:rFonts w:ascii="Century Gothic" w:eastAsia="Times New Roman" w:hAnsi="Century Gothic" w:cs="Arial"/>
          <w:color w:val="222222"/>
          <w:sz w:val="28"/>
          <w:szCs w:val="28"/>
          <w:rtl/>
        </w:rPr>
        <w:t xml:space="preserve">ت </w:t>
      </w:r>
      <w:proofErr w:type="gramEnd"/>
      <w:r w:rsidRPr="00170AA8">
        <w:rPr>
          <w:rFonts w:ascii="Century Gothic" w:eastAsia="Times New Roman" w:hAnsi="Century Gothic" w:cs="Arial"/>
          <w:color w:val="222222"/>
          <w:sz w:val="28"/>
          <w:szCs w:val="28"/>
          <w:rtl/>
        </w:rPr>
        <w:t>المؤسسة الحكومية ذاتها، هذه التحولات على مستوى الأسعار، بالمقارنة مع شهر أكتوبر الماضي، إلى انخفاض الرقم الاستدلالي للمواد الغذائية ب 0,7 في المائة، وارتفاع الرقم الاستدلالي للمواد غير الغذائية ب 0,1 في المائة</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وأضافت مندوبية </w:t>
      </w:r>
      <w:proofErr w:type="spellStart"/>
      <w:proofErr w:type="gramStart"/>
      <w:r w:rsidRPr="00170AA8">
        <w:rPr>
          <w:rFonts w:ascii="Century Gothic" w:eastAsia="Times New Roman" w:hAnsi="Century Gothic" w:cs="Arial"/>
          <w:color w:val="222222"/>
          <w:sz w:val="28"/>
          <w:szCs w:val="28"/>
          <w:rtl/>
        </w:rPr>
        <w:t>الحليمي</w:t>
      </w:r>
      <w:proofErr w:type="spellEnd"/>
      <w:proofErr w:type="gramEnd"/>
      <w:r w:rsidRPr="00170AA8">
        <w:rPr>
          <w:rFonts w:ascii="Century Gothic" w:eastAsia="Times New Roman" w:hAnsi="Century Gothic" w:cs="Arial"/>
          <w:color w:val="222222"/>
          <w:sz w:val="28"/>
          <w:szCs w:val="28"/>
          <w:rtl/>
        </w:rPr>
        <w:t xml:space="preserve"> أن مؤشر التضخم الأساسي من جهته شهد، خلال الفترة نفسها ارتفاعاً</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وحسب المصدر نفسه، فإن انخفاض المواد الغذائية المسجل، ما بين شهري أكتوبر </w:t>
      </w:r>
      <w:proofErr w:type="spellStart"/>
      <w:r w:rsidRPr="00170AA8">
        <w:rPr>
          <w:rFonts w:ascii="Century Gothic" w:eastAsia="Times New Roman" w:hAnsi="Century Gothic" w:cs="Arial"/>
          <w:color w:val="222222"/>
          <w:sz w:val="28"/>
          <w:szCs w:val="28"/>
          <w:rtl/>
        </w:rPr>
        <w:t>ونونبر</w:t>
      </w:r>
      <w:proofErr w:type="spellEnd"/>
      <w:r w:rsidRPr="00170AA8">
        <w:rPr>
          <w:rFonts w:ascii="Century Gothic" w:eastAsia="Times New Roman" w:hAnsi="Century Gothic" w:cs="Arial"/>
          <w:color w:val="222222"/>
          <w:sz w:val="28"/>
          <w:szCs w:val="28"/>
          <w:rtl/>
        </w:rPr>
        <w:t xml:space="preserve"> 2016، همت على الخصوص أسعار “الفواكه” ب 18,2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و”السمك وفواكه البحر” ب 1,5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و”اللحوم” ب 0,1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lastRenderedPageBreak/>
        <w:t xml:space="preserve">وعلى العكس من ذلك، ارتفعت أسعار “الخضر” ب 4,3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و”الزيوت </w:t>
      </w:r>
      <w:proofErr w:type="spellStart"/>
      <w:r w:rsidRPr="00170AA8">
        <w:rPr>
          <w:rFonts w:ascii="Century Gothic" w:eastAsia="Times New Roman" w:hAnsi="Century Gothic" w:cs="Arial"/>
          <w:color w:val="222222"/>
          <w:sz w:val="28"/>
          <w:szCs w:val="28"/>
          <w:rtl/>
        </w:rPr>
        <w:t>والذهنيات</w:t>
      </w:r>
      <w:proofErr w:type="spellEnd"/>
      <w:r w:rsidRPr="00170AA8">
        <w:rPr>
          <w:rFonts w:ascii="Century Gothic" w:eastAsia="Times New Roman" w:hAnsi="Century Gothic" w:cs="Arial"/>
          <w:color w:val="222222"/>
          <w:sz w:val="28"/>
          <w:szCs w:val="28"/>
          <w:rtl/>
        </w:rPr>
        <w:t xml:space="preserve">” ب 2,3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و”الحليب، والجبن والبيض” ب 0,8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وسجل الرقم الاستدلالي أهم الانخفاضات في مكناس ب 1,7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وفي العيون ب 1,1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وفي وجدة ب 0,9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وفي </w:t>
      </w:r>
      <w:proofErr w:type="spellStart"/>
      <w:r w:rsidRPr="00170AA8">
        <w:rPr>
          <w:rFonts w:ascii="Century Gothic" w:eastAsia="Times New Roman" w:hAnsi="Century Gothic" w:cs="Arial"/>
          <w:color w:val="222222"/>
          <w:sz w:val="28"/>
          <w:szCs w:val="28"/>
          <w:rtl/>
        </w:rPr>
        <w:t>تطوان</w:t>
      </w:r>
      <w:proofErr w:type="spellEnd"/>
      <w:r w:rsidRPr="00170AA8">
        <w:rPr>
          <w:rFonts w:ascii="Century Gothic" w:eastAsia="Times New Roman" w:hAnsi="Century Gothic" w:cs="Arial"/>
          <w:color w:val="222222"/>
          <w:sz w:val="28"/>
          <w:szCs w:val="28"/>
          <w:rtl/>
        </w:rPr>
        <w:t xml:space="preserve">، </w:t>
      </w:r>
      <w:proofErr w:type="spellStart"/>
      <w:r w:rsidRPr="00170AA8">
        <w:rPr>
          <w:rFonts w:ascii="Century Gothic" w:eastAsia="Times New Roman" w:hAnsi="Century Gothic" w:cs="Arial"/>
          <w:color w:val="222222"/>
          <w:sz w:val="28"/>
          <w:szCs w:val="28"/>
          <w:rtl/>
        </w:rPr>
        <w:t>وطنجة</w:t>
      </w:r>
      <w:proofErr w:type="spellEnd"/>
      <w:r w:rsidRPr="00170AA8">
        <w:rPr>
          <w:rFonts w:ascii="Century Gothic" w:eastAsia="Times New Roman" w:hAnsi="Century Gothic" w:cs="Arial"/>
          <w:color w:val="222222"/>
          <w:sz w:val="28"/>
          <w:szCs w:val="28"/>
          <w:rtl/>
        </w:rPr>
        <w:t xml:space="preserve"> ب 0,8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وفي </w:t>
      </w:r>
      <w:proofErr w:type="spellStart"/>
      <w:r w:rsidRPr="00170AA8">
        <w:rPr>
          <w:rFonts w:ascii="Century Gothic" w:eastAsia="Times New Roman" w:hAnsi="Century Gothic" w:cs="Arial"/>
          <w:color w:val="222222"/>
          <w:sz w:val="28"/>
          <w:szCs w:val="28"/>
          <w:rtl/>
        </w:rPr>
        <w:t>فاس</w:t>
      </w:r>
      <w:proofErr w:type="spellEnd"/>
      <w:r w:rsidRPr="00170AA8">
        <w:rPr>
          <w:rFonts w:ascii="Century Gothic" w:eastAsia="Times New Roman" w:hAnsi="Century Gothic" w:cs="Arial"/>
          <w:color w:val="222222"/>
          <w:sz w:val="28"/>
          <w:szCs w:val="28"/>
          <w:rtl/>
        </w:rPr>
        <w:t xml:space="preserve"> ب0,7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وفي الداخلة ب 0,4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وعلى العكس من ذلك، سجل هذا الرقم ارتفاعاً في كل من أسفي ب 1,3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w:t>
      </w:r>
      <w:proofErr w:type="spellStart"/>
      <w:r w:rsidRPr="00170AA8">
        <w:rPr>
          <w:rFonts w:ascii="Century Gothic" w:eastAsia="Times New Roman" w:hAnsi="Century Gothic" w:cs="Arial"/>
          <w:color w:val="222222"/>
          <w:sz w:val="28"/>
          <w:szCs w:val="28"/>
          <w:rtl/>
        </w:rPr>
        <w:t>والحسيمة</w:t>
      </w:r>
      <w:proofErr w:type="spellEnd"/>
      <w:r w:rsidRPr="00170AA8">
        <w:rPr>
          <w:rFonts w:ascii="Century Gothic" w:eastAsia="Times New Roman" w:hAnsi="Century Gothic" w:cs="Arial"/>
          <w:color w:val="222222"/>
          <w:sz w:val="28"/>
          <w:szCs w:val="28"/>
          <w:rtl/>
        </w:rPr>
        <w:t xml:space="preserve"> ب 0,6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w:t>
      </w:r>
      <w:proofErr w:type="spellStart"/>
      <w:r w:rsidRPr="00170AA8">
        <w:rPr>
          <w:rFonts w:ascii="Century Gothic" w:eastAsia="Times New Roman" w:hAnsi="Century Gothic" w:cs="Arial"/>
          <w:color w:val="222222"/>
          <w:sz w:val="28"/>
          <w:szCs w:val="28"/>
          <w:rtl/>
        </w:rPr>
        <w:t>والدارالبيضاء</w:t>
      </w:r>
      <w:proofErr w:type="spellEnd"/>
      <w:r w:rsidRPr="00170AA8">
        <w:rPr>
          <w:rFonts w:ascii="Century Gothic" w:eastAsia="Times New Roman" w:hAnsi="Century Gothic" w:cs="Arial"/>
          <w:color w:val="222222"/>
          <w:sz w:val="28"/>
          <w:szCs w:val="28"/>
          <w:rtl/>
        </w:rPr>
        <w:t xml:space="preserve"> وبني </w:t>
      </w:r>
      <w:proofErr w:type="spellStart"/>
      <w:r w:rsidRPr="00170AA8">
        <w:rPr>
          <w:rFonts w:ascii="Century Gothic" w:eastAsia="Times New Roman" w:hAnsi="Century Gothic" w:cs="Arial"/>
          <w:color w:val="222222"/>
          <w:sz w:val="28"/>
          <w:szCs w:val="28"/>
          <w:rtl/>
        </w:rPr>
        <w:t>ملال</w:t>
      </w:r>
      <w:proofErr w:type="spellEnd"/>
      <w:r w:rsidRPr="00170AA8">
        <w:rPr>
          <w:rFonts w:ascii="Century Gothic" w:eastAsia="Times New Roman" w:hAnsi="Century Gothic" w:cs="Arial"/>
          <w:color w:val="222222"/>
          <w:sz w:val="28"/>
          <w:szCs w:val="28"/>
          <w:rtl/>
        </w:rPr>
        <w:t xml:space="preserve"> ب 0,3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w:t>
      </w:r>
      <w:proofErr w:type="spellStart"/>
      <w:r w:rsidRPr="00170AA8">
        <w:rPr>
          <w:rFonts w:ascii="Century Gothic" w:eastAsia="Times New Roman" w:hAnsi="Century Gothic" w:cs="Arial"/>
          <w:color w:val="222222"/>
          <w:sz w:val="28"/>
          <w:szCs w:val="28"/>
          <w:rtl/>
        </w:rPr>
        <w:t>وسطات</w:t>
      </w:r>
      <w:proofErr w:type="spellEnd"/>
      <w:r w:rsidRPr="00170AA8">
        <w:rPr>
          <w:rFonts w:ascii="Century Gothic" w:eastAsia="Times New Roman" w:hAnsi="Century Gothic" w:cs="Arial"/>
          <w:color w:val="222222"/>
          <w:sz w:val="28"/>
          <w:szCs w:val="28"/>
          <w:rtl/>
        </w:rPr>
        <w:t xml:space="preserve"> ب 0,2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وبالمقارنة مع الشهر نفسه من العام الماضي، سجل الرقم الاستدلالي للأسعار عند الاستهلاك ارتفاعا ب 1,9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خلال شهر </w:t>
      </w:r>
      <w:proofErr w:type="spellStart"/>
      <w:r w:rsidRPr="00170AA8">
        <w:rPr>
          <w:rFonts w:ascii="Century Gothic" w:eastAsia="Times New Roman" w:hAnsi="Century Gothic" w:cs="Arial"/>
          <w:color w:val="222222"/>
          <w:sz w:val="28"/>
          <w:szCs w:val="28"/>
          <w:rtl/>
        </w:rPr>
        <w:t>نونبر</w:t>
      </w:r>
      <w:proofErr w:type="spellEnd"/>
      <w:r w:rsidRPr="00170AA8">
        <w:rPr>
          <w:rFonts w:ascii="Century Gothic" w:eastAsia="Times New Roman" w:hAnsi="Century Gothic" w:cs="Arial"/>
          <w:color w:val="222222"/>
          <w:sz w:val="28"/>
          <w:szCs w:val="28"/>
          <w:rtl/>
        </w:rPr>
        <w:t xml:space="preserve"> 2016</w:t>
      </w:r>
      <w:r w:rsidRPr="00170AA8">
        <w:rPr>
          <w:rFonts w:ascii="Century Gothic" w:eastAsia="Times New Roman" w:hAnsi="Century Gothic" w:cs="Arial"/>
          <w:color w:val="222222"/>
          <w:sz w:val="28"/>
          <w:szCs w:val="28"/>
        </w:rPr>
        <w:t>. </w:t>
      </w:r>
    </w:p>
    <w:p w:rsidR="00170AA8" w:rsidRPr="00170AA8" w:rsidRDefault="00170AA8" w:rsidP="00170AA8">
      <w:pPr>
        <w:shd w:val="clear" w:color="auto" w:fill="FFFFFF"/>
        <w:bidi/>
        <w:spacing w:after="0" w:line="240" w:lineRule="auto"/>
        <w:ind w:firstLine="708"/>
        <w:rPr>
          <w:rFonts w:ascii="Century Gothic" w:eastAsia="Times New Roman" w:hAnsi="Century Gothic" w:cs="Arial"/>
          <w:color w:val="222222"/>
          <w:sz w:val="28"/>
          <w:szCs w:val="28"/>
        </w:rPr>
      </w:pPr>
      <w:r w:rsidRPr="00170AA8">
        <w:rPr>
          <w:rFonts w:ascii="Century Gothic" w:eastAsia="Times New Roman" w:hAnsi="Century Gothic" w:cs="Arial"/>
          <w:color w:val="222222"/>
          <w:sz w:val="28"/>
          <w:szCs w:val="28"/>
          <w:rtl/>
        </w:rPr>
        <w:t xml:space="preserve">ونتج هذا الارتفاع عن تزايد أسعار المواد الغذائية ب 2,8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وغير الغذائية ب 1,3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وتراوحت نسب التغير للمواد غير الغذائية ما بين انخفاض قدره 0,3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بالنسبة إلى “المواصلات”، وارتفاع قدره 2,9 في </w:t>
      </w:r>
      <w:proofErr w:type="spellStart"/>
      <w:r w:rsidRPr="00170AA8">
        <w:rPr>
          <w:rFonts w:ascii="Century Gothic" w:eastAsia="Times New Roman" w:hAnsi="Century Gothic" w:cs="Arial"/>
          <w:color w:val="222222"/>
          <w:sz w:val="28"/>
          <w:szCs w:val="28"/>
          <w:rtl/>
        </w:rPr>
        <w:t>المئة</w:t>
      </w:r>
      <w:proofErr w:type="spellEnd"/>
      <w:r w:rsidRPr="00170AA8">
        <w:rPr>
          <w:rFonts w:ascii="Century Gothic" w:eastAsia="Times New Roman" w:hAnsi="Century Gothic" w:cs="Arial"/>
          <w:color w:val="222222"/>
          <w:sz w:val="28"/>
          <w:szCs w:val="28"/>
          <w:rtl/>
        </w:rPr>
        <w:t xml:space="preserve"> بالنسبة إلى “التعليم</w:t>
      </w:r>
      <w:r w:rsidRPr="00170AA8">
        <w:rPr>
          <w:rFonts w:ascii="Century Gothic" w:eastAsia="Times New Roman" w:hAnsi="Century Gothic" w:cs="Arial"/>
          <w:color w:val="222222"/>
          <w:sz w:val="28"/>
          <w:szCs w:val="28"/>
        </w:rPr>
        <w:t>”. </w:t>
      </w:r>
    </w:p>
    <w:tbl>
      <w:tblPr>
        <w:tblW w:w="3859" w:type="dxa"/>
        <w:tblCellMar>
          <w:top w:w="15" w:type="dxa"/>
          <w:left w:w="15" w:type="dxa"/>
          <w:bottom w:w="15" w:type="dxa"/>
          <w:right w:w="15" w:type="dxa"/>
        </w:tblCellMar>
        <w:tblLook w:val="04A0"/>
      </w:tblPr>
      <w:tblGrid>
        <w:gridCol w:w="1017"/>
        <w:gridCol w:w="2842"/>
      </w:tblGrid>
      <w:tr w:rsidR="00170AA8" w:rsidRPr="00170AA8" w:rsidTr="00170AA8">
        <w:tc>
          <w:tcPr>
            <w:tcW w:w="0" w:type="auto"/>
            <w:vAlign w:val="center"/>
            <w:hideMark/>
          </w:tcPr>
          <w:p w:rsidR="00170AA8" w:rsidRPr="00170AA8" w:rsidRDefault="00170AA8" w:rsidP="00170AA8">
            <w:pPr>
              <w:bidi/>
              <w:spacing w:after="0" w:line="240" w:lineRule="auto"/>
              <w:rPr>
                <w:rFonts w:ascii="Helvetica" w:eastAsia="Times New Roman" w:hAnsi="Helvetica" w:cs="Helvetica"/>
                <w:color w:val="807874"/>
                <w:sz w:val="28"/>
                <w:szCs w:val="28"/>
              </w:rPr>
            </w:pPr>
            <w:r w:rsidRPr="00170AA8">
              <w:rPr>
                <w:rFonts w:ascii="Helvetica" w:eastAsia="Times New Roman" w:hAnsi="Helvetica" w:cs="Helvetica"/>
                <w:color w:val="807874"/>
                <w:sz w:val="28"/>
                <w:szCs w:val="28"/>
              </w:rPr>
              <w:t>Source</w:t>
            </w:r>
          </w:p>
        </w:tc>
        <w:tc>
          <w:tcPr>
            <w:tcW w:w="0" w:type="auto"/>
            <w:tcBorders>
              <w:top w:val="nil"/>
              <w:left w:val="nil"/>
              <w:bottom w:val="nil"/>
              <w:right w:val="nil"/>
            </w:tcBorders>
            <w:vAlign w:val="center"/>
            <w:hideMark/>
          </w:tcPr>
          <w:p w:rsidR="00170AA8" w:rsidRPr="00170AA8" w:rsidRDefault="00170AA8" w:rsidP="00170AA8">
            <w:pPr>
              <w:bidi/>
              <w:spacing w:after="0" w:line="240" w:lineRule="auto"/>
              <w:rPr>
                <w:rFonts w:ascii="Helvetica" w:eastAsia="Times New Roman" w:hAnsi="Helvetica" w:cs="Helvetica"/>
                <w:color w:val="413D3B"/>
                <w:sz w:val="28"/>
                <w:szCs w:val="28"/>
              </w:rPr>
            </w:pPr>
            <w:hyperlink r:id="rId14" w:tgtFrame="_blank" w:history="1">
              <w:r w:rsidRPr="00170AA8">
                <w:rPr>
                  <w:rFonts w:ascii="Arial" w:eastAsia="Times New Roman" w:hAnsi="Arial" w:cs="Arial"/>
                  <w:b/>
                  <w:bCs/>
                  <w:color w:val="CC0000"/>
                  <w:sz w:val="28"/>
                  <w:szCs w:val="28"/>
                </w:rPr>
                <w:t>www.infomedia.ma</w:t>
              </w:r>
            </w:hyperlink>
          </w:p>
        </w:tc>
      </w:tr>
    </w:tbl>
    <w:p w:rsidR="007A5073" w:rsidRDefault="007A5073" w:rsidP="00170AA8">
      <w:pPr>
        <w:bidi/>
      </w:pPr>
    </w:p>
    <w:sectPr w:rsidR="007A50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arabic kufi">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70AA8"/>
    <w:rsid w:val="00170AA8"/>
    <w:rsid w:val="00482EF2"/>
    <w:rsid w:val="007A50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70A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0AA8"/>
    <w:rPr>
      <w:rFonts w:ascii="Times New Roman" w:eastAsia="Times New Roman" w:hAnsi="Times New Roman" w:cs="Times New Roman"/>
      <w:b/>
      <w:bCs/>
      <w:kern w:val="36"/>
      <w:sz w:val="48"/>
      <w:szCs w:val="48"/>
    </w:rPr>
  </w:style>
  <w:style w:type="paragraph" w:customStyle="1" w:styleId="post-meta">
    <w:name w:val="post-meta"/>
    <w:basedOn w:val="Normal"/>
    <w:rsid w:val="00170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170AA8"/>
  </w:style>
  <w:style w:type="paragraph" w:styleId="NormalWeb">
    <w:name w:val="Normal (Web)"/>
    <w:basedOn w:val="Normal"/>
    <w:uiPriority w:val="99"/>
    <w:semiHidden/>
    <w:unhideWhenUsed/>
    <w:rsid w:val="00170AA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170AA8"/>
    <w:rPr>
      <w:color w:val="0000FF"/>
      <w:u w:val="single"/>
    </w:rPr>
  </w:style>
  <w:style w:type="character" w:styleId="lev">
    <w:name w:val="Strong"/>
    <w:basedOn w:val="Policepardfaut"/>
    <w:uiPriority w:val="22"/>
    <w:qFormat/>
    <w:rsid w:val="00170AA8"/>
    <w:rPr>
      <w:b/>
      <w:bCs/>
    </w:rPr>
  </w:style>
  <w:style w:type="paragraph" w:styleId="Textedebulles">
    <w:name w:val="Balloon Text"/>
    <w:basedOn w:val="Normal"/>
    <w:link w:val="TextedebullesCar"/>
    <w:uiPriority w:val="99"/>
    <w:semiHidden/>
    <w:unhideWhenUsed/>
    <w:rsid w:val="00170A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0A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4703762">
      <w:bodyDiv w:val="1"/>
      <w:marLeft w:val="0"/>
      <w:marRight w:val="0"/>
      <w:marTop w:val="0"/>
      <w:marBottom w:val="0"/>
      <w:divBdr>
        <w:top w:val="none" w:sz="0" w:space="0" w:color="auto"/>
        <w:left w:val="none" w:sz="0" w:space="0" w:color="auto"/>
        <w:bottom w:val="none" w:sz="0" w:space="0" w:color="auto"/>
        <w:right w:val="none" w:sz="0" w:space="0" w:color="auto"/>
      </w:divBdr>
    </w:div>
    <w:div w:id="1095903891">
      <w:bodyDiv w:val="1"/>
      <w:marLeft w:val="0"/>
      <w:marRight w:val="0"/>
      <w:marTop w:val="0"/>
      <w:marBottom w:val="0"/>
      <w:divBdr>
        <w:top w:val="none" w:sz="0" w:space="0" w:color="auto"/>
        <w:left w:val="none" w:sz="0" w:space="0" w:color="auto"/>
        <w:bottom w:val="none" w:sz="0" w:space="0" w:color="auto"/>
        <w:right w:val="none" w:sz="0" w:space="0" w:color="auto"/>
      </w:divBdr>
      <w:divsChild>
        <w:div w:id="121964499">
          <w:marLeft w:val="0"/>
          <w:marRight w:val="0"/>
          <w:marTop w:val="0"/>
          <w:marBottom w:val="0"/>
          <w:divBdr>
            <w:top w:val="none" w:sz="0" w:space="0" w:color="auto"/>
            <w:left w:val="none" w:sz="0" w:space="0" w:color="auto"/>
            <w:bottom w:val="none" w:sz="0" w:space="0" w:color="auto"/>
            <w:right w:val="none" w:sz="0" w:space="0" w:color="auto"/>
          </w:divBdr>
          <w:divsChild>
            <w:div w:id="1512182405">
              <w:marLeft w:val="0"/>
              <w:marRight w:val="0"/>
              <w:marTop w:val="0"/>
              <w:marBottom w:val="0"/>
              <w:divBdr>
                <w:top w:val="none" w:sz="0" w:space="0" w:color="auto"/>
                <w:left w:val="none" w:sz="0" w:space="0" w:color="auto"/>
                <w:bottom w:val="none" w:sz="0" w:space="0" w:color="auto"/>
                <w:right w:val="none" w:sz="0" w:space="0" w:color="auto"/>
              </w:divBdr>
            </w:div>
            <w:div w:id="73359597">
              <w:marLeft w:val="0"/>
              <w:marRight w:val="0"/>
              <w:marTop w:val="0"/>
              <w:marBottom w:val="0"/>
              <w:divBdr>
                <w:top w:val="none" w:sz="0" w:space="0" w:color="auto"/>
                <w:left w:val="none" w:sz="0" w:space="0" w:color="auto"/>
                <w:bottom w:val="none" w:sz="0" w:space="0" w:color="auto"/>
                <w:right w:val="none" w:sz="0" w:space="0" w:color="auto"/>
              </w:divBdr>
              <w:divsChild>
                <w:div w:id="1539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media.ma/wp-content/uploads/2016/12/%D9%86%D9%85%D9%88.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infomedia.ma/wp-content/uploads/2016/12/hqdefault2.jp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nfomedia.ma/wp-content/uploads/2016/12/HH.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infomedia.ma/wp-content/uploads/2016/12/10474770-17185821.jpg" TargetMode="External"/><Relationship Id="rId4" Type="http://schemas.openxmlformats.org/officeDocument/2006/relationships/hyperlink" Target="http://www.infomedia.ma/2016/12/23/265813/%D8%AE%D8%A7%D8%B5-%D9%84%D8%AD%D9%84%D9%8A%D9%85%D9%8A-%D9%8A%D9%83%D8%B4%D9%81-%D8%A8%D9%84%D8%BA%D8%A9-%D8%A7%D9%84%D8%A3%D8%B1%D9%82%D8%A7%D9%85-%D8%A7%D9%84%D8%A3%D8%B3%D8%A8%D8%A7%D8%A8-%D8%A7" TargetMode="External"/><Relationship Id="rId9" Type="http://schemas.openxmlformats.org/officeDocument/2006/relationships/image" Target="media/image3.jpeg"/><Relationship Id="rId14" Type="http://schemas.openxmlformats.org/officeDocument/2006/relationships/hyperlink" Target="http://www.infomedia.ma/2016/12/23/265813/%D8%AE%D8%A7%D8%B5-%D9%84%D8%AD%D9%84%D9%8A%D9%85%D9%8A-%D9%8A%D9%83%D8%B4%D9%81-%D8%A8%D9%84%D8%BA%D8%A9-%D8%A7%D9%84%D8%A3%D8%B1%D9%82%D8%A7%D9%85-%D8%A7%D9%84%D8%A3%D8%B3%D8%A8%D8%A7%D8%A8-%D8%A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794</Words>
  <Characters>4369</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4</cp:revision>
  <dcterms:created xsi:type="dcterms:W3CDTF">2016-12-29T11:42:00Z</dcterms:created>
  <dcterms:modified xsi:type="dcterms:W3CDTF">2016-12-29T11:50:00Z</dcterms:modified>
</cp:coreProperties>
</file>