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ED7A9C" w:rsidP="00CE2139">
      <w:pPr>
        <w:bidi/>
        <w:jc w:val="center"/>
        <w:outlineLvl w:val="0"/>
      </w:pPr>
      <w:bookmarkStart w:id="0" w:name="_GoBack"/>
      <w:bookmarkEnd w:id="0"/>
      <w:r>
        <w:rPr>
          <w:noProof/>
        </w:rPr>
        <w:pict>
          <v:rect id="_x0000_s1026" style="position:absolute;left:0;text-align:left;margin-left:-91.3pt;margin-top:-65.2pt;width:655pt;height:354.8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755372051" r:id="rId9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6B4218" w:rsidRDefault="006B4218" w:rsidP="00BD0B07">
      <w:pPr>
        <w:jc w:val="center"/>
        <w:rPr>
          <w:rFonts w:ascii="Book Antiqua" w:hAnsi="Book Antiqua" w:cs="Arial"/>
          <w:b/>
          <w:bCs/>
        </w:rPr>
      </w:pPr>
    </w:p>
    <w:p w:rsidR="00F56BC7" w:rsidRDefault="00F56BC7" w:rsidP="00BD0B07">
      <w:pPr>
        <w:jc w:val="center"/>
        <w:rPr>
          <w:rFonts w:ascii="Book Antiqua" w:hAnsi="Book Antiqua" w:cs="Arial"/>
          <w:b/>
          <w:bCs/>
        </w:rPr>
      </w:pPr>
    </w:p>
    <w:p w:rsidR="00F56BC7" w:rsidRDefault="00F56BC7" w:rsidP="00BD0B07">
      <w:pPr>
        <w:jc w:val="center"/>
        <w:rPr>
          <w:rFonts w:ascii="Book Antiqua" w:hAnsi="Book Antiqua" w:cs="Arial"/>
          <w:b/>
          <w:bCs/>
        </w:rPr>
      </w:pPr>
    </w:p>
    <w:p w:rsidR="00F56BC7" w:rsidRDefault="00F56BC7" w:rsidP="00BD0B07">
      <w:pPr>
        <w:jc w:val="center"/>
        <w:rPr>
          <w:rFonts w:ascii="Book Antiqua" w:hAnsi="Book Antiqua" w:cs="Arial"/>
          <w:b/>
          <w:bCs/>
        </w:rPr>
      </w:pPr>
    </w:p>
    <w:p w:rsidR="00F56BC7" w:rsidRDefault="00F56BC7" w:rsidP="00BD0B07">
      <w:pPr>
        <w:jc w:val="center"/>
        <w:rPr>
          <w:rFonts w:ascii="Book Antiqua" w:hAnsi="Book Antiqua" w:cs="Arial"/>
          <w:b/>
          <w:bCs/>
        </w:rPr>
      </w:pPr>
    </w:p>
    <w:p w:rsidR="002A5DEF" w:rsidRPr="006A300B" w:rsidRDefault="002A5DEF" w:rsidP="002A5DEF">
      <w:pPr>
        <w:jc w:val="center"/>
        <w:rPr>
          <w:rFonts w:ascii="Arial" w:hAnsi="Arial" w:cs="Arial"/>
          <w:b/>
          <w:bCs/>
          <w:shadow/>
          <w:color w:val="993265"/>
          <w:spacing w:val="-4"/>
          <w:w w:val="108"/>
          <w:sz w:val="36"/>
          <w:szCs w:val="36"/>
        </w:rPr>
      </w:pPr>
      <w:r w:rsidRPr="002A5DEF">
        <w:rPr>
          <w:rFonts w:ascii="Book Antiqua" w:hAnsi="Book Antiqua"/>
          <w:b/>
          <w:color w:val="FF0000"/>
          <w:sz w:val="40"/>
          <w:szCs w:val="40"/>
        </w:rPr>
        <w:t xml:space="preserve"> </w:t>
      </w:r>
      <w:r w:rsidRPr="006A300B">
        <w:rPr>
          <w:rFonts w:ascii="Arial" w:hAnsi="Arial" w:cs="Arial"/>
          <w:b/>
          <w:bCs/>
          <w:shadow/>
          <w:color w:val="993265"/>
          <w:spacing w:val="-4"/>
          <w:w w:val="108"/>
          <w:sz w:val="36"/>
          <w:szCs w:val="36"/>
        </w:rPr>
        <w:t>Note d’information relative aux comptes régionaux de l’année 2021</w:t>
      </w:r>
    </w:p>
    <w:p w:rsidR="002A5DEF" w:rsidRPr="006A300B" w:rsidRDefault="002A5DEF" w:rsidP="002A5DEF">
      <w:pPr>
        <w:jc w:val="center"/>
        <w:rPr>
          <w:rFonts w:ascii="Arial" w:hAnsi="Arial" w:cs="Arial"/>
          <w:b/>
          <w:bCs/>
          <w:shadow/>
          <w:color w:val="993265"/>
          <w:spacing w:val="-4"/>
          <w:w w:val="108"/>
          <w:sz w:val="36"/>
          <w:szCs w:val="36"/>
        </w:rPr>
      </w:pPr>
      <w:r w:rsidRPr="006A300B">
        <w:rPr>
          <w:rFonts w:ascii="Arial" w:hAnsi="Arial" w:cs="Arial"/>
          <w:b/>
          <w:bCs/>
          <w:shadow/>
          <w:color w:val="993265"/>
          <w:spacing w:val="-4"/>
          <w:w w:val="108"/>
          <w:sz w:val="36"/>
          <w:szCs w:val="36"/>
        </w:rPr>
        <w:t>Base 2014</w:t>
      </w:r>
    </w:p>
    <w:p w:rsidR="00F56BC7" w:rsidRDefault="00F56BC7" w:rsidP="00F56BC7">
      <w:pPr>
        <w:widowControl w:val="0"/>
        <w:autoSpaceDE w:val="0"/>
        <w:autoSpaceDN w:val="0"/>
        <w:adjustRightInd w:val="0"/>
        <w:spacing w:line="200" w:lineRule="exact"/>
        <w:rPr>
          <w:rFonts w:ascii="Helvetica" w:hAnsi="Helvetica" w:cs="Helvetica"/>
          <w:color w:val="000000"/>
          <w:sz w:val="20"/>
          <w:szCs w:val="20"/>
        </w:rPr>
      </w:pPr>
    </w:p>
    <w:p w:rsidR="00F56BC7" w:rsidRDefault="00F56BC7" w:rsidP="00F56BC7">
      <w:pPr>
        <w:widowControl w:val="0"/>
        <w:autoSpaceDE w:val="0"/>
        <w:autoSpaceDN w:val="0"/>
        <w:adjustRightInd w:val="0"/>
        <w:spacing w:line="200" w:lineRule="exact"/>
        <w:rPr>
          <w:rFonts w:ascii="Helvetica" w:hAnsi="Helvetica" w:cs="Helvetica"/>
          <w:color w:val="000000"/>
          <w:sz w:val="20"/>
          <w:szCs w:val="20"/>
        </w:rPr>
      </w:pPr>
    </w:p>
    <w:p w:rsidR="00F56BC7" w:rsidRDefault="00F56BC7" w:rsidP="00F56BC7">
      <w:pPr>
        <w:widowControl w:val="0"/>
        <w:autoSpaceDE w:val="0"/>
        <w:autoSpaceDN w:val="0"/>
        <w:adjustRightInd w:val="0"/>
        <w:spacing w:line="200" w:lineRule="exact"/>
        <w:rPr>
          <w:rFonts w:ascii="Helvetica" w:hAnsi="Helvetica" w:cs="Helvetica"/>
          <w:color w:val="000000"/>
          <w:sz w:val="20"/>
          <w:szCs w:val="20"/>
        </w:rPr>
      </w:pPr>
    </w:p>
    <w:p w:rsidR="00F56BC7" w:rsidRDefault="00F56BC7" w:rsidP="00F56BC7">
      <w:pPr>
        <w:widowControl w:val="0"/>
        <w:autoSpaceDE w:val="0"/>
        <w:autoSpaceDN w:val="0"/>
        <w:adjustRightInd w:val="0"/>
        <w:spacing w:line="200" w:lineRule="exact"/>
        <w:rPr>
          <w:rFonts w:ascii="Helvetica" w:hAnsi="Helvetica" w:cs="Helvetica"/>
          <w:color w:val="000000"/>
          <w:sz w:val="20"/>
          <w:szCs w:val="20"/>
        </w:rPr>
      </w:pPr>
    </w:p>
    <w:p w:rsidR="00F56BC7" w:rsidRDefault="00F56BC7" w:rsidP="00F56BC7">
      <w:pPr>
        <w:widowControl w:val="0"/>
        <w:autoSpaceDE w:val="0"/>
        <w:autoSpaceDN w:val="0"/>
        <w:adjustRightInd w:val="0"/>
        <w:spacing w:line="200" w:lineRule="exact"/>
        <w:rPr>
          <w:rFonts w:ascii="Helvetica" w:hAnsi="Helvetica" w:cs="Helvetica"/>
          <w:color w:val="000000"/>
          <w:sz w:val="20"/>
          <w:szCs w:val="20"/>
        </w:rPr>
      </w:pPr>
    </w:p>
    <w:p w:rsidR="002124FF" w:rsidRPr="002124FF" w:rsidRDefault="00745BB6" w:rsidP="00086AA4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 w:right="106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L</w:t>
      </w:r>
      <w:r w:rsidRPr="00654239">
        <w:rPr>
          <w:rFonts w:ascii="Book Antiqua" w:hAnsi="Book Antiqua" w:cs="Arial"/>
          <w:b/>
          <w:bCs/>
        </w:rPr>
        <w:t>’économie nationale a</w:t>
      </w:r>
      <w:r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enregistré</w:t>
      </w:r>
      <w:r w:rsidR="002124FF">
        <w:rPr>
          <w:rFonts w:ascii="Book Antiqua" w:hAnsi="Book Antiqua" w:cs="Arial"/>
          <w:b/>
          <w:bCs/>
        </w:rPr>
        <w:t>, en 2021</w:t>
      </w:r>
      <w:r>
        <w:rPr>
          <w:rFonts w:ascii="Book Antiqua" w:hAnsi="Book Antiqua" w:cs="Arial"/>
          <w:b/>
          <w:bCs/>
        </w:rPr>
        <w:t>,</w:t>
      </w:r>
      <w:r w:rsidRPr="00654239">
        <w:rPr>
          <w:rFonts w:ascii="Book Antiqua" w:hAnsi="Book Antiqua" w:cs="Arial"/>
          <w:b/>
          <w:bCs/>
        </w:rPr>
        <w:t xml:space="preserve"> un produit intérieur brut (PIB) </w:t>
      </w:r>
      <w:r>
        <w:rPr>
          <w:rFonts w:ascii="Book Antiqua" w:hAnsi="Book Antiqua" w:cs="Arial"/>
          <w:b/>
          <w:bCs/>
        </w:rPr>
        <w:t>en volume de 1</w:t>
      </w:r>
      <w:r w:rsidR="002124FF">
        <w:rPr>
          <w:rFonts w:ascii="Book Antiqua" w:hAnsi="Book Antiqua" w:cs="Arial"/>
          <w:b/>
          <w:bCs/>
        </w:rPr>
        <w:t>244</w:t>
      </w:r>
      <w:r>
        <w:rPr>
          <w:rFonts w:ascii="Book Antiqua" w:hAnsi="Book Antiqua" w:cs="Arial"/>
          <w:b/>
          <w:bCs/>
        </w:rPr>
        <w:t>,</w:t>
      </w:r>
      <w:r w:rsidR="002124FF">
        <w:rPr>
          <w:rFonts w:ascii="Book Antiqua" w:hAnsi="Book Antiqua" w:cs="Arial"/>
          <w:b/>
          <w:bCs/>
        </w:rPr>
        <w:t>9</w:t>
      </w:r>
      <w:r w:rsidR="00BC59D4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 w:rsidR="002124FF">
        <w:rPr>
          <w:rFonts w:ascii="Book Antiqua" w:hAnsi="Book Antiqua" w:cs="Arial"/>
          <w:b/>
          <w:bCs/>
        </w:rPr>
        <w:t xml:space="preserve"> avec une croissance</w:t>
      </w:r>
      <w:r>
        <w:rPr>
          <w:rFonts w:ascii="Book Antiqua" w:hAnsi="Book Antiqua" w:cs="Arial"/>
          <w:b/>
          <w:bCs/>
        </w:rPr>
        <w:t xml:space="preserve"> de</w:t>
      </w:r>
      <w:r w:rsidR="00BC59D4">
        <w:rPr>
          <w:rFonts w:ascii="Book Antiqua" w:hAnsi="Book Antiqua" w:cs="Arial"/>
          <w:b/>
          <w:bCs/>
        </w:rPr>
        <w:t xml:space="preserve"> </w:t>
      </w:r>
      <w:r w:rsidR="00086AA4">
        <w:rPr>
          <w:rFonts w:ascii="Book Antiqua" w:hAnsi="Book Antiqua" w:cs="Arial"/>
          <w:b/>
          <w:bCs/>
        </w:rPr>
        <w:t>8</w:t>
      </w:r>
      <w:r>
        <w:rPr>
          <w:rFonts w:ascii="Book Antiqua" w:hAnsi="Book Antiqua" w:cs="Arial"/>
          <w:b/>
          <w:bCs/>
        </w:rPr>
        <w:t xml:space="preserve"> % </w:t>
      </w:r>
      <w:r w:rsidR="002124FF" w:rsidRPr="002124FF">
        <w:rPr>
          <w:rFonts w:ascii="Book Antiqua" w:hAnsi="Book Antiqua" w:cs="Arial"/>
          <w:b/>
          <w:bCs/>
        </w:rPr>
        <w:t xml:space="preserve">après une profonde récession de 7,2% en 2020 due en particulier à la crise sanitaire. </w:t>
      </w:r>
      <w:r w:rsidR="00805DB9">
        <w:rPr>
          <w:rFonts w:ascii="Book Antiqua" w:hAnsi="Book Antiqua" w:cs="Arial"/>
          <w:b/>
          <w:bCs/>
        </w:rPr>
        <w:t xml:space="preserve">  </w:t>
      </w:r>
    </w:p>
    <w:p w:rsidR="00745BB6" w:rsidRDefault="00745BB6" w:rsidP="00086AA4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 w:right="106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 xml:space="preserve">Aux prix courants, le PIB a marqué une valeur de </w:t>
      </w:r>
      <w:r w:rsidR="00086AA4">
        <w:rPr>
          <w:rFonts w:ascii="Book Antiqua" w:hAnsi="Book Antiqua" w:cs="Arial"/>
          <w:b/>
          <w:bCs/>
        </w:rPr>
        <w:t>1274 ,7</w:t>
      </w:r>
      <w:r w:rsidR="00BC59D4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 w:rsidR="00086AA4">
        <w:rPr>
          <w:rFonts w:ascii="Book Antiqua" w:hAnsi="Book Antiqua" w:cs="Arial"/>
          <w:b/>
          <w:bCs/>
        </w:rPr>
        <w:t xml:space="preserve"> avec une hausse</w:t>
      </w:r>
      <w:r w:rsidRPr="00654239">
        <w:rPr>
          <w:rFonts w:ascii="Book Antiqua" w:hAnsi="Book Antiqua" w:cs="Arial"/>
          <w:b/>
          <w:bCs/>
        </w:rPr>
        <w:t xml:space="preserve"> de </w:t>
      </w:r>
      <w:r w:rsidR="00086AA4">
        <w:rPr>
          <w:rFonts w:ascii="Book Antiqua" w:hAnsi="Book Antiqua" w:cs="Arial"/>
          <w:b/>
          <w:bCs/>
        </w:rPr>
        <w:t>10,6</w:t>
      </w:r>
      <w:r w:rsidRPr="00654239">
        <w:rPr>
          <w:rFonts w:ascii="Book Antiqua" w:hAnsi="Book Antiqua" w:cs="Arial"/>
          <w:b/>
          <w:bCs/>
        </w:rPr>
        <w:t>%.</w:t>
      </w:r>
      <w:r w:rsidR="00805DB9">
        <w:rPr>
          <w:rFonts w:ascii="Book Antiqua" w:hAnsi="Book Antiqua" w:cs="Arial"/>
          <w:b/>
          <w:bCs/>
        </w:rPr>
        <w:t xml:space="preserve">  </w:t>
      </w:r>
    </w:p>
    <w:p w:rsidR="00055BC9" w:rsidRDefault="00745BB6" w:rsidP="00745BB6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Ce</w:t>
      </w:r>
      <w:r w:rsidR="00F523B4">
        <w:rPr>
          <w:rFonts w:ascii="Book Antiqua" w:hAnsi="Book Antiqua" w:cs="Arial"/>
          <w:b/>
          <w:bCs/>
        </w:rPr>
        <w:t>tte note</w:t>
      </w:r>
      <w:r>
        <w:rPr>
          <w:rFonts w:ascii="Book Antiqua" w:hAnsi="Book Antiqua" w:cs="Arial"/>
          <w:b/>
          <w:bCs/>
        </w:rPr>
        <w:t xml:space="preserve"> présente, par région, le PIB en volume et en valeur ainsi que les dépenses de c</w:t>
      </w:r>
      <w:r w:rsidR="002C6011">
        <w:rPr>
          <w:rFonts w:ascii="Book Antiqua" w:hAnsi="Book Antiqua" w:cs="Arial"/>
          <w:b/>
          <w:bCs/>
        </w:rPr>
        <w:t>onsommation finale</w:t>
      </w:r>
      <w:r w:rsidR="00055BC9">
        <w:rPr>
          <w:rFonts w:ascii="Book Antiqua" w:hAnsi="Book Antiqua" w:cs="Arial"/>
          <w:b/>
          <w:bCs/>
        </w:rPr>
        <w:t xml:space="preserve"> des ménages </w:t>
      </w:r>
      <w:r w:rsidR="0052449F">
        <w:rPr>
          <w:rFonts w:ascii="Book Antiqua" w:hAnsi="Book Antiqua" w:cs="Arial"/>
          <w:b/>
          <w:bCs/>
        </w:rPr>
        <w:t>de l’année 2021</w:t>
      </w:r>
      <w:r w:rsidR="0051081B">
        <w:rPr>
          <w:rFonts w:ascii="Book Antiqua" w:hAnsi="Book Antiqua" w:cs="Arial"/>
          <w:b/>
          <w:bCs/>
        </w:rPr>
        <w:t xml:space="preserve"> selon la base 2014 des comptes nationaux</w:t>
      </w:r>
      <w:r w:rsidR="00055BC9">
        <w:rPr>
          <w:rFonts w:ascii="Book Antiqua" w:hAnsi="Book Antiqua" w:cs="Arial"/>
          <w:b/>
          <w:bCs/>
        </w:rPr>
        <w:t>.</w:t>
      </w:r>
    </w:p>
    <w:p w:rsidR="00745BB6" w:rsidRDefault="00745BB6" w:rsidP="00745BB6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</w:p>
    <w:p w:rsidR="00745BB6" w:rsidRPr="00C74ECE" w:rsidRDefault="00745BB6" w:rsidP="00745BB6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C74ECE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Croissance économique régionale </w:t>
      </w:r>
    </w:p>
    <w:p w:rsidR="00745BB6" w:rsidRDefault="00745BB6" w:rsidP="00745BB6">
      <w:pPr>
        <w:jc w:val="both"/>
        <w:rPr>
          <w:rFonts w:ascii="Book Antiqua" w:hAnsi="Book Antiqua" w:cs="Arial"/>
        </w:rPr>
      </w:pPr>
      <w:r w:rsidRPr="004E176F">
        <w:rPr>
          <w:rFonts w:ascii="Book Antiqua" w:hAnsi="Book Antiqua" w:cs="Arial"/>
          <w:b/>
          <w:bCs/>
        </w:rPr>
        <w:t>En volume</w:t>
      </w:r>
      <w:r w:rsidR="00830DF1">
        <w:rPr>
          <w:rFonts w:ascii="Book Antiqua" w:hAnsi="Book Antiqua" w:cs="Arial"/>
        </w:rPr>
        <w:t>, les comptes régionaux de 202</w:t>
      </w:r>
      <w:r w:rsidR="00F523B4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 font ressortir des disparités des taux de croissance du PIB entre les régions. </w:t>
      </w:r>
    </w:p>
    <w:p w:rsidR="00745BB6" w:rsidRDefault="00745BB6" w:rsidP="00745BB6">
      <w:pPr>
        <w:jc w:val="both"/>
        <w:rPr>
          <w:rFonts w:ascii="Book Antiqua" w:hAnsi="Book Antiqua" w:cs="Arial"/>
        </w:rPr>
      </w:pPr>
    </w:p>
    <w:p w:rsidR="00745BB6" w:rsidRDefault="00F523B4" w:rsidP="00684EE2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Quatre</w:t>
      </w:r>
      <w:r w:rsidR="00745BB6">
        <w:rPr>
          <w:rFonts w:ascii="Book Antiqua" w:hAnsi="Book Antiqua" w:cs="Arial"/>
        </w:rPr>
        <w:t xml:space="preserve"> régions ont</w:t>
      </w:r>
      <w:r>
        <w:rPr>
          <w:rFonts w:ascii="Book Antiqua" w:hAnsi="Book Antiqua" w:cs="Arial"/>
        </w:rPr>
        <w:t xml:space="preserve"> </w:t>
      </w:r>
      <w:r w:rsidR="00745BB6">
        <w:rPr>
          <w:rFonts w:ascii="Book Antiqua" w:hAnsi="Book Antiqua" w:cs="Arial"/>
        </w:rPr>
        <w:t xml:space="preserve">pu enregistrer des taux de croissance </w:t>
      </w:r>
      <w:r>
        <w:rPr>
          <w:rFonts w:ascii="Book Antiqua" w:hAnsi="Book Antiqua" w:cs="Arial"/>
        </w:rPr>
        <w:t>supérieurs à la</w:t>
      </w:r>
      <w:r w:rsidRPr="007E6293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moyenne nationale (8%)</w:t>
      </w:r>
      <w:r w:rsidR="00745BB6">
        <w:rPr>
          <w:rFonts w:ascii="Book Antiqua" w:hAnsi="Book Antiqua" w:cs="Arial"/>
        </w:rPr>
        <w:t>. Il s’agit de</w:t>
      </w:r>
      <w:r>
        <w:rPr>
          <w:rFonts w:ascii="Book Antiqua" w:hAnsi="Book Antiqua" w:cs="Arial"/>
        </w:rPr>
        <w:t xml:space="preserve"> la</w:t>
      </w:r>
      <w:r w:rsidR="00745BB6">
        <w:rPr>
          <w:rFonts w:ascii="Book Antiqua" w:hAnsi="Book Antiqua" w:cs="Arial"/>
        </w:rPr>
        <w:t xml:space="preserve"> </w:t>
      </w:r>
      <w:r w:rsidR="00745BB6" w:rsidRPr="007E6293">
        <w:rPr>
          <w:rFonts w:ascii="Book Antiqua" w:hAnsi="Book Antiqua" w:cs="Arial"/>
        </w:rPr>
        <w:t xml:space="preserve">région </w:t>
      </w:r>
      <w:r w:rsidR="004801B8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 xml:space="preserve">e Fès-Meknès (12,7%), de </w:t>
      </w:r>
      <w:r w:rsidRPr="000F4F38">
        <w:rPr>
          <w:rFonts w:ascii="Book Antiqua" w:hAnsi="Book Antiqua" w:cs="Arial"/>
        </w:rPr>
        <w:t>Béni Mellal-Khénifra</w:t>
      </w:r>
      <w:r>
        <w:rPr>
          <w:rFonts w:ascii="Book Antiqua" w:hAnsi="Book Antiqua" w:cs="Arial"/>
        </w:rPr>
        <w:t xml:space="preserve"> (10,4%), </w:t>
      </w:r>
      <w:r w:rsidR="00684EE2">
        <w:rPr>
          <w:rFonts w:ascii="Book Antiqua" w:hAnsi="Book Antiqua" w:cs="Arial"/>
        </w:rPr>
        <w:t xml:space="preserve">de </w:t>
      </w:r>
      <w:r w:rsidR="00684EE2" w:rsidRPr="0073084F">
        <w:rPr>
          <w:rFonts w:ascii="Book Antiqua" w:hAnsi="Book Antiqua" w:cs="Arial"/>
        </w:rPr>
        <w:t>Tanger-Tétouan-Al Hoceima</w:t>
      </w:r>
      <w:r w:rsidR="00684EE2">
        <w:rPr>
          <w:rFonts w:ascii="Book Antiqua" w:hAnsi="Book Antiqua" w:cs="Arial"/>
        </w:rPr>
        <w:t xml:space="preserve"> (8,7%) et de Marrakech</w:t>
      </w:r>
      <w:r w:rsidR="00684EE2" w:rsidRPr="003E71FF">
        <w:rPr>
          <w:rFonts w:ascii="Book Antiqua" w:hAnsi="Book Antiqua" w:cs="Arial"/>
        </w:rPr>
        <w:t>-Saf</w:t>
      </w:r>
      <w:r w:rsidR="00684EE2">
        <w:rPr>
          <w:rFonts w:ascii="Book Antiqua" w:hAnsi="Book Antiqua" w:cs="Arial"/>
        </w:rPr>
        <w:t>i</w:t>
      </w:r>
      <w:r w:rsidR="00684EE2" w:rsidRPr="001B6AA5">
        <w:rPr>
          <w:rFonts w:ascii="Book Antiqua" w:hAnsi="Book Antiqua" w:cs="Arial"/>
        </w:rPr>
        <w:t xml:space="preserve"> </w:t>
      </w:r>
      <w:r w:rsidR="00684EE2">
        <w:rPr>
          <w:rFonts w:ascii="Book Antiqua" w:hAnsi="Book Antiqua" w:cs="Arial"/>
        </w:rPr>
        <w:t>(8,5%).</w:t>
      </w:r>
    </w:p>
    <w:p w:rsidR="00745BB6" w:rsidRDefault="00745BB6" w:rsidP="00745BB6">
      <w:pPr>
        <w:jc w:val="both"/>
        <w:rPr>
          <w:rFonts w:ascii="Book Antiqua" w:hAnsi="Book Antiqua" w:cs="Arial"/>
        </w:rPr>
      </w:pPr>
    </w:p>
    <w:p w:rsidR="00745BB6" w:rsidRDefault="00684EE2" w:rsidP="00684EE2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huit </w:t>
      </w:r>
      <w:r w:rsidR="00745BB6">
        <w:rPr>
          <w:rFonts w:ascii="Book Antiqua" w:hAnsi="Book Antiqua" w:cs="Arial"/>
        </w:rPr>
        <w:t>régions</w:t>
      </w:r>
      <w:r>
        <w:rPr>
          <w:rFonts w:ascii="Book Antiqua" w:hAnsi="Book Antiqua" w:cs="Arial"/>
        </w:rPr>
        <w:t xml:space="preserve"> restantes</w:t>
      </w:r>
      <w:r w:rsidR="00745BB6">
        <w:rPr>
          <w:rFonts w:ascii="Book Antiqua" w:hAnsi="Book Antiqua" w:cs="Arial"/>
        </w:rPr>
        <w:t xml:space="preserve"> ont enregistré des taux de croissance </w:t>
      </w:r>
      <w:r>
        <w:rPr>
          <w:rFonts w:ascii="Book Antiqua" w:hAnsi="Book Antiqua" w:cs="Arial"/>
        </w:rPr>
        <w:t>inférieur</w:t>
      </w:r>
      <w:r w:rsidR="0052449F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à </w:t>
      </w:r>
      <w:r w:rsidR="00745BB6">
        <w:rPr>
          <w:rFonts w:ascii="Book Antiqua" w:hAnsi="Book Antiqua" w:cs="Arial"/>
        </w:rPr>
        <w:t>la moyenne nationale (</w:t>
      </w:r>
      <w:r>
        <w:rPr>
          <w:rFonts w:ascii="Book Antiqua" w:hAnsi="Book Antiqua" w:cs="Arial"/>
        </w:rPr>
        <w:t>8</w:t>
      </w:r>
      <w:r w:rsidR="00745BB6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 ; allant de (4,2%) dans la région de </w:t>
      </w:r>
      <w:r w:rsidRPr="00AD2025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 à (7,9%) dans la région de </w:t>
      </w:r>
      <w:r w:rsidRPr="001B6AA5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>.</w:t>
      </w:r>
    </w:p>
    <w:p w:rsidR="00684EE2" w:rsidRDefault="00684EE2" w:rsidP="00684EE2">
      <w:pPr>
        <w:jc w:val="both"/>
        <w:rPr>
          <w:rFonts w:ascii="Book Antiqua" w:hAnsi="Book Antiqua" w:cs="Arial"/>
        </w:rPr>
      </w:pPr>
    </w:p>
    <w:p w:rsidR="00745BB6" w:rsidRDefault="00745BB6" w:rsidP="00745BB6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  <w:rtl/>
        </w:rPr>
      </w:pPr>
    </w:p>
    <w:p w:rsidR="00055BC9" w:rsidRDefault="00A119A4" w:rsidP="00A119A4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  <w:rtl/>
        </w:rPr>
      </w:pPr>
      <w:r>
        <w:rPr>
          <w:noProof/>
        </w:rPr>
        <w:lastRenderedPageBreak/>
        <w:drawing>
          <wp:inline distT="0" distB="0" distL="0" distR="0">
            <wp:extent cx="6038850" cy="3505200"/>
            <wp:effectExtent l="19050" t="19050" r="19050" b="19050"/>
            <wp:docPr id="6" name="Graphique 6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B03E199E-0C81-4859-A03F-89CFABBD5A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55BC9" w:rsidRDefault="00055BC9" w:rsidP="00745BB6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  <w:rtl/>
        </w:rPr>
      </w:pPr>
    </w:p>
    <w:p w:rsidR="00745BB6" w:rsidRDefault="00655010" w:rsidP="003E6774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noProof/>
        </w:rPr>
        <w:t xml:space="preserve"> </w:t>
      </w:r>
      <w:r w:rsidR="00745BB6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="00745BB6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à la </w:t>
      </w:r>
      <w:r w:rsidR="00745BB6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création du PIB en valeur</w:t>
      </w:r>
    </w:p>
    <w:p w:rsidR="00745BB6" w:rsidRPr="00242F95" w:rsidRDefault="00745BB6" w:rsidP="00745BB6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</w:rPr>
        <w:t xml:space="preserve">Aux prix courants, </w:t>
      </w:r>
      <w:r w:rsidR="00A13FA9">
        <w:rPr>
          <w:rFonts w:ascii="Book Antiqua" w:hAnsi="Book Antiqua" w:cs="Arial"/>
        </w:rPr>
        <w:t>la</w:t>
      </w:r>
      <w:r>
        <w:rPr>
          <w:rFonts w:ascii="Book Antiqua" w:hAnsi="Book Antiqua" w:cs="Arial"/>
        </w:rPr>
        <w:t xml:space="preserve"> région de Casablanca-Settat</w:t>
      </w:r>
      <w:r w:rsidR="00A13FA9">
        <w:rPr>
          <w:rFonts w:ascii="Book Antiqua" w:hAnsi="Book Antiqua" w:cs="Arial"/>
        </w:rPr>
        <w:t xml:space="preserve"> a créé presque un tiers (32,2%) du PIB national</w:t>
      </w:r>
      <w:r>
        <w:rPr>
          <w:rFonts w:ascii="Book Antiqua" w:hAnsi="Book Antiqua" w:cs="Arial"/>
        </w:rPr>
        <w:t xml:space="preserve">, </w:t>
      </w:r>
      <w:r w:rsidR="008D5CAE">
        <w:rPr>
          <w:rFonts w:ascii="Book Antiqua" w:hAnsi="Book Antiqua" w:cs="Arial"/>
        </w:rPr>
        <w:t>l</w:t>
      </w:r>
      <w:r w:rsidR="008D5CAE" w:rsidRPr="00D51E50">
        <w:rPr>
          <w:rFonts w:ascii="Book Antiqua" w:hAnsi="Book Antiqua" w:cs="Arial"/>
        </w:rPr>
        <w:t xml:space="preserve">es </w:t>
      </w:r>
      <w:r w:rsidR="00A13FA9">
        <w:rPr>
          <w:rFonts w:ascii="Book Antiqua" w:hAnsi="Book Antiqua" w:cs="Arial"/>
        </w:rPr>
        <w:t>deux</w:t>
      </w:r>
      <w:r w:rsidR="008D5CAE">
        <w:rPr>
          <w:rFonts w:ascii="Book Antiqua" w:hAnsi="Book Antiqua" w:cs="Arial"/>
        </w:rPr>
        <w:t xml:space="preserve"> régions </w:t>
      </w:r>
      <w:r w:rsidRPr="000762DA">
        <w:rPr>
          <w:rFonts w:ascii="Book Antiqua" w:hAnsi="Book Antiqua" w:cs="Arial"/>
        </w:rPr>
        <w:t>de Rabat-Salé-Kénitra</w:t>
      </w:r>
      <w:r>
        <w:rPr>
          <w:rFonts w:ascii="Book Antiqua" w:hAnsi="Book Antiqua" w:cs="Arial"/>
        </w:rPr>
        <w:t xml:space="preserve"> et de </w:t>
      </w:r>
      <w:r w:rsidRPr="0073084F">
        <w:rPr>
          <w:rFonts w:ascii="Book Antiqua" w:hAnsi="Book Antiqua" w:cs="Arial"/>
        </w:rPr>
        <w:t xml:space="preserve">Tanger-Tétouan-Al Hoceima </w:t>
      </w:r>
      <w:r>
        <w:rPr>
          <w:rFonts w:ascii="Book Antiqua" w:hAnsi="Book Antiqua" w:cs="Arial"/>
        </w:rPr>
        <w:t xml:space="preserve">ont créé </w:t>
      </w:r>
      <w:r w:rsidR="00A13FA9">
        <w:rPr>
          <w:rFonts w:ascii="Book Antiqua" w:hAnsi="Book Antiqua" w:cs="Arial"/>
        </w:rPr>
        <w:t>un peu plus d’un quart (26,4</w:t>
      </w:r>
      <w:r>
        <w:rPr>
          <w:rFonts w:ascii="Book Antiqua" w:hAnsi="Book Antiqua" w:cs="Arial"/>
        </w:rPr>
        <w:t>%</w:t>
      </w:r>
      <w:r w:rsidR="00930B54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 de la richesse nationale, avec 15,9% et 10,</w:t>
      </w:r>
      <w:r w:rsidR="008D3BCA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% respectivement.</w:t>
      </w:r>
    </w:p>
    <w:p w:rsidR="00745BB6" w:rsidRPr="00E9771B" w:rsidRDefault="00745BB6" w:rsidP="00745BB6">
      <w:pPr>
        <w:pStyle w:val="Paragraphedeliste"/>
        <w:autoSpaceDE w:val="0"/>
        <w:autoSpaceDN w:val="0"/>
        <w:adjustRightInd w:val="0"/>
        <w:spacing w:before="240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Cinq </w:t>
      </w:r>
      <w:r w:rsidRPr="000762DA">
        <w:rPr>
          <w:rFonts w:ascii="Book Antiqua" w:hAnsi="Book Antiqua" w:cs="Arial"/>
        </w:rPr>
        <w:t>région</w:t>
      </w:r>
      <w:r>
        <w:rPr>
          <w:rFonts w:ascii="Book Antiqua" w:hAnsi="Book Antiqua" w:cs="Arial"/>
        </w:rPr>
        <w:t xml:space="preserve">s ont généré </w:t>
      </w:r>
      <w:r w:rsidR="00930B54">
        <w:rPr>
          <w:rFonts w:ascii="Book Antiqua" w:hAnsi="Book Antiqua" w:cs="Arial"/>
        </w:rPr>
        <w:t>un autre tiers (</w:t>
      </w:r>
      <w:r>
        <w:rPr>
          <w:rFonts w:ascii="Book Antiqua" w:hAnsi="Book Antiqua" w:cs="Arial"/>
        </w:rPr>
        <w:t>3</w:t>
      </w:r>
      <w:r w:rsidR="008D3BCA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,</w:t>
      </w:r>
      <w:r w:rsidR="008D3BCA">
        <w:rPr>
          <w:rFonts w:ascii="Book Antiqua" w:hAnsi="Book Antiqua" w:cs="Arial"/>
        </w:rPr>
        <w:t>5</w:t>
      </w:r>
      <w:r w:rsidRPr="000762DA">
        <w:rPr>
          <w:rFonts w:ascii="Book Antiqua" w:hAnsi="Book Antiqua" w:cs="Arial"/>
        </w:rPr>
        <w:t>%</w:t>
      </w:r>
      <w:r w:rsidR="00930B54">
        <w:rPr>
          <w:rFonts w:ascii="Book Antiqua" w:hAnsi="Book Antiqua" w:cs="Arial"/>
        </w:rPr>
        <w:t>)</w:t>
      </w:r>
      <w:r w:rsidRPr="000762DA">
        <w:rPr>
          <w:rFonts w:ascii="Book Antiqua" w:hAnsi="Book Antiqua" w:cs="Arial"/>
        </w:rPr>
        <w:t xml:space="preserve"> du PIB</w:t>
      </w:r>
      <w:r>
        <w:rPr>
          <w:rFonts w:ascii="Book Antiqua" w:hAnsi="Book Antiqua" w:cs="Arial"/>
        </w:rPr>
        <w:t xml:space="preserve"> : la région de </w:t>
      </w:r>
      <w:r w:rsidR="008D3BCA">
        <w:rPr>
          <w:rFonts w:ascii="Book Antiqua" w:hAnsi="Book Antiqua" w:cs="Arial"/>
        </w:rPr>
        <w:t xml:space="preserve">Fès-Meknès </w:t>
      </w:r>
      <w:r>
        <w:rPr>
          <w:rFonts w:ascii="Book Antiqua" w:hAnsi="Book Antiqua" w:cs="Arial"/>
        </w:rPr>
        <w:t xml:space="preserve">avec </w:t>
      </w:r>
      <w:r w:rsidR="008D3BCA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,</w:t>
      </w:r>
      <w:r w:rsidR="008D3BCA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%, la région de </w:t>
      </w:r>
      <w:r w:rsidR="008D3BCA" w:rsidRPr="000762DA">
        <w:rPr>
          <w:rFonts w:ascii="Book Antiqua" w:hAnsi="Book Antiqua" w:cs="Arial"/>
        </w:rPr>
        <w:t>Marrakech-Safi</w:t>
      </w:r>
      <w:r>
        <w:rPr>
          <w:rFonts w:ascii="Book Antiqua" w:hAnsi="Book Antiqua" w:cs="Arial"/>
        </w:rPr>
        <w:t xml:space="preserve"> avec 7,</w:t>
      </w:r>
      <w:r w:rsidR="008D3BCA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%, la région </w:t>
      </w:r>
      <w:r w:rsidRPr="000762DA">
        <w:rPr>
          <w:rFonts w:ascii="Book Antiqua" w:hAnsi="Book Antiqua" w:cs="Arial"/>
        </w:rPr>
        <w:t xml:space="preserve">de </w:t>
      </w:r>
      <w:r w:rsidRPr="0073084F">
        <w:rPr>
          <w:rFonts w:ascii="Book Antiqua" w:hAnsi="Book Antiqua" w:cs="Arial"/>
        </w:rPr>
        <w:t>Souss-Massa</w:t>
      </w:r>
      <w:r>
        <w:rPr>
          <w:rFonts w:ascii="Book Antiqua" w:hAnsi="Book Antiqua" w:cs="Arial"/>
        </w:rPr>
        <w:t xml:space="preserve"> avec 6</w:t>
      </w:r>
      <w:r w:rsidRPr="000762DA">
        <w:rPr>
          <w:rFonts w:ascii="Book Antiqua" w:hAnsi="Book Antiqua" w:cs="Arial"/>
        </w:rPr>
        <w:t>,</w:t>
      </w:r>
      <w:r w:rsidR="008D3BCA">
        <w:rPr>
          <w:rFonts w:ascii="Book Antiqua" w:hAnsi="Book Antiqua" w:cs="Arial"/>
        </w:rPr>
        <w:t>2</w:t>
      </w:r>
      <w:r w:rsidRPr="000762DA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, de Béni</w:t>
      </w:r>
      <w:r w:rsidRPr="000762DA">
        <w:rPr>
          <w:rFonts w:ascii="Book Antiqua" w:hAnsi="Book Antiqua" w:cs="Arial"/>
        </w:rPr>
        <w:t xml:space="preserve"> Mellal-Khénifra</w:t>
      </w:r>
      <w:r>
        <w:rPr>
          <w:rFonts w:ascii="Book Antiqua" w:hAnsi="Book Antiqua" w:cs="Arial"/>
        </w:rPr>
        <w:t xml:space="preserve"> avec 5,</w:t>
      </w:r>
      <w:r w:rsidR="008D3BCA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%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et de l’Oriental avec 5,</w:t>
      </w:r>
      <w:r w:rsidR="008D3BCA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%.</w:t>
      </w:r>
    </w:p>
    <w:p w:rsidR="003E6774" w:rsidRDefault="003E6774" w:rsidP="003E6774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E9771B">
        <w:rPr>
          <w:rFonts w:ascii="Book Antiqua" w:hAnsi="Book Antiqua" w:cs="Arial"/>
        </w:rPr>
        <w:t xml:space="preserve">es trois régions du sud </w:t>
      </w:r>
      <w:r>
        <w:rPr>
          <w:rFonts w:ascii="Book Antiqua" w:hAnsi="Book Antiqua" w:cs="Arial"/>
        </w:rPr>
        <w:t xml:space="preserve">et la région de </w:t>
      </w:r>
      <w:r w:rsidRPr="00E9771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n’ont contribué qu’à hauteur </w:t>
      </w:r>
      <w:r w:rsidRPr="00E9771B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>7,7% à la création du PIB en valeur, avec 4</w:t>
      </w:r>
      <w:r w:rsidRPr="00E9771B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8</w:t>
      </w:r>
      <w:r w:rsidRPr="00E9771B">
        <w:rPr>
          <w:rFonts w:ascii="Book Antiqua" w:hAnsi="Book Antiqua" w:cs="Arial"/>
        </w:rPr>
        <w:t>%</w:t>
      </w:r>
      <w:r w:rsidRPr="003E6774">
        <w:rPr>
          <w:rFonts w:ascii="Book Antiqua" w:hAnsi="Book Antiqua" w:cs="Arial"/>
        </w:rPr>
        <w:t xml:space="preserve"> </w:t>
      </w:r>
      <w:r w:rsidRPr="00E9771B">
        <w:rPr>
          <w:rFonts w:ascii="Book Antiqua" w:hAnsi="Book Antiqua" w:cs="Arial"/>
        </w:rPr>
        <w:t>et</w:t>
      </w:r>
      <w:r>
        <w:rPr>
          <w:rFonts w:ascii="Book Antiqua" w:hAnsi="Book Antiqua" w:cs="Arial"/>
        </w:rPr>
        <w:t xml:space="preserve"> 2,8% </w:t>
      </w:r>
      <w:r w:rsidRPr="00070FA9">
        <w:rPr>
          <w:rFonts w:ascii="Book Antiqua" w:hAnsi="Book Antiqua" w:cs="Arial"/>
        </w:rPr>
        <w:t>respectivement</w:t>
      </w:r>
      <w:r>
        <w:rPr>
          <w:rFonts w:ascii="Book Antiqua" w:hAnsi="Book Antiqua" w:cs="Arial"/>
        </w:rPr>
        <w:t>.</w:t>
      </w:r>
    </w:p>
    <w:p w:rsidR="00745BB6" w:rsidRDefault="00745BB6" w:rsidP="00745BB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ces conditions, les disparités quant à la création de la richesse entre les régions se sont </w:t>
      </w:r>
      <w:r w:rsidR="00627B70">
        <w:rPr>
          <w:rFonts w:ascii="Book Antiqua" w:hAnsi="Book Antiqua" w:cs="Arial"/>
        </w:rPr>
        <w:t>accent</w:t>
      </w:r>
      <w:r>
        <w:rPr>
          <w:rFonts w:ascii="Book Antiqua" w:hAnsi="Book Antiqua" w:cs="Arial"/>
        </w:rPr>
        <w:t>uées.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(la moyenne des écarts absolus </w:t>
      </w:r>
      <w:r w:rsidRPr="00AC52D2">
        <w:rPr>
          <w:rFonts w:ascii="Book Antiqua" w:hAnsi="Book Antiqua" w:cs="Arial"/>
        </w:rPr>
        <w:t>entre le PIB des différen</w:t>
      </w:r>
      <w:r>
        <w:rPr>
          <w:rFonts w:ascii="Book Antiqua" w:hAnsi="Book Antiqua" w:cs="Arial"/>
        </w:rPr>
        <w:t xml:space="preserve">tes régions et le PIB régional </w:t>
      </w:r>
      <w:r w:rsidRPr="00AC52D2">
        <w:rPr>
          <w:rFonts w:ascii="Book Antiqua" w:hAnsi="Book Antiqua" w:cs="Arial"/>
        </w:rPr>
        <w:t>moyen</w:t>
      </w:r>
      <w:r>
        <w:rPr>
          <w:rFonts w:ascii="Book Antiqua" w:hAnsi="Book Antiqua" w:cs="Arial"/>
        </w:rPr>
        <w:t xml:space="preserve">) est passé de </w:t>
      </w:r>
      <w:r w:rsidR="00627B70">
        <w:rPr>
          <w:rFonts w:ascii="Book Antiqua" w:hAnsi="Book Antiqua" w:cs="Arial"/>
        </w:rPr>
        <w:t>66,4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milliards de DH en 20</w:t>
      </w:r>
      <w:r w:rsidR="00627B70">
        <w:rPr>
          <w:rFonts w:ascii="Book Antiqua" w:hAnsi="Book Antiqua" w:cs="Arial"/>
        </w:rPr>
        <w:t>20</w:t>
      </w:r>
      <w:r>
        <w:rPr>
          <w:rFonts w:ascii="Book Antiqua" w:hAnsi="Book Antiqua" w:cs="Arial"/>
        </w:rPr>
        <w:t xml:space="preserve"> à </w:t>
      </w:r>
      <w:r w:rsidR="00627B70">
        <w:rPr>
          <w:rFonts w:ascii="Book Antiqua" w:hAnsi="Book Antiqua" w:cs="Arial"/>
        </w:rPr>
        <w:t>71</w:t>
      </w:r>
      <w:r>
        <w:rPr>
          <w:rFonts w:ascii="Book Antiqua" w:hAnsi="Book Antiqua" w:cs="Arial"/>
        </w:rPr>
        <w:t>,</w:t>
      </w:r>
      <w:r w:rsidR="00627B70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milliards</w:t>
      </w:r>
      <w:r>
        <w:rPr>
          <w:rFonts w:ascii="Book Antiqua" w:hAnsi="Book Antiqua" w:cs="Arial"/>
        </w:rPr>
        <w:t xml:space="preserve"> en 202</w:t>
      </w:r>
      <w:r w:rsidR="00627B70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.</w:t>
      </w:r>
    </w:p>
    <w:p w:rsidR="009964EF" w:rsidRDefault="009964EF" w:rsidP="00745BB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</w:p>
    <w:p w:rsidR="00745BB6" w:rsidRPr="008B5472" w:rsidRDefault="00745BB6" w:rsidP="00745BB6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lastRenderedPageBreak/>
        <w:t xml:space="preserve">PIB </w:t>
      </w:r>
      <w:r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par secteur d’activité</w:t>
      </w:r>
      <w:r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5B29F9" w:rsidRDefault="005B29F9" w:rsidP="005B29F9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1F389D">
        <w:rPr>
          <w:rFonts w:ascii="Book Antiqua" w:hAnsi="Book Antiqua" w:cs="Arial"/>
        </w:rPr>
        <w:t xml:space="preserve">activités </w:t>
      </w:r>
      <w:r>
        <w:rPr>
          <w:rFonts w:ascii="Book Antiqua" w:hAnsi="Book Antiqua" w:cs="Arial"/>
        </w:rPr>
        <w:t xml:space="preserve">primaires (agriculture et pêche) constituent </w:t>
      </w:r>
      <w:r w:rsidR="00523919">
        <w:rPr>
          <w:rFonts w:ascii="Book Antiqua" w:hAnsi="Book Antiqua" w:cs="Arial"/>
        </w:rPr>
        <w:t>12</w:t>
      </w:r>
      <w:r>
        <w:rPr>
          <w:rFonts w:ascii="Book Antiqua" w:hAnsi="Book Antiqua" w:cs="Arial"/>
        </w:rPr>
        <w:t>% du PIB au niveau national en 202</w:t>
      </w:r>
      <w:r w:rsidR="00523919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. La contribution de ce secteur à </w:t>
      </w:r>
      <w:r w:rsidRPr="001F389D">
        <w:rPr>
          <w:rFonts w:ascii="Book Antiqua" w:hAnsi="Book Antiqua" w:cs="Arial"/>
        </w:rPr>
        <w:t>la</w:t>
      </w:r>
      <w:r>
        <w:rPr>
          <w:rFonts w:ascii="Book Antiqua" w:hAnsi="Book Antiqua" w:cs="Arial"/>
        </w:rPr>
        <w:t xml:space="preserve"> création de la richesse dépasse, dans </w:t>
      </w:r>
      <w:r w:rsidR="007E1EC6">
        <w:rPr>
          <w:rFonts w:ascii="Book Antiqua" w:hAnsi="Book Antiqua" w:cs="Arial"/>
        </w:rPr>
        <w:t>la majorité des</w:t>
      </w:r>
      <w:r>
        <w:rPr>
          <w:rFonts w:ascii="Book Antiqua" w:hAnsi="Book Antiqua" w:cs="Arial"/>
        </w:rPr>
        <w:t xml:space="preserve"> régions, cette moyenne nationale. Ces activités contribuent pour </w:t>
      </w:r>
      <w:r w:rsidR="00523919">
        <w:rPr>
          <w:rFonts w:ascii="Book Antiqua" w:hAnsi="Book Antiqua" w:cs="Arial"/>
        </w:rPr>
        <w:t xml:space="preserve">25,3% au PIB de la région Fès-Meknès, </w:t>
      </w:r>
      <w:r>
        <w:rPr>
          <w:rFonts w:ascii="Book Antiqua" w:hAnsi="Book Antiqua" w:cs="Arial"/>
        </w:rPr>
        <w:t>24,</w:t>
      </w:r>
      <w:r w:rsidR="00523919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% au PIB de la région de </w:t>
      </w:r>
      <w:r w:rsidRPr="00E9771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, </w:t>
      </w:r>
      <w:r w:rsidR="00523919">
        <w:rPr>
          <w:rFonts w:ascii="Book Antiqua" w:hAnsi="Book Antiqua" w:cs="Arial"/>
        </w:rPr>
        <w:t xml:space="preserve">18,7% au PIB de la région de </w:t>
      </w:r>
      <w:r w:rsidR="00523919" w:rsidRPr="005A3642">
        <w:rPr>
          <w:rFonts w:ascii="Book Antiqua" w:hAnsi="Book Antiqua" w:cs="Arial"/>
        </w:rPr>
        <w:t>Dakhla-Oued</w:t>
      </w:r>
      <w:r w:rsidR="00523919">
        <w:rPr>
          <w:rFonts w:ascii="Book Antiqua" w:hAnsi="Book Antiqua" w:cs="Arial"/>
        </w:rPr>
        <w:t>-E</w:t>
      </w:r>
      <w:r w:rsidR="00523919" w:rsidRPr="005A3642">
        <w:rPr>
          <w:rFonts w:ascii="Book Antiqua" w:hAnsi="Book Antiqua" w:cs="Arial"/>
        </w:rPr>
        <w:t>d</w:t>
      </w:r>
      <w:r w:rsidR="00523919">
        <w:rPr>
          <w:rFonts w:ascii="Book Antiqua" w:hAnsi="Book Antiqua" w:cs="Arial"/>
        </w:rPr>
        <w:t>-</w:t>
      </w:r>
      <w:r w:rsidR="00523919" w:rsidRPr="005A3642">
        <w:rPr>
          <w:rFonts w:ascii="Book Antiqua" w:hAnsi="Book Antiqua" w:cs="Arial"/>
        </w:rPr>
        <w:t>Dahab</w:t>
      </w:r>
      <w:r w:rsidR="00523919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18,</w:t>
      </w:r>
      <w:r w:rsidR="00523919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% au PIB de</w:t>
      </w:r>
      <w:r w:rsidR="00523919">
        <w:rPr>
          <w:rFonts w:ascii="Book Antiqua" w:hAnsi="Book Antiqua" w:cs="Arial"/>
        </w:rPr>
        <w:t>s deux</w:t>
      </w:r>
      <w:r>
        <w:rPr>
          <w:rFonts w:ascii="Book Antiqua" w:hAnsi="Book Antiqua" w:cs="Arial"/>
        </w:rPr>
        <w:t xml:space="preserve"> région</w:t>
      </w:r>
      <w:r w:rsidR="00523919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de </w:t>
      </w:r>
      <w:r w:rsidRPr="000762DA">
        <w:rPr>
          <w:rFonts w:ascii="Book Antiqua" w:hAnsi="Book Antiqua" w:cs="Arial"/>
        </w:rPr>
        <w:t>Béni Mellal-Khénifra</w:t>
      </w:r>
      <w:r w:rsidR="00523919">
        <w:rPr>
          <w:rFonts w:ascii="Book Antiqua" w:hAnsi="Book Antiqua" w:cs="Arial"/>
        </w:rPr>
        <w:t xml:space="preserve"> et</w:t>
      </w:r>
      <w:r>
        <w:rPr>
          <w:rFonts w:ascii="Book Antiqua" w:hAnsi="Book Antiqua" w:cs="Arial"/>
        </w:rPr>
        <w:t xml:space="preserve"> de Souss-Massa, </w:t>
      </w:r>
      <w:r w:rsidR="007E1EC6">
        <w:rPr>
          <w:rFonts w:ascii="Book Antiqua" w:hAnsi="Book Antiqua" w:cs="Arial"/>
        </w:rPr>
        <w:t>15,4% au PIB de la région de Marrakech-</w:t>
      </w:r>
      <w:r w:rsidR="00AC08BC">
        <w:rPr>
          <w:rFonts w:ascii="Book Antiqua" w:hAnsi="Book Antiqua" w:cs="Arial"/>
        </w:rPr>
        <w:t>Safi et</w:t>
      </w:r>
      <w:r w:rsidR="007E1EC6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1</w:t>
      </w:r>
      <w:r w:rsidR="0052143D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,</w:t>
      </w:r>
      <w:r w:rsidR="0052143D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% au PIB de la région de l’Oriental</w:t>
      </w:r>
      <w:r w:rsidR="00AC08BC">
        <w:rPr>
          <w:rFonts w:ascii="Book Antiqua" w:hAnsi="Book Antiqua" w:cs="Arial"/>
        </w:rPr>
        <w:t xml:space="preserve">. </w:t>
      </w:r>
      <w:r>
        <w:rPr>
          <w:rFonts w:ascii="Book Antiqua" w:hAnsi="Book Antiqua" w:cs="Arial"/>
        </w:rPr>
        <w:t xml:space="preserve"> La région de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affiche, quant à elle, la part la plus faible avec </w:t>
      </w:r>
      <w:r w:rsidR="00AC08BC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,</w:t>
      </w:r>
      <w:r w:rsidR="00AC08BC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%.</w:t>
      </w:r>
    </w:p>
    <w:p w:rsidR="005B29F9" w:rsidRPr="00AC52D2" w:rsidRDefault="005967B8" w:rsidP="005B29F9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="005B29F9" w:rsidRPr="00AC52D2">
        <w:rPr>
          <w:rFonts w:ascii="Book Antiqua" w:hAnsi="Book Antiqua" w:cs="Arial"/>
        </w:rPr>
        <w:t>activités secondaires</w:t>
      </w:r>
      <w:r w:rsidR="005B29F9">
        <w:rPr>
          <w:rFonts w:ascii="Book Antiqua" w:hAnsi="Book Antiqua" w:cs="Arial"/>
        </w:rPr>
        <w:t xml:space="preserve"> </w:t>
      </w:r>
      <w:r w:rsidR="005B29F9" w:rsidRPr="008D09BB">
        <w:rPr>
          <w:rFonts w:ascii="Book Antiqua" w:hAnsi="Book Antiqua" w:cs="Arial"/>
        </w:rPr>
        <w:t>(</w:t>
      </w:r>
      <w:r w:rsidR="005B29F9">
        <w:rPr>
          <w:rFonts w:ascii="Book Antiqua" w:hAnsi="Book Antiqua" w:cs="Arial"/>
        </w:rPr>
        <w:t>i</w:t>
      </w:r>
      <w:r w:rsidR="005B29F9" w:rsidRPr="008D09BB">
        <w:rPr>
          <w:rFonts w:ascii="Book Antiqua" w:hAnsi="Book Antiqua" w:cs="Arial"/>
        </w:rPr>
        <w:t>ndustrie</w:t>
      </w:r>
      <w:r w:rsidR="005B29F9">
        <w:rPr>
          <w:rFonts w:ascii="Book Antiqua" w:hAnsi="Book Antiqua" w:cs="Arial"/>
        </w:rPr>
        <w:t xml:space="preserve"> manufacturière</w:t>
      </w:r>
      <w:r w:rsidR="005B29F9" w:rsidRPr="008D09BB">
        <w:rPr>
          <w:rFonts w:ascii="Book Antiqua" w:hAnsi="Book Antiqua" w:cs="Arial"/>
        </w:rPr>
        <w:t>, mines, électricité</w:t>
      </w:r>
      <w:r w:rsidR="005B29F9">
        <w:rPr>
          <w:rFonts w:ascii="Book Antiqua" w:hAnsi="Book Antiqua" w:cs="Arial"/>
        </w:rPr>
        <w:t>, eau,</w:t>
      </w:r>
      <w:r w:rsidR="005B29F9" w:rsidRPr="00342B13">
        <w:rPr>
          <w:rFonts w:ascii="Book Antiqua" w:hAnsi="Book Antiqua" w:cs="Arial"/>
        </w:rPr>
        <w:t xml:space="preserve"> assainissement, gestion des déchets et dépollution</w:t>
      </w:r>
      <w:r w:rsidR="005B29F9">
        <w:rPr>
          <w:rFonts w:ascii="Book Antiqua" w:hAnsi="Book Antiqua" w:cs="Arial"/>
        </w:rPr>
        <w:t>,</w:t>
      </w:r>
      <w:r w:rsidR="005B29F9" w:rsidRPr="008D09BB">
        <w:rPr>
          <w:rFonts w:ascii="Book Antiqua" w:hAnsi="Book Antiqua" w:cs="Arial"/>
        </w:rPr>
        <w:t xml:space="preserve"> et bâtiment et travaux publics)</w:t>
      </w:r>
      <w:r w:rsidR="005B29F9">
        <w:rPr>
          <w:rFonts w:ascii="Book Antiqua" w:hAnsi="Book Antiqua" w:cs="Arial"/>
        </w:rPr>
        <w:t xml:space="preserve"> représentent 2</w:t>
      </w:r>
      <w:r w:rsidR="0052627A">
        <w:rPr>
          <w:rFonts w:ascii="Book Antiqua" w:hAnsi="Book Antiqua" w:cs="Arial"/>
        </w:rPr>
        <w:t>5,8</w:t>
      </w:r>
      <w:r w:rsidR="005B29F9">
        <w:rPr>
          <w:rFonts w:ascii="Book Antiqua" w:hAnsi="Book Antiqua" w:cs="Arial"/>
        </w:rPr>
        <w:t>% du PIB au niveau national en 202</w:t>
      </w:r>
      <w:r w:rsidR="0052627A">
        <w:rPr>
          <w:rFonts w:ascii="Book Antiqua" w:hAnsi="Book Antiqua" w:cs="Arial"/>
        </w:rPr>
        <w:t>1</w:t>
      </w:r>
      <w:r w:rsidR="005B29F9">
        <w:rPr>
          <w:rFonts w:ascii="Book Antiqua" w:hAnsi="Book Antiqua" w:cs="Arial"/>
        </w:rPr>
        <w:t xml:space="preserve">. Quatre régions affichent des parts supérieures à cette moyenne : la région de </w:t>
      </w:r>
      <w:r w:rsidR="005B29F9" w:rsidRPr="000762DA">
        <w:rPr>
          <w:rFonts w:ascii="Book Antiqua" w:hAnsi="Book Antiqua" w:cs="Arial"/>
        </w:rPr>
        <w:t>Casablanca-Settat</w:t>
      </w:r>
      <w:r w:rsidR="005B29F9">
        <w:rPr>
          <w:rFonts w:ascii="Book Antiqua" w:hAnsi="Book Antiqua" w:cs="Arial"/>
        </w:rPr>
        <w:t xml:space="preserve"> avec 3</w:t>
      </w:r>
      <w:r w:rsidR="0052627A">
        <w:rPr>
          <w:rFonts w:ascii="Book Antiqua" w:hAnsi="Book Antiqua" w:cs="Arial"/>
        </w:rPr>
        <w:t>7</w:t>
      </w:r>
      <w:r w:rsidR="005B29F9">
        <w:rPr>
          <w:rFonts w:ascii="Book Antiqua" w:hAnsi="Book Antiqua" w:cs="Arial"/>
        </w:rPr>
        <w:t>,</w:t>
      </w:r>
      <w:r w:rsidR="0052627A">
        <w:rPr>
          <w:rFonts w:ascii="Book Antiqua" w:hAnsi="Book Antiqua" w:cs="Arial"/>
        </w:rPr>
        <w:t>4</w:t>
      </w:r>
      <w:r w:rsidR="005B29F9">
        <w:rPr>
          <w:rFonts w:ascii="Book Antiqua" w:hAnsi="Book Antiqua" w:cs="Arial"/>
        </w:rPr>
        <w:t xml:space="preserve">%, la région de </w:t>
      </w:r>
      <w:r w:rsidR="005B29F9" w:rsidRPr="005A3642">
        <w:rPr>
          <w:rFonts w:ascii="Book Antiqua" w:hAnsi="Book Antiqua" w:cs="Arial"/>
        </w:rPr>
        <w:t>Laâyoune-Saguia al Hamra</w:t>
      </w:r>
      <w:r w:rsidR="005B29F9">
        <w:rPr>
          <w:rFonts w:ascii="Book Antiqua" w:hAnsi="Book Antiqua" w:cs="Arial"/>
        </w:rPr>
        <w:t xml:space="preserve"> avec 3</w:t>
      </w:r>
      <w:r w:rsidR="0052627A">
        <w:rPr>
          <w:rFonts w:ascii="Book Antiqua" w:hAnsi="Book Antiqua" w:cs="Arial"/>
        </w:rPr>
        <w:t>4</w:t>
      </w:r>
      <w:r w:rsidR="005B29F9">
        <w:rPr>
          <w:rFonts w:ascii="Book Antiqua" w:hAnsi="Book Antiqua" w:cs="Arial"/>
        </w:rPr>
        <w:t>%,</w:t>
      </w:r>
      <w:r w:rsidR="005B29F9">
        <w:t xml:space="preserve"> celle de </w:t>
      </w:r>
      <w:r w:rsidR="005B29F9" w:rsidRPr="0073084F">
        <w:rPr>
          <w:rFonts w:ascii="Book Antiqua" w:hAnsi="Book Antiqua" w:cs="Arial"/>
        </w:rPr>
        <w:t xml:space="preserve">Tanger-Tétouan-Al Hoceima </w:t>
      </w:r>
      <w:r w:rsidR="005B29F9">
        <w:rPr>
          <w:rFonts w:ascii="Book Antiqua" w:hAnsi="Book Antiqua" w:cs="Arial"/>
        </w:rPr>
        <w:t>avec 3</w:t>
      </w:r>
      <w:r w:rsidR="0052627A">
        <w:rPr>
          <w:rFonts w:ascii="Book Antiqua" w:hAnsi="Book Antiqua" w:cs="Arial"/>
        </w:rPr>
        <w:t>3,3</w:t>
      </w:r>
      <w:r w:rsidR="005B29F9" w:rsidRPr="00AC52D2">
        <w:rPr>
          <w:rFonts w:ascii="Book Antiqua" w:hAnsi="Book Antiqua" w:cs="Arial"/>
        </w:rPr>
        <w:t>%</w:t>
      </w:r>
      <w:r w:rsidR="005B29F9">
        <w:rPr>
          <w:rFonts w:ascii="Book Antiqua" w:hAnsi="Book Antiqua" w:cs="Arial"/>
        </w:rPr>
        <w:t xml:space="preserve"> et la région de </w:t>
      </w:r>
      <w:r w:rsidR="005B29F9" w:rsidRPr="000762DA">
        <w:rPr>
          <w:rFonts w:ascii="Book Antiqua" w:hAnsi="Book Antiqua" w:cs="Arial"/>
        </w:rPr>
        <w:t>Béni Mellal-Khénifra</w:t>
      </w:r>
      <w:r w:rsidR="005B29F9">
        <w:rPr>
          <w:rFonts w:ascii="Book Antiqua" w:hAnsi="Book Antiqua" w:cs="Arial"/>
        </w:rPr>
        <w:t xml:space="preserve"> avec 2</w:t>
      </w:r>
      <w:r w:rsidR="0052627A">
        <w:rPr>
          <w:rFonts w:ascii="Book Antiqua" w:hAnsi="Book Antiqua" w:cs="Arial"/>
        </w:rPr>
        <w:t>9</w:t>
      </w:r>
      <w:r w:rsidR="005B29F9">
        <w:rPr>
          <w:rFonts w:ascii="Book Antiqua" w:hAnsi="Book Antiqua" w:cs="Arial"/>
        </w:rPr>
        <w:t>,5</w:t>
      </w:r>
      <w:r w:rsidR="005B29F9" w:rsidRPr="00AC52D2">
        <w:rPr>
          <w:rFonts w:ascii="Book Antiqua" w:hAnsi="Book Antiqua" w:cs="Arial"/>
        </w:rPr>
        <w:t xml:space="preserve">%. </w:t>
      </w:r>
    </w:p>
    <w:p w:rsidR="005B29F9" w:rsidRDefault="005B29F9" w:rsidP="00CF0E11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tertiaires</w:t>
      </w:r>
      <w:r w:rsidRPr="008D09BB">
        <w:rPr>
          <w:rFonts w:ascii="Book Antiqua" w:hAnsi="Book Antiqua" w:cs="Arial"/>
        </w:rPr>
        <w:t xml:space="preserve"> (services marchands et non marchands)</w:t>
      </w:r>
      <w:r>
        <w:rPr>
          <w:rFonts w:ascii="Book Antiqua" w:hAnsi="Book Antiqua" w:cs="Arial"/>
        </w:rPr>
        <w:t xml:space="preserve"> créent plus que la moitié de la richesse nationale en 202</w:t>
      </w:r>
      <w:r w:rsidR="0052627A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 (5</w:t>
      </w:r>
      <w:r w:rsidR="0052627A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52627A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%). Les régions de </w:t>
      </w:r>
      <w:r w:rsidRPr="00AD2025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, de </w:t>
      </w:r>
      <w:r w:rsidRPr="005A3642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 xml:space="preserve">-Ed-Daha, de </w:t>
      </w:r>
      <w:r w:rsidRPr="00AC52D2">
        <w:rPr>
          <w:rFonts w:ascii="Book Antiqua" w:hAnsi="Book Antiqua" w:cs="Arial"/>
        </w:rPr>
        <w:t>Rabat-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>alé–</w:t>
      </w:r>
      <w:r w:rsidRPr="000762DA">
        <w:rPr>
          <w:rFonts w:ascii="Book Antiqua" w:hAnsi="Book Antiqua" w:cs="Arial"/>
        </w:rPr>
        <w:t>Kénitra</w:t>
      </w:r>
      <w:r>
        <w:rPr>
          <w:rFonts w:ascii="Book Antiqua" w:hAnsi="Book Antiqua" w:cs="Arial"/>
        </w:rPr>
        <w:t xml:space="preserve"> et de Marrakech-Safi présentent des structures économiques dominées par les activités des services, avec des parts largement supérieures à celle réalisée </w:t>
      </w:r>
      <w:r w:rsidR="0052449F">
        <w:rPr>
          <w:rFonts w:ascii="Book Antiqua" w:hAnsi="Book Antiqua" w:cs="Arial"/>
        </w:rPr>
        <w:t>au niveau national</w:t>
      </w:r>
      <w:r>
        <w:rPr>
          <w:rFonts w:ascii="Book Antiqua" w:hAnsi="Book Antiqua" w:cs="Arial"/>
        </w:rPr>
        <w:t>, respectivement de 73</w:t>
      </w:r>
      <w:r w:rsidR="0052627A">
        <w:rPr>
          <w:rFonts w:ascii="Book Antiqua" w:hAnsi="Book Antiqua" w:cs="Arial"/>
        </w:rPr>
        <w:t>,2</w:t>
      </w:r>
      <w:r>
        <w:rPr>
          <w:rFonts w:ascii="Book Antiqua" w:hAnsi="Book Antiqua" w:cs="Arial"/>
        </w:rPr>
        <w:t>%, 6</w:t>
      </w:r>
      <w:r w:rsidR="0052627A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,</w:t>
      </w:r>
      <w:r w:rsidR="0052627A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%, 6</w:t>
      </w:r>
      <w:r w:rsidR="0052627A">
        <w:rPr>
          <w:rFonts w:ascii="Book Antiqua" w:hAnsi="Book Antiqua" w:cs="Arial"/>
        </w:rPr>
        <w:t>4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et 6</w:t>
      </w:r>
      <w:r w:rsidR="0052627A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,</w:t>
      </w:r>
      <w:r w:rsidR="0052627A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%.</w:t>
      </w:r>
      <w:r w:rsidRPr="007F4515">
        <w:rPr>
          <w:rFonts w:ascii="Book Antiqua" w:hAnsi="Book Antiqua" w:cs="Arial"/>
        </w:rPr>
        <w:t xml:space="preserve"> </w:t>
      </w:r>
    </w:p>
    <w:p w:rsidR="00745BB6" w:rsidRPr="00431B35" w:rsidRDefault="00745BB6" w:rsidP="00745BB6">
      <w:pPr>
        <w:autoSpaceDE w:val="0"/>
        <w:autoSpaceDN w:val="0"/>
        <w:adjustRightInd w:val="0"/>
        <w:spacing w:before="100" w:before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aux </w:t>
      </w: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activité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économique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nationale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745BB6" w:rsidRPr="00AC52D2" w:rsidRDefault="00745BB6" w:rsidP="00C11650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activités du secteur primaire restent </w:t>
      </w:r>
      <w:r w:rsidR="00930B54">
        <w:rPr>
          <w:rFonts w:ascii="Book Antiqua" w:hAnsi="Book Antiqua" w:cs="Arial"/>
        </w:rPr>
        <w:t>l’apanage</w:t>
      </w:r>
      <w:r>
        <w:rPr>
          <w:rFonts w:ascii="Book Antiqua" w:hAnsi="Book Antiqua" w:cs="Arial"/>
        </w:rPr>
        <w:t xml:space="preserve"> d’un nombre limité de régions </w:t>
      </w:r>
      <w:r w:rsidR="00125227">
        <w:rPr>
          <w:rFonts w:ascii="Book Antiqua" w:hAnsi="Book Antiqua" w:cs="Arial"/>
        </w:rPr>
        <w:t>; S</w:t>
      </w:r>
      <w:r>
        <w:rPr>
          <w:rFonts w:ascii="Book Antiqua" w:hAnsi="Book Antiqua" w:cs="Arial"/>
        </w:rPr>
        <w:t>ept régions ont créé</w:t>
      </w:r>
      <w:r w:rsidR="00202FA8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plus que quatre cinquièmes de la valeur ajoutée du secteur. En effet, les régions de </w:t>
      </w:r>
      <w:r w:rsidR="00F6028B" w:rsidRPr="00FF57BD">
        <w:rPr>
          <w:rFonts w:ascii="Book Antiqua" w:hAnsi="Book Antiqua" w:cs="Arial"/>
        </w:rPr>
        <w:t>Fès-Meknès</w:t>
      </w:r>
      <w:r w:rsidRPr="009D1864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de</w:t>
      </w:r>
      <w:r w:rsidR="00F6028B" w:rsidRPr="00F6028B">
        <w:rPr>
          <w:rFonts w:ascii="Book Antiqua" w:hAnsi="Book Antiqua" w:cs="Arial"/>
        </w:rPr>
        <w:t xml:space="preserve"> </w:t>
      </w:r>
      <w:r w:rsidR="00F6028B" w:rsidRPr="00FF57BD">
        <w:rPr>
          <w:rFonts w:ascii="Book Antiqua" w:hAnsi="Book Antiqua" w:cs="Arial"/>
        </w:rPr>
        <w:t>Rabat-Salé-Kénitra</w:t>
      </w:r>
      <w:r>
        <w:rPr>
          <w:rFonts w:ascii="Book Antiqua" w:hAnsi="Book Antiqua" w:cs="Arial"/>
        </w:rPr>
        <w:t xml:space="preserve">, de </w:t>
      </w:r>
      <w:r w:rsidRPr="00E63E27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, de </w:t>
      </w:r>
      <w:r w:rsidRPr="00E63E27">
        <w:rPr>
          <w:rFonts w:ascii="Book Antiqua" w:hAnsi="Book Antiqua" w:cs="Arial"/>
        </w:rPr>
        <w:t>Marrakech-Safi</w:t>
      </w:r>
      <w:r>
        <w:rPr>
          <w:rFonts w:ascii="Book Antiqua" w:hAnsi="Book Antiqua" w:cs="Arial"/>
        </w:rPr>
        <w:t>, de</w:t>
      </w:r>
      <w:r w:rsidR="00F6028B" w:rsidRPr="00F6028B">
        <w:rPr>
          <w:rFonts w:ascii="Book Antiqua" w:hAnsi="Book Antiqua" w:cs="Arial"/>
        </w:rPr>
        <w:t xml:space="preserve"> </w:t>
      </w:r>
      <w:r w:rsidR="00F6028B">
        <w:rPr>
          <w:rFonts w:ascii="Book Antiqua" w:hAnsi="Book Antiqua" w:cs="Arial"/>
        </w:rPr>
        <w:t xml:space="preserve">de </w:t>
      </w:r>
      <w:r w:rsidR="00F6028B" w:rsidRPr="0073084F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>, de</w:t>
      </w:r>
      <w:r w:rsidR="00F6028B" w:rsidRPr="00F6028B">
        <w:rPr>
          <w:rFonts w:ascii="Book Antiqua" w:hAnsi="Book Antiqua" w:cs="Arial"/>
        </w:rPr>
        <w:t xml:space="preserve"> </w:t>
      </w:r>
      <w:r w:rsidR="00F6028B" w:rsidRPr="00075EFC">
        <w:rPr>
          <w:rFonts w:ascii="Book Antiqua" w:hAnsi="Book Antiqua" w:cs="Arial"/>
        </w:rPr>
        <w:t>Souss-Massa</w:t>
      </w:r>
      <w:r>
        <w:rPr>
          <w:rFonts w:ascii="Book Antiqua" w:hAnsi="Book Antiqua" w:cs="Arial"/>
        </w:rPr>
        <w:t xml:space="preserve"> et de </w:t>
      </w:r>
      <w:r w:rsidR="00F6028B" w:rsidRPr="000762DA">
        <w:rPr>
          <w:rFonts w:ascii="Book Antiqua" w:hAnsi="Book Antiqua" w:cs="Arial"/>
        </w:rPr>
        <w:t>Béni Mellal-Khénifra</w:t>
      </w:r>
      <w:r w:rsidRPr="0073084F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ont contribué pour 8</w:t>
      </w:r>
      <w:r w:rsidR="00F6028B">
        <w:rPr>
          <w:rFonts w:ascii="Book Antiqua" w:hAnsi="Book Antiqua" w:cs="Arial"/>
        </w:rPr>
        <w:t>3,8</w:t>
      </w:r>
      <w:r>
        <w:rPr>
          <w:rFonts w:ascii="Book Antiqua" w:hAnsi="Book Antiqua" w:cs="Arial"/>
        </w:rPr>
        <w:t>% à la création de la valeur ajoutée nationale du secteur primaire en 202</w:t>
      </w:r>
      <w:r w:rsidR="00F6028B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 au lieu de 8</w:t>
      </w:r>
      <w:r w:rsidR="00F6028B">
        <w:rPr>
          <w:rFonts w:ascii="Book Antiqua" w:hAnsi="Book Antiqua" w:cs="Arial"/>
        </w:rPr>
        <w:t>0</w:t>
      </w:r>
      <w:r>
        <w:rPr>
          <w:rFonts w:ascii="Book Antiqua" w:hAnsi="Book Antiqua" w:cs="Arial"/>
        </w:rPr>
        <w:t>,</w:t>
      </w:r>
      <w:r w:rsidR="00F6028B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% en 20</w:t>
      </w:r>
      <w:r w:rsidR="00F6028B">
        <w:rPr>
          <w:rFonts w:ascii="Book Antiqua" w:hAnsi="Book Antiqua" w:cs="Arial"/>
        </w:rPr>
        <w:t>20</w:t>
      </w:r>
      <w:r>
        <w:rPr>
          <w:rFonts w:ascii="Book Antiqua" w:hAnsi="Book Antiqua" w:cs="Arial"/>
        </w:rPr>
        <w:t xml:space="preserve">. </w:t>
      </w:r>
    </w:p>
    <w:p w:rsidR="00745BB6" w:rsidRPr="00AC52D2" w:rsidRDefault="00745BB6" w:rsidP="00745BB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Par ailleurs, les activités du secteur secondaire sont concentrées dans les</w:t>
      </w:r>
      <w:r w:rsidRPr="00AC52D2">
        <w:rPr>
          <w:rFonts w:ascii="Book Antiqua" w:hAnsi="Book Antiqua" w:cs="Arial"/>
        </w:rPr>
        <w:t xml:space="preserve"> région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</w:t>
      </w:r>
      <w:r>
        <w:rPr>
          <w:rFonts w:ascii="Book Antiqua" w:hAnsi="Book Antiqua" w:cs="Arial"/>
        </w:rPr>
        <w:t xml:space="preserve">e </w:t>
      </w:r>
      <w:r w:rsidRPr="008E4089">
        <w:rPr>
          <w:rFonts w:ascii="Book Antiqua" w:hAnsi="Book Antiqua" w:cs="Arial"/>
        </w:rPr>
        <w:t xml:space="preserve">Casablanca-Settat </w:t>
      </w:r>
      <w:r>
        <w:rPr>
          <w:rFonts w:ascii="Book Antiqua" w:hAnsi="Book Antiqua" w:cs="Arial"/>
        </w:rPr>
        <w:t xml:space="preserve">et </w:t>
      </w:r>
      <w:r w:rsidRPr="00AC52D2">
        <w:rPr>
          <w:rFonts w:ascii="Book Antiqua" w:hAnsi="Book Antiqua" w:cs="Arial"/>
        </w:rPr>
        <w:t xml:space="preserve">de </w:t>
      </w:r>
      <w:r w:rsidRPr="008E4089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 xml:space="preserve"> qui ont participé pour 6</w:t>
      </w:r>
      <w:r w:rsidR="007F4D85">
        <w:rPr>
          <w:rFonts w:ascii="Book Antiqua" w:hAnsi="Book Antiqua" w:cs="Arial"/>
        </w:rPr>
        <w:t>0</w:t>
      </w:r>
      <w:r>
        <w:rPr>
          <w:rFonts w:ascii="Book Antiqua" w:hAnsi="Book Antiqua" w:cs="Arial"/>
        </w:rPr>
        <w:t>,4%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à </w:t>
      </w:r>
      <w:r w:rsidRPr="00AC52D2">
        <w:rPr>
          <w:rFonts w:ascii="Book Antiqua" w:hAnsi="Book Antiqua" w:cs="Arial"/>
        </w:rPr>
        <w:t>la valeur ajoutée nationale du secteur</w:t>
      </w:r>
      <w:r>
        <w:rPr>
          <w:rFonts w:ascii="Book Antiqua" w:hAnsi="Book Antiqua" w:cs="Arial"/>
        </w:rPr>
        <w:t xml:space="preserve"> en 202</w:t>
      </w:r>
      <w:r w:rsidR="00930B54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 au lieu de 61,</w:t>
      </w:r>
      <w:r w:rsidR="007F4D85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% en 20</w:t>
      </w:r>
      <w:r w:rsidR="00930B54">
        <w:rPr>
          <w:rFonts w:ascii="Book Antiqua" w:hAnsi="Book Antiqua" w:cs="Arial"/>
        </w:rPr>
        <w:t>20</w:t>
      </w:r>
      <w:r w:rsidRPr="00AC52D2">
        <w:rPr>
          <w:rFonts w:ascii="Book Antiqua" w:hAnsi="Book Antiqua" w:cs="Arial"/>
        </w:rPr>
        <w:t>.</w:t>
      </w:r>
    </w:p>
    <w:p w:rsidR="00745BB6" w:rsidRDefault="00745BB6" w:rsidP="008E0BBF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>D’un autre côté, 5</w:t>
      </w:r>
      <w:r w:rsidR="00EF6FAC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% de la richesse cré</w:t>
      </w:r>
      <w:r w:rsidR="004801B8">
        <w:rPr>
          <w:rFonts w:ascii="Book Antiqua" w:hAnsi="Book Antiqua" w:cs="Arial"/>
        </w:rPr>
        <w:t>é</w:t>
      </w:r>
      <w:r>
        <w:rPr>
          <w:rFonts w:ascii="Book Antiqua" w:hAnsi="Book Antiqua" w:cs="Arial"/>
        </w:rPr>
        <w:t xml:space="preserve">e par les activités tertiaires est à imputer aux trois régions </w:t>
      </w:r>
      <w:r w:rsidRPr="00AC52D2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 xml:space="preserve">e </w:t>
      </w:r>
      <w:r w:rsidRPr="008E4089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, 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>
        <w:rPr>
          <w:rFonts w:ascii="Book Antiqua" w:hAnsi="Book Antiqua" w:cs="Arial"/>
        </w:rPr>
        <w:t xml:space="preserve">a </w:t>
      </w:r>
      <w:r w:rsidRPr="00AC52D2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 xml:space="preserve">de </w:t>
      </w:r>
      <w:r w:rsidRPr="008E4089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>.</w:t>
      </w:r>
    </w:p>
    <w:p w:rsidR="00745BB6" w:rsidRPr="00431B35" w:rsidRDefault="00745BB6" w:rsidP="008E0BB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 par habitant</w:t>
      </w:r>
    </w:p>
    <w:p w:rsidR="00745BB6" w:rsidRDefault="00745BB6" w:rsidP="008E0BBF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 PIB par habitant s’élève à 3</w:t>
      </w:r>
      <w:r w:rsidR="00304086">
        <w:rPr>
          <w:rFonts w:ascii="Book Antiqua" w:hAnsi="Book Antiqua" w:cs="Arial"/>
        </w:rPr>
        <w:t>5104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 en 202</w:t>
      </w:r>
      <w:r w:rsidR="00304086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 au niveau national. </w:t>
      </w:r>
      <w:r w:rsidR="00304086">
        <w:rPr>
          <w:rFonts w:ascii="Book Antiqua" w:hAnsi="Book Antiqua" w:cs="Arial"/>
        </w:rPr>
        <w:t>Cinq</w:t>
      </w:r>
      <w:r>
        <w:rPr>
          <w:rFonts w:ascii="Book Antiqua" w:hAnsi="Book Antiqua" w:cs="Arial"/>
        </w:rPr>
        <w:t xml:space="preserve"> régions présentent un PIB </w:t>
      </w:r>
      <w:r w:rsidRPr="00E9771B">
        <w:rPr>
          <w:rFonts w:ascii="Book Antiqua" w:hAnsi="Book Antiqua" w:cs="Arial"/>
        </w:rPr>
        <w:t>par habitant</w:t>
      </w:r>
      <w:r>
        <w:rPr>
          <w:rFonts w:ascii="Book Antiqua" w:hAnsi="Book Antiqua" w:cs="Arial"/>
        </w:rPr>
        <w:t xml:space="preserve"> supérieur à cette moyenne nationale. Il s’agit des régions de </w:t>
      </w:r>
      <w:r w:rsidRPr="00E9771B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E9771B">
        <w:rPr>
          <w:rFonts w:ascii="Book Antiqua" w:hAnsi="Book Antiqua" w:cs="Arial"/>
        </w:rPr>
        <w:t>Dahab</w:t>
      </w:r>
      <w:r>
        <w:rPr>
          <w:rFonts w:ascii="Book Antiqua" w:hAnsi="Book Antiqua" w:cs="Arial"/>
        </w:rPr>
        <w:t xml:space="preserve"> (</w:t>
      </w:r>
      <w:r w:rsidR="00304086">
        <w:rPr>
          <w:rFonts w:ascii="Book Antiqua" w:hAnsi="Book Antiqua" w:cs="Arial"/>
        </w:rPr>
        <w:t>84069</w:t>
      </w:r>
      <w:r>
        <w:rPr>
          <w:rFonts w:ascii="Book Antiqua" w:hAnsi="Book Antiqua" w:cs="Arial"/>
        </w:rPr>
        <w:t xml:space="preserve"> DH)</w:t>
      </w:r>
      <w:r w:rsidRPr="00E9771B">
        <w:rPr>
          <w:rFonts w:ascii="Book Antiqua" w:hAnsi="Book Antiqua" w:cs="Arial"/>
        </w:rPr>
        <w:t xml:space="preserve">, de </w:t>
      </w:r>
      <w:r>
        <w:rPr>
          <w:rFonts w:ascii="Book Antiqua" w:hAnsi="Book Antiqua" w:cs="Arial"/>
        </w:rPr>
        <w:t>Laayoune</w:t>
      </w:r>
      <w:r w:rsidRPr="00E9771B">
        <w:rPr>
          <w:rFonts w:ascii="Book Antiqua" w:hAnsi="Book Antiqua" w:cs="Arial"/>
        </w:rPr>
        <w:t>-Saguia al Hamra</w:t>
      </w:r>
      <w:r>
        <w:rPr>
          <w:rFonts w:ascii="Book Antiqua" w:hAnsi="Book Antiqua" w:cs="Arial"/>
        </w:rPr>
        <w:t xml:space="preserve"> (</w:t>
      </w:r>
      <w:r w:rsidR="00304086">
        <w:rPr>
          <w:rFonts w:ascii="Book Antiqua" w:hAnsi="Book Antiqua" w:cs="Arial"/>
        </w:rPr>
        <w:t>66241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DH), </w:t>
      </w:r>
      <w:r w:rsidRPr="00E9771B">
        <w:rPr>
          <w:rFonts w:ascii="Book Antiqua" w:hAnsi="Book Antiqua" w:cs="Arial"/>
        </w:rPr>
        <w:t>de Casablanca-Settat</w:t>
      </w:r>
      <w:r>
        <w:rPr>
          <w:rFonts w:ascii="Book Antiqua" w:hAnsi="Book Antiqua" w:cs="Arial"/>
        </w:rPr>
        <w:t xml:space="preserve"> (</w:t>
      </w:r>
      <w:r w:rsidR="00304086">
        <w:rPr>
          <w:rFonts w:ascii="Book Antiqua" w:hAnsi="Book Antiqua" w:cs="Arial"/>
        </w:rPr>
        <w:t>54948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DH), </w:t>
      </w:r>
      <w:r w:rsidRPr="00E9771B">
        <w:rPr>
          <w:rFonts w:ascii="Book Antiqua" w:hAnsi="Book Antiqua" w:cs="Arial"/>
        </w:rPr>
        <w:t xml:space="preserve">de </w:t>
      </w:r>
      <w:r w:rsidRPr="006667F9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 (</w:t>
      </w:r>
      <w:r w:rsidR="00304086">
        <w:rPr>
          <w:rFonts w:ascii="Book Antiqua" w:hAnsi="Book Antiqua" w:cs="Arial"/>
        </w:rPr>
        <w:t>43010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DH), de </w:t>
      </w:r>
      <w:r w:rsidRPr="00E9771B">
        <w:rPr>
          <w:rFonts w:ascii="Book Antiqua" w:hAnsi="Book Antiqua" w:cs="Arial"/>
        </w:rPr>
        <w:t>Rabat-Salé-Kénitra</w:t>
      </w:r>
      <w:r>
        <w:rPr>
          <w:rFonts w:ascii="Book Antiqua" w:hAnsi="Book Antiqua" w:cs="Arial"/>
        </w:rPr>
        <w:t xml:space="preserve"> (</w:t>
      </w:r>
      <w:r w:rsidR="00304086">
        <w:rPr>
          <w:rFonts w:ascii="Book Antiqua" w:hAnsi="Book Antiqua" w:cs="Arial"/>
        </w:rPr>
        <w:t>41196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="00304086">
        <w:rPr>
          <w:rFonts w:ascii="Book Antiqua" w:hAnsi="Book Antiqua" w:cs="Arial"/>
        </w:rPr>
        <w:t>.</w:t>
      </w:r>
    </w:p>
    <w:p w:rsidR="00745BB6" w:rsidRPr="00AC52D2" w:rsidRDefault="00745BB6" w:rsidP="00745BB6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les autres régions, le PIB par habitant s’est situé entre </w:t>
      </w:r>
      <w:r w:rsidR="00C11650">
        <w:rPr>
          <w:rFonts w:ascii="Book Antiqua" w:hAnsi="Book Antiqua" w:cs="Arial"/>
        </w:rPr>
        <w:t>20971</w:t>
      </w:r>
      <w:r w:rsidR="00BC59D4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enregistré dans la région de </w:t>
      </w:r>
      <w:r w:rsidRPr="00E63E27">
        <w:rPr>
          <w:rFonts w:ascii="Book Antiqua" w:hAnsi="Book Antiqua" w:cs="Arial"/>
        </w:rPr>
        <w:t>Marrakech-Safi</w:t>
      </w:r>
      <w:r>
        <w:rPr>
          <w:rFonts w:ascii="Book Antiqua" w:hAnsi="Book Antiqua" w:cs="Arial"/>
        </w:rPr>
        <w:t xml:space="preserve"> et </w:t>
      </w:r>
      <w:r w:rsidR="00C11650">
        <w:rPr>
          <w:rFonts w:ascii="Book Antiqua" w:hAnsi="Book Antiqua" w:cs="Arial"/>
        </w:rPr>
        <w:t>34751</w:t>
      </w:r>
      <w:r w:rsidR="00BC59D4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 dans la région de </w:t>
      </w:r>
      <w:r w:rsidR="00C11650" w:rsidRPr="0073084F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 xml:space="preserve">. </w:t>
      </w:r>
    </w:p>
    <w:p w:rsidR="00745BB6" w:rsidRPr="00721E76" w:rsidRDefault="00745BB6" w:rsidP="00745BB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dispersion du PIB par habitant est en augmentation.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est passé de </w:t>
      </w:r>
      <w:r w:rsidR="00E932C0">
        <w:rPr>
          <w:rFonts w:ascii="Book Antiqua" w:hAnsi="Book Antiqua" w:cs="Arial"/>
        </w:rPr>
        <w:t>14113</w:t>
      </w:r>
      <w:r w:rsidR="00BC59D4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 en 20</w:t>
      </w:r>
      <w:r w:rsidR="00E932C0">
        <w:rPr>
          <w:rFonts w:ascii="Book Antiqua" w:hAnsi="Book Antiqua" w:cs="Arial"/>
        </w:rPr>
        <w:t>20</w:t>
      </w:r>
      <w:r w:rsidR="00BC59D4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à</w:t>
      </w:r>
      <w:r>
        <w:rPr>
          <w:rFonts w:ascii="Book Antiqua" w:hAnsi="Book Antiqua" w:cs="Arial"/>
        </w:rPr>
        <w:t xml:space="preserve"> </w:t>
      </w:r>
      <w:r w:rsidR="00E932C0">
        <w:rPr>
          <w:rFonts w:ascii="Book Antiqua" w:hAnsi="Book Antiqua" w:cs="Arial"/>
        </w:rPr>
        <w:t>14724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 en 202</w:t>
      </w:r>
      <w:r w:rsidR="00E932C0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.</w:t>
      </w:r>
    </w:p>
    <w:p w:rsidR="00745BB6" w:rsidRDefault="00745BB6" w:rsidP="00745BB6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</w:p>
    <w:p w:rsidR="00745BB6" w:rsidRPr="0072644C" w:rsidRDefault="00745BB6" w:rsidP="00745BB6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D</w:t>
      </w:r>
      <w:r w:rsidRPr="0072644C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épenses de consommation finale des ménages selon les régions</w:t>
      </w:r>
    </w:p>
    <w:p w:rsidR="00745BB6" w:rsidRPr="0069351C" w:rsidRDefault="00745BB6" w:rsidP="00745BB6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</w:p>
    <w:p w:rsidR="00745BB6" w:rsidRDefault="00745BB6" w:rsidP="00745BB6">
      <w:pPr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En 202</w:t>
      </w:r>
      <w:r w:rsidR="0096303E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, les dépenses de consommation finale des ménages </w:t>
      </w:r>
      <w:r w:rsidRPr="00962ECB">
        <w:rPr>
          <w:rFonts w:ascii="Book Antiqua" w:hAnsi="Book Antiqua" w:cs="Arial"/>
        </w:rPr>
        <w:t>(</w:t>
      </w:r>
      <w:r w:rsidRPr="00AC52D2">
        <w:rPr>
          <w:rFonts w:ascii="Book Antiqua" w:hAnsi="Book Antiqua" w:cs="Arial"/>
        </w:rPr>
        <w:t>DCFM</w:t>
      </w:r>
      <w:r>
        <w:rPr>
          <w:rFonts w:ascii="Book Antiqua" w:hAnsi="Book Antiqua" w:cs="Arial"/>
        </w:rPr>
        <w:t xml:space="preserve">), au niveau national, ont atteint </w:t>
      </w:r>
      <w:r w:rsidR="005E3504">
        <w:rPr>
          <w:rFonts w:ascii="Book Antiqua" w:hAnsi="Book Antiqua" w:cs="Arial"/>
        </w:rPr>
        <w:t>751,5</w:t>
      </w:r>
      <w:r>
        <w:rPr>
          <w:rFonts w:ascii="Book Antiqua" w:hAnsi="Book Antiqua" w:cs="Arial"/>
        </w:rPr>
        <w:t xml:space="preserve"> milliards de Dirhams. Les régions de Casablanca-Settat, </w:t>
      </w:r>
      <w:r w:rsidRPr="000762DA">
        <w:rPr>
          <w:rFonts w:ascii="Book Antiqua" w:hAnsi="Book Antiqua" w:cs="Arial"/>
        </w:rPr>
        <w:t>de Rabat-Salé-Kénitra</w:t>
      </w:r>
      <w:r>
        <w:rPr>
          <w:rFonts w:ascii="Book Antiqua" w:hAnsi="Book Antiqua" w:cs="Arial"/>
        </w:rPr>
        <w:t xml:space="preserve"> et de </w:t>
      </w:r>
      <w:r w:rsidRPr="00F0433D">
        <w:rPr>
          <w:rFonts w:ascii="Book Antiqua" w:hAnsi="Book Antiqua" w:cs="Arial"/>
        </w:rPr>
        <w:t>Fès-Meknè</w:t>
      </w:r>
      <w:r w:rsidR="00202FA8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ont accaparé </w:t>
      </w:r>
      <w:r w:rsidRPr="00AC52D2">
        <w:rPr>
          <w:rFonts w:ascii="Book Antiqua" w:hAnsi="Book Antiqua" w:cs="Arial"/>
        </w:rPr>
        <w:t>un</w:t>
      </w:r>
      <w:r>
        <w:rPr>
          <w:rFonts w:ascii="Book Antiqua" w:hAnsi="Book Antiqua" w:cs="Arial"/>
        </w:rPr>
        <w:t xml:space="preserve"> peu plus de la moitié (51,</w:t>
      </w:r>
      <w:r w:rsidR="005E3504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%) de ces dépenses, avec 25,</w:t>
      </w:r>
      <w:r w:rsidR="005E3504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%, 14,7% et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11,</w:t>
      </w:r>
      <w:r w:rsidR="005E3504">
        <w:rPr>
          <w:rFonts w:ascii="Book Antiqua" w:hAnsi="Book Antiqua" w:cs="Arial"/>
        </w:rPr>
        <w:t>6</w:t>
      </w:r>
      <w:r w:rsidRPr="00F0433D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, respectivement. </w:t>
      </w:r>
    </w:p>
    <w:p w:rsidR="00745BB6" w:rsidRPr="00A044A5" w:rsidRDefault="00745BB6" w:rsidP="00125227">
      <w:pPr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régions</w:t>
      </w:r>
      <w:r w:rsidR="005E350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Tanger-Tétouan-Al Hoceima et de Marrakech-Safi </w:t>
      </w:r>
      <w:r w:rsidRPr="00F0433D">
        <w:rPr>
          <w:rFonts w:ascii="Book Antiqua" w:hAnsi="Book Antiqua" w:cs="Arial"/>
        </w:rPr>
        <w:t xml:space="preserve">ont </w:t>
      </w:r>
      <w:r>
        <w:rPr>
          <w:rFonts w:ascii="Book Antiqua" w:hAnsi="Book Antiqua" w:cs="Arial"/>
        </w:rPr>
        <w:t xml:space="preserve">détenu une part de </w:t>
      </w:r>
      <w:r w:rsidR="005E3504">
        <w:rPr>
          <w:rFonts w:ascii="Book Antiqua" w:hAnsi="Book Antiqua" w:cs="Arial"/>
        </w:rPr>
        <w:t>22,</w:t>
      </w:r>
      <w:r w:rsidR="00125227">
        <w:rPr>
          <w:rFonts w:ascii="Book Antiqua" w:hAnsi="Book Antiqua" w:cs="Arial"/>
        </w:rPr>
        <w:t>6</w:t>
      </w:r>
      <w:r w:rsidR="005E3504" w:rsidRPr="00F0433D">
        <w:rPr>
          <w:rFonts w:ascii="Book Antiqua" w:hAnsi="Book Antiqua" w:cs="Arial"/>
        </w:rPr>
        <w:t>%</w:t>
      </w:r>
      <w:r w:rsidRPr="00F0433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des </w:t>
      </w:r>
      <w:r w:rsidRPr="00F0433D">
        <w:rPr>
          <w:rFonts w:ascii="Book Antiqua" w:hAnsi="Book Antiqua" w:cs="Arial"/>
        </w:rPr>
        <w:t>DCFM</w:t>
      </w:r>
      <w:r>
        <w:rPr>
          <w:rFonts w:ascii="Book Antiqua" w:hAnsi="Book Antiqua" w:cs="Arial"/>
        </w:rPr>
        <w:t>, répartie respectivement à 11,4%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et 11,2%.</w:t>
      </w:r>
    </w:p>
    <w:p w:rsidR="00745BB6" w:rsidRDefault="00745BB6" w:rsidP="00745BB6">
      <w:pPr>
        <w:autoSpaceDE w:val="0"/>
        <w:autoSpaceDN w:val="0"/>
        <w:adjustRightInd w:val="0"/>
        <w:spacing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s</w:t>
      </w:r>
      <w:r w:rsidR="005E3504">
        <w:rPr>
          <w:rFonts w:ascii="Book Antiqua" w:hAnsi="Book Antiqua" w:cs="Arial"/>
        </w:rPr>
        <w:t>ept</w:t>
      </w:r>
      <w:r>
        <w:rPr>
          <w:rFonts w:ascii="Book Antiqua" w:hAnsi="Book Antiqua" w:cs="Arial"/>
        </w:rPr>
        <w:t xml:space="preserve"> régions restantes ont contribué pour près d’un quart (25,</w:t>
      </w:r>
      <w:r w:rsidR="005E3504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%) aux DCFM, avec des apports compris entre 0,7% pour la région de </w:t>
      </w:r>
      <w:r w:rsidRPr="00E9771B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E9771B">
        <w:rPr>
          <w:rFonts w:ascii="Book Antiqua" w:hAnsi="Book Antiqua" w:cs="Arial"/>
        </w:rPr>
        <w:t>Dahab</w:t>
      </w:r>
      <w:r>
        <w:rPr>
          <w:rFonts w:ascii="Book Antiqua" w:hAnsi="Book Antiqua" w:cs="Arial"/>
        </w:rPr>
        <w:t xml:space="preserve"> et 7,2% pour la région de </w:t>
      </w:r>
      <w:r w:rsidRPr="00075EFC">
        <w:rPr>
          <w:rFonts w:ascii="Book Antiqua" w:hAnsi="Book Antiqua" w:cs="Arial"/>
        </w:rPr>
        <w:t>Souss-Massa</w:t>
      </w:r>
      <w:r>
        <w:rPr>
          <w:rFonts w:ascii="Book Antiqua" w:hAnsi="Book Antiqua" w:cs="Arial"/>
        </w:rPr>
        <w:t>.</w:t>
      </w:r>
    </w:p>
    <w:p w:rsidR="00745BB6" w:rsidRDefault="00745BB6" w:rsidP="00745BB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ces conditions, les disparités des dépenses de consommation se sont </w:t>
      </w:r>
      <w:r w:rsidR="004333C2">
        <w:rPr>
          <w:rFonts w:ascii="Book Antiqua" w:hAnsi="Book Antiqua" w:cs="Arial"/>
        </w:rPr>
        <w:t>accentuées</w:t>
      </w:r>
      <w:r>
        <w:rPr>
          <w:rFonts w:ascii="Book Antiqua" w:hAnsi="Book Antiqua" w:cs="Arial"/>
        </w:rPr>
        <w:t> ; L</w:t>
      </w:r>
      <w:r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>
        <w:rPr>
          <w:rFonts w:ascii="Book Antiqua" w:hAnsi="Book Antiqua" w:cs="Arial"/>
        </w:rPr>
        <w:t>a atteint</w:t>
      </w:r>
      <w:r w:rsidR="00BC59D4">
        <w:rPr>
          <w:rFonts w:ascii="Book Antiqua" w:hAnsi="Book Antiqua" w:cs="Arial"/>
        </w:rPr>
        <w:t xml:space="preserve"> </w:t>
      </w:r>
      <w:r w:rsidR="004333C2">
        <w:rPr>
          <w:rFonts w:ascii="Book Antiqua" w:hAnsi="Book Antiqua" w:cs="Arial"/>
        </w:rPr>
        <w:t>40</w:t>
      </w:r>
      <w:r>
        <w:rPr>
          <w:rFonts w:ascii="Book Antiqua" w:hAnsi="Book Antiqua" w:cs="Arial"/>
        </w:rPr>
        <w:t>,</w:t>
      </w:r>
      <w:r w:rsidR="004333C2">
        <w:rPr>
          <w:rFonts w:ascii="Book Antiqua" w:hAnsi="Book Antiqua" w:cs="Arial"/>
        </w:rPr>
        <w:t>7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milliards de DH en 202</w:t>
      </w:r>
      <w:r w:rsidR="004333C2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 au lieu de </w:t>
      </w:r>
      <w:r w:rsidR="004333C2">
        <w:rPr>
          <w:rFonts w:ascii="Book Antiqua" w:hAnsi="Book Antiqua" w:cs="Arial"/>
        </w:rPr>
        <w:t>36</w:t>
      </w:r>
      <w:r>
        <w:rPr>
          <w:rFonts w:ascii="Book Antiqua" w:hAnsi="Book Antiqua" w:cs="Arial"/>
        </w:rPr>
        <w:t>,</w:t>
      </w:r>
      <w:r w:rsidR="004333C2">
        <w:rPr>
          <w:rFonts w:ascii="Book Antiqua" w:hAnsi="Book Antiqua" w:cs="Arial"/>
        </w:rPr>
        <w:t>4</w:t>
      </w:r>
      <w:r w:rsidRPr="00AC52D2">
        <w:rPr>
          <w:rFonts w:ascii="Book Antiqua" w:hAnsi="Book Antiqua" w:cs="Arial"/>
        </w:rPr>
        <w:t xml:space="preserve"> milliards de DH</w:t>
      </w:r>
      <w:r>
        <w:rPr>
          <w:rFonts w:ascii="Book Antiqua" w:hAnsi="Book Antiqua" w:cs="Arial"/>
        </w:rPr>
        <w:t xml:space="preserve"> en 20</w:t>
      </w:r>
      <w:r w:rsidR="004333C2">
        <w:rPr>
          <w:rFonts w:ascii="Book Antiqua" w:hAnsi="Book Antiqua" w:cs="Arial"/>
        </w:rPr>
        <w:t>20</w:t>
      </w:r>
      <w:r w:rsidRPr="00AC52D2">
        <w:rPr>
          <w:rFonts w:ascii="Book Antiqua" w:hAnsi="Book Antiqua" w:cs="Arial"/>
        </w:rPr>
        <w:t>. </w:t>
      </w:r>
    </w:p>
    <w:p w:rsidR="00745BB6" w:rsidRDefault="00745BB6" w:rsidP="00745BB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45BB6" w:rsidRDefault="00745BB6" w:rsidP="00745BB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45BB6" w:rsidRDefault="007F1DB8" w:rsidP="00745BB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noProof/>
        </w:rPr>
        <w:lastRenderedPageBreak/>
        <w:drawing>
          <wp:inline distT="0" distB="0" distL="0" distR="0">
            <wp:extent cx="6010275" cy="3674110"/>
            <wp:effectExtent l="19050" t="19050" r="9525" b="21590"/>
            <wp:docPr id="8" name="Graphique 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12FA9C4C-E1B7-4F71-B40F-0D2DBB1FDC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2E309C">
        <w:rPr>
          <w:rFonts w:ascii="Book Antiqua" w:hAnsi="Book Antiqua" w:cs="Arial"/>
          <w:noProof/>
        </w:rPr>
        <w:t xml:space="preserve"> </w:t>
      </w:r>
    </w:p>
    <w:p w:rsidR="00745BB6" w:rsidRPr="005D08B4" w:rsidRDefault="00745BB6" w:rsidP="00745BB6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  <w:sz w:val="2"/>
          <w:szCs w:val="2"/>
        </w:rPr>
      </w:pPr>
    </w:p>
    <w:p w:rsidR="00745BB6" w:rsidRPr="00D2227D" w:rsidRDefault="00745BB6" w:rsidP="00745BB6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</w:rPr>
      </w:pPr>
      <w:r w:rsidRPr="00CB7151">
        <w:rPr>
          <w:rFonts w:ascii="Book Antiqua" w:hAnsi="Book Antiqua" w:cs="Arial"/>
        </w:rPr>
        <w:t>Rapportées à la population</w:t>
      </w:r>
      <w:r>
        <w:rPr>
          <w:rFonts w:ascii="Book Antiqua" w:hAnsi="Book Antiqua" w:cs="Arial"/>
        </w:rPr>
        <w:t xml:space="preserve">, les </w:t>
      </w:r>
      <w:r w:rsidRPr="00D2227D">
        <w:rPr>
          <w:rFonts w:ascii="Book Antiqua" w:hAnsi="Book Antiqua" w:cs="Arial"/>
        </w:rPr>
        <w:t xml:space="preserve">dépenses de consommation finale des ménages </w:t>
      </w:r>
      <w:r>
        <w:rPr>
          <w:rFonts w:ascii="Book Antiqua" w:hAnsi="Book Antiqua" w:cs="Arial"/>
        </w:rPr>
        <w:t xml:space="preserve">ont affiché des niveaux </w:t>
      </w:r>
      <w:r w:rsidRPr="00D2227D">
        <w:rPr>
          <w:rFonts w:ascii="Book Antiqua" w:hAnsi="Book Antiqua" w:cs="Arial"/>
        </w:rPr>
        <w:t>supérieurs à la moyenne nationale (</w:t>
      </w:r>
      <w:r w:rsidR="005128C1">
        <w:rPr>
          <w:rFonts w:ascii="Book Antiqua" w:hAnsi="Book Antiqua" w:cs="Arial"/>
        </w:rPr>
        <w:t>20694</w:t>
      </w:r>
      <w:r>
        <w:rPr>
          <w:rFonts w:ascii="Book Antiqua" w:hAnsi="Book Antiqua" w:cs="Arial"/>
        </w:rPr>
        <w:t xml:space="preserve"> DH en 202</w:t>
      </w:r>
      <w:r w:rsidR="005128C1">
        <w:rPr>
          <w:rFonts w:ascii="Book Antiqua" w:hAnsi="Book Antiqua" w:cs="Arial"/>
        </w:rPr>
        <w:t>1</w:t>
      </w:r>
      <w:r w:rsidRPr="00D2227D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 dans six régions</w:t>
      </w:r>
      <w:r w:rsidRPr="00D2227D">
        <w:rPr>
          <w:rFonts w:ascii="Book Antiqua" w:hAnsi="Book Antiqua" w:cs="Arial"/>
        </w:rPr>
        <w:t>. Il s’agit des</w:t>
      </w:r>
      <w:r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régions de Dakhla-Oued</w:t>
      </w:r>
      <w:r>
        <w:rPr>
          <w:rFonts w:ascii="Book Antiqua" w:hAnsi="Book Antiqua" w:cs="Arial"/>
        </w:rPr>
        <w:t>-E</w:t>
      </w:r>
      <w:r w:rsidRPr="00D2227D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D2227D">
        <w:rPr>
          <w:rFonts w:ascii="Book Antiqua" w:hAnsi="Book Antiqua" w:cs="Arial"/>
        </w:rPr>
        <w:t>Dahab (</w:t>
      </w:r>
      <w:r w:rsidR="005128C1">
        <w:rPr>
          <w:rFonts w:ascii="Book Antiqua" w:hAnsi="Book Antiqua" w:cs="Arial"/>
        </w:rPr>
        <w:t>29554</w:t>
      </w:r>
      <w:r w:rsidR="00BC59D4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 xml:space="preserve">DH), </w:t>
      </w:r>
      <w:r>
        <w:rPr>
          <w:rFonts w:ascii="Book Antiqua" w:hAnsi="Book Antiqua" w:cs="Arial"/>
        </w:rPr>
        <w:t xml:space="preserve">de Casablanca-Settat </w:t>
      </w:r>
      <w:r w:rsidRPr="00D2227D">
        <w:rPr>
          <w:rFonts w:ascii="Book Antiqua" w:hAnsi="Book Antiqua" w:cs="Arial"/>
        </w:rPr>
        <w:t>(</w:t>
      </w:r>
      <w:r w:rsidR="005128C1">
        <w:rPr>
          <w:rFonts w:ascii="Book Antiqua" w:hAnsi="Book Antiqua" w:cs="Arial"/>
        </w:rPr>
        <w:t>25300</w:t>
      </w:r>
      <w:r>
        <w:rPr>
          <w:rFonts w:ascii="Book Antiqua" w:hAnsi="Book Antiqua" w:cs="Arial"/>
        </w:rPr>
        <w:t xml:space="preserve"> DH), de </w:t>
      </w:r>
      <w:r w:rsidRPr="00D2227D">
        <w:rPr>
          <w:rFonts w:ascii="Book Antiqua" w:hAnsi="Book Antiqua" w:cs="Arial"/>
        </w:rPr>
        <w:t>Rabat-Salé-Kénitra (</w:t>
      </w:r>
      <w:r w:rsidR="005128C1">
        <w:rPr>
          <w:rFonts w:ascii="Book Antiqua" w:hAnsi="Book Antiqua" w:cs="Arial"/>
        </w:rPr>
        <w:t>22431</w:t>
      </w:r>
      <w:r w:rsidR="00BC59D4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DH)</w:t>
      </w:r>
      <w:r>
        <w:rPr>
          <w:rFonts w:ascii="Book Antiqua" w:hAnsi="Book Antiqua" w:cs="Arial"/>
        </w:rPr>
        <w:t>, de</w:t>
      </w:r>
      <w:r w:rsidRPr="00746FAA">
        <w:rPr>
          <w:rFonts w:ascii="Book Antiqua" w:hAnsi="Book Antiqua" w:cs="Arial"/>
        </w:rPr>
        <w:t xml:space="preserve"> Tanger-Tétouan-Al Hoceima</w:t>
      </w:r>
      <w:r>
        <w:rPr>
          <w:rFonts w:ascii="Book Antiqua" w:hAnsi="Book Antiqua" w:cs="Arial"/>
        </w:rPr>
        <w:t xml:space="preserve"> (</w:t>
      </w:r>
      <w:r w:rsidR="005128C1">
        <w:rPr>
          <w:rFonts w:ascii="Book Antiqua" w:hAnsi="Book Antiqua" w:cs="Arial"/>
        </w:rPr>
        <w:t>22273</w:t>
      </w:r>
      <w:r>
        <w:rPr>
          <w:rFonts w:ascii="Book Antiqua" w:hAnsi="Book Antiqua" w:cs="Arial"/>
        </w:rPr>
        <w:t xml:space="preserve"> DH),</w:t>
      </w:r>
      <w:r w:rsidRPr="00D2227D">
        <w:rPr>
          <w:rFonts w:ascii="Book Antiqua" w:hAnsi="Book Antiqua" w:cs="Arial"/>
        </w:rPr>
        <w:t xml:space="preserve"> de</w:t>
      </w:r>
      <w:r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Laâyoune-Saguia al Hamra (</w:t>
      </w:r>
      <w:r w:rsidR="005128C1">
        <w:rPr>
          <w:rFonts w:ascii="Book Antiqua" w:hAnsi="Book Antiqua" w:cs="Arial"/>
        </w:rPr>
        <w:t>21978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Pr="00D2227D">
        <w:rPr>
          <w:rFonts w:ascii="Book Antiqua" w:hAnsi="Book Antiqua" w:cs="Arial"/>
        </w:rPr>
        <w:t xml:space="preserve"> et de </w:t>
      </w:r>
      <w:r>
        <w:rPr>
          <w:rFonts w:ascii="Book Antiqua" w:hAnsi="Book Antiqua" w:cs="Arial"/>
        </w:rPr>
        <w:t>l’Oriental</w:t>
      </w:r>
      <w:r w:rsidRPr="00D2227D">
        <w:rPr>
          <w:rFonts w:ascii="Book Antiqua" w:hAnsi="Book Antiqua" w:cs="Arial"/>
        </w:rPr>
        <w:t xml:space="preserve"> (</w:t>
      </w:r>
      <w:r w:rsidR="005128C1">
        <w:rPr>
          <w:rFonts w:ascii="Book Antiqua" w:hAnsi="Book Antiqua" w:cs="Arial"/>
        </w:rPr>
        <w:t>21043</w:t>
      </w:r>
      <w:r w:rsidRPr="00D2227D">
        <w:rPr>
          <w:rFonts w:ascii="Book Antiqua" w:hAnsi="Book Antiqua" w:cs="Arial"/>
        </w:rPr>
        <w:t xml:space="preserve"> DH). </w:t>
      </w:r>
    </w:p>
    <w:p w:rsidR="00745BB6" w:rsidRDefault="00745BB6" w:rsidP="00745BB6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</w:t>
      </w:r>
      <w:r w:rsidRPr="00D2227D">
        <w:rPr>
          <w:rFonts w:ascii="Book Antiqua" w:hAnsi="Book Antiqua" w:cs="Arial"/>
        </w:rPr>
        <w:t xml:space="preserve"> les autres régions, </w:t>
      </w:r>
      <w:r>
        <w:rPr>
          <w:rFonts w:ascii="Book Antiqua" w:hAnsi="Book Antiqua" w:cs="Arial"/>
        </w:rPr>
        <w:t>les</w:t>
      </w:r>
      <w:r w:rsidRPr="00D2227D">
        <w:rPr>
          <w:rFonts w:ascii="Book Antiqua" w:hAnsi="Book Antiqua" w:cs="Arial"/>
        </w:rPr>
        <w:t xml:space="preserve"> dépenses de consommation </w:t>
      </w:r>
      <w:r>
        <w:rPr>
          <w:rFonts w:ascii="Book Antiqua" w:hAnsi="Book Antiqua" w:cs="Arial"/>
        </w:rPr>
        <w:t>par habitant sont passées</w:t>
      </w:r>
      <w:r w:rsidRPr="00D2227D">
        <w:rPr>
          <w:rFonts w:ascii="Book Antiqua" w:hAnsi="Book Antiqua" w:cs="Arial"/>
        </w:rPr>
        <w:t xml:space="preserve"> d’un minimum de </w:t>
      </w:r>
      <w:r w:rsidR="005128C1">
        <w:rPr>
          <w:rFonts w:ascii="Book Antiqua" w:hAnsi="Book Antiqua" w:cs="Arial"/>
        </w:rPr>
        <w:t>14377</w:t>
      </w:r>
      <w:r w:rsidR="00BC59D4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DH (</w:t>
      </w:r>
      <w:r w:rsidRPr="00746FAA">
        <w:rPr>
          <w:rFonts w:ascii="Book Antiqua" w:hAnsi="Book Antiqua" w:cs="Arial"/>
        </w:rPr>
        <w:t>Drâa-Tafilalet</w:t>
      </w:r>
      <w:r w:rsidRPr="00D2227D">
        <w:rPr>
          <w:rFonts w:ascii="Book Antiqua" w:hAnsi="Book Antiqua" w:cs="Arial"/>
        </w:rPr>
        <w:t xml:space="preserve">) à </w:t>
      </w:r>
      <w:r w:rsidR="005128C1">
        <w:rPr>
          <w:rFonts w:ascii="Book Antiqua" w:hAnsi="Book Antiqua" w:cs="Arial"/>
        </w:rPr>
        <w:t>19580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 </w:t>
      </w:r>
      <w:r w:rsidRPr="00D2227D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Fès</w:t>
      </w:r>
      <w:r w:rsidRPr="00AD2025">
        <w:rPr>
          <w:rFonts w:ascii="Book Antiqua" w:hAnsi="Book Antiqua" w:cs="Arial"/>
        </w:rPr>
        <w:t>-</w:t>
      </w:r>
      <w:r>
        <w:rPr>
          <w:rFonts w:ascii="Book Antiqua" w:hAnsi="Book Antiqua" w:cs="Arial"/>
        </w:rPr>
        <w:t>Meknès</w:t>
      </w:r>
      <w:r w:rsidRPr="00D2227D">
        <w:rPr>
          <w:rFonts w:ascii="Book Antiqua" w:hAnsi="Book Antiqua" w:cs="Arial"/>
        </w:rPr>
        <w:t>).</w:t>
      </w:r>
    </w:p>
    <w:p w:rsidR="00745BB6" w:rsidRDefault="00745BB6" w:rsidP="00745BB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A cet effet, la dispersion</w:t>
      </w:r>
      <w:r w:rsidRPr="00D2227D">
        <w:rPr>
          <w:rFonts w:ascii="Book Antiqua" w:hAnsi="Book Antiqua" w:cs="Arial"/>
        </w:rPr>
        <w:t xml:space="preserve"> des dépenses de consommation </w:t>
      </w:r>
      <w:r>
        <w:rPr>
          <w:rFonts w:ascii="Book Antiqua" w:hAnsi="Book Antiqua" w:cs="Arial"/>
        </w:rPr>
        <w:t xml:space="preserve">finale </w:t>
      </w:r>
      <w:r w:rsidRPr="00D2227D">
        <w:rPr>
          <w:rFonts w:ascii="Book Antiqua" w:hAnsi="Book Antiqua" w:cs="Arial"/>
        </w:rPr>
        <w:t xml:space="preserve">des ménages par tête </w:t>
      </w:r>
      <w:r>
        <w:rPr>
          <w:rFonts w:ascii="Book Antiqua" w:hAnsi="Book Antiqua" w:cs="Arial"/>
        </w:rPr>
        <w:t>a</w:t>
      </w:r>
      <w:r w:rsidR="00133C14">
        <w:rPr>
          <w:rFonts w:ascii="Book Antiqua" w:hAnsi="Book Antiqua" w:cs="Arial"/>
        </w:rPr>
        <w:t xml:space="preserve"> augmenté</w:t>
      </w:r>
      <w:r>
        <w:rPr>
          <w:rFonts w:ascii="Book Antiqua" w:hAnsi="Book Antiqua" w:cs="Arial"/>
        </w:rPr>
        <w:t xml:space="preserve">. </w:t>
      </w:r>
      <w:r w:rsidRPr="00D2227D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 xml:space="preserve">est passé de </w:t>
      </w:r>
      <w:r w:rsidR="00133C14">
        <w:rPr>
          <w:rFonts w:ascii="Book Antiqua" w:hAnsi="Book Antiqua" w:cs="Arial"/>
        </w:rPr>
        <w:t>2885</w:t>
      </w:r>
      <w:r w:rsidRPr="00D2227D">
        <w:rPr>
          <w:rFonts w:ascii="Book Antiqua" w:hAnsi="Book Antiqua" w:cs="Arial"/>
        </w:rPr>
        <w:t xml:space="preserve"> DH en </w:t>
      </w:r>
      <w:r w:rsidR="00133C14">
        <w:rPr>
          <w:rFonts w:ascii="Book Antiqua" w:hAnsi="Book Antiqua" w:cs="Arial"/>
        </w:rPr>
        <w:t>2020</w:t>
      </w:r>
      <w:r w:rsidR="00BC59D4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à</w:t>
      </w:r>
      <w:r w:rsidR="00BC59D4">
        <w:rPr>
          <w:rFonts w:ascii="Book Antiqua" w:hAnsi="Book Antiqua" w:cs="Arial"/>
        </w:rPr>
        <w:t xml:space="preserve"> </w:t>
      </w:r>
      <w:r w:rsidR="00133C14">
        <w:rPr>
          <w:rFonts w:ascii="Book Antiqua" w:hAnsi="Book Antiqua" w:cs="Arial"/>
        </w:rPr>
        <w:t>3155</w:t>
      </w:r>
      <w:r w:rsidRPr="00D2227D">
        <w:rPr>
          <w:rFonts w:ascii="Book Antiqua" w:hAnsi="Book Antiqua" w:cs="Arial"/>
        </w:rPr>
        <w:t xml:space="preserve"> DH en </w:t>
      </w:r>
      <w:r w:rsidR="00133C14">
        <w:rPr>
          <w:rFonts w:ascii="Book Antiqua" w:hAnsi="Book Antiqua" w:cs="Arial"/>
        </w:rPr>
        <w:t>2021</w:t>
      </w:r>
      <w:r>
        <w:rPr>
          <w:rFonts w:ascii="Book Antiqua" w:hAnsi="Book Antiqua" w:cs="Arial"/>
        </w:rPr>
        <w:t xml:space="preserve">. </w:t>
      </w:r>
    </w:p>
    <w:p w:rsidR="00745BB6" w:rsidRDefault="00745BB6" w:rsidP="00745BB6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273250" w:rsidRDefault="00273250" w:rsidP="00273250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746A5F" w:rsidRDefault="00746A5F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b/>
          <w:bCs/>
          <w:i/>
          <w:iCs/>
          <w:sz w:val="20"/>
          <w:szCs w:val="20"/>
        </w:rPr>
      </w:pPr>
    </w:p>
    <w:p w:rsidR="00746A5F" w:rsidRDefault="00746A5F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2A5DEF" w:rsidRDefault="002A5DEF" w:rsidP="002A5DE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b/>
          <w:bCs/>
          <w:i/>
          <w:iCs/>
          <w:sz w:val="20"/>
          <w:szCs w:val="20"/>
        </w:rPr>
        <w:sectPr w:rsidR="002A5DEF" w:rsidSect="00CC4E6F">
          <w:footerReference w:type="first" r:id="rId12"/>
          <w:pgSz w:w="11900" w:h="16840"/>
          <w:pgMar w:top="1701" w:right="1304" w:bottom="1701" w:left="1418" w:header="720" w:footer="720" w:gutter="0"/>
          <w:pgNumType w:start="1"/>
          <w:cols w:space="720"/>
          <w:noEndnote/>
          <w:titlePg/>
          <w:docGrid w:linePitch="326"/>
        </w:sectPr>
      </w:pPr>
      <w:r w:rsidRPr="003726F2">
        <w:rPr>
          <w:b/>
          <w:bCs/>
          <w:i/>
          <w:iCs/>
          <w:sz w:val="20"/>
          <w:szCs w:val="20"/>
        </w:rPr>
        <w:t>En annexe les tableaux et les cartes géographiques présentant les résultats des comptes régionaux</w:t>
      </w:r>
      <w:r>
        <w:rPr>
          <w:b/>
          <w:bCs/>
          <w:i/>
          <w:iCs/>
          <w:sz w:val="20"/>
          <w:szCs w:val="20"/>
        </w:rPr>
        <w:t>, en base 2014,</w:t>
      </w:r>
      <w:r w:rsidRPr="003726F2">
        <w:rPr>
          <w:b/>
          <w:bCs/>
          <w:i/>
          <w:iCs/>
          <w:sz w:val="20"/>
          <w:szCs w:val="20"/>
        </w:rPr>
        <w:t xml:space="preserve"> des années 2</w:t>
      </w:r>
      <w:r>
        <w:rPr>
          <w:b/>
          <w:bCs/>
          <w:i/>
          <w:iCs/>
          <w:sz w:val="20"/>
          <w:szCs w:val="20"/>
        </w:rPr>
        <w:t>020</w:t>
      </w:r>
      <w:r w:rsidRPr="003726F2">
        <w:rPr>
          <w:b/>
          <w:bCs/>
          <w:i/>
          <w:iCs/>
          <w:sz w:val="20"/>
          <w:szCs w:val="20"/>
        </w:rPr>
        <w:t xml:space="preserve"> et 20</w:t>
      </w:r>
      <w:r>
        <w:rPr>
          <w:b/>
          <w:bCs/>
          <w:i/>
          <w:iCs/>
          <w:sz w:val="20"/>
          <w:szCs w:val="20"/>
        </w:rPr>
        <w:t>21</w:t>
      </w:r>
    </w:p>
    <w:p w:rsidR="00745BB6" w:rsidRDefault="00745BB6" w:rsidP="00745BB6">
      <w:pPr>
        <w:pStyle w:val="Paragraphedeliste"/>
        <w:ind w:left="0"/>
      </w:pPr>
    </w:p>
    <w:p w:rsidR="00745BB6" w:rsidRDefault="00745BB6" w:rsidP="00745BB6">
      <w:pPr>
        <w:pStyle w:val="Paragraphedeliste"/>
        <w:ind w:left="0"/>
      </w:pPr>
    </w:p>
    <w:tbl>
      <w:tblPr>
        <w:tblW w:w="12350" w:type="dxa"/>
        <w:tblInd w:w="1090" w:type="dxa"/>
        <w:tblCellMar>
          <w:left w:w="70" w:type="dxa"/>
          <w:right w:w="70" w:type="dxa"/>
        </w:tblCellMar>
        <w:tblLook w:val="04A0"/>
      </w:tblPr>
      <w:tblGrid>
        <w:gridCol w:w="687"/>
        <w:gridCol w:w="5301"/>
        <w:gridCol w:w="224"/>
        <w:gridCol w:w="225"/>
        <w:gridCol w:w="1361"/>
        <w:gridCol w:w="1636"/>
        <w:gridCol w:w="1328"/>
        <w:gridCol w:w="1588"/>
      </w:tblGrid>
      <w:tr w:rsidR="00086AA4" w:rsidRPr="00086AA4" w:rsidTr="00221ECF">
        <w:trPr>
          <w:trHeight w:val="531"/>
        </w:trPr>
        <w:tc>
          <w:tcPr>
            <w:tcW w:w="12349" w:type="dxa"/>
            <w:gridSpan w:val="8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Croissance du Produit intérieur brut</w:t>
            </w:r>
            <w:r w:rsidR="002876AF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et contribution à la croissance nationale</w:t>
            </w:r>
            <w:r w:rsidRPr="00086AA4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par région </w:t>
            </w:r>
          </w:p>
        </w:tc>
      </w:tr>
      <w:tr w:rsidR="00086AA4" w:rsidRPr="00086AA4" w:rsidTr="00221ECF">
        <w:trPr>
          <w:trHeight w:val="358"/>
        </w:trPr>
        <w:tc>
          <w:tcPr>
            <w:tcW w:w="687" w:type="dxa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86AA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86AA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86AA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86AA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86AA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86AA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86AA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86AA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86AA4" w:rsidRPr="00086AA4" w:rsidTr="00221ECF">
        <w:trPr>
          <w:trHeight w:val="358"/>
        </w:trPr>
        <w:tc>
          <w:tcPr>
            <w:tcW w:w="5988" w:type="dxa"/>
            <w:gridSpan w:val="2"/>
            <w:vMerge w:val="restart"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86AA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86AA4" w:rsidRPr="00086AA4" w:rsidTr="00221ECF">
        <w:trPr>
          <w:trHeight w:val="649"/>
        </w:trPr>
        <w:tc>
          <w:tcPr>
            <w:tcW w:w="5988" w:type="dxa"/>
            <w:gridSpan w:val="2"/>
            <w:vMerge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vAlign w:val="center"/>
            <w:hideMark/>
          </w:tcPr>
          <w:p w:rsidR="00086AA4" w:rsidRPr="00086AA4" w:rsidRDefault="00086AA4" w:rsidP="00086AA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9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Croissance (%)</w:t>
            </w:r>
          </w:p>
        </w:tc>
        <w:tc>
          <w:tcPr>
            <w:tcW w:w="291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Contribution à la croissance (points)</w:t>
            </w:r>
          </w:p>
        </w:tc>
      </w:tr>
      <w:tr w:rsidR="00086AA4" w:rsidRPr="00086AA4" w:rsidTr="00221ECF">
        <w:trPr>
          <w:trHeight w:val="332"/>
        </w:trPr>
        <w:tc>
          <w:tcPr>
            <w:tcW w:w="5988" w:type="dxa"/>
            <w:gridSpan w:val="2"/>
            <w:vMerge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vAlign w:val="center"/>
            <w:hideMark/>
          </w:tcPr>
          <w:p w:rsidR="00086AA4" w:rsidRPr="00086AA4" w:rsidRDefault="00086AA4" w:rsidP="00086AA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AA4" w:rsidRPr="00086AA4" w:rsidRDefault="00086AA4" w:rsidP="00086AA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AA4" w:rsidRPr="00086AA4" w:rsidRDefault="00086AA4" w:rsidP="00086AA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AA4" w:rsidRPr="00086AA4" w:rsidRDefault="00086AA4" w:rsidP="00086AA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AA4" w:rsidRPr="00086AA4" w:rsidRDefault="00086AA4" w:rsidP="00086AA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2021*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AA4" w:rsidRPr="00086AA4" w:rsidRDefault="00086AA4" w:rsidP="00086AA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2021*</w:t>
            </w:r>
          </w:p>
        </w:tc>
      </w:tr>
      <w:tr w:rsidR="00086AA4" w:rsidRPr="00086AA4" w:rsidTr="00221ECF">
        <w:trPr>
          <w:trHeight w:val="332"/>
        </w:trPr>
        <w:tc>
          <w:tcPr>
            <w:tcW w:w="687" w:type="dxa"/>
            <w:tcBorders>
              <w:top w:val="nil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3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22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-11,1</w:t>
            </w:r>
          </w:p>
        </w:tc>
        <w:tc>
          <w:tcPr>
            <w:tcW w:w="163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32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0,9</w:t>
            </w:r>
          </w:p>
        </w:tc>
      </w:tr>
      <w:tr w:rsidR="00086AA4" w:rsidRPr="00086AA4" w:rsidTr="00221ECF">
        <w:trPr>
          <w:trHeight w:val="332"/>
        </w:trPr>
        <w:tc>
          <w:tcPr>
            <w:tcW w:w="687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-7,2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</w:tr>
      <w:tr w:rsidR="00086AA4" w:rsidRPr="00086AA4" w:rsidTr="00221ECF">
        <w:trPr>
          <w:trHeight w:val="332"/>
        </w:trPr>
        <w:tc>
          <w:tcPr>
            <w:tcW w:w="687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-9,2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12,7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</w:tr>
      <w:tr w:rsidR="00086AA4" w:rsidRPr="00086AA4" w:rsidTr="00221ECF">
        <w:trPr>
          <w:trHeight w:val="332"/>
        </w:trPr>
        <w:tc>
          <w:tcPr>
            <w:tcW w:w="687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-4,6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</w:tr>
      <w:tr w:rsidR="00086AA4" w:rsidRPr="00086AA4" w:rsidTr="00221ECF">
        <w:trPr>
          <w:trHeight w:val="332"/>
        </w:trPr>
        <w:tc>
          <w:tcPr>
            <w:tcW w:w="687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3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-2,5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</w:tr>
      <w:tr w:rsidR="00086AA4" w:rsidRPr="00086AA4" w:rsidTr="00221ECF">
        <w:trPr>
          <w:trHeight w:val="332"/>
        </w:trPr>
        <w:tc>
          <w:tcPr>
            <w:tcW w:w="687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-7,0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</w:tr>
      <w:tr w:rsidR="00086AA4" w:rsidRPr="00086AA4" w:rsidTr="00221ECF">
        <w:trPr>
          <w:trHeight w:val="332"/>
        </w:trPr>
        <w:tc>
          <w:tcPr>
            <w:tcW w:w="687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3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-15,5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</w:tr>
      <w:tr w:rsidR="00086AA4" w:rsidRPr="00086AA4" w:rsidTr="00221ECF">
        <w:trPr>
          <w:trHeight w:val="332"/>
        </w:trPr>
        <w:tc>
          <w:tcPr>
            <w:tcW w:w="687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</w:tr>
      <w:tr w:rsidR="00086AA4" w:rsidRPr="00086AA4" w:rsidTr="00221ECF">
        <w:trPr>
          <w:trHeight w:val="332"/>
        </w:trPr>
        <w:tc>
          <w:tcPr>
            <w:tcW w:w="687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3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-11,3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</w:tr>
      <w:tr w:rsidR="00086AA4" w:rsidRPr="00086AA4" w:rsidTr="00221ECF">
        <w:trPr>
          <w:trHeight w:val="332"/>
        </w:trPr>
        <w:tc>
          <w:tcPr>
            <w:tcW w:w="687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086AA4" w:rsidRPr="00086AA4" w:rsidTr="00221ECF">
        <w:trPr>
          <w:trHeight w:val="332"/>
        </w:trPr>
        <w:tc>
          <w:tcPr>
            <w:tcW w:w="687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3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086AA4" w:rsidRPr="00086AA4" w:rsidTr="00221ECF">
        <w:trPr>
          <w:trHeight w:val="332"/>
        </w:trPr>
        <w:tc>
          <w:tcPr>
            <w:tcW w:w="687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086AA4" w:rsidRPr="00086AA4" w:rsidTr="00221ECF">
        <w:trPr>
          <w:trHeight w:val="332"/>
        </w:trPr>
        <w:tc>
          <w:tcPr>
            <w:tcW w:w="5988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</w:tr>
      <w:tr w:rsidR="00086AA4" w:rsidRPr="00086AA4" w:rsidTr="00221ECF">
        <w:trPr>
          <w:trHeight w:val="332"/>
        </w:trPr>
        <w:tc>
          <w:tcPr>
            <w:tcW w:w="5988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0000"/>
              <w:right w:val="nil"/>
            </w:tcBorders>
            <w:shd w:val="clear" w:color="auto" w:fill="auto"/>
            <w:noWrap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24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-7,2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-7,2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086AA4" w:rsidRPr="00086AA4" w:rsidRDefault="00086AA4" w:rsidP="00086A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8,0</w:t>
            </w:r>
          </w:p>
        </w:tc>
      </w:tr>
    </w:tbl>
    <w:p w:rsidR="002876AF" w:rsidRDefault="00086AA4" w:rsidP="00745BB6">
      <w:pPr>
        <w:pStyle w:val="Paragraphedeliste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 w:rsidR="008F157C">
        <w:rPr>
          <w:sz w:val="16"/>
          <w:szCs w:val="16"/>
        </w:rPr>
        <w:t xml:space="preserve">           </w:t>
      </w:r>
      <w:r>
        <w:rPr>
          <w:sz w:val="16"/>
          <w:szCs w:val="16"/>
        </w:rPr>
        <w:t xml:space="preserve">  </w:t>
      </w:r>
    </w:p>
    <w:p w:rsidR="00745BB6" w:rsidRDefault="00086AA4" w:rsidP="002876AF">
      <w:pPr>
        <w:pStyle w:val="Paragraphedeliste"/>
        <w:ind w:left="8508" w:firstLine="696"/>
        <w:jc w:val="center"/>
      </w:pPr>
      <w:r>
        <w:rPr>
          <w:sz w:val="16"/>
          <w:szCs w:val="16"/>
        </w:rPr>
        <w:t xml:space="preserve">  </w:t>
      </w:r>
      <w:r w:rsidRPr="004C167D">
        <w:rPr>
          <w:sz w:val="16"/>
          <w:szCs w:val="16"/>
        </w:rPr>
        <w:t>* Données semi-définitives</w:t>
      </w:r>
    </w:p>
    <w:p w:rsidR="008D29F5" w:rsidRDefault="008D29F5" w:rsidP="00745BB6">
      <w:pPr>
        <w:pStyle w:val="Paragraphedeliste"/>
        <w:ind w:left="6384" w:firstLine="69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tbl>
      <w:tblPr>
        <w:tblW w:w="13694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61"/>
        <w:gridCol w:w="5478"/>
        <w:gridCol w:w="1705"/>
        <w:gridCol w:w="1706"/>
        <w:gridCol w:w="979"/>
        <w:gridCol w:w="1094"/>
        <w:gridCol w:w="1186"/>
        <w:gridCol w:w="1085"/>
      </w:tblGrid>
      <w:tr w:rsidR="008F157C" w:rsidRPr="008F157C" w:rsidTr="00221ECF">
        <w:trPr>
          <w:trHeight w:val="565"/>
        </w:trPr>
        <w:tc>
          <w:tcPr>
            <w:tcW w:w="13694" w:type="dxa"/>
            <w:gridSpan w:val="8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Produit intérieur brut</w:t>
            </w:r>
            <w:r w:rsidR="00221ECF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,</w:t>
            </w:r>
            <w:r w:rsidRPr="008F157C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2876AF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aux prix courants</w:t>
            </w:r>
            <w:r w:rsidR="00221ECF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, </w:t>
            </w:r>
            <w:r w:rsidRPr="008F157C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par région </w:t>
            </w:r>
          </w:p>
        </w:tc>
      </w:tr>
      <w:tr w:rsidR="008F157C" w:rsidRPr="008F157C" w:rsidTr="00221ECF">
        <w:trPr>
          <w:trHeight w:val="353"/>
        </w:trPr>
        <w:tc>
          <w:tcPr>
            <w:tcW w:w="46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F157C" w:rsidRPr="008F157C" w:rsidTr="00221ECF">
        <w:trPr>
          <w:trHeight w:val="353"/>
        </w:trPr>
        <w:tc>
          <w:tcPr>
            <w:tcW w:w="5939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F157C" w:rsidRPr="008F157C" w:rsidTr="00221ECF">
        <w:trPr>
          <w:trHeight w:val="353"/>
        </w:trPr>
        <w:tc>
          <w:tcPr>
            <w:tcW w:w="5939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1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207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221ECF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</w:t>
            </w:r>
            <w:r w:rsidR="008F157C"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tructure (%)</w:t>
            </w:r>
          </w:p>
        </w:tc>
        <w:tc>
          <w:tcPr>
            <w:tcW w:w="227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PIB par tête </w:t>
            </w:r>
          </w:p>
        </w:tc>
      </w:tr>
      <w:tr w:rsidR="008F157C" w:rsidRPr="008F157C" w:rsidTr="00221ECF">
        <w:trPr>
          <w:trHeight w:val="353"/>
        </w:trPr>
        <w:tc>
          <w:tcPr>
            <w:tcW w:w="5939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57C" w:rsidRPr="008F157C" w:rsidRDefault="008F157C" w:rsidP="008F157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57C" w:rsidRPr="008F157C" w:rsidRDefault="008F157C" w:rsidP="008F157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2021*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57C" w:rsidRPr="008F157C" w:rsidRDefault="008F157C" w:rsidP="008F157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57C" w:rsidRPr="008F157C" w:rsidRDefault="008F157C" w:rsidP="008F157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2021*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57C" w:rsidRPr="008F157C" w:rsidRDefault="008F157C" w:rsidP="008F157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2021*</w:t>
            </w:r>
          </w:p>
        </w:tc>
      </w:tr>
      <w:tr w:rsidR="008F157C" w:rsidRPr="008F157C" w:rsidTr="00221ECF">
        <w:trPr>
          <w:trHeight w:val="353"/>
        </w:trPr>
        <w:tc>
          <w:tcPr>
            <w:tcW w:w="46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7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122 235</w:t>
            </w:r>
          </w:p>
        </w:tc>
        <w:tc>
          <w:tcPr>
            <w:tcW w:w="17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134 049</w:t>
            </w:r>
          </w:p>
        </w:tc>
        <w:tc>
          <w:tcPr>
            <w:tcW w:w="9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1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32 050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34751</w:t>
            </w:r>
          </w:p>
        </w:tc>
      </w:tr>
      <w:tr w:rsidR="008F157C" w:rsidRPr="008F157C" w:rsidTr="00221ECF">
        <w:trPr>
          <w:trHeight w:val="353"/>
        </w:trPr>
        <w:tc>
          <w:tcPr>
            <w:tcW w:w="46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61 480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66 963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25 061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27009</w:t>
            </w:r>
          </w:p>
        </w:tc>
      </w:tr>
      <w:tr w:rsidR="008F157C" w:rsidRPr="008F157C" w:rsidTr="00221ECF">
        <w:trPr>
          <w:trHeight w:val="353"/>
        </w:trPr>
        <w:tc>
          <w:tcPr>
            <w:tcW w:w="46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4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91 020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104 353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20 659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23536</w:t>
            </w:r>
          </w:p>
        </w:tc>
      </w:tr>
      <w:tr w:rsidR="008F157C" w:rsidRPr="008F157C" w:rsidTr="00221ECF">
        <w:trPr>
          <w:trHeight w:val="353"/>
        </w:trPr>
        <w:tc>
          <w:tcPr>
            <w:tcW w:w="46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187 843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202 508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15,9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38 589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41196</w:t>
            </w:r>
          </w:p>
        </w:tc>
      </w:tr>
      <w:tr w:rsidR="008F157C" w:rsidRPr="008F157C" w:rsidTr="00221ECF">
        <w:trPr>
          <w:trHeight w:val="353"/>
        </w:trPr>
        <w:tc>
          <w:tcPr>
            <w:tcW w:w="46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4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62 340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74 853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23 857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28481</w:t>
            </w:r>
          </w:p>
        </w:tc>
      </w:tr>
      <w:tr w:rsidR="008F157C" w:rsidRPr="008F157C" w:rsidTr="00221ECF">
        <w:trPr>
          <w:trHeight w:val="353"/>
        </w:trPr>
        <w:tc>
          <w:tcPr>
            <w:tcW w:w="46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376 005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412 252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32,6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32,3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50 755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54948</w:t>
            </w:r>
          </w:p>
        </w:tc>
      </w:tr>
      <w:tr w:rsidR="008F157C" w:rsidRPr="008F157C" w:rsidTr="00221ECF">
        <w:trPr>
          <w:trHeight w:val="353"/>
        </w:trPr>
        <w:tc>
          <w:tcPr>
            <w:tcW w:w="46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4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89 163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101 000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18 675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20971</w:t>
            </w:r>
          </w:p>
        </w:tc>
      </w:tr>
      <w:tr w:rsidR="008F157C" w:rsidRPr="008F157C" w:rsidTr="00221ECF">
        <w:trPr>
          <w:trHeight w:val="353"/>
        </w:trPr>
        <w:tc>
          <w:tcPr>
            <w:tcW w:w="46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33 390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36 114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19 713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21202</w:t>
            </w:r>
          </w:p>
        </w:tc>
      </w:tr>
      <w:tr w:rsidR="008F157C" w:rsidRPr="008F157C" w:rsidTr="00221ECF">
        <w:trPr>
          <w:trHeight w:val="353"/>
        </w:trPr>
        <w:tc>
          <w:tcPr>
            <w:tcW w:w="46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4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71 108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79 382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24 552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27033</w:t>
            </w:r>
          </w:p>
        </w:tc>
      </w:tr>
      <w:tr w:rsidR="008F157C" w:rsidRPr="008F157C" w:rsidTr="00221ECF">
        <w:trPr>
          <w:trHeight w:val="353"/>
        </w:trPr>
        <w:tc>
          <w:tcPr>
            <w:tcW w:w="46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18 014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19 285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40 369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43010</w:t>
            </w:r>
          </w:p>
        </w:tc>
      </w:tr>
      <w:tr w:rsidR="008F157C" w:rsidRPr="008F157C" w:rsidTr="00221ECF">
        <w:trPr>
          <w:trHeight w:val="353"/>
        </w:trPr>
        <w:tc>
          <w:tcPr>
            <w:tcW w:w="46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4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24 210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26 909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60 458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66241</w:t>
            </w:r>
          </w:p>
        </w:tc>
      </w:tr>
      <w:tr w:rsidR="008F157C" w:rsidRPr="008F157C" w:rsidTr="00221ECF">
        <w:trPr>
          <w:trHeight w:val="353"/>
        </w:trPr>
        <w:tc>
          <w:tcPr>
            <w:tcW w:w="46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14 224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15 613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79 643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84069</w:t>
            </w:r>
          </w:p>
        </w:tc>
      </w:tr>
      <w:tr w:rsidR="008F157C" w:rsidRPr="008F157C" w:rsidTr="00221ECF">
        <w:trPr>
          <w:trHeight w:val="353"/>
        </w:trPr>
        <w:tc>
          <w:tcPr>
            <w:tcW w:w="593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1 446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1 447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8F157C" w:rsidRPr="008F157C" w:rsidTr="00221ECF">
        <w:trPr>
          <w:trHeight w:val="353"/>
        </w:trPr>
        <w:tc>
          <w:tcPr>
            <w:tcW w:w="593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1 152 477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1 274 727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32 056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35104</w:t>
            </w:r>
          </w:p>
        </w:tc>
      </w:tr>
    </w:tbl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F157C" w:rsidP="008D29F5">
      <w:pPr>
        <w:pStyle w:val="Paragraphedeliste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C167D">
        <w:rPr>
          <w:sz w:val="16"/>
          <w:szCs w:val="16"/>
        </w:rPr>
        <w:t xml:space="preserve"> * Données semi-définitives</w:t>
      </w: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745BB6" w:rsidRDefault="00745BB6" w:rsidP="00745BB6">
      <w:pPr>
        <w:pStyle w:val="Paragraphedeliste"/>
      </w:pPr>
    </w:p>
    <w:p w:rsidR="00745BB6" w:rsidRDefault="00745BB6" w:rsidP="00745BB6">
      <w:pPr>
        <w:pStyle w:val="Paragraphedeliste"/>
      </w:pPr>
    </w:p>
    <w:p w:rsidR="00745BB6" w:rsidRPr="00221ECF" w:rsidRDefault="00745BB6" w:rsidP="00221ECF">
      <w:pPr>
        <w:rPr>
          <w:sz w:val="16"/>
          <w:szCs w:val="16"/>
          <w:rtl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45BB6" w:rsidRDefault="00745BB6" w:rsidP="00745BB6">
      <w:pPr>
        <w:pStyle w:val="Paragraphedeliste"/>
      </w:pPr>
      <w:r>
        <w:tab/>
      </w:r>
      <w:r>
        <w:tab/>
      </w:r>
      <w:r>
        <w:tab/>
      </w:r>
    </w:p>
    <w:tbl>
      <w:tblPr>
        <w:tblW w:w="1404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2"/>
        <w:gridCol w:w="4049"/>
        <w:gridCol w:w="1137"/>
        <w:gridCol w:w="1138"/>
        <w:gridCol w:w="1137"/>
        <w:gridCol w:w="1138"/>
        <w:gridCol w:w="1137"/>
        <w:gridCol w:w="1138"/>
        <w:gridCol w:w="1137"/>
        <w:gridCol w:w="1624"/>
      </w:tblGrid>
      <w:tr w:rsidR="008F157C" w:rsidRPr="008F157C" w:rsidTr="009063F1">
        <w:trPr>
          <w:trHeight w:val="626"/>
        </w:trPr>
        <w:tc>
          <w:tcPr>
            <w:tcW w:w="14041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</w:pPr>
            <w:r w:rsidRPr="008F157C"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  <w:t xml:space="preserve">Produit intérieur </w:t>
            </w:r>
            <w:r w:rsidR="00221ECF" w:rsidRPr="008F157C"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  <w:t>brut</w:t>
            </w:r>
            <w:r w:rsidR="00221ECF"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  <w:t xml:space="preserve"> des</w:t>
            </w:r>
            <w:r w:rsidR="009063F1"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  <w:t xml:space="preserve"> régions, </w:t>
            </w:r>
            <w:r w:rsidR="002876AF"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  <w:t>aux prix courants</w:t>
            </w:r>
            <w:r w:rsidR="009063F1"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  <w:t>,</w:t>
            </w:r>
            <w:r w:rsidRPr="008F157C"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  <w:t xml:space="preserve"> par secteurs d'activité (en millions de DH)</w:t>
            </w:r>
          </w:p>
        </w:tc>
      </w:tr>
      <w:tr w:rsidR="008F157C" w:rsidRPr="008F157C" w:rsidTr="009063F1">
        <w:trPr>
          <w:trHeight w:val="355"/>
        </w:trPr>
        <w:tc>
          <w:tcPr>
            <w:tcW w:w="4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F157C" w:rsidRPr="008F157C" w:rsidTr="009063F1">
        <w:trPr>
          <w:trHeight w:val="355"/>
        </w:trPr>
        <w:tc>
          <w:tcPr>
            <w:tcW w:w="4461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4" w:space="0" w:color="C0504D"/>
            </w:tcBorders>
            <w:shd w:val="clear" w:color="auto" w:fill="auto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275" w:type="dxa"/>
            <w:gridSpan w:val="2"/>
            <w:tcBorders>
              <w:top w:val="single" w:sz="4" w:space="0" w:color="C0504D"/>
              <w:left w:val="single" w:sz="4" w:space="0" w:color="C0504D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275" w:type="dxa"/>
            <w:gridSpan w:val="2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275" w:type="dxa"/>
            <w:gridSpan w:val="2"/>
            <w:tcBorders>
              <w:top w:val="single" w:sz="4" w:space="0" w:color="C0504D"/>
              <w:left w:val="single" w:sz="4" w:space="0" w:color="C0504D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761" w:type="dxa"/>
            <w:gridSpan w:val="2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8F157C" w:rsidRPr="008F157C" w:rsidTr="009063F1">
        <w:trPr>
          <w:trHeight w:val="355"/>
        </w:trPr>
        <w:tc>
          <w:tcPr>
            <w:tcW w:w="4461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4" w:space="0" w:color="C0504D"/>
            </w:tcBorders>
            <w:vAlign w:val="center"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57C" w:rsidRPr="008F157C" w:rsidRDefault="008F157C" w:rsidP="008F157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center"/>
            <w:hideMark/>
          </w:tcPr>
          <w:p w:rsidR="008F157C" w:rsidRPr="008F157C" w:rsidRDefault="008F157C" w:rsidP="008F157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2021*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57C" w:rsidRPr="008F157C" w:rsidRDefault="008F157C" w:rsidP="008F157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center"/>
            <w:hideMark/>
          </w:tcPr>
          <w:p w:rsidR="008F157C" w:rsidRPr="008F157C" w:rsidRDefault="008F157C" w:rsidP="008F157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2021*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57C" w:rsidRPr="008F157C" w:rsidRDefault="008F157C" w:rsidP="008F157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center"/>
            <w:hideMark/>
          </w:tcPr>
          <w:p w:rsidR="008F157C" w:rsidRPr="008F157C" w:rsidRDefault="008F157C" w:rsidP="008F157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2021*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157C" w:rsidRPr="008F157C" w:rsidRDefault="008F157C" w:rsidP="008F157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2021*</w:t>
            </w:r>
          </w:p>
        </w:tc>
      </w:tr>
      <w:tr w:rsidR="008F157C" w:rsidRPr="008F157C" w:rsidTr="009063F1">
        <w:trPr>
          <w:trHeight w:val="355"/>
        </w:trPr>
        <w:tc>
          <w:tcPr>
            <w:tcW w:w="4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37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13502</w:t>
            </w:r>
          </w:p>
        </w:tc>
        <w:tc>
          <w:tcPr>
            <w:tcW w:w="11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14968</w:t>
            </w:r>
          </w:p>
        </w:tc>
        <w:tc>
          <w:tcPr>
            <w:tcW w:w="1137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40419</w:t>
            </w:r>
          </w:p>
        </w:tc>
        <w:tc>
          <w:tcPr>
            <w:tcW w:w="11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44603</w:t>
            </w:r>
          </w:p>
        </w:tc>
        <w:tc>
          <w:tcPr>
            <w:tcW w:w="1137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55656</w:t>
            </w:r>
          </w:p>
        </w:tc>
        <w:tc>
          <w:tcPr>
            <w:tcW w:w="11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60145</w:t>
            </w:r>
          </w:p>
        </w:tc>
        <w:tc>
          <w:tcPr>
            <w:tcW w:w="1137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12658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14333</w:t>
            </w:r>
          </w:p>
        </w:tc>
      </w:tr>
      <w:tr w:rsidR="008F157C" w:rsidRPr="008F157C" w:rsidTr="009063F1">
        <w:trPr>
          <w:trHeight w:val="355"/>
        </w:trPr>
        <w:tc>
          <w:tcPr>
            <w:tcW w:w="4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9269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9578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14678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15637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32076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35294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5456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6454</w:t>
            </w:r>
          </w:p>
        </w:tc>
      </w:tr>
      <w:tr w:rsidR="008F157C" w:rsidRPr="008F157C" w:rsidTr="009063F1">
        <w:trPr>
          <w:trHeight w:val="355"/>
        </w:trPr>
        <w:tc>
          <w:tcPr>
            <w:tcW w:w="4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19745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26406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12928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13432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51186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56330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7160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8186</w:t>
            </w:r>
          </w:p>
        </w:tc>
      </w:tr>
      <w:tr w:rsidR="008F157C" w:rsidRPr="008F157C" w:rsidTr="009063F1">
        <w:trPr>
          <w:trHeight w:val="355"/>
        </w:trPr>
        <w:tc>
          <w:tcPr>
            <w:tcW w:w="4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18705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23118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28419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31002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123667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129617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17052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18772</w:t>
            </w:r>
          </w:p>
        </w:tc>
      </w:tr>
      <w:tr w:rsidR="008F157C" w:rsidRPr="008F157C" w:rsidTr="009063F1">
        <w:trPr>
          <w:trHeight w:val="355"/>
        </w:trPr>
        <w:tc>
          <w:tcPr>
            <w:tcW w:w="4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11509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13769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16417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22106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28928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31972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5486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7006</w:t>
            </w:r>
          </w:p>
        </w:tc>
      </w:tr>
      <w:tr w:rsidR="008F157C" w:rsidRPr="008F157C" w:rsidTr="009063F1">
        <w:trPr>
          <w:trHeight w:val="355"/>
        </w:trPr>
        <w:tc>
          <w:tcPr>
            <w:tcW w:w="4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11620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19758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144742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154046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172945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187209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46697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51240</w:t>
            </w:r>
          </w:p>
        </w:tc>
      </w:tr>
      <w:tr w:rsidR="008F157C" w:rsidRPr="008F157C" w:rsidTr="009063F1">
        <w:trPr>
          <w:trHeight w:val="355"/>
        </w:trPr>
        <w:tc>
          <w:tcPr>
            <w:tcW w:w="4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11516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15582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15355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17045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53638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58432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8654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9940</w:t>
            </w:r>
          </w:p>
        </w:tc>
      </w:tr>
      <w:tr w:rsidR="008F157C" w:rsidRPr="008F157C" w:rsidTr="009063F1">
        <w:trPr>
          <w:trHeight w:val="355"/>
        </w:trPr>
        <w:tc>
          <w:tcPr>
            <w:tcW w:w="4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8873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8844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4510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4817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17680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19724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2326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2728</w:t>
            </w:r>
          </w:p>
        </w:tc>
      </w:tr>
      <w:tr w:rsidR="008F157C" w:rsidRPr="008F157C" w:rsidTr="009063F1">
        <w:trPr>
          <w:trHeight w:val="355"/>
        </w:trPr>
        <w:tc>
          <w:tcPr>
            <w:tcW w:w="4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12828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14585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11215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13193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40738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44164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6326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7440</w:t>
            </w:r>
          </w:p>
        </w:tc>
      </w:tr>
      <w:tr w:rsidR="008F157C" w:rsidRPr="008F157C" w:rsidTr="009063F1">
        <w:trPr>
          <w:trHeight w:val="355"/>
        </w:trPr>
        <w:tc>
          <w:tcPr>
            <w:tcW w:w="4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1567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1431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2096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2414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13227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14114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1123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1326</w:t>
            </w:r>
          </w:p>
        </w:tc>
      </w:tr>
      <w:tr w:rsidR="008F157C" w:rsidRPr="008F157C" w:rsidTr="009063F1">
        <w:trPr>
          <w:trHeight w:val="355"/>
        </w:trPr>
        <w:tc>
          <w:tcPr>
            <w:tcW w:w="4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1608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1949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7875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9152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12142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13079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2584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2728</w:t>
            </w:r>
          </w:p>
        </w:tc>
      </w:tr>
      <w:tr w:rsidR="008F157C" w:rsidRPr="008F157C" w:rsidTr="009063F1">
        <w:trPr>
          <w:trHeight w:val="355"/>
        </w:trPr>
        <w:tc>
          <w:tcPr>
            <w:tcW w:w="4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2152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2923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1493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1429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9676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10184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903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1077</w:t>
            </w:r>
          </w:p>
        </w:tc>
      </w:tr>
      <w:tr w:rsidR="008F157C" w:rsidRPr="008F157C" w:rsidTr="009063F1">
        <w:trPr>
          <w:trHeight w:val="355"/>
        </w:trPr>
        <w:tc>
          <w:tcPr>
            <w:tcW w:w="4461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1446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1447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8F157C" w:rsidRPr="008F157C" w:rsidTr="009063F1">
        <w:trPr>
          <w:trHeight w:val="355"/>
        </w:trPr>
        <w:tc>
          <w:tcPr>
            <w:tcW w:w="4461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4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122896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152911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300147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328875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4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613006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661711</w:t>
            </w:r>
          </w:p>
        </w:tc>
        <w:tc>
          <w:tcPr>
            <w:tcW w:w="1137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116428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F157C" w:rsidRPr="008F157C" w:rsidRDefault="008F157C" w:rsidP="008F157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131230</w:t>
            </w:r>
          </w:p>
        </w:tc>
      </w:tr>
    </w:tbl>
    <w:p w:rsidR="008D29F5" w:rsidRDefault="008F157C" w:rsidP="00745BB6">
      <w:pPr>
        <w:pStyle w:val="Paragraphedeliste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</w:p>
    <w:p w:rsidR="009063F1" w:rsidRDefault="005C0261" w:rsidP="008F157C">
      <w:pPr>
        <w:pStyle w:val="Paragraphedeliste"/>
        <w:ind w:left="6384" w:firstLine="696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</w:p>
    <w:p w:rsidR="008F157C" w:rsidRDefault="005C0261" w:rsidP="008F157C">
      <w:pPr>
        <w:pStyle w:val="Paragraphedeliste"/>
        <w:ind w:left="6384" w:firstLine="696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8F157C" w:rsidRPr="004C167D">
        <w:rPr>
          <w:sz w:val="16"/>
          <w:szCs w:val="16"/>
        </w:rPr>
        <w:t>* Données semi-définitives</w:t>
      </w:r>
    </w:p>
    <w:p w:rsidR="008F157C" w:rsidRDefault="008F157C" w:rsidP="00745BB6">
      <w:pPr>
        <w:pStyle w:val="Paragraphedeliste"/>
      </w:pPr>
    </w:p>
    <w:p w:rsidR="008D29F5" w:rsidRDefault="008D29F5" w:rsidP="00745BB6">
      <w:pPr>
        <w:pStyle w:val="Paragraphedeliste"/>
      </w:pPr>
    </w:p>
    <w:p w:rsidR="00745BB6" w:rsidRDefault="00745BB6" w:rsidP="00745BB6">
      <w:pPr>
        <w:pStyle w:val="Paragraphedeliste"/>
      </w:pPr>
    </w:p>
    <w:p w:rsidR="00745BB6" w:rsidRDefault="00745BB6" w:rsidP="00745BB6">
      <w:pPr>
        <w:jc w:val="both"/>
      </w:pPr>
    </w:p>
    <w:p w:rsidR="00745BB6" w:rsidRDefault="00745BB6" w:rsidP="00745BB6">
      <w:pPr>
        <w:jc w:val="both"/>
      </w:pPr>
    </w:p>
    <w:tbl>
      <w:tblPr>
        <w:tblW w:w="1425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84"/>
        <w:gridCol w:w="6255"/>
        <w:gridCol w:w="1016"/>
        <w:gridCol w:w="1394"/>
        <w:gridCol w:w="1016"/>
        <w:gridCol w:w="1601"/>
        <w:gridCol w:w="1317"/>
        <w:gridCol w:w="1169"/>
      </w:tblGrid>
      <w:tr w:rsidR="005C0261" w:rsidRPr="005C0261" w:rsidTr="00221ECF">
        <w:trPr>
          <w:trHeight w:val="556"/>
        </w:trPr>
        <w:tc>
          <w:tcPr>
            <w:tcW w:w="14252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4" w:space="0" w:color="C0504D"/>
            </w:tcBorders>
            <w:shd w:val="clear" w:color="000000" w:fill="C0504D"/>
            <w:noWrap/>
            <w:hideMark/>
          </w:tcPr>
          <w:p w:rsidR="005C0261" w:rsidRPr="005C0261" w:rsidRDefault="005C0261" w:rsidP="005C0261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 w:rsidRPr="005C0261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 xml:space="preserve">Contribution des </w:t>
            </w:r>
            <w:r w:rsidR="005C0B99" w:rsidRPr="005C0261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>régions à</w:t>
            </w:r>
            <w:r w:rsidRPr="005C0261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 xml:space="preserve"> la VA des secteurs </w:t>
            </w:r>
            <w:r w:rsidR="005C0B99" w:rsidRPr="005C0261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>d’activité (</w:t>
            </w:r>
            <w:r w:rsidRPr="005C0261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>en %)</w:t>
            </w:r>
          </w:p>
        </w:tc>
      </w:tr>
      <w:tr w:rsidR="005C0B99" w:rsidRPr="005C0261" w:rsidTr="00221ECF">
        <w:trPr>
          <w:trHeight w:val="347"/>
        </w:trPr>
        <w:tc>
          <w:tcPr>
            <w:tcW w:w="48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5C0B99" w:rsidRPr="005C0261" w:rsidRDefault="005C0B99" w:rsidP="005C02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5C0B99" w:rsidRPr="005C0261" w:rsidRDefault="005C0B99" w:rsidP="005C02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C0504D"/>
              <w:right w:val="nil"/>
            </w:tcBorders>
            <w:shd w:val="clear" w:color="auto" w:fill="auto"/>
            <w:noWrap/>
            <w:hideMark/>
          </w:tcPr>
          <w:p w:rsidR="005C0B99" w:rsidRPr="005C0261" w:rsidRDefault="005C0B99" w:rsidP="005C02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C0504D"/>
              <w:right w:val="nil"/>
            </w:tcBorders>
            <w:shd w:val="clear" w:color="auto" w:fill="auto"/>
            <w:noWrap/>
            <w:hideMark/>
          </w:tcPr>
          <w:p w:rsidR="005C0B99" w:rsidRPr="005C0261" w:rsidRDefault="005C0B99" w:rsidP="005C02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5C0B99" w:rsidRPr="005C0261" w:rsidRDefault="005C0B99" w:rsidP="005C02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5C0B99" w:rsidRPr="005C0261" w:rsidRDefault="005C0B99" w:rsidP="005C02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C0504D"/>
              <w:right w:val="nil"/>
            </w:tcBorders>
            <w:shd w:val="clear" w:color="auto" w:fill="auto"/>
            <w:noWrap/>
            <w:hideMark/>
          </w:tcPr>
          <w:p w:rsidR="005C0B99" w:rsidRPr="005C0261" w:rsidRDefault="005C0B99" w:rsidP="005C02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5C0B99" w:rsidRPr="005C0261" w:rsidRDefault="005C0B99" w:rsidP="005C02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02598" w:rsidRPr="005C0261" w:rsidTr="00221ECF">
        <w:trPr>
          <w:trHeight w:val="347"/>
        </w:trPr>
        <w:tc>
          <w:tcPr>
            <w:tcW w:w="6739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4" w:space="0" w:color="C0504D"/>
            </w:tcBorders>
            <w:shd w:val="clear" w:color="auto" w:fill="auto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410" w:type="dxa"/>
            <w:gridSpan w:val="2"/>
            <w:tcBorders>
              <w:top w:val="single" w:sz="4" w:space="0" w:color="C0504D"/>
              <w:left w:val="single" w:sz="4" w:space="0" w:color="C0504D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617" w:type="dxa"/>
            <w:gridSpan w:val="2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486" w:type="dxa"/>
            <w:gridSpan w:val="2"/>
            <w:tcBorders>
              <w:top w:val="single" w:sz="4" w:space="0" w:color="C0504D"/>
              <w:left w:val="single" w:sz="4" w:space="0" w:color="C0504D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</w:tr>
      <w:tr w:rsidR="00B02598" w:rsidRPr="005C0261" w:rsidTr="00221ECF">
        <w:trPr>
          <w:trHeight w:val="347"/>
        </w:trPr>
        <w:tc>
          <w:tcPr>
            <w:tcW w:w="6739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4" w:space="0" w:color="C0504D"/>
            </w:tcBorders>
            <w:vAlign w:val="center"/>
            <w:hideMark/>
          </w:tcPr>
          <w:p w:rsidR="00B02598" w:rsidRPr="005C0261" w:rsidRDefault="00B02598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2598" w:rsidRPr="005C0261" w:rsidRDefault="00B02598" w:rsidP="005C0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center"/>
            <w:hideMark/>
          </w:tcPr>
          <w:p w:rsidR="00B02598" w:rsidRPr="005C0261" w:rsidRDefault="00B02598" w:rsidP="005C0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2021*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2598" w:rsidRPr="005C0261" w:rsidRDefault="00B02598" w:rsidP="005C0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center"/>
            <w:hideMark/>
          </w:tcPr>
          <w:p w:rsidR="00B02598" w:rsidRPr="005C0261" w:rsidRDefault="00B02598" w:rsidP="005C0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2021*</w:t>
            </w:r>
          </w:p>
        </w:tc>
        <w:tc>
          <w:tcPr>
            <w:tcW w:w="1317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2598" w:rsidRPr="005C0261" w:rsidRDefault="00B02598" w:rsidP="005C0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center"/>
            <w:hideMark/>
          </w:tcPr>
          <w:p w:rsidR="00B02598" w:rsidRPr="005C0261" w:rsidRDefault="00B02598" w:rsidP="005C0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2021*</w:t>
            </w:r>
          </w:p>
        </w:tc>
      </w:tr>
      <w:tr w:rsidR="00B02598" w:rsidRPr="005C0261" w:rsidTr="00221ECF">
        <w:trPr>
          <w:trHeight w:val="347"/>
        </w:trPr>
        <w:tc>
          <w:tcPr>
            <w:tcW w:w="48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016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3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016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13,5</w:t>
            </w:r>
          </w:p>
        </w:tc>
        <w:tc>
          <w:tcPr>
            <w:tcW w:w="1601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317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169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9,1</w:t>
            </w:r>
          </w:p>
        </w:tc>
      </w:tr>
      <w:tr w:rsidR="00B02598" w:rsidRPr="005C0261" w:rsidTr="00221ECF">
        <w:trPr>
          <w:trHeight w:val="347"/>
        </w:trPr>
        <w:tc>
          <w:tcPr>
            <w:tcW w:w="48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255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317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</w:tr>
      <w:tr w:rsidR="00B02598" w:rsidRPr="005C0261" w:rsidTr="00221ECF">
        <w:trPr>
          <w:trHeight w:val="347"/>
        </w:trPr>
        <w:tc>
          <w:tcPr>
            <w:tcW w:w="48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255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13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17,3</w:t>
            </w:r>
          </w:p>
        </w:tc>
        <w:tc>
          <w:tcPr>
            <w:tcW w:w="1016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601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317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169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8,5</w:t>
            </w:r>
          </w:p>
        </w:tc>
      </w:tr>
      <w:tr w:rsidR="00B02598" w:rsidRPr="005C0261" w:rsidTr="00221ECF">
        <w:trPr>
          <w:trHeight w:val="347"/>
        </w:trPr>
        <w:tc>
          <w:tcPr>
            <w:tcW w:w="48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255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317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20,2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19,6</w:t>
            </w:r>
          </w:p>
        </w:tc>
      </w:tr>
      <w:tr w:rsidR="00B02598" w:rsidRPr="005C0261" w:rsidTr="00221ECF">
        <w:trPr>
          <w:trHeight w:val="347"/>
        </w:trPr>
        <w:tc>
          <w:tcPr>
            <w:tcW w:w="48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255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3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016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601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317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169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</w:tr>
      <w:tr w:rsidR="00B02598" w:rsidRPr="005C0261" w:rsidTr="00221ECF">
        <w:trPr>
          <w:trHeight w:val="347"/>
        </w:trPr>
        <w:tc>
          <w:tcPr>
            <w:tcW w:w="48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6255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48,2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46,8</w:t>
            </w:r>
          </w:p>
        </w:tc>
        <w:tc>
          <w:tcPr>
            <w:tcW w:w="1317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28,2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28,3</w:t>
            </w:r>
          </w:p>
        </w:tc>
      </w:tr>
      <w:tr w:rsidR="00B02598" w:rsidRPr="005C0261" w:rsidTr="00221ECF">
        <w:trPr>
          <w:trHeight w:val="347"/>
        </w:trPr>
        <w:tc>
          <w:tcPr>
            <w:tcW w:w="48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255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3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1016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601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317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169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</w:tr>
      <w:tr w:rsidR="00B02598" w:rsidRPr="005C0261" w:rsidTr="00221ECF">
        <w:trPr>
          <w:trHeight w:val="347"/>
        </w:trPr>
        <w:tc>
          <w:tcPr>
            <w:tcW w:w="48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6255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317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3,0</w:t>
            </w:r>
          </w:p>
        </w:tc>
      </w:tr>
      <w:tr w:rsidR="00B02598" w:rsidRPr="005C0261" w:rsidTr="00221ECF">
        <w:trPr>
          <w:trHeight w:val="347"/>
        </w:trPr>
        <w:tc>
          <w:tcPr>
            <w:tcW w:w="48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6255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3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016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601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317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69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6,7</w:t>
            </w:r>
          </w:p>
        </w:tc>
      </w:tr>
      <w:tr w:rsidR="00B02598" w:rsidRPr="005C0261" w:rsidTr="00221ECF">
        <w:trPr>
          <w:trHeight w:val="347"/>
        </w:trPr>
        <w:tc>
          <w:tcPr>
            <w:tcW w:w="48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255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317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2,1</w:t>
            </w:r>
          </w:p>
        </w:tc>
      </w:tr>
      <w:tr w:rsidR="00B02598" w:rsidRPr="005C0261" w:rsidTr="00221ECF">
        <w:trPr>
          <w:trHeight w:val="347"/>
        </w:trPr>
        <w:tc>
          <w:tcPr>
            <w:tcW w:w="48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6255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3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016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601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317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169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2,0</w:t>
            </w:r>
          </w:p>
        </w:tc>
      </w:tr>
      <w:tr w:rsidR="00B02598" w:rsidRPr="005C0261" w:rsidTr="00221ECF">
        <w:trPr>
          <w:trHeight w:val="347"/>
        </w:trPr>
        <w:tc>
          <w:tcPr>
            <w:tcW w:w="48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6255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317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</w:tr>
      <w:tr w:rsidR="00B02598" w:rsidRPr="005C0261" w:rsidTr="00221ECF">
        <w:trPr>
          <w:trHeight w:val="347"/>
        </w:trPr>
        <w:tc>
          <w:tcPr>
            <w:tcW w:w="673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6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169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</w:tr>
      <w:tr w:rsidR="00B02598" w:rsidRPr="005C0261" w:rsidTr="00221ECF">
        <w:trPr>
          <w:trHeight w:val="347"/>
        </w:trPr>
        <w:tc>
          <w:tcPr>
            <w:tcW w:w="673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single" w:sz="4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16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17" w:type="dxa"/>
            <w:tcBorders>
              <w:top w:val="nil"/>
              <w:left w:val="single" w:sz="4" w:space="0" w:color="C0504D"/>
              <w:bottom w:val="single" w:sz="4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B02598" w:rsidRPr="005C0261" w:rsidRDefault="00B02598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</w:tr>
    </w:tbl>
    <w:p w:rsidR="006E287F" w:rsidRDefault="005C0261" w:rsidP="00745BB6">
      <w:pPr>
        <w:pStyle w:val="Paragraphedeliste"/>
        <w:jc w:val="both"/>
      </w:pPr>
      <w:r>
        <w:t xml:space="preserve">    </w:t>
      </w:r>
    </w:p>
    <w:p w:rsidR="005C0261" w:rsidRPr="008749FF" w:rsidRDefault="005C0261" w:rsidP="005C0261">
      <w:pPr>
        <w:pStyle w:val="Paragraphedeliste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                                  </w:t>
      </w:r>
      <w:r w:rsidRPr="004C167D">
        <w:rPr>
          <w:sz w:val="16"/>
          <w:szCs w:val="16"/>
        </w:rPr>
        <w:t>* Données semi-définitiv</w:t>
      </w:r>
      <w:r>
        <w:rPr>
          <w:sz w:val="16"/>
          <w:szCs w:val="16"/>
        </w:rPr>
        <w:t>es</w:t>
      </w:r>
    </w:p>
    <w:p w:rsidR="006E287F" w:rsidRDefault="006E287F" w:rsidP="00745BB6">
      <w:pPr>
        <w:pStyle w:val="Paragraphedeliste"/>
        <w:jc w:val="both"/>
      </w:pPr>
    </w:p>
    <w:p w:rsidR="00745BB6" w:rsidRDefault="00745BB6" w:rsidP="00745BB6">
      <w:pPr>
        <w:pStyle w:val="Paragraphedeliste"/>
        <w:jc w:val="both"/>
      </w:pPr>
    </w:p>
    <w:p w:rsidR="00745BB6" w:rsidRDefault="00745BB6" w:rsidP="00745BB6">
      <w:pPr>
        <w:pStyle w:val="Paragraphedelist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45BB6" w:rsidRPr="004C167D" w:rsidRDefault="00745BB6" w:rsidP="008F157C">
      <w:pPr>
        <w:pStyle w:val="Paragraphedeliste"/>
        <w:ind w:left="6384" w:firstLine="696"/>
        <w:rPr>
          <w:sz w:val="16"/>
          <w:szCs w:val="16"/>
          <w:rtl/>
        </w:rPr>
      </w:pPr>
      <w:r>
        <w:rPr>
          <w:sz w:val="16"/>
          <w:szCs w:val="16"/>
        </w:rPr>
        <w:lastRenderedPageBreak/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745BB6" w:rsidRDefault="00745BB6" w:rsidP="00745BB6">
      <w:pPr>
        <w:pStyle w:val="Paragraphedeliste"/>
      </w:pPr>
    </w:p>
    <w:p w:rsidR="00745BB6" w:rsidRDefault="00745BB6" w:rsidP="00745BB6">
      <w:pPr>
        <w:pStyle w:val="Paragraphedeliste"/>
      </w:pPr>
    </w:p>
    <w:p w:rsidR="00745BB6" w:rsidRDefault="00745BB6" w:rsidP="00745BB6"/>
    <w:tbl>
      <w:tblPr>
        <w:tblW w:w="1453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84"/>
        <w:gridCol w:w="4375"/>
        <w:gridCol w:w="1302"/>
        <w:gridCol w:w="330"/>
        <w:gridCol w:w="830"/>
        <w:gridCol w:w="93"/>
        <w:gridCol w:w="711"/>
        <w:gridCol w:w="613"/>
        <w:gridCol w:w="865"/>
        <w:gridCol w:w="179"/>
        <w:gridCol w:w="634"/>
        <w:gridCol w:w="322"/>
        <w:gridCol w:w="752"/>
        <w:gridCol w:w="609"/>
        <w:gridCol w:w="599"/>
        <w:gridCol w:w="327"/>
        <w:gridCol w:w="923"/>
        <w:gridCol w:w="588"/>
      </w:tblGrid>
      <w:tr w:rsidR="005C0261" w:rsidRPr="005C0261" w:rsidTr="00221ECF">
        <w:trPr>
          <w:trHeight w:val="586"/>
        </w:trPr>
        <w:tc>
          <w:tcPr>
            <w:tcW w:w="14536" w:type="dxa"/>
            <w:gridSpan w:val="1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5C0261" w:rsidRPr="005C0261" w:rsidRDefault="005C0261" w:rsidP="005C0261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 w:rsidRPr="005C0261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>Structure du PIB</w:t>
            </w:r>
            <w:r w:rsidR="00221ECF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 xml:space="preserve"> des régions </w:t>
            </w:r>
            <w:r w:rsidRPr="005C0261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>par secteur d'activité (en %)</w:t>
            </w:r>
          </w:p>
        </w:tc>
      </w:tr>
      <w:tr w:rsidR="005C0261" w:rsidRPr="005C0261" w:rsidTr="00221ECF">
        <w:trPr>
          <w:trHeight w:val="366"/>
        </w:trPr>
        <w:tc>
          <w:tcPr>
            <w:tcW w:w="48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7" w:type="dxa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5C0261" w:rsidRPr="005C0261" w:rsidRDefault="005C0261" w:rsidP="005C02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5C0261" w:rsidRPr="005C0261" w:rsidRDefault="005C0261" w:rsidP="005C02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063F1" w:rsidRPr="005C0261" w:rsidTr="00221ECF">
        <w:trPr>
          <w:trHeight w:val="366"/>
        </w:trPr>
        <w:tc>
          <w:tcPr>
            <w:tcW w:w="4859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4" w:space="0" w:color="C0504D"/>
            </w:tcBorders>
            <w:shd w:val="clear" w:color="auto" w:fill="auto"/>
            <w:vAlign w:val="center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462" w:type="dxa"/>
            <w:gridSpan w:val="3"/>
            <w:tcBorders>
              <w:top w:val="single" w:sz="4" w:space="0" w:color="C0504D"/>
              <w:left w:val="single" w:sz="4" w:space="0" w:color="C0504D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461" w:type="dxa"/>
            <w:gridSpan w:val="5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317" w:type="dxa"/>
            <w:gridSpan w:val="4"/>
            <w:tcBorders>
              <w:top w:val="single" w:sz="4" w:space="0" w:color="C0504D"/>
              <w:left w:val="single" w:sz="4" w:space="0" w:color="C0504D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437" w:type="dxa"/>
            <w:gridSpan w:val="4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9063F1" w:rsidRPr="005C0261" w:rsidTr="00221ECF">
        <w:trPr>
          <w:trHeight w:val="366"/>
        </w:trPr>
        <w:tc>
          <w:tcPr>
            <w:tcW w:w="4859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4" w:space="0" w:color="C0504D"/>
            </w:tcBorders>
            <w:vAlign w:val="center"/>
            <w:hideMark/>
          </w:tcPr>
          <w:p w:rsidR="005C0261" w:rsidRPr="005C0261" w:rsidRDefault="005C0261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261" w:rsidRPr="005C0261" w:rsidRDefault="005C0261" w:rsidP="005C0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center"/>
            <w:hideMark/>
          </w:tcPr>
          <w:p w:rsidR="005C0261" w:rsidRPr="005C0261" w:rsidRDefault="005C0261" w:rsidP="005C0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2021*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261" w:rsidRPr="005C0261" w:rsidRDefault="005C0261" w:rsidP="005C0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center"/>
            <w:hideMark/>
          </w:tcPr>
          <w:p w:rsidR="005C0261" w:rsidRPr="005C0261" w:rsidRDefault="005C0261" w:rsidP="005C0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2021*</w:t>
            </w:r>
          </w:p>
        </w:tc>
        <w:tc>
          <w:tcPr>
            <w:tcW w:w="634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261" w:rsidRPr="005C0261" w:rsidRDefault="005C0261" w:rsidP="005C0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vAlign w:val="center"/>
            <w:hideMark/>
          </w:tcPr>
          <w:p w:rsidR="005C0261" w:rsidRPr="005C0261" w:rsidRDefault="005C0261" w:rsidP="005C0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2021*</w:t>
            </w:r>
          </w:p>
        </w:tc>
        <w:tc>
          <w:tcPr>
            <w:tcW w:w="599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261" w:rsidRPr="005C0261" w:rsidRDefault="005C0261" w:rsidP="005C026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838" w:type="dxa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2021*</w:t>
            </w:r>
          </w:p>
        </w:tc>
      </w:tr>
      <w:tr w:rsidR="009063F1" w:rsidRPr="005C0261" w:rsidTr="00221ECF">
        <w:trPr>
          <w:trHeight w:val="366"/>
        </w:trPr>
        <w:tc>
          <w:tcPr>
            <w:tcW w:w="48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02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1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417" w:type="dxa"/>
            <w:gridSpan w:val="3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33,1</w:t>
            </w:r>
          </w:p>
        </w:tc>
        <w:tc>
          <w:tcPr>
            <w:tcW w:w="10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33,3</w:t>
            </w:r>
          </w:p>
        </w:tc>
        <w:tc>
          <w:tcPr>
            <w:tcW w:w="634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45,5</w:t>
            </w:r>
          </w:p>
        </w:tc>
        <w:tc>
          <w:tcPr>
            <w:tcW w:w="1683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44,9</w:t>
            </w:r>
          </w:p>
        </w:tc>
        <w:tc>
          <w:tcPr>
            <w:tcW w:w="599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838" w:type="dxa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10,7</w:t>
            </w:r>
          </w:p>
        </w:tc>
      </w:tr>
      <w:tr w:rsidR="009063F1" w:rsidRPr="005C0261" w:rsidTr="00221ECF">
        <w:trPr>
          <w:trHeight w:val="366"/>
        </w:trPr>
        <w:tc>
          <w:tcPr>
            <w:tcW w:w="48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02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23,9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23,4</w:t>
            </w:r>
          </w:p>
        </w:tc>
        <w:tc>
          <w:tcPr>
            <w:tcW w:w="634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52,2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52,7</w:t>
            </w:r>
          </w:p>
        </w:tc>
        <w:tc>
          <w:tcPr>
            <w:tcW w:w="599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838" w:type="dxa"/>
            <w:gridSpan w:val="3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9,6</w:t>
            </w:r>
          </w:p>
        </w:tc>
      </w:tr>
      <w:tr w:rsidR="009063F1" w:rsidRPr="005C0261" w:rsidTr="00221ECF">
        <w:trPr>
          <w:trHeight w:val="366"/>
        </w:trPr>
        <w:tc>
          <w:tcPr>
            <w:tcW w:w="48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375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02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25,3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634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56,2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54,0</w:t>
            </w:r>
          </w:p>
        </w:tc>
        <w:tc>
          <w:tcPr>
            <w:tcW w:w="599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838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7,8</w:t>
            </w:r>
          </w:p>
        </w:tc>
      </w:tr>
      <w:tr w:rsidR="009063F1" w:rsidRPr="005C0261" w:rsidTr="00221ECF">
        <w:trPr>
          <w:trHeight w:val="366"/>
        </w:trPr>
        <w:tc>
          <w:tcPr>
            <w:tcW w:w="48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02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15,3</w:t>
            </w:r>
          </w:p>
        </w:tc>
        <w:tc>
          <w:tcPr>
            <w:tcW w:w="634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65,8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64,0</w:t>
            </w:r>
          </w:p>
        </w:tc>
        <w:tc>
          <w:tcPr>
            <w:tcW w:w="599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838" w:type="dxa"/>
            <w:gridSpan w:val="3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9,3</w:t>
            </w:r>
          </w:p>
        </w:tc>
      </w:tr>
      <w:tr w:rsidR="009063F1" w:rsidRPr="005C0261" w:rsidTr="00221ECF">
        <w:trPr>
          <w:trHeight w:val="366"/>
        </w:trPr>
        <w:tc>
          <w:tcPr>
            <w:tcW w:w="48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375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02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18,5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26,3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634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46,4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42,7</w:t>
            </w:r>
          </w:p>
        </w:tc>
        <w:tc>
          <w:tcPr>
            <w:tcW w:w="599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838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</w:tr>
      <w:tr w:rsidR="009063F1" w:rsidRPr="005C0261" w:rsidTr="00221ECF">
        <w:trPr>
          <w:trHeight w:val="366"/>
        </w:trPr>
        <w:tc>
          <w:tcPr>
            <w:tcW w:w="48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02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38,5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37,4</w:t>
            </w:r>
          </w:p>
        </w:tc>
        <w:tc>
          <w:tcPr>
            <w:tcW w:w="634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45,4</w:t>
            </w:r>
          </w:p>
        </w:tc>
        <w:tc>
          <w:tcPr>
            <w:tcW w:w="599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1838" w:type="dxa"/>
            <w:gridSpan w:val="3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12,4</w:t>
            </w:r>
          </w:p>
        </w:tc>
      </w:tr>
      <w:tr w:rsidR="009063F1" w:rsidRPr="005C0261" w:rsidTr="00221ECF">
        <w:trPr>
          <w:trHeight w:val="366"/>
        </w:trPr>
        <w:tc>
          <w:tcPr>
            <w:tcW w:w="48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375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02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17,2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16,9</w:t>
            </w:r>
          </w:p>
        </w:tc>
        <w:tc>
          <w:tcPr>
            <w:tcW w:w="634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60,2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57,9</w:t>
            </w:r>
          </w:p>
        </w:tc>
        <w:tc>
          <w:tcPr>
            <w:tcW w:w="599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838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9,8</w:t>
            </w:r>
          </w:p>
        </w:tc>
      </w:tr>
      <w:tr w:rsidR="009063F1" w:rsidRPr="005C0261" w:rsidTr="00221ECF">
        <w:trPr>
          <w:trHeight w:val="366"/>
        </w:trPr>
        <w:tc>
          <w:tcPr>
            <w:tcW w:w="48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02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26,6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24,5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13,5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634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53,0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54,6</w:t>
            </w:r>
          </w:p>
        </w:tc>
        <w:tc>
          <w:tcPr>
            <w:tcW w:w="599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838" w:type="dxa"/>
            <w:gridSpan w:val="3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7,6</w:t>
            </w:r>
          </w:p>
        </w:tc>
      </w:tr>
      <w:tr w:rsidR="009063F1" w:rsidRPr="005C0261" w:rsidTr="00221ECF">
        <w:trPr>
          <w:trHeight w:val="366"/>
        </w:trPr>
        <w:tc>
          <w:tcPr>
            <w:tcW w:w="48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375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02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18,0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16,6</w:t>
            </w:r>
          </w:p>
        </w:tc>
        <w:tc>
          <w:tcPr>
            <w:tcW w:w="634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57,3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55,6</w:t>
            </w:r>
          </w:p>
        </w:tc>
        <w:tc>
          <w:tcPr>
            <w:tcW w:w="599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838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</w:tr>
      <w:tr w:rsidR="009063F1" w:rsidRPr="005C0261" w:rsidTr="00221ECF">
        <w:trPr>
          <w:trHeight w:val="366"/>
        </w:trPr>
        <w:tc>
          <w:tcPr>
            <w:tcW w:w="48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02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634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73,4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73,2</w:t>
            </w:r>
          </w:p>
        </w:tc>
        <w:tc>
          <w:tcPr>
            <w:tcW w:w="599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838" w:type="dxa"/>
            <w:gridSpan w:val="3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6,9</w:t>
            </w:r>
          </w:p>
        </w:tc>
      </w:tr>
      <w:tr w:rsidR="009063F1" w:rsidRPr="005C0261" w:rsidTr="00221ECF">
        <w:trPr>
          <w:trHeight w:val="366"/>
        </w:trPr>
        <w:tc>
          <w:tcPr>
            <w:tcW w:w="48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375" w:type="dxa"/>
            <w:tcBorders>
              <w:top w:val="single" w:sz="8" w:space="0" w:color="C0504D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02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32,5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34,0</w:t>
            </w:r>
          </w:p>
        </w:tc>
        <w:tc>
          <w:tcPr>
            <w:tcW w:w="634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50,2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48,6</w:t>
            </w:r>
          </w:p>
        </w:tc>
        <w:tc>
          <w:tcPr>
            <w:tcW w:w="599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1838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10,1</w:t>
            </w:r>
          </w:p>
        </w:tc>
      </w:tr>
      <w:tr w:rsidR="009063F1" w:rsidRPr="005C0261" w:rsidTr="00221ECF">
        <w:trPr>
          <w:trHeight w:val="366"/>
        </w:trPr>
        <w:tc>
          <w:tcPr>
            <w:tcW w:w="48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single" w:sz="4" w:space="0" w:color="C0504D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302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18,7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634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68,0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65,2</w:t>
            </w:r>
          </w:p>
        </w:tc>
        <w:tc>
          <w:tcPr>
            <w:tcW w:w="599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838" w:type="dxa"/>
            <w:gridSpan w:val="3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6,9</w:t>
            </w:r>
          </w:p>
        </w:tc>
      </w:tr>
      <w:tr w:rsidR="009063F1" w:rsidRPr="005C0261" w:rsidTr="00221ECF">
        <w:trPr>
          <w:trHeight w:val="366"/>
        </w:trPr>
        <w:tc>
          <w:tcPr>
            <w:tcW w:w="485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302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8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9063F1" w:rsidRPr="005C0261" w:rsidTr="00221ECF">
        <w:trPr>
          <w:trHeight w:val="366"/>
        </w:trPr>
        <w:tc>
          <w:tcPr>
            <w:tcW w:w="485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02" w:type="dxa"/>
            <w:tcBorders>
              <w:top w:val="nil"/>
              <w:left w:val="single" w:sz="4" w:space="0" w:color="C0504D"/>
              <w:bottom w:val="single" w:sz="4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26,0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8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25,8</w:t>
            </w:r>
          </w:p>
        </w:tc>
        <w:tc>
          <w:tcPr>
            <w:tcW w:w="634" w:type="dxa"/>
            <w:tcBorders>
              <w:top w:val="nil"/>
              <w:left w:val="single" w:sz="4" w:space="0" w:color="C0504D"/>
              <w:bottom w:val="single" w:sz="4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53,2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51,9</w:t>
            </w:r>
          </w:p>
        </w:tc>
        <w:tc>
          <w:tcPr>
            <w:tcW w:w="599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838" w:type="dxa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C0261" w:rsidRPr="005C0261" w:rsidRDefault="005C0261" w:rsidP="005C026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10,3</w:t>
            </w:r>
          </w:p>
        </w:tc>
      </w:tr>
    </w:tbl>
    <w:p w:rsidR="00745BB6" w:rsidRDefault="00745BB6" w:rsidP="006E287F">
      <w:pPr>
        <w:pStyle w:val="Paragraphedeliste"/>
      </w:pPr>
    </w:p>
    <w:p w:rsidR="00745BB6" w:rsidRDefault="00745BB6" w:rsidP="00745BB6">
      <w:pPr>
        <w:pStyle w:val="Paragraphedelist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063F1">
        <w:t xml:space="preserve">                      </w:t>
      </w:r>
      <w:r w:rsidRPr="004C167D">
        <w:rPr>
          <w:sz w:val="16"/>
          <w:szCs w:val="16"/>
        </w:rPr>
        <w:t xml:space="preserve"> * Données semi-définitives</w:t>
      </w:r>
    </w:p>
    <w:p w:rsidR="002A5DEF" w:rsidRDefault="00745BB6" w:rsidP="002A5DEF">
      <w:pPr>
        <w:pStyle w:val="Paragraphedelist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25227" w:rsidRDefault="00125227" w:rsidP="002A5DEF">
      <w:pPr>
        <w:pStyle w:val="Paragraphedeliste"/>
      </w:pPr>
    </w:p>
    <w:p w:rsidR="00125227" w:rsidRDefault="00125227" w:rsidP="00125227">
      <w:pPr>
        <w:pStyle w:val="Paragraphedeliste"/>
        <w:rPr>
          <w:sz w:val="16"/>
          <w:szCs w:val="16"/>
        </w:rPr>
      </w:pPr>
    </w:p>
    <w:p w:rsidR="00125227" w:rsidRDefault="00125227" w:rsidP="00125227">
      <w:pPr>
        <w:pStyle w:val="Paragraphedeliste"/>
        <w:rPr>
          <w:sz w:val="16"/>
          <w:szCs w:val="16"/>
        </w:rPr>
      </w:pPr>
    </w:p>
    <w:p w:rsidR="00125227" w:rsidRDefault="00125227" w:rsidP="00125227">
      <w:pPr>
        <w:pStyle w:val="Paragraphedeliste"/>
        <w:ind w:left="0"/>
        <w:rPr>
          <w:sz w:val="16"/>
          <w:szCs w:val="16"/>
        </w:rPr>
      </w:pPr>
    </w:p>
    <w:p w:rsidR="00125227" w:rsidRDefault="00125227" w:rsidP="00125227">
      <w:pPr>
        <w:pStyle w:val="Paragraphedeliste"/>
        <w:rPr>
          <w:sz w:val="16"/>
          <w:szCs w:val="16"/>
        </w:rPr>
      </w:pPr>
    </w:p>
    <w:p w:rsidR="00125227" w:rsidRDefault="00125227" w:rsidP="00125227">
      <w:pPr>
        <w:pStyle w:val="Paragraphedeliste"/>
        <w:rPr>
          <w:sz w:val="16"/>
          <w:szCs w:val="16"/>
        </w:rPr>
      </w:pPr>
    </w:p>
    <w:p w:rsidR="00125227" w:rsidRPr="004C167D" w:rsidRDefault="00125227" w:rsidP="00125227">
      <w:pPr>
        <w:pStyle w:val="Paragraphedeliste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410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4"/>
        <w:gridCol w:w="5757"/>
        <w:gridCol w:w="1442"/>
        <w:gridCol w:w="1442"/>
        <w:gridCol w:w="1495"/>
        <w:gridCol w:w="1545"/>
        <w:gridCol w:w="1052"/>
        <w:gridCol w:w="962"/>
      </w:tblGrid>
      <w:tr w:rsidR="00125227" w:rsidRPr="008F157C" w:rsidTr="00521F03">
        <w:trPr>
          <w:trHeight w:val="570"/>
        </w:trPr>
        <w:tc>
          <w:tcPr>
            <w:tcW w:w="14109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Dépenses de consommation finale des ménages par région </w:t>
            </w:r>
          </w:p>
        </w:tc>
      </w:tr>
      <w:tr w:rsidR="00125227" w:rsidRPr="008F157C" w:rsidTr="00521F03">
        <w:trPr>
          <w:trHeight w:val="356"/>
        </w:trPr>
        <w:tc>
          <w:tcPr>
            <w:tcW w:w="41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25227" w:rsidRPr="008F157C" w:rsidTr="00521F03">
        <w:trPr>
          <w:trHeight w:val="356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227" w:rsidRPr="008F157C" w:rsidRDefault="00125227" w:rsidP="00521F0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227" w:rsidRPr="008F157C" w:rsidRDefault="00125227" w:rsidP="00521F0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227" w:rsidRPr="008F157C" w:rsidRDefault="00125227" w:rsidP="00521F0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25227" w:rsidRPr="008F157C" w:rsidTr="00521F03">
        <w:trPr>
          <w:trHeight w:val="356"/>
        </w:trPr>
        <w:tc>
          <w:tcPr>
            <w:tcW w:w="6171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88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0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Structure </w:t>
            </w: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(</w:t>
            </w: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%</w:t>
            </w: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01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125227" w:rsidRPr="008F157C" w:rsidTr="00521F03">
        <w:trPr>
          <w:trHeight w:val="356"/>
        </w:trPr>
        <w:tc>
          <w:tcPr>
            <w:tcW w:w="6171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125227" w:rsidRPr="008F157C" w:rsidRDefault="00125227" w:rsidP="00521F0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227" w:rsidRPr="008F157C" w:rsidRDefault="00125227" w:rsidP="00521F0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227" w:rsidRPr="008F157C" w:rsidRDefault="00125227" w:rsidP="00521F0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2021*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227" w:rsidRPr="008F157C" w:rsidRDefault="00125227" w:rsidP="00521F0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227" w:rsidRPr="008F157C" w:rsidRDefault="00125227" w:rsidP="00521F0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2021*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227" w:rsidRPr="008F157C" w:rsidRDefault="00125227" w:rsidP="00521F0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2021*</w:t>
            </w:r>
          </w:p>
        </w:tc>
      </w:tr>
      <w:tr w:rsidR="00125227" w:rsidRPr="008F157C" w:rsidTr="00521F03">
        <w:trPr>
          <w:trHeight w:val="356"/>
        </w:trPr>
        <w:tc>
          <w:tcPr>
            <w:tcW w:w="41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4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77 045</w:t>
            </w:r>
          </w:p>
        </w:tc>
        <w:tc>
          <w:tcPr>
            <w:tcW w:w="14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85 918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05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20 201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22273</w:t>
            </w:r>
          </w:p>
        </w:tc>
      </w:tr>
      <w:tr w:rsidR="00125227" w:rsidRPr="008F157C" w:rsidTr="00521F03">
        <w:trPr>
          <w:trHeight w:val="356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46 834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52 173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19 091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21043</w:t>
            </w:r>
          </w:p>
        </w:tc>
      </w:tr>
      <w:tr w:rsidR="00125227" w:rsidRPr="008F157C" w:rsidTr="00521F03">
        <w:trPr>
          <w:trHeight w:val="356"/>
        </w:trPr>
        <w:tc>
          <w:tcPr>
            <w:tcW w:w="4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78 159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86 814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17 740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19580</w:t>
            </w:r>
          </w:p>
        </w:tc>
      </w:tr>
      <w:tr w:rsidR="00125227" w:rsidRPr="008F157C" w:rsidTr="00521F03">
        <w:trPr>
          <w:trHeight w:val="356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98 871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110 264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20 311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22431</w:t>
            </w:r>
          </w:p>
        </w:tc>
      </w:tr>
      <w:tr w:rsidR="00125227" w:rsidRPr="008F157C" w:rsidTr="00521F03">
        <w:trPr>
          <w:trHeight w:val="356"/>
        </w:trPr>
        <w:tc>
          <w:tcPr>
            <w:tcW w:w="4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35 849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40 083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13 719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15252</w:t>
            </w:r>
          </w:p>
        </w:tc>
      </w:tr>
      <w:tr w:rsidR="00125227" w:rsidRPr="008F157C" w:rsidTr="00521F03">
        <w:trPr>
          <w:trHeight w:val="356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168 903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189 815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25,1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25,3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22 799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25300</w:t>
            </w:r>
          </w:p>
        </w:tc>
      </w:tr>
      <w:tr w:rsidR="00125227" w:rsidRPr="008F157C" w:rsidTr="00521F03">
        <w:trPr>
          <w:trHeight w:val="356"/>
        </w:trPr>
        <w:tc>
          <w:tcPr>
            <w:tcW w:w="4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75 526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84 405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15 819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17525</w:t>
            </w:r>
          </w:p>
        </w:tc>
      </w:tr>
      <w:tr w:rsidR="00125227" w:rsidRPr="008F157C" w:rsidTr="00521F03">
        <w:trPr>
          <w:trHeight w:val="356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22 006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24 489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12 992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14377</w:t>
            </w:r>
          </w:p>
        </w:tc>
      </w:tr>
      <w:tr w:rsidR="00125227" w:rsidRPr="008F157C" w:rsidTr="00521F03">
        <w:trPr>
          <w:trHeight w:val="356"/>
        </w:trPr>
        <w:tc>
          <w:tcPr>
            <w:tcW w:w="4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48 647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54 361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16 797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18513</w:t>
            </w:r>
          </w:p>
        </w:tc>
      </w:tr>
      <w:tr w:rsidR="00125227" w:rsidRPr="008F157C" w:rsidTr="00521F03">
        <w:trPr>
          <w:trHeight w:val="356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7 915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8 730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17 737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19471</w:t>
            </w:r>
          </w:p>
        </w:tc>
      </w:tr>
      <w:tr w:rsidR="00125227" w:rsidRPr="008F157C" w:rsidTr="00521F03">
        <w:trPr>
          <w:trHeight w:val="356"/>
        </w:trPr>
        <w:tc>
          <w:tcPr>
            <w:tcW w:w="4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8 040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8 928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20 078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21978</w:t>
            </w:r>
          </w:p>
        </w:tc>
      </w:tr>
      <w:tr w:rsidR="00125227" w:rsidRPr="008F157C" w:rsidTr="00521F03">
        <w:trPr>
          <w:trHeight w:val="356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4 813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5 489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26 946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29554</w:t>
            </w:r>
          </w:p>
        </w:tc>
      </w:tr>
      <w:tr w:rsidR="00125227" w:rsidRPr="008F157C" w:rsidTr="00521F03">
        <w:trPr>
          <w:trHeight w:val="356"/>
        </w:trPr>
        <w:tc>
          <w:tcPr>
            <w:tcW w:w="6171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672 606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751 470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18 709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25227" w:rsidRPr="008F157C" w:rsidRDefault="00125227" w:rsidP="00521F0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8F157C">
              <w:rPr>
                <w:rFonts w:ascii="Book Antiqua" w:hAnsi="Book Antiqua"/>
                <w:color w:val="000000"/>
                <w:sz w:val="22"/>
                <w:szCs w:val="22"/>
              </w:rPr>
              <w:t>20694</w:t>
            </w:r>
          </w:p>
        </w:tc>
      </w:tr>
    </w:tbl>
    <w:p w:rsidR="00125227" w:rsidRDefault="00125227" w:rsidP="00125227">
      <w:pPr>
        <w:pStyle w:val="Paragraphedeliste"/>
        <w:ind w:left="9924" w:firstLine="696"/>
        <w:rPr>
          <w:sz w:val="16"/>
          <w:szCs w:val="16"/>
        </w:rPr>
      </w:pPr>
    </w:p>
    <w:p w:rsidR="00125227" w:rsidRPr="004C167D" w:rsidRDefault="00125227" w:rsidP="00125227">
      <w:pPr>
        <w:pStyle w:val="Paragraphedeliste"/>
        <w:ind w:left="9924" w:firstLine="696"/>
        <w:rPr>
          <w:sz w:val="16"/>
          <w:szCs w:val="16"/>
          <w:rtl/>
        </w:rPr>
      </w:pPr>
      <w:r>
        <w:rPr>
          <w:sz w:val="16"/>
          <w:szCs w:val="16"/>
        </w:rPr>
        <w:t xml:space="preserve">                        </w:t>
      </w:r>
      <w:r w:rsidRPr="004C167D">
        <w:rPr>
          <w:sz w:val="16"/>
          <w:szCs w:val="16"/>
        </w:rPr>
        <w:t>* Données semi-définitives</w:t>
      </w:r>
    </w:p>
    <w:p w:rsidR="00125227" w:rsidRDefault="00125227" w:rsidP="00125227">
      <w:pPr>
        <w:pStyle w:val="Paragraphedeliste"/>
        <w:rPr>
          <w:sz w:val="16"/>
          <w:szCs w:val="16"/>
        </w:rPr>
      </w:pPr>
    </w:p>
    <w:p w:rsidR="00125227" w:rsidRDefault="00125227" w:rsidP="002A5DEF">
      <w:pPr>
        <w:pStyle w:val="Paragraphedeliste"/>
        <w:sectPr w:rsidR="00125227" w:rsidSect="002C7FD0">
          <w:headerReference w:type="default" r:id="rId13"/>
          <w:footerReference w:type="default" r:id="rId14"/>
          <w:pgSz w:w="16840" w:h="11900" w:orient="landscape"/>
          <w:pgMar w:top="720" w:right="720" w:bottom="720" w:left="720" w:header="720" w:footer="720" w:gutter="0"/>
          <w:cols w:space="720"/>
          <w:noEndnote/>
          <w:docGrid w:linePitch="326"/>
        </w:sectPr>
      </w:pPr>
    </w:p>
    <w:p w:rsidR="00D645D8" w:rsidRDefault="004A1C40" w:rsidP="00D645D8">
      <w:r>
        <w:rPr>
          <w:noProof/>
        </w:rPr>
        <w:lastRenderedPageBreak/>
        <w:drawing>
          <wp:inline distT="0" distB="0" distL="0" distR="0">
            <wp:extent cx="6147343" cy="86868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193" cy="869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5742940" cy="811533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1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5D8" w:rsidRPr="009B3979" w:rsidRDefault="00D645D8" w:rsidP="00D645D8">
      <w:pPr>
        <w:pStyle w:val="Paragraphedeliste"/>
      </w:pPr>
    </w:p>
    <w:p w:rsidR="00D645D8" w:rsidRDefault="00D645D8" w:rsidP="00D645D8"/>
    <w:p w:rsidR="00D645D8" w:rsidRDefault="00D645D8" w:rsidP="00D645D8"/>
    <w:p w:rsidR="00D645D8" w:rsidRDefault="00D645D8" w:rsidP="00D645D8"/>
    <w:p w:rsidR="00D645D8" w:rsidRDefault="00D645D8" w:rsidP="00D645D8"/>
    <w:p w:rsidR="00D645D8" w:rsidRDefault="004A1C40" w:rsidP="00D645D8">
      <w:r>
        <w:rPr>
          <w:noProof/>
        </w:rPr>
        <w:lastRenderedPageBreak/>
        <w:drawing>
          <wp:inline distT="0" distB="0" distL="0" distR="0">
            <wp:extent cx="5742940" cy="8115338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1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C40" w:rsidRDefault="004A1C40" w:rsidP="00D645D8"/>
    <w:p w:rsidR="004A1C40" w:rsidRDefault="004A1C40" w:rsidP="00D645D8"/>
    <w:p w:rsidR="004A1C40" w:rsidRDefault="004A1C40" w:rsidP="00D645D8"/>
    <w:p w:rsidR="004A1C40" w:rsidRDefault="004A1C40" w:rsidP="00D645D8"/>
    <w:p w:rsidR="004A1C40" w:rsidRDefault="004A1C40" w:rsidP="00D645D8"/>
    <w:p w:rsidR="004A1C40" w:rsidRDefault="004A1C40" w:rsidP="00D645D8"/>
    <w:p w:rsidR="004A1C40" w:rsidRDefault="004A1C40" w:rsidP="00D645D8">
      <w:r>
        <w:rPr>
          <w:noProof/>
        </w:rPr>
        <w:drawing>
          <wp:inline distT="0" distB="0" distL="0" distR="0">
            <wp:extent cx="5742940" cy="8115338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1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5D8" w:rsidRDefault="00D645D8" w:rsidP="00D645D8"/>
    <w:p w:rsidR="00D645D8" w:rsidRDefault="00D645D8" w:rsidP="00D645D8"/>
    <w:p w:rsidR="00D645D8" w:rsidRDefault="00D645D8" w:rsidP="00D645D8"/>
    <w:p w:rsidR="00D645D8" w:rsidRDefault="00D645D8" w:rsidP="00D645D8"/>
    <w:p w:rsidR="00D645D8" w:rsidRDefault="00D645D8" w:rsidP="00D645D8"/>
    <w:p w:rsidR="00D645D8" w:rsidRDefault="004A1C40" w:rsidP="00D645D8">
      <w:r>
        <w:rPr>
          <w:noProof/>
        </w:rPr>
        <w:drawing>
          <wp:inline distT="0" distB="0" distL="0" distR="0">
            <wp:extent cx="5742940" cy="8115338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1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5D8" w:rsidRDefault="00D645D8" w:rsidP="00D645D8"/>
    <w:p w:rsidR="00D645D8" w:rsidRDefault="00D645D8" w:rsidP="00D645D8"/>
    <w:p w:rsidR="00D645D8" w:rsidRDefault="00D645D8" w:rsidP="00D645D8"/>
    <w:p w:rsidR="00D645D8" w:rsidRDefault="00D645D8" w:rsidP="00D645D8"/>
    <w:sectPr w:rsidR="00D645D8" w:rsidSect="00EF3714">
      <w:footerReference w:type="default" r:id="rId20"/>
      <w:pgSz w:w="11900" w:h="16840"/>
      <w:pgMar w:top="624" w:right="1552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303" w:rsidRDefault="00594303" w:rsidP="00611FF6">
      <w:r>
        <w:separator/>
      </w:r>
    </w:p>
    <w:p w:rsidR="00594303" w:rsidRDefault="00594303"/>
  </w:endnote>
  <w:endnote w:type="continuationSeparator" w:id="0">
    <w:p w:rsidR="00594303" w:rsidRDefault="00594303" w:rsidP="00611FF6">
      <w:r>
        <w:continuationSeparator/>
      </w:r>
    </w:p>
    <w:p w:rsidR="00594303" w:rsidRDefault="0059430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7B8" w:rsidRDefault="00ED7A9C">
    <w:pPr>
      <w:jc w:val="center"/>
    </w:pPr>
    <w:fldSimple w:instr=" PAGE   \* MERGEFORMAT ">
      <w:r w:rsidR="006A300B">
        <w:rPr>
          <w:noProof/>
        </w:rPr>
        <w:t>1</w:t>
      </w:r>
    </w:fldSimple>
  </w:p>
  <w:p w:rsidR="005967B8" w:rsidRDefault="005967B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7B8" w:rsidRDefault="00ED7A9C">
    <w:pPr>
      <w:jc w:val="center"/>
    </w:pPr>
    <w:fldSimple w:instr=" PAGE   \* MERGEFORMAT ">
      <w:r w:rsidR="006A300B">
        <w:rPr>
          <w:noProof/>
        </w:rPr>
        <w:t>11</w:t>
      </w:r>
    </w:fldSimple>
  </w:p>
  <w:p w:rsidR="005967B8" w:rsidRDefault="005967B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7B8" w:rsidRDefault="00ED7A9C">
    <w:pPr>
      <w:jc w:val="center"/>
    </w:pPr>
    <w:fldSimple w:instr=" PAGE   \* MERGEFORMAT ">
      <w:r w:rsidR="006A300B">
        <w:rPr>
          <w:noProof/>
        </w:rPr>
        <w:t>16</w:t>
      </w:r>
    </w:fldSimple>
  </w:p>
  <w:p w:rsidR="005967B8" w:rsidRDefault="005967B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303" w:rsidRDefault="00594303" w:rsidP="00611FF6">
      <w:r>
        <w:separator/>
      </w:r>
    </w:p>
    <w:p w:rsidR="00594303" w:rsidRDefault="00594303"/>
  </w:footnote>
  <w:footnote w:type="continuationSeparator" w:id="0">
    <w:p w:rsidR="00594303" w:rsidRDefault="00594303" w:rsidP="00611FF6">
      <w:r>
        <w:continuationSeparator/>
      </w:r>
    </w:p>
    <w:p w:rsidR="00594303" w:rsidRDefault="0059430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7B8" w:rsidRDefault="005967B8"/>
  <w:p w:rsidR="005967B8" w:rsidRDefault="005967B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393E5008"/>
    <w:multiLevelType w:val="hybridMultilevel"/>
    <w:tmpl w:val="E7BEE7A4"/>
    <w:lvl w:ilvl="0" w:tplc="EADCA41A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8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2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6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11"/>
  </w:num>
  <w:num w:numId="5">
    <w:abstractNumId w:val="17"/>
  </w:num>
  <w:num w:numId="6">
    <w:abstractNumId w:val="6"/>
  </w:num>
  <w:num w:numId="7">
    <w:abstractNumId w:val="4"/>
  </w:num>
  <w:num w:numId="8">
    <w:abstractNumId w:val="28"/>
  </w:num>
  <w:num w:numId="9">
    <w:abstractNumId w:val="22"/>
  </w:num>
  <w:num w:numId="10">
    <w:abstractNumId w:val="19"/>
  </w:num>
  <w:num w:numId="11">
    <w:abstractNumId w:val="18"/>
  </w:num>
  <w:num w:numId="12">
    <w:abstractNumId w:val="5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6"/>
  </w:num>
  <w:num w:numId="21">
    <w:abstractNumId w:val="1"/>
  </w:num>
  <w:num w:numId="22">
    <w:abstractNumId w:val="7"/>
  </w:num>
  <w:num w:numId="23">
    <w:abstractNumId w:val="0"/>
  </w:num>
  <w:num w:numId="24">
    <w:abstractNumId w:val="2"/>
  </w:num>
  <w:num w:numId="25">
    <w:abstractNumId w:val="14"/>
  </w:num>
  <w:num w:numId="26">
    <w:abstractNumId w:val="16"/>
  </w:num>
  <w:num w:numId="27">
    <w:abstractNumId w:val="27"/>
  </w:num>
  <w:num w:numId="28">
    <w:abstractNumId w:val="10"/>
  </w:num>
  <w:num w:numId="29">
    <w:abstractNumId w:val="23"/>
  </w:num>
  <w:num w:numId="30">
    <w:abstractNumId w:val="13"/>
  </w:num>
  <w:num w:numId="31">
    <w:abstractNumId w:val="21"/>
  </w:num>
  <w:num w:numId="32">
    <w:abstractNumId w:val="24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F610B1"/>
    <w:rsid w:val="00000EC8"/>
    <w:rsid w:val="00003CE2"/>
    <w:rsid w:val="0000685D"/>
    <w:rsid w:val="0000772F"/>
    <w:rsid w:val="00007F6C"/>
    <w:rsid w:val="00013E16"/>
    <w:rsid w:val="0001513B"/>
    <w:rsid w:val="0002166B"/>
    <w:rsid w:val="000223B6"/>
    <w:rsid w:val="000323D3"/>
    <w:rsid w:val="0003409C"/>
    <w:rsid w:val="00036526"/>
    <w:rsid w:val="00042258"/>
    <w:rsid w:val="00044FC6"/>
    <w:rsid w:val="00046C4B"/>
    <w:rsid w:val="000532E5"/>
    <w:rsid w:val="000535AB"/>
    <w:rsid w:val="0005395B"/>
    <w:rsid w:val="00053BAE"/>
    <w:rsid w:val="0005463E"/>
    <w:rsid w:val="00055BC9"/>
    <w:rsid w:val="0005643F"/>
    <w:rsid w:val="000604C4"/>
    <w:rsid w:val="0006664F"/>
    <w:rsid w:val="00067D5E"/>
    <w:rsid w:val="0007046A"/>
    <w:rsid w:val="00070FA9"/>
    <w:rsid w:val="0007102C"/>
    <w:rsid w:val="00071329"/>
    <w:rsid w:val="000715C9"/>
    <w:rsid w:val="0007573E"/>
    <w:rsid w:val="00075EFC"/>
    <w:rsid w:val="000764F4"/>
    <w:rsid w:val="00080370"/>
    <w:rsid w:val="00083837"/>
    <w:rsid w:val="00085217"/>
    <w:rsid w:val="0008668A"/>
    <w:rsid w:val="00086AA4"/>
    <w:rsid w:val="000911F6"/>
    <w:rsid w:val="00091B25"/>
    <w:rsid w:val="0009383B"/>
    <w:rsid w:val="000A5EF1"/>
    <w:rsid w:val="000A5F43"/>
    <w:rsid w:val="000A6B80"/>
    <w:rsid w:val="000B0B65"/>
    <w:rsid w:val="000B2F66"/>
    <w:rsid w:val="000C09AF"/>
    <w:rsid w:val="000C1051"/>
    <w:rsid w:val="000C12EA"/>
    <w:rsid w:val="000C23CB"/>
    <w:rsid w:val="000C3339"/>
    <w:rsid w:val="000C4F8C"/>
    <w:rsid w:val="000D0774"/>
    <w:rsid w:val="000D0DFC"/>
    <w:rsid w:val="000D29AB"/>
    <w:rsid w:val="000D2E72"/>
    <w:rsid w:val="000D5F7E"/>
    <w:rsid w:val="000D63C8"/>
    <w:rsid w:val="000D7DA5"/>
    <w:rsid w:val="000E1B0A"/>
    <w:rsid w:val="000E2039"/>
    <w:rsid w:val="000E305A"/>
    <w:rsid w:val="000F20BA"/>
    <w:rsid w:val="000F3D3D"/>
    <w:rsid w:val="000F3E2C"/>
    <w:rsid w:val="000F4FE7"/>
    <w:rsid w:val="000F75DC"/>
    <w:rsid w:val="00100A50"/>
    <w:rsid w:val="00100CB6"/>
    <w:rsid w:val="00101D2B"/>
    <w:rsid w:val="0010418D"/>
    <w:rsid w:val="00111F64"/>
    <w:rsid w:val="00113627"/>
    <w:rsid w:val="00114E37"/>
    <w:rsid w:val="00115CC3"/>
    <w:rsid w:val="0011786F"/>
    <w:rsid w:val="00121EF3"/>
    <w:rsid w:val="00121F70"/>
    <w:rsid w:val="00123E21"/>
    <w:rsid w:val="00125227"/>
    <w:rsid w:val="0012628B"/>
    <w:rsid w:val="00127952"/>
    <w:rsid w:val="00130493"/>
    <w:rsid w:val="0013085D"/>
    <w:rsid w:val="00131CEC"/>
    <w:rsid w:val="00133C14"/>
    <w:rsid w:val="00135E0B"/>
    <w:rsid w:val="0014631C"/>
    <w:rsid w:val="00153F1B"/>
    <w:rsid w:val="0015763C"/>
    <w:rsid w:val="0015769C"/>
    <w:rsid w:val="001610B6"/>
    <w:rsid w:val="00163084"/>
    <w:rsid w:val="00163195"/>
    <w:rsid w:val="001652A3"/>
    <w:rsid w:val="00172297"/>
    <w:rsid w:val="001727AC"/>
    <w:rsid w:val="0017399D"/>
    <w:rsid w:val="00175BD2"/>
    <w:rsid w:val="00176EE9"/>
    <w:rsid w:val="001776B8"/>
    <w:rsid w:val="0018215F"/>
    <w:rsid w:val="0018408D"/>
    <w:rsid w:val="001914A1"/>
    <w:rsid w:val="001940E6"/>
    <w:rsid w:val="00196E31"/>
    <w:rsid w:val="001978BE"/>
    <w:rsid w:val="001A0192"/>
    <w:rsid w:val="001A0777"/>
    <w:rsid w:val="001A1C09"/>
    <w:rsid w:val="001A21E5"/>
    <w:rsid w:val="001A4568"/>
    <w:rsid w:val="001A4A33"/>
    <w:rsid w:val="001A5C14"/>
    <w:rsid w:val="001B0028"/>
    <w:rsid w:val="001B05AB"/>
    <w:rsid w:val="001B4853"/>
    <w:rsid w:val="001B5228"/>
    <w:rsid w:val="001B7045"/>
    <w:rsid w:val="001B7A37"/>
    <w:rsid w:val="001B7B00"/>
    <w:rsid w:val="001C01B0"/>
    <w:rsid w:val="001C01C0"/>
    <w:rsid w:val="001C0E3F"/>
    <w:rsid w:val="001D36CE"/>
    <w:rsid w:val="001E04C0"/>
    <w:rsid w:val="001E14D4"/>
    <w:rsid w:val="001E282C"/>
    <w:rsid w:val="001E3DB1"/>
    <w:rsid w:val="001E522D"/>
    <w:rsid w:val="001E7A60"/>
    <w:rsid w:val="001F0A26"/>
    <w:rsid w:val="001F1BDB"/>
    <w:rsid w:val="001F3480"/>
    <w:rsid w:val="001F5C90"/>
    <w:rsid w:val="00202FA8"/>
    <w:rsid w:val="00204F31"/>
    <w:rsid w:val="002105CD"/>
    <w:rsid w:val="002124FF"/>
    <w:rsid w:val="002138C2"/>
    <w:rsid w:val="002140B9"/>
    <w:rsid w:val="00214114"/>
    <w:rsid w:val="00214222"/>
    <w:rsid w:val="002143B6"/>
    <w:rsid w:val="00214556"/>
    <w:rsid w:val="0021605E"/>
    <w:rsid w:val="00217504"/>
    <w:rsid w:val="002175F4"/>
    <w:rsid w:val="00220060"/>
    <w:rsid w:val="00221884"/>
    <w:rsid w:val="00221ECF"/>
    <w:rsid w:val="0022405A"/>
    <w:rsid w:val="00226801"/>
    <w:rsid w:val="0023097C"/>
    <w:rsid w:val="002325A2"/>
    <w:rsid w:val="002333D9"/>
    <w:rsid w:val="00235022"/>
    <w:rsid w:val="00236D3F"/>
    <w:rsid w:val="00242919"/>
    <w:rsid w:val="00242F95"/>
    <w:rsid w:val="002434D0"/>
    <w:rsid w:val="002460AB"/>
    <w:rsid w:val="00250351"/>
    <w:rsid w:val="002517D4"/>
    <w:rsid w:val="00252408"/>
    <w:rsid w:val="00252BDD"/>
    <w:rsid w:val="00254484"/>
    <w:rsid w:val="00254738"/>
    <w:rsid w:val="00255D90"/>
    <w:rsid w:val="0025787E"/>
    <w:rsid w:val="0026124E"/>
    <w:rsid w:val="00261BD6"/>
    <w:rsid w:val="00264581"/>
    <w:rsid w:val="002649A4"/>
    <w:rsid w:val="00264DFE"/>
    <w:rsid w:val="002679E2"/>
    <w:rsid w:val="00267F16"/>
    <w:rsid w:val="00273250"/>
    <w:rsid w:val="00276755"/>
    <w:rsid w:val="002813D6"/>
    <w:rsid w:val="002834CD"/>
    <w:rsid w:val="00283E0A"/>
    <w:rsid w:val="0028536F"/>
    <w:rsid w:val="0028577D"/>
    <w:rsid w:val="002874DC"/>
    <w:rsid w:val="002876AF"/>
    <w:rsid w:val="00290456"/>
    <w:rsid w:val="00293E85"/>
    <w:rsid w:val="002940D3"/>
    <w:rsid w:val="00296A0C"/>
    <w:rsid w:val="002A2143"/>
    <w:rsid w:val="002A2ECE"/>
    <w:rsid w:val="002A42FF"/>
    <w:rsid w:val="002A536E"/>
    <w:rsid w:val="002A5D52"/>
    <w:rsid w:val="002A5DEF"/>
    <w:rsid w:val="002A628B"/>
    <w:rsid w:val="002A67AB"/>
    <w:rsid w:val="002B4871"/>
    <w:rsid w:val="002B61F1"/>
    <w:rsid w:val="002B6FC8"/>
    <w:rsid w:val="002C1ACC"/>
    <w:rsid w:val="002C271E"/>
    <w:rsid w:val="002C3FFB"/>
    <w:rsid w:val="002C582F"/>
    <w:rsid w:val="002C6011"/>
    <w:rsid w:val="002C60F4"/>
    <w:rsid w:val="002C6408"/>
    <w:rsid w:val="002C682B"/>
    <w:rsid w:val="002C702F"/>
    <w:rsid w:val="002C7FD0"/>
    <w:rsid w:val="002D1D10"/>
    <w:rsid w:val="002D51DB"/>
    <w:rsid w:val="002E0857"/>
    <w:rsid w:val="002E1150"/>
    <w:rsid w:val="002E309C"/>
    <w:rsid w:val="002E32E7"/>
    <w:rsid w:val="002E357C"/>
    <w:rsid w:val="002E367C"/>
    <w:rsid w:val="002E5B65"/>
    <w:rsid w:val="002E60DC"/>
    <w:rsid w:val="002E774B"/>
    <w:rsid w:val="002E7900"/>
    <w:rsid w:val="002F06D0"/>
    <w:rsid w:val="002F2F51"/>
    <w:rsid w:val="002F3F44"/>
    <w:rsid w:val="00304086"/>
    <w:rsid w:val="00304E3D"/>
    <w:rsid w:val="00310172"/>
    <w:rsid w:val="0031028E"/>
    <w:rsid w:val="00310AC3"/>
    <w:rsid w:val="00315D02"/>
    <w:rsid w:val="003175CA"/>
    <w:rsid w:val="0032525E"/>
    <w:rsid w:val="00325671"/>
    <w:rsid w:val="00326654"/>
    <w:rsid w:val="0032680B"/>
    <w:rsid w:val="00331839"/>
    <w:rsid w:val="00331ECC"/>
    <w:rsid w:val="00333C1F"/>
    <w:rsid w:val="00334BA3"/>
    <w:rsid w:val="003363E8"/>
    <w:rsid w:val="003504B9"/>
    <w:rsid w:val="00350D73"/>
    <w:rsid w:val="00353212"/>
    <w:rsid w:val="00354227"/>
    <w:rsid w:val="00354B44"/>
    <w:rsid w:val="00355B15"/>
    <w:rsid w:val="003607A5"/>
    <w:rsid w:val="003614BB"/>
    <w:rsid w:val="00365E93"/>
    <w:rsid w:val="0036623A"/>
    <w:rsid w:val="003722B7"/>
    <w:rsid w:val="003725F0"/>
    <w:rsid w:val="003726F2"/>
    <w:rsid w:val="00373FED"/>
    <w:rsid w:val="00377453"/>
    <w:rsid w:val="00377E82"/>
    <w:rsid w:val="00380189"/>
    <w:rsid w:val="003811C4"/>
    <w:rsid w:val="00381C63"/>
    <w:rsid w:val="0038258D"/>
    <w:rsid w:val="003844C1"/>
    <w:rsid w:val="003844E3"/>
    <w:rsid w:val="0038550B"/>
    <w:rsid w:val="00385F5C"/>
    <w:rsid w:val="0038626B"/>
    <w:rsid w:val="00387214"/>
    <w:rsid w:val="00387C76"/>
    <w:rsid w:val="00387D48"/>
    <w:rsid w:val="00387D6B"/>
    <w:rsid w:val="00390F3F"/>
    <w:rsid w:val="00391333"/>
    <w:rsid w:val="0039250E"/>
    <w:rsid w:val="0039594C"/>
    <w:rsid w:val="003A298E"/>
    <w:rsid w:val="003A34F6"/>
    <w:rsid w:val="003A64A8"/>
    <w:rsid w:val="003A72BC"/>
    <w:rsid w:val="003B11E1"/>
    <w:rsid w:val="003B1D13"/>
    <w:rsid w:val="003B1FF8"/>
    <w:rsid w:val="003B489D"/>
    <w:rsid w:val="003B70DB"/>
    <w:rsid w:val="003C0365"/>
    <w:rsid w:val="003C1E9B"/>
    <w:rsid w:val="003D144A"/>
    <w:rsid w:val="003D50EF"/>
    <w:rsid w:val="003D6168"/>
    <w:rsid w:val="003E1434"/>
    <w:rsid w:val="003E181A"/>
    <w:rsid w:val="003E2EB3"/>
    <w:rsid w:val="003E3912"/>
    <w:rsid w:val="003E5B3C"/>
    <w:rsid w:val="003E6774"/>
    <w:rsid w:val="003F5469"/>
    <w:rsid w:val="003F6E61"/>
    <w:rsid w:val="003F73D5"/>
    <w:rsid w:val="003F767C"/>
    <w:rsid w:val="0040226B"/>
    <w:rsid w:val="00406475"/>
    <w:rsid w:val="00411FF2"/>
    <w:rsid w:val="004125AD"/>
    <w:rsid w:val="00414945"/>
    <w:rsid w:val="00414ADC"/>
    <w:rsid w:val="004213C2"/>
    <w:rsid w:val="0042640A"/>
    <w:rsid w:val="00426794"/>
    <w:rsid w:val="00430CA1"/>
    <w:rsid w:val="00431F48"/>
    <w:rsid w:val="004333C2"/>
    <w:rsid w:val="0044025C"/>
    <w:rsid w:val="00440848"/>
    <w:rsid w:val="00444708"/>
    <w:rsid w:val="00445A67"/>
    <w:rsid w:val="00447191"/>
    <w:rsid w:val="00452366"/>
    <w:rsid w:val="0045325F"/>
    <w:rsid w:val="00453819"/>
    <w:rsid w:val="00453FB2"/>
    <w:rsid w:val="00454B87"/>
    <w:rsid w:val="00457EE8"/>
    <w:rsid w:val="00461589"/>
    <w:rsid w:val="00462BEB"/>
    <w:rsid w:val="00462DA0"/>
    <w:rsid w:val="00467BEF"/>
    <w:rsid w:val="00467E40"/>
    <w:rsid w:val="004801B8"/>
    <w:rsid w:val="004802A8"/>
    <w:rsid w:val="004833E2"/>
    <w:rsid w:val="0048345E"/>
    <w:rsid w:val="00483696"/>
    <w:rsid w:val="00483CA2"/>
    <w:rsid w:val="0049194E"/>
    <w:rsid w:val="00493A27"/>
    <w:rsid w:val="00496D70"/>
    <w:rsid w:val="004A030E"/>
    <w:rsid w:val="004A1C40"/>
    <w:rsid w:val="004A2618"/>
    <w:rsid w:val="004A2DCA"/>
    <w:rsid w:val="004B0744"/>
    <w:rsid w:val="004B234D"/>
    <w:rsid w:val="004B3B96"/>
    <w:rsid w:val="004B4AC7"/>
    <w:rsid w:val="004C0DC6"/>
    <w:rsid w:val="004C167D"/>
    <w:rsid w:val="004C1F1F"/>
    <w:rsid w:val="004C2B66"/>
    <w:rsid w:val="004C33B2"/>
    <w:rsid w:val="004C6512"/>
    <w:rsid w:val="004C6A75"/>
    <w:rsid w:val="004C79D2"/>
    <w:rsid w:val="004D4797"/>
    <w:rsid w:val="004D509B"/>
    <w:rsid w:val="004D7C45"/>
    <w:rsid w:val="004E07C6"/>
    <w:rsid w:val="004E2BA5"/>
    <w:rsid w:val="004F5216"/>
    <w:rsid w:val="00500683"/>
    <w:rsid w:val="00501518"/>
    <w:rsid w:val="00501552"/>
    <w:rsid w:val="00502659"/>
    <w:rsid w:val="00506462"/>
    <w:rsid w:val="0051059C"/>
    <w:rsid w:val="0051081B"/>
    <w:rsid w:val="005118F6"/>
    <w:rsid w:val="005128C1"/>
    <w:rsid w:val="00513CDC"/>
    <w:rsid w:val="005171DC"/>
    <w:rsid w:val="00517558"/>
    <w:rsid w:val="00517B10"/>
    <w:rsid w:val="00521221"/>
    <w:rsid w:val="005212AD"/>
    <w:rsid w:val="0052143D"/>
    <w:rsid w:val="0052198A"/>
    <w:rsid w:val="005232D1"/>
    <w:rsid w:val="00523919"/>
    <w:rsid w:val="0052449F"/>
    <w:rsid w:val="0052535A"/>
    <w:rsid w:val="0052627A"/>
    <w:rsid w:val="00527898"/>
    <w:rsid w:val="00531853"/>
    <w:rsid w:val="0053489A"/>
    <w:rsid w:val="00534BBB"/>
    <w:rsid w:val="005361CB"/>
    <w:rsid w:val="005367D0"/>
    <w:rsid w:val="00537BF7"/>
    <w:rsid w:val="005404E1"/>
    <w:rsid w:val="0054451E"/>
    <w:rsid w:val="00544E8F"/>
    <w:rsid w:val="005453AA"/>
    <w:rsid w:val="005460FF"/>
    <w:rsid w:val="00550085"/>
    <w:rsid w:val="005506AA"/>
    <w:rsid w:val="00552317"/>
    <w:rsid w:val="00552BA4"/>
    <w:rsid w:val="00560D21"/>
    <w:rsid w:val="00561CDE"/>
    <w:rsid w:val="0056297F"/>
    <w:rsid w:val="00566C3E"/>
    <w:rsid w:val="00570639"/>
    <w:rsid w:val="0057077B"/>
    <w:rsid w:val="00572364"/>
    <w:rsid w:val="00572E25"/>
    <w:rsid w:val="00573D39"/>
    <w:rsid w:val="0057462D"/>
    <w:rsid w:val="00581388"/>
    <w:rsid w:val="00583423"/>
    <w:rsid w:val="00583738"/>
    <w:rsid w:val="00583AF0"/>
    <w:rsid w:val="005850D7"/>
    <w:rsid w:val="00591734"/>
    <w:rsid w:val="00592058"/>
    <w:rsid w:val="00593D95"/>
    <w:rsid w:val="00593DBB"/>
    <w:rsid w:val="00594303"/>
    <w:rsid w:val="00594AEB"/>
    <w:rsid w:val="005950A2"/>
    <w:rsid w:val="005967B8"/>
    <w:rsid w:val="005A0094"/>
    <w:rsid w:val="005A1757"/>
    <w:rsid w:val="005A1F0F"/>
    <w:rsid w:val="005A2E0B"/>
    <w:rsid w:val="005A379A"/>
    <w:rsid w:val="005A5125"/>
    <w:rsid w:val="005A69B8"/>
    <w:rsid w:val="005B29F9"/>
    <w:rsid w:val="005B4009"/>
    <w:rsid w:val="005B40E7"/>
    <w:rsid w:val="005B4E44"/>
    <w:rsid w:val="005B52BA"/>
    <w:rsid w:val="005B53CC"/>
    <w:rsid w:val="005B5E05"/>
    <w:rsid w:val="005B69D1"/>
    <w:rsid w:val="005C0261"/>
    <w:rsid w:val="005C045E"/>
    <w:rsid w:val="005C0B99"/>
    <w:rsid w:val="005C3EF9"/>
    <w:rsid w:val="005D0854"/>
    <w:rsid w:val="005D139A"/>
    <w:rsid w:val="005D1F4C"/>
    <w:rsid w:val="005D2309"/>
    <w:rsid w:val="005D4183"/>
    <w:rsid w:val="005D47CE"/>
    <w:rsid w:val="005D7DE5"/>
    <w:rsid w:val="005E3504"/>
    <w:rsid w:val="005E3DDE"/>
    <w:rsid w:val="005E4C36"/>
    <w:rsid w:val="005E5F5A"/>
    <w:rsid w:val="005E63E5"/>
    <w:rsid w:val="005F383B"/>
    <w:rsid w:val="005F3D36"/>
    <w:rsid w:val="005F3E4C"/>
    <w:rsid w:val="005F4449"/>
    <w:rsid w:val="00601E93"/>
    <w:rsid w:val="0060314B"/>
    <w:rsid w:val="00607EEE"/>
    <w:rsid w:val="00611FF6"/>
    <w:rsid w:val="00612AEC"/>
    <w:rsid w:val="0061499F"/>
    <w:rsid w:val="00617CED"/>
    <w:rsid w:val="006202A0"/>
    <w:rsid w:val="00622500"/>
    <w:rsid w:val="00624CC3"/>
    <w:rsid w:val="00627A37"/>
    <w:rsid w:val="00627B70"/>
    <w:rsid w:val="00627F7F"/>
    <w:rsid w:val="00630ACF"/>
    <w:rsid w:val="00630E5D"/>
    <w:rsid w:val="006401FC"/>
    <w:rsid w:val="00643C0E"/>
    <w:rsid w:val="00643E53"/>
    <w:rsid w:val="0064731F"/>
    <w:rsid w:val="0064791A"/>
    <w:rsid w:val="00651B4A"/>
    <w:rsid w:val="00651C36"/>
    <w:rsid w:val="00654239"/>
    <w:rsid w:val="00654FE9"/>
    <w:rsid w:val="00655010"/>
    <w:rsid w:val="006551CD"/>
    <w:rsid w:val="00655475"/>
    <w:rsid w:val="00655A5D"/>
    <w:rsid w:val="00656B75"/>
    <w:rsid w:val="00662A53"/>
    <w:rsid w:val="00662CA5"/>
    <w:rsid w:val="00670884"/>
    <w:rsid w:val="006709D1"/>
    <w:rsid w:val="00670F45"/>
    <w:rsid w:val="00671E80"/>
    <w:rsid w:val="0067459D"/>
    <w:rsid w:val="00675366"/>
    <w:rsid w:val="00676AF9"/>
    <w:rsid w:val="00677067"/>
    <w:rsid w:val="0067766F"/>
    <w:rsid w:val="00680E16"/>
    <w:rsid w:val="00683A1E"/>
    <w:rsid w:val="00684363"/>
    <w:rsid w:val="00684EE2"/>
    <w:rsid w:val="0068530B"/>
    <w:rsid w:val="0068542A"/>
    <w:rsid w:val="00686239"/>
    <w:rsid w:val="00686ACA"/>
    <w:rsid w:val="006905C4"/>
    <w:rsid w:val="00690AC0"/>
    <w:rsid w:val="00690DEE"/>
    <w:rsid w:val="00691C92"/>
    <w:rsid w:val="0069351C"/>
    <w:rsid w:val="006973E9"/>
    <w:rsid w:val="006A015F"/>
    <w:rsid w:val="006A11F9"/>
    <w:rsid w:val="006A2DDA"/>
    <w:rsid w:val="006A300B"/>
    <w:rsid w:val="006B1155"/>
    <w:rsid w:val="006B244E"/>
    <w:rsid w:val="006B39DC"/>
    <w:rsid w:val="006B4218"/>
    <w:rsid w:val="006B5299"/>
    <w:rsid w:val="006B5813"/>
    <w:rsid w:val="006B61E3"/>
    <w:rsid w:val="006C14FB"/>
    <w:rsid w:val="006C17FF"/>
    <w:rsid w:val="006C2A4C"/>
    <w:rsid w:val="006C4535"/>
    <w:rsid w:val="006C4FF6"/>
    <w:rsid w:val="006C5CE1"/>
    <w:rsid w:val="006D1BD0"/>
    <w:rsid w:val="006D2CA1"/>
    <w:rsid w:val="006E287F"/>
    <w:rsid w:val="006E31A1"/>
    <w:rsid w:val="006E3427"/>
    <w:rsid w:val="006F3DCF"/>
    <w:rsid w:val="006F4233"/>
    <w:rsid w:val="006F5946"/>
    <w:rsid w:val="006F7E04"/>
    <w:rsid w:val="00704845"/>
    <w:rsid w:val="007052E2"/>
    <w:rsid w:val="007063CE"/>
    <w:rsid w:val="00707EC0"/>
    <w:rsid w:val="00710310"/>
    <w:rsid w:val="00710541"/>
    <w:rsid w:val="007117CA"/>
    <w:rsid w:val="00711921"/>
    <w:rsid w:val="00712000"/>
    <w:rsid w:val="00715BDF"/>
    <w:rsid w:val="007169B0"/>
    <w:rsid w:val="00716F73"/>
    <w:rsid w:val="00720319"/>
    <w:rsid w:val="00726808"/>
    <w:rsid w:val="00742581"/>
    <w:rsid w:val="00745BB6"/>
    <w:rsid w:val="00746A5F"/>
    <w:rsid w:val="00747E71"/>
    <w:rsid w:val="00753EAF"/>
    <w:rsid w:val="00754DB0"/>
    <w:rsid w:val="00761185"/>
    <w:rsid w:val="007652F6"/>
    <w:rsid w:val="00765B29"/>
    <w:rsid w:val="00766767"/>
    <w:rsid w:val="00766EFC"/>
    <w:rsid w:val="007676F1"/>
    <w:rsid w:val="00776281"/>
    <w:rsid w:val="00776BC4"/>
    <w:rsid w:val="007801D3"/>
    <w:rsid w:val="00782F49"/>
    <w:rsid w:val="0078408F"/>
    <w:rsid w:val="0078764A"/>
    <w:rsid w:val="00790FC8"/>
    <w:rsid w:val="00792438"/>
    <w:rsid w:val="00792D00"/>
    <w:rsid w:val="0079618F"/>
    <w:rsid w:val="007A02EB"/>
    <w:rsid w:val="007A02EF"/>
    <w:rsid w:val="007A2E39"/>
    <w:rsid w:val="007A3D1B"/>
    <w:rsid w:val="007A3E4A"/>
    <w:rsid w:val="007A478A"/>
    <w:rsid w:val="007A49A7"/>
    <w:rsid w:val="007A4BD0"/>
    <w:rsid w:val="007A57A0"/>
    <w:rsid w:val="007A7EB6"/>
    <w:rsid w:val="007B15A7"/>
    <w:rsid w:val="007B268B"/>
    <w:rsid w:val="007B3948"/>
    <w:rsid w:val="007B3D99"/>
    <w:rsid w:val="007B4A23"/>
    <w:rsid w:val="007C3B92"/>
    <w:rsid w:val="007C46F1"/>
    <w:rsid w:val="007C50F2"/>
    <w:rsid w:val="007D0646"/>
    <w:rsid w:val="007D105C"/>
    <w:rsid w:val="007D5451"/>
    <w:rsid w:val="007D5B9E"/>
    <w:rsid w:val="007D7B3D"/>
    <w:rsid w:val="007E1478"/>
    <w:rsid w:val="007E1EC6"/>
    <w:rsid w:val="007E6293"/>
    <w:rsid w:val="007E7367"/>
    <w:rsid w:val="007F0A5F"/>
    <w:rsid w:val="007F1DB8"/>
    <w:rsid w:val="007F2BC9"/>
    <w:rsid w:val="007F4D85"/>
    <w:rsid w:val="00805DB9"/>
    <w:rsid w:val="00807C7B"/>
    <w:rsid w:val="00810202"/>
    <w:rsid w:val="00812C94"/>
    <w:rsid w:val="008131FD"/>
    <w:rsid w:val="008160A2"/>
    <w:rsid w:val="00826670"/>
    <w:rsid w:val="00830ACB"/>
    <w:rsid w:val="00830DF1"/>
    <w:rsid w:val="008318AA"/>
    <w:rsid w:val="00832526"/>
    <w:rsid w:val="008330A0"/>
    <w:rsid w:val="0083436D"/>
    <w:rsid w:val="008371A9"/>
    <w:rsid w:val="00840246"/>
    <w:rsid w:val="00842670"/>
    <w:rsid w:val="00842C92"/>
    <w:rsid w:val="008431EA"/>
    <w:rsid w:val="008435F7"/>
    <w:rsid w:val="008437D7"/>
    <w:rsid w:val="0084761F"/>
    <w:rsid w:val="00850C7C"/>
    <w:rsid w:val="00851D45"/>
    <w:rsid w:val="008527AF"/>
    <w:rsid w:val="008541C2"/>
    <w:rsid w:val="008550C4"/>
    <w:rsid w:val="008552FA"/>
    <w:rsid w:val="00855C2B"/>
    <w:rsid w:val="00855D4B"/>
    <w:rsid w:val="00856877"/>
    <w:rsid w:val="00856A05"/>
    <w:rsid w:val="00856F76"/>
    <w:rsid w:val="00860B1F"/>
    <w:rsid w:val="0086233C"/>
    <w:rsid w:val="0086276D"/>
    <w:rsid w:val="0086299B"/>
    <w:rsid w:val="00862BA1"/>
    <w:rsid w:val="0086308A"/>
    <w:rsid w:val="00864371"/>
    <w:rsid w:val="00865442"/>
    <w:rsid w:val="00867D6A"/>
    <w:rsid w:val="00870C10"/>
    <w:rsid w:val="008734FB"/>
    <w:rsid w:val="00873EF8"/>
    <w:rsid w:val="00877CFD"/>
    <w:rsid w:val="008818F6"/>
    <w:rsid w:val="00882655"/>
    <w:rsid w:val="00884C62"/>
    <w:rsid w:val="00891F15"/>
    <w:rsid w:val="00892303"/>
    <w:rsid w:val="00892C76"/>
    <w:rsid w:val="00893B01"/>
    <w:rsid w:val="0089585C"/>
    <w:rsid w:val="00895E88"/>
    <w:rsid w:val="008A0B6A"/>
    <w:rsid w:val="008A1CEF"/>
    <w:rsid w:val="008A3516"/>
    <w:rsid w:val="008A45D6"/>
    <w:rsid w:val="008A5F6B"/>
    <w:rsid w:val="008A7697"/>
    <w:rsid w:val="008B0D42"/>
    <w:rsid w:val="008B6540"/>
    <w:rsid w:val="008B72B0"/>
    <w:rsid w:val="008C292C"/>
    <w:rsid w:val="008C6987"/>
    <w:rsid w:val="008C7617"/>
    <w:rsid w:val="008D128A"/>
    <w:rsid w:val="008D1801"/>
    <w:rsid w:val="008D29F5"/>
    <w:rsid w:val="008D3BCA"/>
    <w:rsid w:val="008D5CAE"/>
    <w:rsid w:val="008D7705"/>
    <w:rsid w:val="008E0BBF"/>
    <w:rsid w:val="008E1A8F"/>
    <w:rsid w:val="008E4E33"/>
    <w:rsid w:val="008E5F0A"/>
    <w:rsid w:val="008F10EB"/>
    <w:rsid w:val="008F157C"/>
    <w:rsid w:val="008F222D"/>
    <w:rsid w:val="008F5FC3"/>
    <w:rsid w:val="009000E0"/>
    <w:rsid w:val="0090051C"/>
    <w:rsid w:val="00900B41"/>
    <w:rsid w:val="00902870"/>
    <w:rsid w:val="00903808"/>
    <w:rsid w:val="00905235"/>
    <w:rsid w:val="009063F1"/>
    <w:rsid w:val="00907003"/>
    <w:rsid w:val="00910774"/>
    <w:rsid w:val="00911090"/>
    <w:rsid w:val="00912AF8"/>
    <w:rsid w:val="00915A71"/>
    <w:rsid w:val="009160F6"/>
    <w:rsid w:val="00917EA6"/>
    <w:rsid w:val="00922153"/>
    <w:rsid w:val="00923371"/>
    <w:rsid w:val="009304F3"/>
    <w:rsid w:val="00930B54"/>
    <w:rsid w:val="009310BE"/>
    <w:rsid w:val="00931202"/>
    <w:rsid w:val="009336DC"/>
    <w:rsid w:val="00933CA5"/>
    <w:rsid w:val="00935067"/>
    <w:rsid w:val="00936D5A"/>
    <w:rsid w:val="00943A2F"/>
    <w:rsid w:val="00944ADD"/>
    <w:rsid w:val="00953566"/>
    <w:rsid w:val="0095406B"/>
    <w:rsid w:val="0095454E"/>
    <w:rsid w:val="009548EC"/>
    <w:rsid w:val="00954C71"/>
    <w:rsid w:val="00954F5A"/>
    <w:rsid w:val="00956072"/>
    <w:rsid w:val="00961799"/>
    <w:rsid w:val="00962ECB"/>
    <w:rsid w:val="0096303E"/>
    <w:rsid w:val="00965FDB"/>
    <w:rsid w:val="009733A9"/>
    <w:rsid w:val="0097440C"/>
    <w:rsid w:val="009744F8"/>
    <w:rsid w:val="00976663"/>
    <w:rsid w:val="00976C97"/>
    <w:rsid w:val="00981C01"/>
    <w:rsid w:val="00984975"/>
    <w:rsid w:val="00986189"/>
    <w:rsid w:val="00986867"/>
    <w:rsid w:val="00990C65"/>
    <w:rsid w:val="00990CB7"/>
    <w:rsid w:val="00992CA6"/>
    <w:rsid w:val="00993477"/>
    <w:rsid w:val="009939B9"/>
    <w:rsid w:val="009940A5"/>
    <w:rsid w:val="0099648E"/>
    <w:rsid w:val="009964EF"/>
    <w:rsid w:val="0099779E"/>
    <w:rsid w:val="00997FB9"/>
    <w:rsid w:val="009A1922"/>
    <w:rsid w:val="009A5062"/>
    <w:rsid w:val="009A6AD0"/>
    <w:rsid w:val="009B157F"/>
    <w:rsid w:val="009B188D"/>
    <w:rsid w:val="009B2F19"/>
    <w:rsid w:val="009B3979"/>
    <w:rsid w:val="009B39DD"/>
    <w:rsid w:val="009B5B72"/>
    <w:rsid w:val="009B5B8E"/>
    <w:rsid w:val="009B612A"/>
    <w:rsid w:val="009B641C"/>
    <w:rsid w:val="009C670F"/>
    <w:rsid w:val="009D02F6"/>
    <w:rsid w:val="009D2187"/>
    <w:rsid w:val="009D2424"/>
    <w:rsid w:val="009D3DC5"/>
    <w:rsid w:val="009D48E2"/>
    <w:rsid w:val="009E66E4"/>
    <w:rsid w:val="009F3C04"/>
    <w:rsid w:val="009F3CE2"/>
    <w:rsid w:val="009F53CD"/>
    <w:rsid w:val="009F6203"/>
    <w:rsid w:val="00A0020B"/>
    <w:rsid w:val="00A00613"/>
    <w:rsid w:val="00A01C87"/>
    <w:rsid w:val="00A044A5"/>
    <w:rsid w:val="00A04EE4"/>
    <w:rsid w:val="00A06624"/>
    <w:rsid w:val="00A10307"/>
    <w:rsid w:val="00A10BB9"/>
    <w:rsid w:val="00A119A4"/>
    <w:rsid w:val="00A11E02"/>
    <w:rsid w:val="00A1223E"/>
    <w:rsid w:val="00A135E4"/>
    <w:rsid w:val="00A13FA9"/>
    <w:rsid w:val="00A1415C"/>
    <w:rsid w:val="00A14A61"/>
    <w:rsid w:val="00A1530E"/>
    <w:rsid w:val="00A209BB"/>
    <w:rsid w:val="00A22A70"/>
    <w:rsid w:val="00A25233"/>
    <w:rsid w:val="00A31489"/>
    <w:rsid w:val="00A32969"/>
    <w:rsid w:val="00A32AD0"/>
    <w:rsid w:val="00A32FCF"/>
    <w:rsid w:val="00A33346"/>
    <w:rsid w:val="00A33F70"/>
    <w:rsid w:val="00A33FB2"/>
    <w:rsid w:val="00A35941"/>
    <w:rsid w:val="00A362CD"/>
    <w:rsid w:val="00A364CB"/>
    <w:rsid w:val="00A3667F"/>
    <w:rsid w:val="00A36D2A"/>
    <w:rsid w:val="00A37342"/>
    <w:rsid w:val="00A40F5A"/>
    <w:rsid w:val="00A44DF4"/>
    <w:rsid w:val="00A47AA8"/>
    <w:rsid w:val="00A52295"/>
    <w:rsid w:val="00A53F63"/>
    <w:rsid w:val="00A54ADC"/>
    <w:rsid w:val="00A559EF"/>
    <w:rsid w:val="00A56684"/>
    <w:rsid w:val="00A60F57"/>
    <w:rsid w:val="00A62F37"/>
    <w:rsid w:val="00A6369B"/>
    <w:rsid w:val="00A63E3A"/>
    <w:rsid w:val="00A6499F"/>
    <w:rsid w:val="00A66BCE"/>
    <w:rsid w:val="00A671AA"/>
    <w:rsid w:val="00A71368"/>
    <w:rsid w:val="00A71820"/>
    <w:rsid w:val="00A72BDE"/>
    <w:rsid w:val="00A746C8"/>
    <w:rsid w:val="00A81817"/>
    <w:rsid w:val="00A81F55"/>
    <w:rsid w:val="00A84B68"/>
    <w:rsid w:val="00A904A6"/>
    <w:rsid w:val="00A91B31"/>
    <w:rsid w:val="00A91E07"/>
    <w:rsid w:val="00A93EEC"/>
    <w:rsid w:val="00A96C5A"/>
    <w:rsid w:val="00AA08CF"/>
    <w:rsid w:val="00AA28D0"/>
    <w:rsid w:val="00AA51E8"/>
    <w:rsid w:val="00AA537F"/>
    <w:rsid w:val="00AB0640"/>
    <w:rsid w:val="00AB11A1"/>
    <w:rsid w:val="00AB32AC"/>
    <w:rsid w:val="00AB47DD"/>
    <w:rsid w:val="00AB47E1"/>
    <w:rsid w:val="00AB4BE9"/>
    <w:rsid w:val="00AC0648"/>
    <w:rsid w:val="00AC08BC"/>
    <w:rsid w:val="00AC3C4D"/>
    <w:rsid w:val="00AC50E1"/>
    <w:rsid w:val="00AC7BB7"/>
    <w:rsid w:val="00AD0B8C"/>
    <w:rsid w:val="00AD1060"/>
    <w:rsid w:val="00AD10EF"/>
    <w:rsid w:val="00AD5037"/>
    <w:rsid w:val="00AE15AC"/>
    <w:rsid w:val="00AE3542"/>
    <w:rsid w:val="00AE5A6D"/>
    <w:rsid w:val="00AE6A7E"/>
    <w:rsid w:val="00AE6F9F"/>
    <w:rsid w:val="00AE780D"/>
    <w:rsid w:val="00AE7A99"/>
    <w:rsid w:val="00AF0E66"/>
    <w:rsid w:val="00AF15ED"/>
    <w:rsid w:val="00AF2CF8"/>
    <w:rsid w:val="00AF2E0F"/>
    <w:rsid w:val="00AF3E9A"/>
    <w:rsid w:val="00B005FE"/>
    <w:rsid w:val="00B01118"/>
    <w:rsid w:val="00B02598"/>
    <w:rsid w:val="00B04DF9"/>
    <w:rsid w:val="00B12374"/>
    <w:rsid w:val="00B1446A"/>
    <w:rsid w:val="00B15B9E"/>
    <w:rsid w:val="00B16B86"/>
    <w:rsid w:val="00B17754"/>
    <w:rsid w:val="00B179A0"/>
    <w:rsid w:val="00B2551C"/>
    <w:rsid w:val="00B2715E"/>
    <w:rsid w:val="00B3013A"/>
    <w:rsid w:val="00B3138A"/>
    <w:rsid w:val="00B32235"/>
    <w:rsid w:val="00B33493"/>
    <w:rsid w:val="00B36EB5"/>
    <w:rsid w:val="00B43A33"/>
    <w:rsid w:val="00B450B8"/>
    <w:rsid w:val="00B462B3"/>
    <w:rsid w:val="00B463A1"/>
    <w:rsid w:val="00B46404"/>
    <w:rsid w:val="00B46F45"/>
    <w:rsid w:val="00B50773"/>
    <w:rsid w:val="00B5186D"/>
    <w:rsid w:val="00B52535"/>
    <w:rsid w:val="00B53052"/>
    <w:rsid w:val="00B5600B"/>
    <w:rsid w:val="00B57AC9"/>
    <w:rsid w:val="00B6038F"/>
    <w:rsid w:val="00B61B9E"/>
    <w:rsid w:val="00B6467E"/>
    <w:rsid w:val="00B646B3"/>
    <w:rsid w:val="00B717A8"/>
    <w:rsid w:val="00B719B0"/>
    <w:rsid w:val="00B760C4"/>
    <w:rsid w:val="00B7652D"/>
    <w:rsid w:val="00B85824"/>
    <w:rsid w:val="00B85FFD"/>
    <w:rsid w:val="00B8745B"/>
    <w:rsid w:val="00B87AE4"/>
    <w:rsid w:val="00B90A3E"/>
    <w:rsid w:val="00B91467"/>
    <w:rsid w:val="00B92222"/>
    <w:rsid w:val="00B9256A"/>
    <w:rsid w:val="00BA012B"/>
    <w:rsid w:val="00BA1C47"/>
    <w:rsid w:val="00BA5240"/>
    <w:rsid w:val="00BA556D"/>
    <w:rsid w:val="00BA6F22"/>
    <w:rsid w:val="00BA70D1"/>
    <w:rsid w:val="00BB202A"/>
    <w:rsid w:val="00BB2508"/>
    <w:rsid w:val="00BB3DB1"/>
    <w:rsid w:val="00BB4C6D"/>
    <w:rsid w:val="00BB5431"/>
    <w:rsid w:val="00BB7991"/>
    <w:rsid w:val="00BC0C20"/>
    <w:rsid w:val="00BC1C1D"/>
    <w:rsid w:val="00BC20D1"/>
    <w:rsid w:val="00BC301E"/>
    <w:rsid w:val="00BC40FE"/>
    <w:rsid w:val="00BC4918"/>
    <w:rsid w:val="00BC4BD4"/>
    <w:rsid w:val="00BC59D4"/>
    <w:rsid w:val="00BD034B"/>
    <w:rsid w:val="00BD0B07"/>
    <w:rsid w:val="00BD4BD5"/>
    <w:rsid w:val="00BD52F6"/>
    <w:rsid w:val="00BD5A17"/>
    <w:rsid w:val="00BD75E7"/>
    <w:rsid w:val="00BD7DB6"/>
    <w:rsid w:val="00BE1BCA"/>
    <w:rsid w:val="00BE2563"/>
    <w:rsid w:val="00BE3454"/>
    <w:rsid w:val="00BE35F1"/>
    <w:rsid w:val="00BE3EE9"/>
    <w:rsid w:val="00BE45AF"/>
    <w:rsid w:val="00BE4C61"/>
    <w:rsid w:val="00BE505E"/>
    <w:rsid w:val="00BF04E0"/>
    <w:rsid w:val="00BF0E65"/>
    <w:rsid w:val="00BF32FD"/>
    <w:rsid w:val="00BF5729"/>
    <w:rsid w:val="00C0048F"/>
    <w:rsid w:val="00C00522"/>
    <w:rsid w:val="00C04E24"/>
    <w:rsid w:val="00C05817"/>
    <w:rsid w:val="00C078B0"/>
    <w:rsid w:val="00C1055C"/>
    <w:rsid w:val="00C11221"/>
    <w:rsid w:val="00C11650"/>
    <w:rsid w:val="00C13D2E"/>
    <w:rsid w:val="00C143B6"/>
    <w:rsid w:val="00C174AC"/>
    <w:rsid w:val="00C17DFD"/>
    <w:rsid w:val="00C20029"/>
    <w:rsid w:val="00C26702"/>
    <w:rsid w:val="00C303C0"/>
    <w:rsid w:val="00C30D03"/>
    <w:rsid w:val="00C36B0D"/>
    <w:rsid w:val="00C36F57"/>
    <w:rsid w:val="00C3716C"/>
    <w:rsid w:val="00C37BF4"/>
    <w:rsid w:val="00C4137F"/>
    <w:rsid w:val="00C425C8"/>
    <w:rsid w:val="00C43A33"/>
    <w:rsid w:val="00C43F95"/>
    <w:rsid w:val="00C44E67"/>
    <w:rsid w:val="00C460B3"/>
    <w:rsid w:val="00C4662F"/>
    <w:rsid w:val="00C4732A"/>
    <w:rsid w:val="00C504BD"/>
    <w:rsid w:val="00C53B4D"/>
    <w:rsid w:val="00C56E46"/>
    <w:rsid w:val="00C60988"/>
    <w:rsid w:val="00C60F8E"/>
    <w:rsid w:val="00C61196"/>
    <w:rsid w:val="00C6365B"/>
    <w:rsid w:val="00C643E7"/>
    <w:rsid w:val="00C665D8"/>
    <w:rsid w:val="00C666B6"/>
    <w:rsid w:val="00C67E52"/>
    <w:rsid w:val="00C701CD"/>
    <w:rsid w:val="00C70B0C"/>
    <w:rsid w:val="00C730D1"/>
    <w:rsid w:val="00C75B2A"/>
    <w:rsid w:val="00C7634D"/>
    <w:rsid w:val="00C76BA2"/>
    <w:rsid w:val="00C76CD9"/>
    <w:rsid w:val="00C81F0B"/>
    <w:rsid w:val="00C8232E"/>
    <w:rsid w:val="00C86008"/>
    <w:rsid w:val="00C903EC"/>
    <w:rsid w:val="00C91865"/>
    <w:rsid w:val="00C91943"/>
    <w:rsid w:val="00C92C59"/>
    <w:rsid w:val="00C933F4"/>
    <w:rsid w:val="00C9443D"/>
    <w:rsid w:val="00C94E6C"/>
    <w:rsid w:val="00C959DB"/>
    <w:rsid w:val="00C95F2B"/>
    <w:rsid w:val="00C9636E"/>
    <w:rsid w:val="00CA3FF4"/>
    <w:rsid w:val="00CA6DC0"/>
    <w:rsid w:val="00CB09B6"/>
    <w:rsid w:val="00CB6F79"/>
    <w:rsid w:val="00CB7151"/>
    <w:rsid w:val="00CC0A34"/>
    <w:rsid w:val="00CC4E6F"/>
    <w:rsid w:val="00CC51B6"/>
    <w:rsid w:val="00CC6675"/>
    <w:rsid w:val="00CC674C"/>
    <w:rsid w:val="00CC6C05"/>
    <w:rsid w:val="00CD23CB"/>
    <w:rsid w:val="00CD5BCB"/>
    <w:rsid w:val="00CD6928"/>
    <w:rsid w:val="00CD7581"/>
    <w:rsid w:val="00CD7E87"/>
    <w:rsid w:val="00CE2139"/>
    <w:rsid w:val="00CE4C09"/>
    <w:rsid w:val="00CE7BED"/>
    <w:rsid w:val="00CF0DD6"/>
    <w:rsid w:val="00CF0E11"/>
    <w:rsid w:val="00CF3FFC"/>
    <w:rsid w:val="00CF43FE"/>
    <w:rsid w:val="00CF730F"/>
    <w:rsid w:val="00D03540"/>
    <w:rsid w:val="00D05E13"/>
    <w:rsid w:val="00D13135"/>
    <w:rsid w:val="00D14766"/>
    <w:rsid w:val="00D17A0D"/>
    <w:rsid w:val="00D20B7B"/>
    <w:rsid w:val="00D2128F"/>
    <w:rsid w:val="00D24703"/>
    <w:rsid w:val="00D31447"/>
    <w:rsid w:val="00D316F8"/>
    <w:rsid w:val="00D3320A"/>
    <w:rsid w:val="00D37390"/>
    <w:rsid w:val="00D42665"/>
    <w:rsid w:val="00D43371"/>
    <w:rsid w:val="00D43D00"/>
    <w:rsid w:val="00D43D53"/>
    <w:rsid w:val="00D44A00"/>
    <w:rsid w:val="00D453A0"/>
    <w:rsid w:val="00D45A79"/>
    <w:rsid w:val="00D464F3"/>
    <w:rsid w:val="00D51E50"/>
    <w:rsid w:val="00D52027"/>
    <w:rsid w:val="00D52D7E"/>
    <w:rsid w:val="00D552AB"/>
    <w:rsid w:val="00D56257"/>
    <w:rsid w:val="00D645D8"/>
    <w:rsid w:val="00D66084"/>
    <w:rsid w:val="00D702FF"/>
    <w:rsid w:val="00D70381"/>
    <w:rsid w:val="00D70876"/>
    <w:rsid w:val="00D734D1"/>
    <w:rsid w:val="00D74C90"/>
    <w:rsid w:val="00D74CC8"/>
    <w:rsid w:val="00D76AB3"/>
    <w:rsid w:val="00D77CA5"/>
    <w:rsid w:val="00D77F4E"/>
    <w:rsid w:val="00D81434"/>
    <w:rsid w:val="00D81BF9"/>
    <w:rsid w:val="00D825FB"/>
    <w:rsid w:val="00D8622E"/>
    <w:rsid w:val="00D8789E"/>
    <w:rsid w:val="00D91246"/>
    <w:rsid w:val="00D92DCF"/>
    <w:rsid w:val="00D97ACE"/>
    <w:rsid w:val="00DA0838"/>
    <w:rsid w:val="00DA21E7"/>
    <w:rsid w:val="00DA292B"/>
    <w:rsid w:val="00DA2BB2"/>
    <w:rsid w:val="00DA5A2F"/>
    <w:rsid w:val="00DA6514"/>
    <w:rsid w:val="00DB164A"/>
    <w:rsid w:val="00DB1C94"/>
    <w:rsid w:val="00DB30DC"/>
    <w:rsid w:val="00DB78CC"/>
    <w:rsid w:val="00DC3E98"/>
    <w:rsid w:val="00DC5729"/>
    <w:rsid w:val="00DC5F53"/>
    <w:rsid w:val="00DD2554"/>
    <w:rsid w:val="00DD2F2B"/>
    <w:rsid w:val="00DE0BEB"/>
    <w:rsid w:val="00DE2212"/>
    <w:rsid w:val="00DE49FE"/>
    <w:rsid w:val="00DF08A0"/>
    <w:rsid w:val="00DF2E0C"/>
    <w:rsid w:val="00DF57B7"/>
    <w:rsid w:val="00DF677F"/>
    <w:rsid w:val="00E01E30"/>
    <w:rsid w:val="00E027DA"/>
    <w:rsid w:val="00E02EC7"/>
    <w:rsid w:val="00E04D01"/>
    <w:rsid w:val="00E114EF"/>
    <w:rsid w:val="00E30AE6"/>
    <w:rsid w:val="00E318F1"/>
    <w:rsid w:val="00E31938"/>
    <w:rsid w:val="00E3611B"/>
    <w:rsid w:val="00E37DB3"/>
    <w:rsid w:val="00E45B73"/>
    <w:rsid w:val="00E468BE"/>
    <w:rsid w:val="00E50156"/>
    <w:rsid w:val="00E503C2"/>
    <w:rsid w:val="00E51788"/>
    <w:rsid w:val="00E53C9E"/>
    <w:rsid w:val="00E545EF"/>
    <w:rsid w:val="00E60E05"/>
    <w:rsid w:val="00E6636B"/>
    <w:rsid w:val="00E6664A"/>
    <w:rsid w:val="00E67AE6"/>
    <w:rsid w:val="00E67CC7"/>
    <w:rsid w:val="00E70667"/>
    <w:rsid w:val="00E72285"/>
    <w:rsid w:val="00E74327"/>
    <w:rsid w:val="00E755F4"/>
    <w:rsid w:val="00E76821"/>
    <w:rsid w:val="00E80038"/>
    <w:rsid w:val="00E8018B"/>
    <w:rsid w:val="00E8184A"/>
    <w:rsid w:val="00E830AB"/>
    <w:rsid w:val="00E835F2"/>
    <w:rsid w:val="00E86210"/>
    <w:rsid w:val="00E862FE"/>
    <w:rsid w:val="00E90E4D"/>
    <w:rsid w:val="00E92629"/>
    <w:rsid w:val="00E9287E"/>
    <w:rsid w:val="00E932C0"/>
    <w:rsid w:val="00E94D92"/>
    <w:rsid w:val="00EA0DE4"/>
    <w:rsid w:val="00EA1556"/>
    <w:rsid w:val="00EA1D95"/>
    <w:rsid w:val="00EA21E8"/>
    <w:rsid w:val="00EA42C5"/>
    <w:rsid w:val="00EA5C24"/>
    <w:rsid w:val="00EA6229"/>
    <w:rsid w:val="00EA6570"/>
    <w:rsid w:val="00EB1E5B"/>
    <w:rsid w:val="00EB69E8"/>
    <w:rsid w:val="00EC083C"/>
    <w:rsid w:val="00EC1412"/>
    <w:rsid w:val="00EC2164"/>
    <w:rsid w:val="00EC3792"/>
    <w:rsid w:val="00EC4306"/>
    <w:rsid w:val="00EC4591"/>
    <w:rsid w:val="00ED0F87"/>
    <w:rsid w:val="00ED3A44"/>
    <w:rsid w:val="00ED7A9C"/>
    <w:rsid w:val="00EE0A67"/>
    <w:rsid w:val="00EE1147"/>
    <w:rsid w:val="00EE4D05"/>
    <w:rsid w:val="00EE6C62"/>
    <w:rsid w:val="00EF05C5"/>
    <w:rsid w:val="00EF0EDD"/>
    <w:rsid w:val="00EF2F07"/>
    <w:rsid w:val="00EF33AD"/>
    <w:rsid w:val="00EF3714"/>
    <w:rsid w:val="00EF5D2A"/>
    <w:rsid w:val="00EF60A4"/>
    <w:rsid w:val="00EF6FAC"/>
    <w:rsid w:val="00EF75F9"/>
    <w:rsid w:val="00F009EB"/>
    <w:rsid w:val="00F00F4A"/>
    <w:rsid w:val="00F02CD4"/>
    <w:rsid w:val="00F061FC"/>
    <w:rsid w:val="00F07865"/>
    <w:rsid w:val="00F1288B"/>
    <w:rsid w:val="00F12A8D"/>
    <w:rsid w:val="00F144B4"/>
    <w:rsid w:val="00F14BCA"/>
    <w:rsid w:val="00F15AC5"/>
    <w:rsid w:val="00F163E1"/>
    <w:rsid w:val="00F20131"/>
    <w:rsid w:val="00F233B2"/>
    <w:rsid w:val="00F2578C"/>
    <w:rsid w:val="00F26BD9"/>
    <w:rsid w:val="00F32A78"/>
    <w:rsid w:val="00F3430A"/>
    <w:rsid w:val="00F347A2"/>
    <w:rsid w:val="00F4207D"/>
    <w:rsid w:val="00F434D8"/>
    <w:rsid w:val="00F461D5"/>
    <w:rsid w:val="00F523B4"/>
    <w:rsid w:val="00F53999"/>
    <w:rsid w:val="00F56BC7"/>
    <w:rsid w:val="00F6025E"/>
    <w:rsid w:val="00F6028B"/>
    <w:rsid w:val="00F61069"/>
    <w:rsid w:val="00F610B1"/>
    <w:rsid w:val="00F640A6"/>
    <w:rsid w:val="00F64878"/>
    <w:rsid w:val="00F65141"/>
    <w:rsid w:val="00F65E0E"/>
    <w:rsid w:val="00F66C09"/>
    <w:rsid w:val="00F715A0"/>
    <w:rsid w:val="00F71884"/>
    <w:rsid w:val="00F71B74"/>
    <w:rsid w:val="00F76715"/>
    <w:rsid w:val="00F76C50"/>
    <w:rsid w:val="00F77866"/>
    <w:rsid w:val="00F81841"/>
    <w:rsid w:val="00F90D91"/>
    <w:rsid w:val="00F91365"/>
    <w:rsid w:val="00F915B6"/>
    <w:rsid w:val="00F9181F"/>
    <w:rsid w:val="00F93516"/>
    <w:rsid w:val="00F94379"/>
    <w:rsid w:val="00F95637"/>
    <w:rsid w:val="00F96A5D"/>
    <w:rsid w:val="00F96DE5"/>
    <w:rsid w:val="00F97B90"/>
    <w:rsid w:val="00FA23B8"/>
    <w:rsid w:val="00FA2521"/>
    <w:rsid w:val="00FA311B"/>
    <w:rsid w:val="00FA4232"/>
    <w:rsid w:val="00FA5CF0"/>
    <w:rsid w:val="00FB1934"/>
    <w:rsid w:val="00FB48C6"/>
    <w:rsid w:val="00FB7B70"/>
    <w:rsid w:val="00FC0789"/>
    <w:rsid w:val="00FC25A8"/>
    <w:rsid w:val="00FC4650"/>
    <w:rsid w:val="00FC489D"/>
    <w:rsid w:val="00FC4D28"/>
    <w:rsid w:val="00FC5D50"/>
    <w:rsid w:val="00FD0D1B"/>
    <w:rsid w:val="00FD121A"/>
    <w:rsid w:val="00FD2161"/>
    <w:rsid w:val="00FD28B1"/>
    <w:rsid w:val="00FD3715"/>
    <w:rsid w:val="00FD7335"/>
    <w:rsid w:val="00FD7EC1"/>
    <w:rsid w:val="00FE6BC9"/>
    <w:rsid w:val="00FE6CAD"/>
    <w:rsid w:val="00FF018B"/>
    <w:rsid w:val="00FF34DD"/>
    <w:rsid w:val="00FF6459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locked/>
    <w:rsid w:val="00CC4E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CC4E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character" w:customStyle="1" w:styleId="CommentaireCar">
    <w:name w:val="Commentaire Car"/>
    <w:link w:val="Commentaire"/>
    <w:uiPriority w:val="99"/>
    <w:semiHidden/>
    <w:rsid w:val="00745BB6"/>
    <w:rPr>
      <w:rFonts w:ascii="Times New Roman" w:eastAsia="Times New Roman" w:hAnsi="Times New Roman" w:cs="Times New Roman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45BB6"/>
    <w:rPr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sid w:val="00745BB6"/>
    <w:rPr>
      <w:rFonts w:ascii="Times New Roman" w:eastAsia="Times New Roman" w:hAnsi="Times New Roman" w:cs="Times New Roman"/>
      <w:b/>
      <w:bCs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45BB6"/>
    <w:rPr>
      <w:b/>
      <w:bCs/>
    </w:rPr>
  </w:style>
  <w:style w:type="character" w:styleId="Accentuation">
    <w:name w:val="Emphasis"/>
    <w:uiPriority w:val="20"/>
    <w:qFormat/>
    <w:locked/>
    <w:rsid w:val="00745BB6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45BB6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745BB6"/>
    <w:rPr>
      <w:rFonts w:ascii="Times New Roman" w:eastAsia="Times New Roman" w:hAnsi="Times New Roman" w:cs="Times New Roman"/>
    </w:rPr>
  </w:style>
  <w:style w:type="character" w:styleId="Appelnotedebasdep">
    <w:name w:val="footnote reference"/>
    <w:uiPriority w:val="99"/>
    <w:semiHidden/>
    <w:unhideWhenUsed/>
    <w:rsid w:val="00055BC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9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chart" Target="charts/chart1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ownloads\Base%20CR%202021%2007%2007%202023%20(2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ownloads\Base%20CR%202021%2007%2007%202023%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1800" b="1" i="0" baseline="0">
                <a:effectLst/>
              </a:rPr>
              <a:t>Croissance du PIB par région (en %) -Année 2021</a:t>
            </a:r>
            <a:endParaRPr lang="fr-FR">
              <a:effectLst/>
            </a:endParaRP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graphs!$D$2</c:f>
              <c:strCache>
                <c:ptCount val="1"/>
                <c:pt idx="0">
                  <c:v>Croissance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8BB-4E8F-986F-6C51D3575CBF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8BB-4E8F-986F-6C51D3575CBF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8BB-4E8F-986F-6C51D3575CBF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8BB-4E8F-986F-6C51D3575CBF}"/>
              </c:ext>
            </c:extLst>
          </c:dPt>
          <c:dPt>
            <c:idx val="4"/>
            <c:spPr>
              <a:solidFill>
                <a:srgbClr val="C00000"/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08BB-4E8F-986F-6C51D3575CBF}"/>
              </c:ext>
            </c:extLst>
          </c:dPt>
          <c:dPt>
            <c:idx val="5"/>
            <c:spPr>
              <a:solidFill>
                <a:schemeClr val="accent6"/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08BB-4E8F-986F-6C51D3575CBF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08BB-4E8F-986F-6C51D3575CBF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08BB-4E8F-986F-6C51D3575CBF}"/>
              </c:ext>
            </c:extLst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08BB-4E8F-986F-6C51D3575CBF}"/>
              </c:ext>
            </c:extLst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08BB-4E8F-986F-6C51D3575CBF}"/>
              </c:ext>
            </c:extLst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08BB-4E8F-986F-6C51D3575CBF}"/>
              </c:ext>
            </c:extLst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08BB-4E8F-986F-6C51D3575CBF}"/>
              </c:ext>
            </c:extLst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08BB-4E8F-986F-6C51D3575CB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graphs!$C$3:$C$15</c:f>
              <c:strCache>
                <c:ptCount val="13"/>
                <c:pt idx="0">
                  <c:v>Fès-Meknès</c:v>
                </c:pt>
                <c:pt idx="1">
                  <c:v>Béni Mellal-Khénifra</c:v>
                </c:pt>
                <c:pt idx="2">
                  <c:v>Tanger-Tétouan-Al Hoceima</c:v>
                </c:pt>
                <c:pt idx="3">
                  <c:v>Marrakech-Safi</c:v>
                </c:pt>
                <c:pt idx="4">
                  <c:v>National</c:v>
                </c:pt>
                <c:pt idx="5">
                  <c:v>Casablanca-Settat</c:v>
                </c:pt>
                <c:pt idx="6">
                  <c:v>Souss-Massa</c:v>
                </c:pt>
                <c:pt idx="7">
                  <c:v>Oriental </c:v>
                </c:pt>
                <c:pt idx="8">
                  <c:v>Rabat-Salé-Kénitra</c:v>
                </c:pt>
                <c:pt idx="9">
                  <c:v>Laâyoune-Saguia al Hamra</c:v>
                </c:pt>
                <c:pt idx="10">
                  <c:v>Drâa-Tafilalet</c:v>
                </c:pt>
                <c:pt idx="11">
                  <c:v>Ed Dakhla-Oued ed Dahab</c:v>
                </c:pt>
                <c:pt idx="12">
                  <c:v>Guelmim-Oued Noun</c:v>
                </c:pt>
              </c:strCache>
            </c:strRef>
          </c:cat>
          <c:val>
            <c:numRef>
              <c:f>graphs!$D$3:$D$15</c:f>
              <c:numCache>
                <c:formatCode>0.0</c:formatCode>
                <c:ptCount val="13"/>
                <c:pt idx="0">
                  <c:v>12.740112786700136</c:v>
                </c:pt>
                <c:pt idx="1">
                  <c:v>10.350603081853871</c:v>
                </c:pt>
                <c:pt idx="2">
                  <c:v>8.7279073911921561</c:v>
                </c:pt>
                <c:pt idx="3">
                  <c:v>8.4971395506430163</c:v>
                </c:pt>
                <c:pt idx="4">
                  <c:v>8.020984366716144</c:v>
                </c:pt>
                <c:pt idx="5">
                  <c:v>7.8945885974694834</c:v>
                </c:pt>
                <c:pt idx="6">
                  <c:v>7.4770831775888613</c:v>
                </c:pt>
                <c:pt idx="7">
                  <c:v>7.1365527518238991</c:v>
                </c:pt>
                <c:pt idx="8">
                  <c:v>6.3426035366769655</c:v>
                </c:pt>
                <c:pt idx="9">
                  <c:v>6.177383232124245</c:v>
                </c:pt>
                <c:pt idx="10">
                  <c:v>5.9214069610458981</c:v>
                </c:pt>
                <c:pt idx="11">
                  <c:v>4.3780876768642685</c:v>
                </c:pt>
                <c:pt idx="12">
                  <c:v>4.1989816954189845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A-08BB-4E8F-986F-6C51D3575CBF}"/>
            </c:ext>
          </c:extLst>
        </c:ser>
        <c:shape val="box"/>
        <c:axId val="70507904"/>
        <c:axId val="70509696"/>
        <c:axId val="0"/>
      </c:bar3DChart>
      <c:catAx>
        <c:axId val="70507904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70509696"/>
        <c:crosses val="autoZero"/>
        <c:auto val="1"/>
        <c:lblAlgn val="ctr"/>
        <c:lblOffset val="100"/>
      </c:catAx>
      <c:valAx>
        <c:axId val="705096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0507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2857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8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en-US" sz="16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latin typeface="+mn-lt"/>
                <a:ea typeface="+mn-ea"/>
                <a:cs typeface="+mn-cs"/>
              </a:rPr>
              <a:t>Contribution des régions aux DCFM (en %) </a:t>
            </a:r>
          </a:p>
          <a:p>
            <a:pPr>
              <a:defRPr lang="en-US" sz="18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en-US" sz="16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latin typeface="+mn-lt"/>
                <a:ea typeface="+mn-ea"/>
                <a:cs typeface="+mn-cs"/>
              </a:rPr>
              <a:t>Année 2021</a:t>
            </a:r>
          </a:p>
        </c:rich>
      </c:tx>
      <c:layout>
        <c:manualLayout>
          <c:xMode val="edge"/>
          <c:yMode val="edge"/>
          <c:x val="0.13323283876361727"/>
          <c:y val="2.2164007065656716E-2"/>
        </c:manualLayout>
      </c:layout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4984359916047728E-2"/>
          <c:y val="0.21163398519676246"/>
          <c:w val="0.63970956666611889"/>
          <c:h val="0.62717694350443365"/>
        </c:manualLayout>
      </c:layout>
      <c:bar3DChart>
        <c:barDir val="col"/>
        <c:grouping val="clustered"/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B75-4859-8948-919067092C34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B75-4859-8948-919067092C34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B75-4859-8948-919067092C34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B75-4859-8948-919067092C34}"/>
              </c:ext>
            </c:extLst>
          </c:dPt>
          <c:dPt>
            <c:idx val="4"/>
            <c:spPr>
              <a:solidFill>
                <a:schemeClr val="accent5"/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1B75-4859-8948-919067092C34}"/>
              </c:ext>
            </c:extLst>
          </c:dPt>
          <c:dPt>
            <c:idx val="5"/>
            <c:spPr>
              <a:solidFill>
                <a:schemeClr val="accent6"/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1B75-4859-8948-919067092C34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1B75-4859-8948-919067092C34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1B75-4859-8948-919067092C34}"/>
              </c:ext>
            </c:extLst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1B75-4859-8948-919067092C34}"/>
              </c:ext>
            </c:extLst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1B75-4859-8948-919067092C34}"/>
              </c:ext>
            </c:extLst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1B75-4859-8948-919067092C34}"/>
              </c:ext>
            </c:extLst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1B75-4859-8948-919067092C3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graphs!$C$32:$C$43</c:f>
              <c:strCache>
                <c:ptCount val="12"/>
                <c:pt idx="0">
                  <c:v>Casablanca-Settat</c:v>
                </c:pt>
                <c:pt idx="1">
                  <c:v>Rabat-Salé-Kénitra</c:v>
                </c:pt>
                <c:pt idx="2">
                  <c:v>Fès-Meknès</c:v>
                </c:pt>
                <c:pt idx="3">
                  <c:v>Tanger-Tétouan-Al Hoceima</c:v>
                </c:pt>
                <c:pt idx="4">
                  <c:v>Marrakech-Safi</c:v>
                </c:pt>
                <c:pt idx="5">
                  <c:v>Souss-Massa</c:v>
                </c:pt>
                <c:pt idx="6">
                  <c:v>Oriental </c:v>
                </c:pt>
                <c:pt idx="7">
                  <c:v>Béni Mellal-Khénifra</c:v>
                </c:pt>
                <c:pt idx="8">
                  <c:v>Drâa-Tafilalet</c:v>
                </c:pt>
                <c:pt idx="9">
                  <c:v>Laâyoune-Saguia al Hamra</c:v>
                </c:pt>
                <c:pt idx="10">
                  <c:v>Guelmim-Oued Noun</c:v>
                </c:pt>
                <c:pt idx="11">
                  <c:v>Ed Dakhla-Oued ed Dahab</c:v>
                </c:pt>
              </c:strCache>
            </c:strRef>
          </c:cat>
          <c:val>
            <c:numRef>
              <c:f>graphs!$D$32:$D$43</c:f>
              <c:numCache>
                <c:formatCode>0.0</c:formatCode>
                <c:ptCount val="12"/>
                <c:pt idx="0">
                  <c:v>25.259211025698136</c:v>
                </c:pt>
                <c:pt idx="1">
                  <c:v>14.673140953990336</c:v>
                </c:pt>
                <c:pt idx="2">
                  <c:v>11.552594564237868</c:v>
                </c:pt>
                <c:pt idx="3">
                  <c:v>11.433325686040217</c:v>
                </c:pt>
                <c:pt idx="4">
                  <c:v>11.231924328894825</c:v>
                </c:pt>
                <c:pt idx="5">
                  <c:v>7.2339965575359226</c:v>
                </c:pt>
                <c:pt idx="6">
                  <c:v>6.9427340877443138</c:v>
                </c:pt>
                <c:pt idx="7">
                  <c:v>5.3339838345705886</c:v>
                </c:pt>
                <c:pt idx="8">
                  <c:v>3.2588180449592197</c:v>
                </c:pt>
                <c:pt idx="9">
                  <c:v>1.1881076561708521</c:v>
                </c:pt>
                <c:pt idx="10">
                  <c:v>1.161771538325814</c:v>
                </c:pt>
                <c:pt idx="11">
                  <c:v>0.73039172183194057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8-1B75-4859-8948-919067092C34}"/>
            </c:ext>
          </c:extLst>
        </c:ser>
        <c:shape val="box"/>
        <c:axId val="85247488"/>
        <c:axId val="85249024"/>
        <c:axId val="0"/>
      </c:bar3DChart>
      <c:catAx>
        <c:axId val="85247488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85249024"/>
        <c:crosses val="autoZero"/>
        <c:auto val="1"/>
        <c:lblAlgn val="ctr"/>
        <c:lblOffset val="100"/>
      </c:catAx>
      <c:valAx>
        <c:axId val="852490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5247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476997936372336"/>
          <c:y val="0.15207084164600421"/>
          <c:w val="0.24165499914729396"/>
          <c:h val="0.7981056636845398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28575" cap="flat" cmpd="sng" algn="ctr">
      <a:solidFill>
        <a:schemeClr val="accent1">
          <a:lumMod val="7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76100-E652-461F-8417-4C5CB2A0A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2189</Words>
  <Characters>12041</Characters>
  <Application>Microsoft Office Word</Application>
  <DocSecurity>0</DocSecurity>
  <Lines>100</Lines>
  <Paragraphs>28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12</cp:revision>
  <cp:lastPrinted>2019-09-02T11:17:00Z</cp:lastPrinted>
  <dcterms:created xsi:type="dcterms:W3CDTF">2023-08-22T13:37:00Z</dcterms:created>
  <dcterms:modified xsi:type="dcterms:W3CDTF">2023-09-04T22:34:00Z</dcterms:modified>
</cp:coreProperties>
</file>