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0" w:type="dxa"/>
        <w:jc w:val="center"/>
        <w:tblLook w:val="01E0"/>
      </w:tblPr>
      <w:tblGrid>
        <w:gridCol w:w="4820"/>
        <w:gridCol w:w="1134"/>
        <w:gridCol w:w="3356"/>
      </w:tblGrid>
      <w:tr w:rsidR="002B27D3" w:rsidRPr="00DB65C3" w:rsidTr="00C57305">
        <w:trPr>
          <w:trHeight w:val="284"/>
          <w:jc w:val="center"/>
        </w:trPr>
        <w:tc>
          <w:tcPr>
            <w:tcW w:w="5954" w:type="dxa"/>
            <w:gridSpan w:val="2"/>
          </w:tcPr>
          <w:p w:rsidR="002B27D3" w:rsidRPr="00DB65C3" w:rsidRDefault="002B27D3" w:rsidP="00C57305">
            <w:pPr>
              <w:spacing w:after="12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DB65C3"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u w:val="single"/>
              </w:rPr>
              <w:t>Indice des Prix à la Consommation</w:t>
            </w:r>
            <w:r w:rsidRPr="00DB65C3">
              <w:rPr>
                <w:rFonts w:asciiTheme="majorBidi" w:hAnsiTheme="majorBidi" w:cstheme="majorBidi"/>
                <w:color w:val="000000" w:themeColor="text1"/>
              </w:rPr>
              <w:t xml:space="preserve">(1) </w:t>
            </w:r>
          </w:p>
          <w:p w:rsidR="002B27D3" w:rsidRPr="00DB65C3" w:rsidRDefault="002B27D3" w:rsidP="00C57305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</w:rPr>
            </w:pPr>
            <w:r w:rsidRPr="00DB65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(Ville de Meknès)</w:t>
            </w:r>
          </w:p>
        </w:tc>
        <w:tc>
          <w:tcPr>
            <w:tcW w:w="3356" w:type="dxa"/>
          </w:tcPr>
          <w:p w:rsidR="002B27D3" w:rsidRPr="00DB65C3" w:rsidRDefault="002B27D3" w:rsidP="00C57305">
            <w:pPr>
              <w:bidi/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MA"/>
              </w:rPr>
            </w:pPr>
            <w:r w:rsidRPr="00DB65C3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</w:rPr>
              <w:t xml:space="preserve">الرقم الاستدلالي </w:t>
            </w:r>
            <w:r w:rsidRPr="00DB65C3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MA"/>
              </w:rPr>
              <w:t>ل</w:t>
            </w:r>
            <w:r w:rsidRPr="00DB65C3"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</w:rPr>
              <w:t xml:space="preserve">لأسعار عند الاستهلاك </w:t>
            </w:r>
            <w:r w:rsidRPr="00DB65C3">
              <w:rPr>
                <w:rFonts w:asciiTheme="majorBidi" w:hAnsiTheme="majorBidi" w:cstheme="majorBidi"/>
                <w:color w:val="000000" w:themeColor="text1"/>
              </w:rPr>
              <w:t>(1)</w:t>
            </w:r>
          </w:p>
          <w:p w:rsidR="002B27D3" w:rsidRPr="00DB65C3" w:rsidRDefault="002B27D3" w:rsidP="00C57305">
            <w:pPr>
              <w:bidi/>
              <w:spacing w:after="120"/>
              <w:rPr>
                <w:rFonts w:asciiTheme="majorBidi" w:hAnsiTheme="majorBidi" w:cstheme="majorBidi"/>
                <w:b/>
                <w:bCs/>
                <w:color w:val="000000" w:themeColor="text1"/>
                <w:u w:val="single"/>
                <w:rtl/>
                <w:lang w:bidi="ar-MA"/>
              </w:rPr>
            </w:pPr>
            <w:r w:rsidRPr="00DB65C3">
              <w:rPr>
                <w:rFonts w:asciiTheme="majorBidi" w:hAnsiTheme="majorBidi" w:cstheme="majorBidi"/>
                <w:b/>
                <w:bCs/>
                <w:smallCaps/>
                <w:color w:val="000000" w:themeColor="text1"/>
                <w:rtl/>
              </w:rPr>
              <w:t xml:space="preserve">(مدينة مكناس)  </w:t>
            </w:r>
          </w:p>
        </w:tc>
      </w:tr>
      <w:tr w:rsidR="002B27D3" w:rsidRPr="00DB65C3" w:rsidTr="00C57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top w:val="single" w:sz="4" w:space="0" w:color="984806"/>
              <w:left w:val="nil"/>
              <w:bottom w:val="single" w:sz="4" w:space="0" w:color="984806"/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Divisions de Produits</w:t>
            </w:r>
          </w:p>
        </w:tc>
        <w:tc>
          <w:tcPr>
            <w:tcW w:w="113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2014</w:t>
            </w:r>
          </w:p>
        </w:tc>
        <w:tc>
          <w:tcPr>
            <w:tcW w:w="3356" w:type="dxa"/>
            <w:tcBorders>
              <w:top w:val="single" w:sz="4" w:space="0" w:color="984806"/>
              <w:left w:val="single" w:sz="4" w:space="0" w:color="C45911"/>
              <w:bottom w:val="single" w:sz="4" w:space="0" w:color="984806"/>
              <w:right w:val="nil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MA"/>
              </w:rPr>
            </w:pPr>
            <w:r w:rsidRPr="00DB65C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أقسام المواد</w:t>
            </w:r>
          </w:p>
        </w:tc>
      </w:tr>
      <w:tr w:rsidR="002B27D3" w:rsidRPr="00DB65C3" w:rsidTr="00C57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top w:val="single" w:sz="4" w:space="0" w:color="984806"/>
              <w:left w:val="nil"/>
              <w:bottom w:val="nil"/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Alimentaires et boissons non alcoolisées</w:t>
            </w:r>
          </w:p>
        </w:tc>
        <w:tc>
          <w:tcPr>
            <w:tcW w:w="1134" w:type="dxa"/>
            <w:tcBorders>
              <w:top w:val="single" w:sz="4" w:space="0" w:color="984806"/>
              <w:left w:val="nil"/>
              <w:bottom w:val="nil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121,6</w:t>
            </w:r>
          </w:p>
        </w:tc>
        <w:tc>
          <w:tcPr>
            <w:tcW w:w="3356" w:type="dxa"/>
            <w:tcBorders>
              <w:top w:val="single" w:sz="4" w:space="0" w:color="984806"/>
              <w:left w:val="single" w:sz="4" w:space="0" w:color="C45911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الغذائية والمشروبات غير الكحولية</w:t>
            </w:r>
          </w:p>
        </w:tc>
      </w:tr>
      <w:tr w:rsidR="002B27D3" w:rsidRPr="00DB65C3" w:rsidTr="00C57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Boissons alcoolisées et tabac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116,2</w:t>
            </w:r>
          </w:p>
        </w:tc>
        <w:tc>
          <w:tcPr>
            <w:tcW w:w="3356" w:type="dxa"/>
            <w:tcBorders>
              <w:top w:val="nil"/>
              <w:left w:val="single" w:sz="4" w:space="0" w:color="C45911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المشروبات الكحولية و التبغ</w:t>
            </w:r>
          </w:p>
        </w:tc>
      </w:tr>
      <w:tr w:rsidR="002B27D3" w:rsidRPr="00DB65C3" w:rsidTr="00C57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Articles d’habillement et chaussures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106,8</w:t>
            </w:r>
          </w:p>
        </w:tc>
        <w:tc>
          <w:tcPr>
            <w:tcW w:w="3356" w:type="dxa"/>
            <w:tcBorders>
              <w:top w:val="nil"/>
              <w:left w:val="single" w:sz="4" w:space="0" w:color="C45911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gramStart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الملابس</w:t>
            </w:r>
            <w:proofErr w:type="gramEnd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 والأحذية</w:t>
            </w:r>
          </w:p>
        </w:tc>
      </w:tr>
      <w:tr w:rsidR="002B27D3" w:rsidRPr="00DB65C3" w:rsidTr="00C57305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Logement, eau, gaz, électricité et autres combustibles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111,5</w:t>
            </w:r>
          </w:p>
        </w:tc>
        <w:tc>
          <w:tcPr>
            <w:tcW w:w="3356" w:type="dxa"/>
            <w:tcBorders>
              <w:left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gramStart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السكن</w:t>
            </w:r>
            <w:proofErr w:type="gramEnd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 والماء والكهرباء والغاز ومحروقات أخرى</w:t>
            </w:r>
          </w:p>
        </w:tc>
      </w:tr>
      <w:tr w:rsidR="002B27D3" w:rsidRPr="00DB65C3" w:rsidTr="00C57305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Meubles, articles de ménage et entretien courant du foyer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111,1</w:t>
            </w:r>
          </w:p>
        </w:tc>
        <w:tc>
          <w:tcPr>
            <w:tcW w:w="3356" w:type="dxa"/>
            <w:tcBorders>
              <w:left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 الأثاث والأدوات المنزلية والصيانة العادية للمنزل</w:t>
            </w:r>
          </w:p>
        </w:tc>
      </w:tr>
      <w:tr w:rsidR="002B27D3" w:rsidRPr="00DB65C3" w:rsidTr="00C57305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Santé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103,9</w:t>
            </w:r>
          </w:p>
        </w:tc>
        <w:tc>
          <w:tcPr>
            <w:tcW w:w="3356" w:type="dxa"/>
            <w:tcBorders>
              <w:left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gramStart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الصحة</w:t>
            </w:r>
            <w:proofErr w:type="gramEnd"/>
          </w:p>
        </w:tc>
      </w:tr>
      <w:tr w:rsidR="002B27D3" w:rsidRPr="00DB65C3" w:rsidTr="00C57305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Transports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117,5</w:t>
            </w:r>
          </w:p>
        </w:tc>
        <w:tc>
          <w:tcPr>
            <w:tcW w:w="3356" w:type="dxa"/>
            <w:tcBorders>
              <w:left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gramStart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النقل</w:t>
            </w:r>
            <w:proofErr w:type="gramEnd"/>
          </w:p>
        </w:tc>
      </w:tr>
      <w:tr w:rsidR="002B27D3" w:rsidRPr="00DB65C3" w:rsidTr="00C57305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59,4</w:t>
            </w:r>
          </w:p>
        </w:tc>
        <w:tc>
          <w:tcPr>
            <w:tcW w:w="3356" w:type="dxa"/>
            <w:tcBorders>
              <w:left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gramStart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المواصلات</w:t>
            </w:r>
            <w:proofErr w:type="gramEnd"/>
          </w:p>
        </w:tc>
      </w:tr>
      <w:tr w:rsidR="002B27D3" w:rsidRPr="00DB65C3" w:rsidTr="00C57305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Loisirs et culture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92,5</w:t>
            </w:r>
          </w:p>
        </w:tc>
        <w:tc>
          <w:tcPr>
            <w:tcW w:w="3356" w:type="dxa"/>
            <w:tcBorders>
              <w:left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gramStart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الترفيه</w:t>
            </w:r>
            <w:proofErr w:type="gramEnd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 والثقافة</w:t>
            </w:r>
          </w:p>
        </w:tc>
      </w:tr>
      <w:tr w:rsidR="002B27D3" w:rsidRPr="00DB65C3" w:rsidTr="00C57305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Enseignement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137,4</w:t>
            </w:r>
          </w:p>
        </w:tc>
        <w:tc>
          <w:tcPr>
            <w:tcW w:w="3356" w:type="dxa"/>
            <w:tcBorders>
              <w:left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gramStart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التعليم</w:t>
            </w:r>
            <w:proofErr w:type="gramEnd"/>
          </w:p>
        </w:tc>
      </w:tr>
      <w:tr w:rsidR="002B27D3" w:rsidRPr="00DB65C3" w:rsidTr="00C57305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Restaurants et hôtels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134,8</w:t>
            </w:r>
          </w:p>
        </w:tc>
        <w:tc>
          <w:tcPr>
            <w:tcW w:w="3356" w:type="dxa"/>
            <w:tcBorders>
              <w:left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gramStart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مطاعم</w:t>
            </w:r>
            <w:proofErr w:type="gramEnd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 وفنادق</w:t>
            </w:r>
          </w:p>
        </w:tc>
      </w:tr>
      <w:tr w:rsidR="002B27D3" w:rsidRPr="00DB65C3" w:rsidTr="00C57305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bottom w:val="single" w:sz="4" w:space="0" w:color="C45911"/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2934D9" w:rsidRDefault="002B27D3" w:rsidP="00C5730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2934D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Biens et services divers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84806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114,9</w:t>
            </w:r>
          </w:p>
        </w:tc>
        <w:tc>
          <w:tcPr>
            <w:tcW w:w="3356" w:type="dxa"/>
            <w:tcBorders>
              <w:left w:val="single" w:sz="4" w:space="0" w:color="C45911"/>
              <w:bottom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  <w:lang w:bidi="ar-MA"/>
              </w:rPr>
            </w:pPr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 xml:space="preserve">مواد وخدمات </w:t>
            </w:r>
            <w:proofErr w:type="spellStart"/>
            <w:r w:rsidRPr="00DB65C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اخرى</w:t>
            </w:r>
            <w:proofErr w:type="spellEnd"/>
          </w:p>
        </w:tc>
      </w:tr>
      <w:tr w:rsidR="002B27D3" w:rsidRPr="00DB65C3" w:rsidTr="00C57305">
        <w:tblPrEx>
          <w:tblCellMar>
            <w:left w:w="70" w:type="dxa"/>
            <w:right w:w="70" w:type="dxa"/>
          </w:tblCellMar>
          <w:tblLook w:val="0000"/>
        </w:tblPrEx>
        <w:trPr>
          <w:trHeight w:val="340"/>
          <w:jc w:val="center"/>
        </w:trPr>
        <w:tc>
          <w:tcPr>
            <w:tcW w:w="4820" w:type="dxa"/>
            <w:tcBorders>
              <w:top w:val="single" w:sz="4" w:space="0" w:color="C45911"/>
              <w:bottom w:val="single" w:sz="4" w:space="0" w:color="C45911"/>
              <w:right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Indice des Prix à la Consommation</w:t>
            </w:r>
          </w:p>
        </w:tc>
        <w:tc>
          <w:tcPr>
            <w:tcW w:w="1134" w:type="dxa"/>
            <w:tcBorders>
              <w:top w:val="single" w:sz="4" w:space="0" w:color="984806"/>
              <w:left w:val="nil"/>
              <w:bottom w:val="single" w:sz="4" w:space="0" w:color="984806"/>
              <w:right w:val="single" w:sz="4" w:space="0" w:color="984806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ind w:right="213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b/>
                <w:bCs/>
                <w:color w:val="000000" w:themeColor="text1"/>
                <w:sz w:val="20"/>
                <w:szCs w:val="20"/>
              </w:rPr>
              <w:t>115,1</w:t>
            </w:r>
          </w:p>
        </w:tc>
        <w:tc>
          <w:tcPr>
            <w:tcW w:w="3356" w:type="dxa"/>
            <w:tcBorders>
              <w:top w:val="single" w:sz="4" w:space="0" w:color="C45911"/>
              <w:left w:val="single" w:sz="4" w:space="0" w:color="C45911"/>
              <w:bottom w:val="single" w:sz="4" w:space="0" w:color="C45911"/>
            </w:tcBorders>
            <w:shd w:val="clear" w:color="auto" w:fill="auto"/>
            <w:noWrap/>
            <w:vAlign w:val="center"/>
          </w:tcPr>
          <w:p w:rsidR="002B27D3" w:rsidRPr="00DB65C3" w:rsidRDefault="002B27D3" w:rsidP="00C5730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B65C3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</w:rPr>
              <w:t>الرقم الاستدلالي للأثمان عند الاستهلاك</w:t>
            </w:r>
          </w:p>
        </w:tc>
      </w:tr>
    </w:tbl>
    <w:p w:rsidR="002B27D3" w:rsidRDefault="002B27D3" w:rsidP="002B27D3">
      <w:pPr>
        <w:pStyle w:val="Lgende"/>
        <w:jc w:val="center"/>
        <w:rPr>
          <w:i w:val="0"/>
          <w:iCs w:val="0"/>
          <w:color w:val="000000" w:themeColor="text1"/>
        </w:rPr>
      </w:pPr>
      <w:r w:rsidRPr="00DB65C3">
        <w:rPr>
          <w:rFonts w:asciiTheme="majorBidi" w:hAnsiTheme="majorBidi" w:cstheme="majorBidi"/>
          <w:i w:val="0"/>
          <w:iCs w:val="0"/>
          <w:color w:val="000000" w:themeColor="text1"/>
        </w:rPr>
        <w:t>(1)</w:t>
      </w:r>
      <w:r w:rsidRPr="00DB65C3">
        <w:rPr>
          <w:i w:val="0"/>
          <w:iCs w:val="0"/>
          <w:color w:val="000000" w:themeColor="text1"/>
        </w:rPr>
        <w:t xml:space="preserve">Base 100 : 2006  (478 articles)                                                                                               </w:t>
      </w:r>
      <w:r w:rsidRPr="00DB65C3">
        <w:rPr>
          <w:i w:val="0"/>
          <w:iCs w:val="0"/>
          <w:color w:val="000000" w:themeColor="text1"/>
          <w:rtl/>
        </w:rPr>
        <w:t>(478 مادة)   أساس 100 : 2006</w:t>
      </w:r>
      <w:r w:rsidRPr="00DB65C3">
        <w:rPr>
          <w:i w:val="0"/>
          <w:iCs w:val="0"/>
          <w:color w:val="000000" w:themeColor="text1"/>
        </w:rPr>
        <w:t>(1)</w:t>
      </w:r>
    </w:p>
    <w:p w:rsidR="004B6B84" w:rsidRDefault="002B27D3"/>
    <w:sectPr w:rsidR="004B6B84" w:rsidSect="00F6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27D3"/>
    <w:rsid w:val="00057EC2"/>
    <w:rsid w:val="002B27D3"/>
    <w:rsid w:val="003042AA"/>
    <w:rsid w:val="003721F5"/>
    <w:rsid w:val="004A1764"/>
    <w:rsid w:val="00ED4C1D"/>
    <w:rsid w:val="00F6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042AA"/>
    <w:pPr>
      <w:keepNext/>
      <w:keepLines/>
      <w:spacing w:before="360" w:after="40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42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042AA"/>
    <w:rPr>
      <w:rFonts w:ascii="Calibri Light" w:eastAsia="SimSun" w:hAnsi="Calibri Light" w:cs="Times New Roman"/>
      <w:color w:val="538135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04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styleId="lev">
    <w:name w:val="Strong"/>
    <w:basedOn w:val="Policepardfaut"/>
    <w:qFormat/>
    <w:rsid w:val="003042AA"/>
    <w:rPr>
      <w:b/>
      <w:bCs/>
    </w:rPr>
  </w:style>
  <w:style w:type="paragraph" w:styleId="Paragraphedeliste">
    <w:name w:val="List Paragraph"/>
    <w:basedOn w:val="Normal"/>
    <w:uiPriority w:val="34"/>
    <w:qFormat/>
    <w:rsid w:val="003042AA"/>
    <w:pPr>
      <w:ind w:left="720"/>
      <w:contextualSpacing/>
    </w:pPr>
    <w:rPr>
      <w:color w:val="000000"/>
    </w:rPr>
  </w:style>
  <w:style w:type="paragraph" w:styleId="Lgende">
    <w:name w:val="caption"/>
    <w:basedOn w:val="Normal"/>
    <w:next w:val="Normal"/>
    <w:unhideWhenUsed/>
    <w:qFormat/>
    <w:rsid w:val="002B27D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1</cp:revision>
  <dcterms:created xsi:type="dcterms:W3CDTF">2017-07-20T11:24:00Z</dcterms:created>
  <dcterms:modified xsi:type="dcterms:W3CDTF">2017-07-20T11:25:00Z</dcterms:modified>
</cp:coreProperties>
</file>