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F8" w:rsidRDefault="004328F8"/>
    <w:sdt>
      <w:sdtPr>
        <w:rPr>
          <w:rFonts w:asciiTheme="majorHAnsi" w:eastAsiaTheme="majorEastAsia" w:hAnsiTheme="majorHAnsi" w:cstheme="majorBidi"/>
        </w:rPr>
        <w:id w:val="4308006"/>
        <w:docPartObj>
          <w:docPartGallery w:val="Cover Pages"/>
          <w:docPartUnique/>
        </w:docPartObj>
      </w:sdtPr>
      <w:sdtEndPr>
        <w:rPr>
          <w:rFonts w:asciiTheme="minorHAnsi" w:eastAsiaTheme="minorHAnsi" w:hAnsiTheme="minorHAnsi" w:cstheme="minorBidi"/>
          <w:b/>
          <w:bCs/>
        </w:rPr>
      </w:sdtEndPr>
      <w:sdtContent>
        <w:tbl>
          <w:tblPr>
            <w:tblpPr w:leftFromText="187" w:rightFromText="187" w:horzAnchor="margin" w:tblpXSpec="center" w:tblpY="2881"/>
            <w:tblW w:w="4239" w:type="pct"/>
            <w:tblBorders>
              <w:left w:val="single" w:sz="18" w:space="0" w:color="4F81BD" w:themeColor="accent1"/>
            </w:tblBorders>
            <w:tblLook w:val="04A0"/>
          </w:tblPr>
          <w:tblGrid>
            <w:gridCol w:w="8007"/>
          </w:tblGrid>
          <w:tr w:rsidR="007B49E0" w:rsidTr="003F5F7D">
            <w:tc>
              <w:tcPr>
                <w:tcW w:w="8007" w:type="dxa"/>
                <w:tcMar>
                  <w:top w:w="216" w:type="dxa"/>
                  <w:left w:w="115" w:type="dxa"/>
                  <w:bottom w:w="216" w:type="dxa"/>
                  <w:right w:w="115" w:type="dxa"/>
                </w:tcMar>
              </w:tcPr>
              <w:p w:rsidR="007B49E0" w:rsidRDefault="007B49E0">
                <w:pPr>
                  <w:pStyle w:val="Sansinterligne"/>
                  <w:rPr>
                    <w:rFonts w:asciiTheme="majorHAnsi" w:eastAsiaTheme="majorEastAsia" w:hAnsiTheme="majorHAnsi" w:cstheme="majorBidi"/>
                  </w:rPr>
                </w:pPr>
              </w:p>
            </w:tc>
          </w:tr>
          <w:tr w:rsidR="007B49E0" w:rsidTr="003F5F7D">
            <w:tc>
              <w:tcPr>
                <w:tcW w:w="8007" w:type="dxa"/>
              </w:tcPr>
              <w:sdt>
                <w:sdtPr>
                  <w:rPr>
                    <w:rFonts w:asciiTheme="majorHAnsi" w:eastAsiaTheme="majorEastAsia" w:hAnsiTheme="majorHAnsi" w:cstheme="majorBidi"/>
                    <w:b/>
                    <w:bCs/>
                    <w:sz w:val="32"/>
                    <w:szCs w:val="32"/>
                  </w:rPr>
                  <w:alias w:val="Titre"/>
                  <w:id w:val="13406919"/>
                  <w:dataBinding w:prefixMappings="xmlns:ns0='http://schemas.openxmlformats.org/package/2006/metadata/core-properties' xmlns:ns1='http://purl.org/dc/elements/1.1/'" w:xpath="/ns0:coreProperties[1]/ns1:title[1]" w:storeItemID="{6C3C8BC8-F283-45AE-878A-BAB7291924A1}"/>
                  <w:text/>
                </w:sdtPr>
                <w:sdtContent>
                  <w:p w:rsidR="007B49E0" w:rsidRDefault="00F97AE7" w:rsidP="00BC3E6C">
                    <w:pPr>
                      <w:pStyle w:val="Sansinterligne"/>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b/>
                        <w:bCs/>
                        <w:sz w:val="32"/>
                        <w:szCs w:val="32"/>
                      </w:rPr>
                      <w:t>Indice des Prix à la Consommation (Base100:2017)           ville de Kenitra</w:t>
                    </w:r>
                  </w:p>
                </w:sdtContent>
              </w:sdt>
            </w:tc>
          </w:tr>
          <w:tr w:rsidR="007B49E0" w:rsidTr="003F5F7D">
            <w:sdt>
              <w:sdtPr>
                <w:rPr>
                  <w:rFonts w:asciiTheme="majorHAnsi" w:eastAsiaTheme="majorEastAsia" w:hAnsiTheme="majorHAnsi" w:cstheme="majorBidi"/>
                  <w:b/>
                  <w:bCs/>
                  <w:sz w:val="28"/>
                  <w:szCs w:val="28"/>
                </w:rPr>
                <w:alias w:val="Sous-titre"/>
                <w:id w:val="13406923"/>
                <w:dataBinding w:prefixMappings="xmlns:ns0='http://schemas.openxmlformats.org/package/2006/metadata/core-properties' xmlns:ns1='http://purl.org/dc/elements/1.1/'" w:xpath="/ns0:coreProperties[1]/ns1:subject[1]" w:storeItemID="{6C3C8BC8-F283-45AE-878A-BAB7291924A1}"/>
                <w:text/>
              </w:sdtPr>
              <w:sdtContent>
                <w:tc>
                  <w:tcPr>
                    <w:tcW w:w="8007" w:type="dxa"/>
                    <w:tcMar>
                      <w:top w:w="216" w:type="dxa"/>
                      <w:left w:w="115" w:type="dxa"/>
                      <w:bottom w:w="216" w:type="dxa"/>
                      <w:right w:w="115" w:type="dxa"/>
                    </w:tcMar>
                  </w:tcPr>
                  <w:p w:rsidR="007B49E0" w:rsidRPr="007B49E0" w:rsidRDefault="00F97AE7" w:rsidP="007B49E0">
                    <w:pPr>
                      <w:pStyle w:val="Sansinterligne"/>
                      <w:rPr>
                        <w:rFonts w:asciiTheme="majorHAnsi" w:eastAsiaTheme="majorEastAsia" w:hAnsiTheme="majorHAnsi" w:cstheme="majorBidi"/>
                        <w:sz w:val="28"/>
                        <w:szCs w:val="28"/>
                      </w:rPr>
                    </w:pPr>
                    <w:r>
                      <w:rPr>
                        <w:rFonts w:asciiTheme="majorHAnsi" w:eastAsiaTheme="majorEastAsia" w:hAnsiTheme="majorHAnsi" w:cstheme="majorBidi"/>
                        <w:b/>
                        <w:bCs/>
                        <w:sz w:val="28"/>
                        <w:szCs w:val="28"/>
                      </w:rPr>
                      <w:t>Rapport annuel</w:t>
                    </w:r>
                  </w:p>
                </w:tc>
              </w:sdtContent>
            </w:sdt>
          </w:tr>
        </w:tbl>
        <w:p w:rsidR="007B49E0" w:rsidRDefault="007B49E0"/>
        <w:p w:rsidR="007B49E0" w:rsidRDefault="007B49E0"/>
        <w:tbl>
          <w:tblPr>
            <w:tblpPr w:leftFromText="187" w:rightFromText="187" w:horzAnchor="margin" w:tblpXSpec="center" w:tblpYSpec="bottom"/>
            <w:tblW w:w="4000" w:type="pct"/>
            <w:tblLook w:val="04A0"/>
          </w:tblPr>
          <w:tblGrid>
            <w:gridCol w:w="7555"/>
          </w:tblGrid>
          <w:tr w:rsidR="007B49E0">
            <w:tc>
              <w:tcPr>
                <w:tcW w:w="7672" w:type="dxa"/>
                <w:tcMar>
                  <w:top w:w="216" w:type="dxa"/>
                  <w:left w:w="115" w:type="dxa"/>
                  <w:bottom w:w="216" w:type="dxa"/>
                  <w:right w:w="115" w:type="dxa"/>
                </w:tcMar>
              </w:tcPr>
              <w:sdt>
                <w:sdtPr>
                  <w:rPr>
                    <w:b/>
                    <w:bCs/>
                    <w:color w:val="4F81BD" w:themeColor="accent1"/>
                    <w:sz w:val="24"/>
                    <w:szCs w:val="24"/>
                  </w:rPr>
                  <w:alias w:val="Date"/>
                  <w:id w:val="13406932"/>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rsidR="007B49E0" w:rsidRPr="007B49E0" w:rsidRDefault="00F97AE7" w:rsidP="00A12EEA">
                    <w:pPr>
                      <w:pStyle w:val="Sansinterligne"/>
                      <w:rPr>
                        <w:b/>
                        <w:bCs/>
                        <w:color w:val="4F81BD" w:themeColor="accent1"/>
                        <w:sz w:val="24"/>
                        <w:szCs w:val="24"/>
                      </w:rPr>
                    </w:pPr>
                    <w:r>
                      <w:rPr>
                        <w:b/>
                        <w:bCs/>
                        <w:sz w:val="24"/>
                        <w:szCs w:val="24"/>
                      </w:rPr>
                      <w:t>Année 2020</w:t>
                    </w:r>
                  </w:p>
                </w:sdtContent>
              </w:sdt>
              <w:p w:rsidR="007B49E0" w:rsidRPr="007B49E0" w:rsidRDefault="007B49E0">
                <w:pPr>
                  <w:pStyle w:val="Sansinterligne"/>
                  <w:rPr>
                    <w:b/>
                    <w:bCs/>
                    <w:color w:val="4F81BD" w:themeColor="accent1"/>
                    <w:sz w:val="24"/>
                    <w:szCs w:val="24"/>
                  </w:rPr>
                </w:pPr>
              </w:p>
            </w:tc>
          </w:tr>
        </w:tbl>
        <w:p w:rsidR="007B49E0" w:rsidRDefault="007B49E0"/>
        <w:p w:rsidR="007B49E0" w:rsidRDefault="007B49E0">
          <w:r>
            <w:rPr>
              <w:b/>
              <w:bCs/>
            </w:rPr>
            <w:br w:type="page"/>
          </w:r>
        </w:p>
      </w:sdtContent>
    </w:sdt>
    <w:sdt>
      <w:sdtPr>
        <w:rPr>
          <w:rFonts w:asciiTheme="minorHAnsi" w:eastAsiaTheme="minorHAnsi" w:hAnsiTheme="minorHAnsi" w:cstheme="minorBidi"/>
          <w:b w:val="0"/>
          <w:bCs w:val="0"/>
          <w:color w:val="auto"/>
          <w:sz w:val="22"/>
          <w:szCs w:val="22"/>
        </w:rPr>
        <w:id w:val="1569297"/>
        <w:docPartObj>
          <w:docPartGallery w:val="Table of Contents"/>
          <w:docPartUnique/>
        </w:docPartObj>
      </w:sdtPr>
      <w:sdtContent>
        <w:p w:rsidR="00832702" w:rsidRDefault="00832702" w:rsidP="00132051">
          <w:pPr>
            <w:pStyle w:val="En-ttedetabledesmatires"/>
          </w:pPr>
          <w:r>
            <w:t>S</w:t>
          </w:r>
          <w:r w:rsidR="00132051">
            <w:t>OMMAIRE</w:t>
          </w:r>
        </w:p>
        <w:p w:rsidR="00A37E89" w:rsidRDefault="002966E3">
          <w:pPr>
            <w:pStyle w:val="TM1"/>
            <w:tabs>
              <w:tab w:val="right" w:leader="dot" w:pos="9204"/>
            </w:tabs>
            <w:rPr>
              <w:rFonts w:eastAsiaTheme="minorEastAsia"/>
              <w:noProof/>
              <w:lang w:eastAsia="fr-FR"/>
            </w:rPr>
          </w:pPr>
          <w:r>
            <w:fldChar w:fldCharType="begin"/>
          </w:r>
          <w:r w:rsidR="00FC4512">
            <w:instrText xml:space="preserve"> TOC \o "1-4" \h \z \u </w:instrText>
          </w:r>
          <w:r>
            <w:fldChar w:fldCharType="separate"/>
          </w:r>
          <w:hyperlink w:anchor="_Toc68443113" w:history="1">
            <w:r w:rsidR="00A37E89" w:rsidRPr="00046BA0">
              <w:rPr>
                <w:rStyle w:val="Lienhypertexte"/>
                <w:noProof/>
              </w:rPr>
              <w:t>Liste des tableaux</w:t>
            </w:r>
            <w:r w:rsidR="00A37E89">
              <w:rPr>
                <w:noProof/>
                <w:webHidden/>
              </w:rPr>
              <w:tab/>
            </w:r>
            <w:r>
              <w:rPr>
                <w:noProof/>
                <w:webHidden/>
              </w:rPr>
              <w:fldChar w:fldCharType="begin"/>
            </w:r>
            <w:r w:rsidR="00A37E89">
              <w:rPr>
                <w:noProof/>
                <w:webHidden/>
              </w:rPr>
              <w:instrText xml:space="preserve"> PAGEREF _Toc68443113 \h </w:instrText>
            </w:r>
            <w:r>
              <w:rPr>
                <w:noProof/>
                <w:webHidden/>
              </w:rPr>
            </w:r>
            <w:r>
              <w:rPr>
                <w:noProof/>
                <w:webHidden/>
              </w:rPr>
              <w:fldChar w:fldCharType="separate"/>
            </w:r>
            <w:r w:rsidR="00A37E89">
              <w:rPr>
                <w:noProof/>
                <w:webHidden/>
              </w:rPr>
              <w:t>3</w:t>
            </w:r>
            <w:r>
              <w:rPr>
                <w:noProof/>
                <w:webHidden/>
              </w:rPr>
              <w:fldChar w:fldCharType="end"/>
            </w:r>
          </w:hyperlink>
        </w:p>
        <w:p w:rsidR="00A37E89" w:rsidRDefault="002966E3">
          <w:pPr>
            <w:pStyle w:val="TM1"/>
            <w:tabs>
              <w:tab w:val="right" w:leader="dot" w:pos="9204"/>
            </w:tabs>
            <w:rPr>
              <w:rFonts w:eastAsiaTheme="minorEastAsia"/>
              <w:noProof/>
              <w:lang w:eastAsia="fr-FR"/>
            </w:rPr>
          </w:pPr>
          <w:hyperlink w:anchor="_Toc68443114" w:history="1">
            <w:r w:rsidR="00A37E89" w:rsidRPr="00046BA0">
              <w:rPr>
                <w:rStyle w:val="Lienhypertexte"/>
                <w:rFonts w:ascii="Cambria" w:hAnsi="Cambria"/>
                <w:noProof/>
              </w:rPr>
              <w:t>Liste des graphiques</w:t>
            </w:r>
            <w:r w:rsidR="00A37E89">
              <w:rPr>
                <w:noProof/>
                <w:webHidden/>
              </w:rPr>
              <w:tab/>
            </w:r>
            <w:r>
              <w:rPr>
                <w:noProof/>
                <w:webHidden/>
              </w:rPr>
              <w:fldChar w:fldCharType="begin"/>
            </w:r>
            <w:r w:rsidR="00A37E89">
              <w:rPr>
                <w:noProof/>
                <w:webHidden/>
              </w:rPr>
              <w:instrText xml:space="preserve"> PAGEREF _Toc68443114 \h </w:instrText>
            </w:r>
            <w:r>
              <w:rPr>
                <w:noProof/>
                <w:webHidden/>
              </w:rPr>
            </w:r>
            <w:r>
              <w:rPr>
                <w:noProof/>
                <w:webHidden/>
              </w:rPr>
              <w:fldChar w:fldCharType="separate"/>
            </w:r>
            <w:r w:rsidR="00A37E89">
              <w:rPr>
                <w:noProof/>
                <w:webHidden/>
              </w:rPr>
              <w:t>4</w:t>
            </w:r>
            <w:r>
              <w:rPr>
                <w:noProof/>
                <w:webHidden/>
              </w:rPr>
              <w:fldChar w:fldCharType="end"/>
            </w:r>
          </w:hyperlink>
        </w:p>
        <w:p w:rsidR="00A37E89" w:rsidRDefault="002966E3">
          <w:pPr>
            <w:pStyle w:val="TM1"/>
            <w:tabs>
              <w:tab w:val="right" w:leader="dot" w:pos="9204"/>
            </w:tabs>
            <w:rPr>
              <w:rFonts w:eastAsiaTheme="minorEastAsia"/>
              <w:noProof/>
              <w:lang w:eastAsia="fr-FR"/>
            </w:rPr>
          </w:pPr>
          <w:hyperlink w:anchor="_Toc68443115" w:history="1">
            <w:r w:rsidR="00A37E89" w:rsidRPr="00046BA0">
              <w:rPr>
                <w:rStyle w:val="Lienhypertexte"/>
                <w:rFonts w:asciiTheme="majorBidi" w:hAnsiTheme="majorBidi"/>
                <w:noProof/>
              </w:rPr>
              <w:t>Introduction</w:t>
            </w:r>
            <w:r w:rsidR="00A37E89">
              <w:rPr>
                <w:noProof/>
                <w:webHidden/>
              </w:rPr>
              <w:tab/>
            </w:r>
            <w:r>
              <w:rPr>
                <w:noProof/>
                <w:webHidden/>
              </w:rPr>
              <w:fldChar w:fldCharType="begin"/>
            </w:r>
            <w:r w:rsidR="00A37E89">
              <w:rPr>
                <w:noProof/>
                <w:webHidden/>
              </w:rPr>
              <w:instrText xml:space="preserve"> PAGEREF _Toc68443115 \h </w:instrText>
            </w:r>
            <w:r>
              <w:rPr>
                <w:noProof/>
                <w:webHidden/>
              </w:rPr>
            </w:r>
            <w:r>
              <w:rPr>
                <w:noProof/>
                <w:webHidden/>
              </w:rPr>
              <w:fldChar w:fldCharType="separate"/>
            </w:r>
            <w:r w:rsidR="00A37E89">
              <w:rPr>
                <w:noProof/>
                <w:webHidden/>
              </w:rPr>
              <w:t>6</w:t>
            </w:r>
            <w:r>
              <w:rPr>
                <w:noProof/>
                <w:webHidden/>
              </w:rPr>
              <w:fldChar w:fldCharType="end"/>
            </w:r>
          </w:hyperlink>
        </w:p>
        <w:p w:rsidR="00A37E89" w:rsidRDefault="002966E3">
          <w:pPr>
            <w:pStyle w:val="TM1"/>
            <w:tabs>
              <w:tab w:val="right" w:leader="dot" w:pos="9204"/>
            </w:tabs>
            <w:rPr>
              <w:rFonts w:eastAsiaTheme="minorEastAsia"/>
              <w:noProof/>
              <w:lang w:eastAsia="fr-FR"/>
            </w:rPr>
          </w:pPr>
          <w:hyperlink w:anchor="_Toc68443116" w:history="1">
            <w:r w:rsidR="00A37E89" w:rsidRPr="00046BA0">
              <w:rPr>
                <w:rStyle w:val="Lienhypertexte"/>
                <w:rFonts w:asciiTheme="majorBidi" w:hAnsiTheme="majorBidi"/>
                <w:noProof/>
              </w:rPr>
              <w:t>I- Historique du système de suivi des prix de détail</w:t>
            </w:r>
            <w:r w:rsidR="00A37E89">
              <w:rPr>
                <w:noProof/>
                <w:webHidden/>
              </w:rPr>
              <w:tab/>
            </w:r>
            <w:r>
              <w:rPr>
                <w:noProof/>
                <w:webHidden/>
              </w:rPr>
              <w:fldChar w:fldCharType="begin"/>
            </w:r>
            <w:r w:rsidR="00A37E89">
              <w:rPr>
                <w:noProof/>
                <w:webHidden/>
              </w:rPr>
              <w:instrText xml:space="preserve"> PAGEREF _Toc68443116 \h </w:instrText>
            </w:r>
            <w:r>
              <w:rPr>
                <w:noProof/>
                <w:webHidden/>
              </w:rPr>
            </w:r>
            <w:r>
              <w:rPr>
                <w:noProof/>
                <w:webHidden/>
              </w:rPr>
              <w:fldChar w:fldCharType="separate"/>
            </w:r>
            <w:r w:rsidR="00A37E89">
              <w:rPr>
                <w:noProof/>
                <w:webHidden/>
              </w:rPr>
              <w:t>8</w:t>
            </w:r>
            <w:r>
              <w:rPr>
                <w:noProof/>
                <w:webHidden/>
              </w:rPr>
              <w:fldChar w:fldCharType="end"/>
            </w:r>
          </w:hyperlink>
        </w:p>
        <w:p w:rsidR="00A37E89" w:rsidRDefault="002966E3">
          <w:pPr>
            <w:pStyle w:val="TM1"/>
            <w:tabs>
              <w:tab w:val="right" w:leader="dot" w:pos="9204"/>
            </w:tabs>
            <w:rPr>
              <w:rFonts w:eastAsiaTheme="minorEastAsia"/>
              <w:noProof/>
              <w:lang w:eastAsia="fr-FR"/>
            </w:rPr>
          </w:pPr>
          <w:hyperlink w:anchor="_Toc68443117" w:history="1">
            <w:r w:rsidR="00A37E89" w:rsidRPr="00046BA0">
              <w:rPr>
                <w:rStyle w:val="Lienhypertexte"/>
                <w:rFonts w:asciiTheme="majorBidi" w:hAnsiTheme="majorBidi"/>
                <w:noProof/>
              </w:rPr>
              <w:t>II- Méthodologie de l’Indice des Prix à la Consommation (Base 100:2017)</w:t>
            </w:r>
            <w:r w:rsidR="00A37E89">
              <w:rPr>
                <w:noProof/>
                <w:webHidden/>
              </w:rPr>
              <w:tab/>
            </w:r>
            <w:r>
              <w:rPr>
                <w:noProof/>
                <w:webHidden/>
              </w:rPr>
              <w:fldChar w:fldCharType="begin"/>
            </w:r>
            <w:r w:rsidR="00A37E89">
              <w:rPr>
                <w:noProof/>
                <w:webHidden/>
              </w:rPr>
              <w:instrText xml:space="preserve"> PAGEREF _Toc68443117 \h </w:instrText>
            </w:r>
            <w:r>
              <w:rPr>
                <w:noProof/>
                <w:webHidden/>
              </w:rPr>
            </w:r>
            <w:r>
              <w:rPr>
                <w:noProof/>
                <w:webHidden/>
              </w:rPr>
              <w:fldChar w:fldCharType="separate"/>
            </w:r>
            <w:r w:rsidR="00A37E89">
              <w:rPr>
                <w:noProof/>
                <w:webHidden/>
              </w:rPr>
              <w:t>11</w:t>
            </w:r>
            <w:r>
              <w:rPr>
                <w:noProof/>
                <w:webHidden/>
              </w:rPr>
              <w:fldChar w:fldCharType="end"/>
            </w:r>
          </w:hyperlink>
        </w:p>
        <w:p w:rsidR="00A37E89" w:rsidRDefault="002966E3">
          <w:pPr>
            <w:pStyle w:val="TM2"/>
            <w:tabs>
              <w:tab w:val="right" w:leader="dot" w:pos="9204"/>
            </w:tabs>
            <w:rPr>
              <w:rFonts w:eastAsiaTheme="minorEastAsia"/>
              <w:noProof/>
              <w:lang w:eastAsia="fr-FR"/>
            </w:rPr>
          </w:pPr>
          <w:hyperlink w:anchor="_Toc68443118" w:history="1">
            <w:r w:rsidR="00A37E89" w:rsidRPr="00046BA0">
              <w:rPr>
                <w:rStyle w:val="Lienhypertexte"/>
                <w:rFonts w:asciiTheme="majorBidi" w:hAnsiTheme="majorBidi"/>
                <w:noProof/>
              </w:rPr>
              <w:t>II-1 Définition et objectifs</w:t>
            </w:r>
            <w:r w:rsidR="00A37E89">
              <w:rPr>
                <w:noProof/>
                <w:webHidden/>
              </w:rPr>
              <w:tab/>
            </w:r>
            <w:r>
              <w:rPr>
                <w:noProof/>
                <w:webHidden/>
              </w:rPr>
              <w:fldChar w:fldCharType="begin"/>
            </w:r>
            <w:r w:rsidR="00A37E89">
              <w:rPr>
                <w:noProof/>
                <w:webHidden/>
              </w:rPr>
              <w:instrText xml:space="preserve"> PAGEREF _Toc68443118 \h </w:instrText>
            </w:r>
            <w:r>
              <w:rPr>
                <w:noProof/>
                <w:webHidden/>
              </w:rPr>
            </w:r>
            <w:r>
              <w:rPr>
                <w:noProof/>
                <w:webHidden/>
              </w:rPr>
              <w:fldChar w:fldCharType="separate"/>
            </w:r>
            <w:r w:rsidR="00A37E89">
              <w:rPr>
                <w:noProof/>
                <w:webHidden/>
              </w:rPr>
              <w:t>11</w:t>
            </w:r>
            <w:r>
              <w:rPr>
                <w:noProof/>
                <w:webHidden/>
              </w:rPr>
              <w:fldChar w:fldCharType="end"/>
            </w:r>
          </w:hyperlink>
        </w:p>
        <w:p w:rsidR="00A37E89" w:rsidRDefault="002966E3">
          <w:pPr>
            <w:pStyle w:val="TM3"/>
            <w:tabs>
              <w:tab w:val="right" w:leader="dot" w:pos="9204"/>
            </w:tabs>
            <w:rPr>
              <w:rFonts w:eastAsiaTheme="minorEastAsia"/>
              <w:noProof/>
              <w:lang w:eastAsia="fr-FR"/>
            </w:rPr>
          </w:pPr>
          <w:hyperlink w:anchor="_Toc68443119" w:history="1">
            <w:r w:rsidR="00A37E89" w:rsidRPr="00046BA0">
              <w:rPr>
                <w:rStyle w:val="Lienhypertexte"/>
                <w:rFonts w:asciiTheme="majorBidi" w:hAnsiTheme="majorBidi"/>
                <w:noProof/>
              </w:rPr>
              <w:t>II-1-1 Définition</w:t>
            </w:r>
            <w:r w:rsidR="00A37E89">
              <w:rPr>
                <w:noProof/>
                <w:webHidden/>
              </w:rPr>
              <w:tab/>
            </w:r>
            <w:r>
              <w:rPr>
                <w:noProof/>
                <w:webHidden/>
              </w:rPr>
              <w:fldChar w:fldCharType="begin"/>
            </w:r>
            <w:r w:rsidR="00A37E89">
              <w:rPr>
                <w:noProof/>
                <w:webHidden/>
              </w:rPr>
              <w:instrText xml:space="preserve"> PAGEREF _Toc68443119 \h </w:instrText>
            </w:r>
            <w:r>
              <w:rPr>
                <w:noProof/>
                <w:webHidden/>
              </w:rPr>
            </w:r>
            <w:r>
              <w:rPr>
                <w:noProof/>
                <w:webHidden/>
              </w:rPr>
              <w:fldChar w:fldCharType="separate"/>
            </w:r>
            <w:r w:rsidR="00A37E89">
              <w:rPr>
                <w:noProof/>
                <w:webHidden/>
              </w:rPr>
              <w:t>11</w:t>
            </w:r>
            <w:r>
              <w:rPr>
                <w:noProof/>
                <w:webHidden/>
              </w:rPr>
              <w:fldChar w:fldCharType="end"/>
            </w:r>
          </w:hyperlink>
        </w:p>
        <w:p w:rsidR="00A37E89" w:rsidRDefault="002966E3">
          <w:pPr>
            <w:pStyle w:val="TM3"/>
            <w:tabs>
              <w:tab w:val="right" w:leader="dot" w:pos="9204"/>
            </w:tabs>
            <w:rPr>
              <w:rFonts w:eastAsiaTheme="minorEastAsia"/>
              <w:noProof/>
              <w:lang w:eastAsia="fr-FR"/>
            </w:rPr>
          </w:pPr>
          <w:hyperlink w:anchor="_Toc68443120" w:history="1">
            <w:r w:rsidR="00A37E89" w:rsidRPr="00046BA0">
              <w:rPr>
                <w:rStyle w:val="Lienhypertexte"/>
                <w:rFonts w:asciiTheme="majorBidi" w:hAnsiTheme="majorBidi"/>
                <w:noProof/>
              </w:rPr>
              <w:t>II-1-2 Objectifs</w:t>
            </w:r>
            <w:r w:rsidR="00A37E89">
              <w:rPr>
                <w:noProof/>
                <w:webHidden/>
              </w:rPr>
              <w:tab/>
            </w:r>
            <w:r>
              <w:rPr>
                <w:noProof/>
                <w:webHidden/>
              </w:rPr>
              <w:fldChar w:fldCharType="begin"/>
            </w:r>
            <w:r w:rsidR="00A37E89">
              <w:rPr>
                <w:noProof/>
                <w:webHidden/>
              </w:rPr>
              <w:instrText xml:space="preserve"> PAGEREF _Toc68443120 \h </w:instrText>
            </w:r>
            <w:r>
              <w:rPr>
                <w:noProof/>
                <w:webHidden/>
              </w:rPr>
            </w:r>
            <w:r>
              <w:rPr>
                <w:noProof/>
                <w:webHidden/>
              </w:rPr>
              <w:fldChar w:fldCharType="separate"/>
            </w:r>
            <w:r w:rsidR="00A37E89">
              <w:rPr>
                <w:noProof/>
                <w:webHidden/>
              </w:rPr>
              <w:t>11</w:t>
            </w:r>
            <w:r>
              <w:rPr>
                <w:noProof/>
                <w:webHidden/>
              </w:rPr>
              <w:fldChar w:fldCharType="end"/>
            </w:r>
          </w:hyperlink>
        </w:p>
        <w:p w:rsidR="00A37E89" w:rsidRDefault="002966E3">
          <w:pPr>
            <w:pStyle w:val="TM2"/>
            <w:tabs>
              <w:tab w:val="right" w:leader="dot" w:pos="9204"/>
            </w:tabs>
            <w:rPr>
              <w:rFonts w:eastAsiaTheme="minorEastAsia"/>
              <w:noProof/>
              <w:lang w:eastAsia="fr-FR"/>
            </w:rPr>
          </w:pPr>
          <w:hyperlink w:anchor="_Toc68443121" w:history="1">
            <w:r w:rsidR="00A37E89" w:rsidRPr="00046BA0">
              <w:rPr>
                <w:rStyle w:val="Lienhypertexte"/>
                <w:rFonts w:asciiTheme="majorBidi" w:hAnsiTheme="majorBidi"/>
                <w:noProof/>
              </w:rPr>
              <w:t>II-2 Couverture de l’IPC</w:t>
            </w:r>
            <w:r w:rsidR="00A37E89">
              <w:rPr>
                <w:noProof/>
                <w:webHidden/>
              </w:rPr>
              <w:tab/>
            </w:r>
            <w:r>
              <w:rPr>
                <w:noProof/>
                <w:webHidden/>
              </w:rPr>
              <w:fldChar w:fldCharType="begin"/>
            </w:r>
            <w:r w:rsidR="00A37E89">
              <w:rPr>
                <w:noProof/>
                <w:webHidden/>
              </w:rPr>
              <w:instrText xml:space="preserve"> PAGEREF _Toc68443121 \h </w:instrText>
            </w:r>
            <w:r>
              <w:rPr>
                <w:noProof/>
                <w:webHidden/>
              </w:rPr>
            </w:r>
            <w:r>
              <w:rPr>
                <w:noProof/>
                <w:webHidden/>
              </w:rPr>
              <w:fldChar w:fldCharType="separate"/>
            </w:r>
            <w:r w:rsidR="00A37E89">
              <w:rPr>
                <w:noProof/>
                <w:webHidden/>
              </w:rPr>
              <w:t>11</w:t>
            </w:r>
            <w:r>
              <w:rPr>
                <w:noProof/>
                <w:webHidden/>
              </w:rPr>
              <w:fldChar w:fldCharType="end"/>
            </w:r>
          </w:hyperlink>
        </w:p>
        <w:p w:rsidR="00A37E89" w:rsidRDefault="002966E3">
          <w:pPr>
            <w:pStyle w:val="TM2"/>
            <w:tabs>
              <w:tab w:val="right" w:leader="dot" w:pos="9204"/>
            </w:tabs>
            <w:rPr>
              <w:rFonts w:eastAsiaTheme="minorEastAsia"/>
              <w:noProof/>
              <w:lang w:eastAsia="fr-FR"/>
            </w:rPr>
          </w:pPr>
          <w:hyperlink w:anchor="_Toc68443122" w:history="1">
            <w:r w:rsidR="00A37E89" w:rsidRPr="00046BA0">
              <w:rPr>
                <w:rStyle w:val="Lienhypertexte"/>
                <w:rFonts w:asciiTheme="majorBidi" w:hAnsiTheme="majorBidi"/>
                <w:noProof/>
              </w:rPr>
              <w:t>II-3 Panier de l’indice</w:t>
            </w:r>
            <w:r w:rsidR="00A37E89">
              <w:rPr>
                <w:noProof/>
                <w:webHidden/>
              </w:rPr>
              <w:tab/>
            </w:r>
            <w:r>
              <w:rPr>
                <w:noProof/>
                <w:webHidden/>
              </w:rPr>
              <w:fldChar w:fldCharType="begin"/>
            </w:r>
            <w:r w:rsidR="00A37E89">
              <w:rPr>
                <w:noProof/>
                <w:webHidden/>
              </w:rPr>
              <w:instrText xml:space="preserve"> PAGEREF _Toc68443122 \h </w:instrText>
            </w:r>
            <w:r>
              <w:rPr>
                <w:noProof/>
                <w:webHidden/>
              </w:rPr>
            </w:r>
            <w:r>
              <w:rPr>
                <w:noProof/>
                <w:webHidden/>
              </w:rPr>
              <w:fldChar w:fldCharType="separate"/>
            </w:r>
            <w:r w:rsidR="00A37E89">
              <w:rPr>
                <w:noProof/>
                <w:webHidden/>
              </w:rPr>
              <w:t>11</w:t>
            </w:r>
            <w:r>
              <w:rPr>
                <w:noProof/>
                <w:webHidden/>
              </w:rPr>
              <w:fldChar w:fldCharType="end"/>
            </w:r>
          </w:hyperlink>
        </w:p>
        <w:p w:rsidR="00A37E89" w:rsidRDefault="002966E3">
          <w:pPr>
            <w:pStyle w:val="TM2"/>
            <w:tabs>
              <w:tab w:val="right" w:leader="dot" w:pos="9204"/>
            </w:tabs>
            <w:rPr>
              <w:rFonts w:eastAsiaTheme="minorEastAsia"/>
              <w:noProof/>
              <w:lang w:eastAsia="fr-FR"/>
            </w:rPr>
          </w:pPr>
          <w:hyperlink w:anchor="_Toc68443123" w:history="1">
            <w:r w:rsidR="00A37E89" w:rsidRPr="00046BA0">
              <w:rPr>
                <w:rStyle w:val="Lienhypertexte"/>
                <w:rFonts w:asciiTheme="majorBidi" w:hAnsiTheme="majorBidi"/>
                <w:noProof/>
                <w:lang w:val="en-US"/>
              </w:rPr>
              <w:t xml:space="preserve">II-4 </w:t>
            </w:r>
            <w:r w:rsidR="00A37E89" w:rsidRPr="00046BA0">
              <w:rPr>
                <w:rStyle w:val="Lienhypertexte"/>
                <w:rFonts w:asciiTheme="majorBidi" w:hAnsiTheme="majorBidi"/>
                <w:noProof/>
              </w:rPr>
              <w:t>Pondérations</w:t>
            </w:r>
            <w:r w:rsidR="00A37E89">
              <w:rPr>
                <w:noProof/>
                <w:webHidden/>
              </w:rPr>
              <w:tab/>
            </w:r>
            <w:r>
              <w:rPr>
                <w:noProof/>
                <w:webHidden/>
              </w:rPr>
              <w:fldChar w:fldCharType="begin"/>
            </w:r>
            <w:r w:rsidR="00A37E89">
              <w:rPr>
                <w:noProof/>
                <w:webHidden/>
              </w:rPr>
              <w:instrText xml:space="preserve"> PAGEREF _Toc68443123 \h </w:instrText>
            </w:r>
            <w:r>
              <w:rPr>
                <w:noProof/>
                <w:webHidden/>
              </w:rPr>
            </w:r>
            <w:r>
              <w:rPr>
                <w:noProof/>
                <w:webHidden/>
              </w:rPr>
              <w:fldChar w:fldCharType="separate"/>
            </w:r>
            <w:r w:rsidR="00A37E89">
              <w:rPr>
                <w:noProof/>
                <w:webHidden/>
              </w:rPr>
              <w:t>12</w:t>
            </w:r>
            <w:r>
              <w:rPr>
                <w:noProof/>
                <w:webHidden/>
              </w:rPr>
              <w:fldChar w:fldCharType="end"/>
            </w:r>
          </w:hyperlink>
        </w:p>
        <w:p w:rsidR="00A37E89" w:rsidRDefault="002966E3">
          <w:pPr>
            <w:pStyle w:val="TM2"/>
            <w:tabs>
              <w:tab w:val="right" w:leader="dot" w:pos="9204"/>
            </w:tabs>
            <w:rPr>
              <w:rFonts w:eastAsiaTheme="minorEastAsia"/>
              <w:noProof/>
              <w:lang w:eastAsia="fr-FR"/>
            </w:rPr>
          </w:pPr>
          <w:hyperlink w:anchor="_Toc68443124" w:history="1">
            <w:r w:rsidR="00A37E89" w:rsidRPr="00046BA0">
              <w:rPr>
                <w:rStyle w:val="Lienhypertexte"/>
                <w:rFonts w:asciiTheme="majorBidi" w:hAnsiTheme="majorBidi"/>
                <w:noProof/>
              </w:rPr>
              <w:t>II-5 Collecte des prix</w:t>
            </w:r>
            <w:r w:rsidR="00A37E89">
              <w:rPr>
                <w:noProof/>
                <w:webHidden/>
              </w:rPr>
              <w:tab/>
            </w:r>
            <w:r>
              <w:rPr>
                <w:noProof/>
                <w:webHidden/>
              </w:rPr>
              <w:fldChar w:fldCharType="begin"/>
            </w:r>
            <w:r w:rsidR="00A37E89">
              <w:rPr>
                <w:noProof/>
                <w:webHidden/>
              </w:rPr>
              <w:instrText xml:space="preserve"> PAGEREF _Toc68443124 \h </w:instrText>
            </w:r>
            <w:r>
              <w:rPr>
                <w:noProof/>
                <w:webHidden/>
              </w:rPr>
            </w:r>
            <w:r>
              <w:rPr>
                <w:noProof/>
                <w:webHidden/>
              </w:rPr>
              <w:fldChar w:fldCharType="separate"/>
            </w:r>
            <w:r w:rsidR="00A37E89">
              <w:rPr>
                <w:noProof/>
                <w:webHidden/>
              </w:rPr>
              <w:t>13</w:t>
            </w:r>
            <w:r>
              <w:rPr>
                <w:noProof/>
                <w:webHidden/>
              </w:rPr>
              <w:fldChar w:fldCharType="end"/>
            </w:r>
          </w:hyperlink>
        </w:p>
        <w:p w:rsidR="00A37E89" w:rsidRDefault="002966E3">
          <w:pPr>
            <w:pStyle w:val="TM3"/>
            <w:tabs>
              <w:tab w:val="right" w:leader="dot" w:pos="9204"/>
            </w:tabs>
            <w:rPr>
              <w:rFonts w:eastAsiaTheme="minorEastAsia"/>
              <w:noProof/>
              <w:lang w:eastAsia="fr-FR"/>
            </w:rPr>
          </w:pPr>
          <w:hyperlink w:anchor="_Toc68443125" w:history="1">
            <w:r w:rsidR="00A37E89" w:rsidRPr="00046BA0">
              <w:rPr>
                <w:rStyle w:val="Lienhypertexte"/>
                <w:rFonts w:asciiTheme="majorBidi" w:hAnsiTheme="majorBidi"/>
                <w:noProof/>
              </w:rPr>
              <w:t>II-5-3 Périodicité de l’enquête</w:t>
            </w:r>
            <w:r w:rsidR="00A37E89">
              <w:rPr>
                <w:noProof/>
                <w:webHidden/>
              </w:rPr>
              <w:tab/>
            </w:r>
            <w:r>
              <w:rPr>
                <w:noProof/>
                <w:webHidden/>
              </w:rPr>
              <w:fldChar w:fldCharType="begin"/>
            </w:r>
            <w:r w:rsidR="00A37E89">
              <w:rPr>
                <w:noProof/>
                <w:webHidden/>
              </w:rPr>
              <w:instrText xml:space="preserve"> PAGEREF _Toc68443125 \h </w:instrText>
            </w:r>
            <w:r>
              <w:rPr>
                <w:noProof/>
                <w:webHidden/>
              </w:rPr>
            </w:r>
            <w:r>
              <w:rPr>
                <w:noProof/>
                <w:webHidden/>
              </w:rPr>
              <w:fldChar w:fldCharType="separate"/>
            </w:r>
            <w:r w:rsidR="00A37E89">
              <w:rPr>
                <w:noProof/>
                <w:webHidden/>
              </w:rPr>
              <w:t>15</w:t>
            </w:r>
            <w:r>
              <w:rPr>
                <w:noProof/>
                <w:webHidden/>
              </w:rPr>
              <w:fldChar w:fldCharType="end"/>
            </w:r>
          </w:hyperlink>
        </w:p>
        <w:p w:rsidR="00A37E89" w:rsidRDefault="002966E3">
          <w:pPr>
            <w:pStyle w:val="TM3"/>
            <w:tabs>
              <w:tab w:val="right" w:leader="dot" w:pos="9204"/>
            </w:tabs>
            <w:rPr>
              <w:rFonts w:eastAsiaTheme="minorEastAsia"/>
              <w:noProof/>
              <w:lang w:eastAsia="fr-FR"/>
            </w:rPr>
          </w:pPr>
          <w:hyperlink w:anchor="_Toc68443126" w:history="1">
            <w:r w:rsidR="00A37E89" w:rsidRPr="00046BA0">
              <w:rPr>
                <w:rStyle w:val="Lienhypertexte"/>
                <w:rFonts w:asciiTheme="majorBidi" w:hAnsiTheme="majorBidi"/>
                <w:noProof/>
              </w:rPr>
              <w:t>II-5-4 Questionnaires de l’enquête</w:t>
            </w:r>
            <w:r w:rsidR="00A37E89">
              <w:rPr>
                <w:noProof/>
                <w:webHidden/>
              </w:rPr>
              <w:tab/>
            </w:r>
            <w:r>
              <w:rPr>
                <w:noProof/>
                <w:webHidden/>
              </w:rPr>
              <w:fldChar w:fldCharType="begin"/>
            </w:r>
            <w:r w:rsidR="00A37E89">
              <w:rPr>
                <w:noProof/>
                <w:webHidden/>
              </w:rPr>
              <w:instrText xml:space="preserve"> PAGEREF _Toc68443126 \h </w:instrText>
            </w:r>
            <w:r>
              <w:rPr>
                <w:noProof/>
                <w:webHidden/>
              </w:rPr>
            </w:r>
            <w:r>
              <w:rPr>
                <w:noProof/>
                <w:webHidden/>
              </w:rPr>
              <w:fldChar w:fldCharType="separate"/>
            </w:r>
            <w:r w:rsidR="00A37E89">
              <w:rPr>
                <w:noProof/>
                <w:webHidden/>
              </w:rPr>
              <w:t>15</w:t>
            </w:r>
            <w:r>
              <w:rPr>
                <w:noProof/>
                <w:webHidden/>
              </w:rPr>
              <w:fldChar w:fldCharType="end"/>
            </w:r>
          </w:hyperlink>
        </w:p>
        <w:p w:rsidR="00A37E89" w:rsidRDefault="002966E3">
          <w:pPr>
            <w:pStyle w:val="TM3"/>
            <w:tabs>
              <w:tab w:val="right" w:leader="dot" w:pos="9204"/>
            </w:tabs>
            <w:rPr>
              <w:rFonts w:eastAsiaTheme="minorEastAsia"/>
              <w:noProof/>
              <w:lang w:eastAsia="fr-FR"/>
            </w:rPr>
          </w:pPr>
          <w:hyperlink w:anchor="_Toc68443127" w:history="1">
            <w:r w:rsidR="00A37E89" w:rsidRPr="00046BA0">
              <w:rPr>
                <w:rStyle w:val="Lienhypertexte"/>
                <w:rFonts w:asciiTheme="majorBidi" w:hAnsiTheme="majorBidi"/>
                <w:noProof/>
              </w:rPr>
              <w:t>II-5-5 Problèmes et difficultés d’observation des prix</w:t>
            </w:r>
            <w:r w:rsidR="00A37E89">
              <w:rPr>
                <w:noProof/>
                <w:webHidden/>
              </w:rPr>
              <w:tab/>
            </w:r>
            <w:r>
              <w:rPr>
                <w:noProof/>
                <w:webHidden/>
              </w:rPr>
              <w:fldChar w:fldCharType="begin"/>
            </w:r>
            <w:r w:rsidR="00A37E89">
              <w:rPr>
                <w:noProof/>
                <w:webHidden/>
              </w:rPr>
              <w:instrText xml:space="preserve"> PAGEREF _Toc68443127 \h </w:instrText>
            </w:r>
            <w:r>
              <w:rPr>
                <w:noProof/>
                <w:webHidden/>
              </w:rPr>
            </w:r>
            <w:r>
              <w:rPr>
                <w:noProof/>
                <w:webHidden/>
              </w:rPr>
              <w:fldChar w:fldCharType="separate"/>
            </w:r>
            <w:r w:rsidR="00A37E89">
              <w:rPr>
                <w:noProof/>
                <w:webHidden/>
              </w:rPr>
              <w:t>15</w:t>
            </w:r>
            <w:r>
              <w:rPr>
                <w:noProof/>
                <w:webHidden/>
              </w:rPr>
              <w:fldChar w:fldCharType="end"/>
            </w:r>
          </w:hyperlink>
        </w:p>
        <w:p w:rsidR="00A37E89" w:rsidRDefault="002966E3">
          <w:pPr>
            <w:pStyle w:val="TM1"/>
            <w:tabs>
              <w:tab w:val="right" w:leader="dot" w:pos="9204"/>
            </w:tabs>
            <w:rPr>
              <w:rFonts w:eastAsiaTheme="minorEastAsia"/>
              <w:noProof/>
              <w:lang w:eastAsia="fr-FR"/>
            </w:rPr>
          </w:pPr>
          <w:hyperlink w:anchor="_Toc68443128" w:history="1">
            <w:r w:rsidR="00A37E89" w:rsidRPr="00046BA0">
              <w:rPr>
                <w:rStyle w:val="Lienhypertexte"/>
                <w:rFonts w:asciiTheme="majorBidi" w:hAnsiTheme="majorBidi"/>
                <w:noProof/>
              </w:rPr>
              <w:t>III- IPC (Base100 :2017)  de la ville de Kénitra : évolution entre 2017 et 2020</w:t>
            </w:r>
            <w:r w:rsidR="00A37E89">
              <w:rPr>
                <w:noProof/>
                <w:webHidden/>
              </w:rPr>
              <w:tab/>
            </w:r>
            <w:r>
              <w:rPr>
                <w:noProof/>
                <w:webHidden/>
              </w:rPr>
              <w:fldChar w:fldCharType="begin"/>
            </w:r>
            <w:r w:rsidR="00A37E89">
              <w:rPr>
                <w:noProof/>
                <w:webHidden/>
              </w:rPr>
              <w:instrText xml:space="preserve"> PAGEREF _Toc68443128 \h </w:instrText>
            </w:r>
            <w:r>
              <w:rPr>
                <w:noProof/>
                <w:webHidden/>
              </w:rPr>
            </w:r>
            <w:r>
              <w:rPr>
                <w:noProof/>
                <w:webHidden/>
              </w:rPr>
              <w:fldChar w:fldCharType="separate"/>
            </w:r>
            <w:r w:rsidR="00A37E89">
              <w:rPr>
                <w:noProof/>
                <w:webHidden/>
              </w:rPr>
              <w:t>17</w:t>
            </w:r>
            <w:r>
              <w:rPr>
                <w:noProof/>
                <w:webHidden/>
              </w:rPr>
              <w:fldChar w:fldCharType="end"/>
            </w:r>
          </w:hyperlink>
        </w:p>
        <w:p w:rsidR="00A37E89" w:rsidRDefault="002966E3">
          <w:pPr>
            <w:pStyle w:val="TM2"/>
            <w:tabs>
              <w:tab w:val="right" w:leader="dot" w:pos="9204"/>
            </w:tabs>
            <w:rPr>
              <w:rFonts w:eastAsiaTheme="minorEastAsia"/>
              <w:noProof/>
              <w:lang w:eastAsia="fr-FR"/>
            </w:rPr>
          </w:pPr>
          <w:hyperlink w:anchor="_Toc68443129" w:history="1">
            <w:r w:rsidR="00A37E89" w:rsidRPr="00046BA0">
              <w:rPr>
                <w:rStyle w:val="Lienhypertexte"/>
                <w:rFonts w:asciiTheme="majorBidi" w:hAnsiTheme="majorBidi"/>
                <w:noProof/>
              </w:rPr>
              <w:t>III-1 IPC général par ville en 2019 et 2020</w:t>
            </w:r>
            <w:r w:rsidR="00A37E89">
              <w:rPr>
                <w:noProof/>
                <w:webHidden/>
              </w:rPr>
              <w:tab/>
            </w:r>
            <w:r>
              <w:rPr>
                <w:noProof/>
                <w:webHidden/>
              </w:rPr>
              <w:fldChar w:fldCharType="begin"/>
            </w:r>
            <w:r w:rsidR="00A37E89">
              <w:rPr>
                <w:noProof/>
                <w:webHidden/>
              </w:rPr>
              <w:instrText xml:space="preserve"> PAGEREF _Toc68443129 \h </w:instrText>
            </w:r>
            <w:r>
              <w:rPr>
                <w:noProof/>
                <w:webHidden/>
              </w:rPr>
            </w:r>
            <w:r>
              <w:rPr>
                <w:noProof/>
                <w:webHidden/>
              </w:rPr>
              <w:fldChar w:fldCharType="separate"/>
            </w:r>
            <w:r w:rsidR="00A37E89">
              <w:rPr>
                <w:noProof/>
                <w:webHidden/>
              </w:rPr>
              <w:t>17</w:t>
            </w:r>
            <w:r>
              <w:rPr>
                <w:noProof/>
                <w:webHidden/>
              </w:rPr>
              <w:fldChar w:fldCharType="end"/>
            </w:r>
          </w:hyperlink>
        </w:p>
        <w:p w:rsidR="00A37E89" w:rsidRDefault="002966E3">
          <w:pPr>
            <w:pStyle w:val="TM2"/>
            <w:tabs>
              <w:tab w:val="right" w:leader="dot" w:pos="9204"/>
            </w:tabs>
            <w:rPr>
              <w:rFonts w:eastAsiaTheme="minorEastAsia"/>
              <w:noProof/>
              <w:lang w:eastAsia="fr-FR"/>
            </w:rPr>
          </w:pPr>
          <w:hyperlink w:anchor="_Toc68443130" w:history="1">
            <w:r w:rsidR="00A37E89" w:rsidRPr="00046BA0">
              <w:rPr>
                <w:rStyle w:val="Lienhypertexte"/>
                <w:rFonts w:asciiTheme="majorBidi" w:hAnsiTheme="majorBidi"/>
                <w:noProof/>
              </w:rPr>
              <w:t>III-2 Evolution mensuelle de l’IPC (base100: 2017) en 2020</w:t>
            </w:r>
            <w:r w:rsidR="00A37E89">
              <w:rPr>
                <w:noProof/>
                <w:webHidden/>
              </w:rPr>
              <w:tab/>
            </w:r>
            <w:r>
              <w:rPr>
                <w:noProof/>
                <w:webHidden/>
              </w:rPr>
              <w:fldChar w:fldCharType="begin"/>
            </w:r>
            <w:r w:rsidR="00A37E89">
              <w:rPr>
                <w:noProof/>
                <w:webHidden/>
              </w:rPr>
              <w:instrText xml:space="preserve"> PAGEREF _Toc68443130 \h </w:instrText>
            </w:r>
            <w:r>
              <w:rPr>
                <w:noProof/>
                <w:webHidden/>
              </w:rPr>
            </w:r>
            <w:r>
              <w:rPr>
                <w:noProof/>
                <w:webHidden/>
              </w:rPr>
              <w:fldChar w:fldCharType="separate"/>
            </w:r>
            <w:r w:rsidR="00A37E89">
              <w:rPr>
                <w:noProof/>
                <w:webHidden/>
              </w:rPr>
              <w:t>19</w:t>
            </w:r>
            <w:r>
              <w:rPr>
                <w:noProof/>
                <w:webHidden/>
              </w:rPr>
              <w:fldChar w:fldCharType="end"/>
            </w:r>
          </w:hyperlink>
        </w:p>
        <w:p w:rsidR="00A37E89" w:rsidRDefault="002966E3">
          <w:pPr>
            <w:pStyle w:val="TM3"/>
            <w:tabs>
              <w:tab w:val="right" w:leader="dot" w:pos="9204"/>
            </w:tabs>
            <w:rPr>
              <w:rFonts w:eastAsiaTheme="minorEastAsia"/>
              <w:noProof/>
              <w:lang w:eastAsia="fr-FR"/>
            </w:rPr>
          </w:pPr>
          <w:hyperlink w:anchor="_Toc68443131" w:history="1">
            <w:r w:rsidR="00A37E89" w:rsidRPr="00046BA0">
              <w:rPr>
                <w:rStyle w:val="Lienhypertexte"/>
                <w:rFonts w:asciiTheme="majorBidi" w:hAnsiTheme="majorBidi"/>
                <w:noProof/>
              </w:rPr>
              <w:t>III-2-1 Comparaison entre l’IPC général de Kenitra et celui du Maroc en 2020</w:t>
            </w:r>
            <w:r w:rsidR="00A37E89">
              <w:rPr>
                <w:noProof/>
                <w:webHidden/>
              </w:rPr>
              <w:tab/>
            </w:r>
            <w:r>
              <w:rPr>
                <w:noProof/>
                <w:webHidden/>
              </w:rPr>
              <w:fldChar w:fldCharType="begin"/>
            </w:r>
            <w:r w:rsidR="00A37E89">
              <w:rPr>
                <w:noProof/>
                <w:webHidden/>
              </w:rPr>
              <w:instrText xml:space="preserve"> PAGEREF _Toc68443131 \h </w:instrText>
            </w:r>
            <w:r>
              <w:rPr>
                <w:noProof/>
                <w:webHidden/>
              </w:rPr>
            </w:r>
            <w:r>
              <w:rPr>
                <w:noProof/>
                <w:webHidden/>
              </w:rPr>
              <w:fldChar w:fldCharType="separate"/>
            </w:r>
            <w:r w:rsidR="00A37E89">
              <w:rPr>
                <w:noProof/>
                <w:webHidden/>
              </w:rPr>
              <w:t>19</w:t>
            </w:r>
            <w:r>
              <w:rPr>
                <w:noProof/>
                <w:webHidden/>
              </w:rPr>
              <w:fldChar w:fldCharType="end"/>
            </w:r>
          </w:hyperlink>
        </w:p>
        <w:p w:rsidR="00A37E89" w:rsidRDefault="002966E3">
          <w:pPr>
            <w:pStyle w:val="TM3"/>
            <w:tabs>
              <w:tab w:val="right" w:leader="dot" w:pos="9204"/>
            </w:tabs>
            <w:rPr>
              <w:rFonts w:eastAsiaTheme="minorEastAsia"/>
              <w:noProof/>
              <w:lang w:eastAsia="fr-FR"/>
            </w:rPr>
          </w:pPr>
          <w:hyperlink w:anchor="_Toc68443132" w:history="1">
            <w:r w:rsidR="00A37E89" w:rsidRPr="00046BA0">
              <w:rPr>
                <w:rStyle w:val="Lienhypertexte"/>
                <w:rFonts w:asciiTheme="majorBidi" w:hAnsiTheme="majorBidi"/>
                <w:noProof/>
              </w:rPr>
              <w:t>III-2-2 Comparaison entre les indices : général, alimentaire et non alimentaire de la ville de Kénitra en 2020</w:t>
            </w:r>
            <w:r w:rsidR="00A37E89">
              <w:rPr>
                <w:noProof/>
                <w:webHidden/>
              </w:rPr>
              <w:tab/>
            </w:r>
            <w:r>
              <w:rPr>
                <w:noProof/>
                <w:webHidden/>
              </w:rPr>
              <w:fldChar w:fldCharType="begin"/>
            </w:r>
            <w:r w:rsidR="00A37E89">
              <w:rPr>
                <w:noProof/>
                <w:webHidden/>
              </w:rPr>
              <w:instrText xml:space="preserve"> PAGEREF _Toc68443132 \h </w:instrText>
            </w:r>
            <w:r>
              <w:rPr>
                <w:noProof/>
                <w:webHidden/>
              </w:rPr>
            </w:r>
            <w:r>
              <w:rPr>
                <w:noProof/>
                <w:webHidden/>
              </w:rPr>
              <w:fldChar w:fldCharType="separate"/>
            </w:r>
            <w:r w:rsidR="00A37E89">
              <w:rPr>
                <w:noProof/>
                <w:webHidden/>
              </w:rPr>
              <w:t>20</w:t>
            </w:r>
            <w:r>
              <w:rPr>
                <w:noProof/>
                <w:webHidden/>
              </w:rPr>
              <w:fldChar w:fldCharType="end"/>
            </w:r>
          </w:hyperlink>
        </w:p>
        <w:p w:rsidR="00A37E89" w:rsidRDefault="002966E3">
          <w:pPr>
            <w:pStyle w:val="TM2"/>
            <w:tabs>
              <w:tab w:val="right" w:leader="dot" w:pos="9204"/>
            </w:tabs>
            <w:rPr>
              <w:rFonts w:eastAsiaTheme="minorEastAsia"/>
              <w:noProof/>
              <w:lang w:eastAsia="fr-FR"/>
            </w:rPr>
          </w:pPr>
          <w:hyperlink w:anchor="_Toc68443133" w:history="1">
            <w:r w:rsidR="00A37E89" w:rsidRPr="00046BA0">
              <w:rPr>
                <w:rStyle w:val="Lienhypertexte"/>
                <w:rFonts w:asciiTheme="majorBidi" w:hAnsiTheme="majorBidi"/>
                <w:noProof/>
              </w:rPr>
              <w:t>III-3 Evolution de l’IPC par division, groupe et classe entre 2019 et 2020</w:t>
            </w:r>
            <w:r w:rsidR="00A37E89">
              <w:rPr>
                <w:noProof/>
                <w:webHidden/>
              </w:rPr>
              <w:tab/>
            </w:r>
            <w:r>
              <w:rPr>
                <w:noProof/>
                <w:webHidden/>
              </w:rPr>
              <w:fldChar w:fldCharType="begin"/>
            </w:r>
            <w:r w:rsidR="00A37E89">
              <w:rPr>
                <w:noProof/>
                <w:webHidden/>
              </w:rPr>
              <w:instrText xml:space="preserve"> PAGEREF _Toc68443133 \h </w:instrText>
            </w:r>
            <w:r>
              <w:rPr>
                <w:noProof/>
                <w:webHidden/>
              </w:rPr>
            </w:r>
            <w:r>
              <w:rPr>
                <w:noProof/>
                <w:webHidden/>
              </w:rPr>
              <w:fldChar w:fldCharType="separate"/>
            </w:r>
            <w:r w:rsidR="00A37E89">
              <w:rPr>
                <w:noProof/>
                <w:webHidden/>
              </w:rPr>
              <w:t>21</w:t>
            </w:r>
            <w:r>
              <w:rPr>
                <w:noProof/>
                <w:webHidden/>
              </w:rPr>
              <w:fldChar w:fldCharType="end"/>
            </w:r>
          </w:hyperlink>
        </w:p>
        <w:p w:rsidR="00A37E89" w:rsidRDefault="002966E3">
          <w:pPr>
            <w:pStyle w:val="TM2"/>
            <w:tabs>
              <w:tab w:val="right" w:leader="dot" w:pos="9204"/>
            </w:tabs>
            <w:rPr>
              <w:rFonts w:eastAsiaTheme="minorEastAsia"/>
              <w:noProof/>
              <w:lang w:eastAsia="fr-FR"/>
            </w:rPr>
          </w:pPr>
          <w:hyperlink w:anchor="_Toc68443134" w:history="1">
            <w:r w:rsidR="00A37E89" w:rsidRPr="00046BA0">
              <w:rPr>
                <w:rStyle w:val="Lienhypertexte"/>
                <w:rFonts w:asciiTheme="majorBidi" w:hAnsiTheme="majorBidi"/>
                <w:noProof/>
              </w:rPr>
              <w:t>III-4 Evolution de l’IPC général de la ville de Kénitra entre 2017 et 2020</w:t>
            </w:r>
            <w:r w:rsidR="00A37E89">
              <w:rPr>
                <w:noProof/>
                <w:webHidden/>
              </w:rPr>
              <w:tab/>
            </w:r>
            <w:r>
              <w:rPr>
                <w:noProof/>
                <w:webHidden/>
              </w:rPr>
              <w:fldChar w:fldCharType="begin"/>
            </w:r>
            <w:r w:rsidR="00A37E89">
              <w:rPr>
                <w:noProof/>
                <w:webHidden/>
              </w:rPr>
              <w:instrText xml:space="preserve"> PAGEREF _Toc68443134 \h </w:instrText>
            </w:r>
            <w:r>
              <w:rPr>
                <w:noProof/>
                <w:webHidden/>
              </w:rPr>
            </w:r>
            <w:r>
              <w:rPr>
                <w:noProof/>
                <w:webHidden/>
              </w:rPr>
              <w:fldChar w:fldCharType="separate"/>
            </w:r>
            <w:r w:rsidR="00A37E89">
              <w:rPr>
                <w:noProof/>
                <w:webHidden/>
              </w:rPr>
              <w:t>23</w:t>
            </w:r>
            <w:r>
              <w:rPr>
                <w:noProof/>
                <w:webHidden/>
              </w:rPr>
              <w:fldChar w:fldCharType="end"/>
            </w:r>
          </w:hyperlink>
        </w:p>
        <w:p w:rsidR="00A37E89" w:rsidRDefault="002966E3">
          <w:pPr>
            <w:pStyle w:val="TM3"/>
            <w:tabs>
              <w:tab w:val="right" w:leader="dot" w:pos="9204"/>
            </w:tabs>
            <w:rPr>
              <w:rFonts w:eastAsiaTheme="minorEastAsia"/>
              <w:noProof/>
              <w:lang w:eastAsia="fr-FR"/>
            </w:rPr>
          </w:pPr>
          <w:hyperlink w:anchor="_Toc68443135" w:history="1">
            <w:r w:rsidR="00A37E89" w:rsidRPr="00046BA0">
              <w:rPr>
                <w:rStyle w:val="Lienhypertexte"/>
                <w:rFonts w:asciiTheme="majorBidi" w:hAnsiTheme="majorBidi"/>
                <w:noProof/>
              </w:rPr>
              <w:t>III-4-1 Evolution mensuelle de l’IPC</w:t>
            </w:r>
            <w:r w:rsidR="00A37E89">
              <w:rPr>
                <w:noProof/>
                <w:webHidden/>
              </w:rPr>
              <w:tab/>
            </w:r>
            <w:r>
              <w:rPr>
                <w:noProof/>
                <w:webHidden/>
              </w:rPr>
              <w:fldChar w:fldCharType="begin"/>
            </w:r>
            <w:r w:rsidR="00A37E89">
              <w:rPr>
                <w:noProof/>
                <w:webHidden/>
              </w:rPr>
              <w:instrText xml:space="preserve"> PAGEREF _Toc68443135 \h </w:instrText>
            </w:r>
            <w:r>
              <w:rPr>
                <w:noProof/>
                <w:webHidden/>
              </w:rPr>
            </w:r>
            <w:r>
              <w:rPr>
                <w:noProof/>
                <w:webHidden/>
              </w:rPr>
              <w:fldChar w:fldCharType="separate"/>
            </w:r>
            <w:r w:rsidR="00A37E89">
              <w:rPr>
                <w:noProof/>
                <w:webHidden/>
              </w:rPr>
              <w:t>23</w:t>
            </w:r>
            <w:r>
              <w:rPr>
                <w:noProof/>
                <w:webHidden/>
              </w:rPr>
              <w:fldChar w:fldCharType="end"/>
            </w:r>
          </w:hyperlink>
        </w:p>
        <w:p w:rsidR="00A37E89" w:rsidRDefault="002966E3">
          <w:pPr>
            <w:pStyle w:val="TM3"/>
            <w:tabs>
              <w:tab w:val="right" w:leader="dot" w:pos="9204"/>
            </w:tabs>
            <w:rPr>
              <w:rFonts w:eastAsiaTheme="minorEastAsia"/>
              <w:noProof/>
              <w:lang w:eastAsia="fr-FR"/>
            </w:rPr>
          </w:pPr>
          <w:hyperlink w:anchor="_Toc68443136" w:history="1">
            <w:r w:rsidR="00A37E89" w:rsidRPr="00046BA0">
              <w:rPr>
                <w:rStyle w:val="Lienhypertexte"/>
                <w:rFonts w:asciiTheme="majorBidi" w:hAnsiTheme="majorBidi"/>
                <w:noProof/>
              </w:rPr>
              <w:t>III-4-2 Evolution annuelle de l’IPC</w:t>
            </w:r>
            <w:r w:rsidR="00A37E89">
              <w:rPr>
                <w:noProof/>
                <w:webHidden/>
              </w:rPr>
              <w:tab/>
            </w:r>
            <w:r>
              <w:rPr>
                <w:noProof/>
                <w:webHidden/>
              </w:rPr>
              <w:fldChar w:fldCharType="begin"/>
            </w:r>
            <w:r w:rsidR="00A37E89">
              <w:rPr>
                <w:noProof/>
                <w:webHidden/>
              </w:rPr>
              <w:instrText xml:space="preserve"> PAGEREF _Toc68443136 \h </w:instrText>
            </w:r>
            <w:r>
              <w:rPr>
                <w:noProof/>
                <w:webHidden/>
              </w:rPr>
            </w:r>
            <w:r>
              <w:rPr>
                <w:noProof/>
                <w:webHidden/>
              </w:rPr>
              <w:fldChar w:fldCharType="separate"/>
            </w:r>
            <w:r w:rsidR="00A37E89">
              <w:rPr>
                <w:noProof/>
                <w:webHidden/>
              </w:rPr>
              <w:t>24</w:t>
            </w:r>
            <w:r>
              <w:rPr>
                <w:noProof/>
                <w:webHidden/>
              </w:rPr>
              <w:fldChar w:fldCharType="end"/>
            </w:r>
          </w:hyperlink>
        </w:p>
        <w:p w:rsidR="00A37E89" w:rsidRDefault="002966E3">
          <w:pPr>
            <w:pStyle w:val="TM4"/>
            <w:tabs>
              <w:tab w:val="right" w:leader="dot" w:pos="9204"/>
            </w:tabs>
            <w:rPr>
              <w:rFonts w:eastAsiaTheme="minorEastAsia"/>
              <w:noProof/>
              <w:lang w:eastAsia="fr-FR"/>
            </w:rPr>
          </w:pPr>
          <w:hyperlink w:anchor="_Toc68443137" w:history="1">
            <w:r w:rsidR="00A37E89" w:rsidRPr="00046BA0">
              <w:rPr>
                <w:rStyle w:val="Lienhypertexte"/>
                <w:rFonts w:asciiTheme="majorBidi" w:hAnsiTheme="majorBidi"/>
                <w:noProof/>
              </w:rPr>
              <w:t>III-4-2-1  Evolution annuelle des indices généraux de Kénitra et du Maroc</w:t>
            </w:r>
            <w:r w:rsidR="00A37E89">
              <w:rPr>
                <w:noProof/>
                <w:webHidden/>
              </w:rPr>
              <w:tab/>
            </w:r>
            <w:r>
              <w:rPr>
                <w:noProof/>
                <w:webHidden/>
              </w:rPr>
              <w:fldChar w:fldCharType="begin"/>
            </w:r>
            <w:r w:rsidR="00A37E89">
              <w:rPr>
                <w:noProof/>
                <w:webHidden/>
              </w:rPr>
              <w:instrText xml:space="preserve"> PAGEREF _Toc68443137 \h </w:instrText>
            </w:r>
            <w:r>
              <w:rPr>
                <w:noProof/>
                <w:webHidden/>
              </w:rPr>
            </w:r>
            <w:r>
              <w:rPr>
                <w:noProof/>
                <w:webHidden/>
              </w:rPr>
              <w:fldChar w:fldCharType="separate"/>
            </w:r>
            <w:r w:rsidR="00A37E89">
              <w:rPr>
                <w:noProof/>
                <w:webHidden/>
              </w:rPr>
              <w:t>24</w:t>
            </w:r>
            <w:r>
              <w:rPr>
                <w:noProof/>
                <w:webHidden/>
              </w:rPr>
              <w:fldChar w:fldCharType="end"/>
            </w:r>
          </w:hyperlink>
        </w:p>
        <w:p w:rsidR="00A37E89" w:rsidRDefault="002966E3">
          <w:pPr>
            <w:pStyle w:val="TM4"/>
            <w:tabs>
              <w:tab w:val="right" w:leader="dot" w:pos="9204"/>
            </w:tabs>
            <w:rPr>
              <w:rFonts w:eastAsiaTheme="minorEastAsia"/>
              <w:noProof/>
              <w:lang w:eastAsia="fr-FR"/>
            </w:rPr>
          </w:pPr>
          <w:hyperlink w:anchor="_Toc68443138" w:history="1">
            <w:r w:rsidR="00A37E89" w:rsidRPr="00046BA0">
              <w:rPr>
                <w:rStyle w:val="Lienhypertexte"/>
                <w:rFonts w:asciiTheme="majorBidi" w:hAnsiTheme="majorBidi"/>
                <w:noProof/>
              </w:rPr>
              <w:t>III-4-2-2 Evolution annuelle des indices : général, alimentaire et non alimentaire de la ville de Kénitra</w:t>
            </w:r>
            <w:r w:rsidR="00A37E89">
              <w:rPr>
                <w:noProof/>
                <w:webHidden/>
              </w:rPr>
              <w:tab/>
            </w:r>
            <w:r>
              <w:rPr>
                <w:noProof/>
                <w:webHidden/>
              </w:rPr>
              <w:fldChar w:fldCharType="begin"/>
            </w:r>
            <w:r w:rsidR="00A37E89">
              <w:rPr>
                <w:noProof/>
                <w:webHidden/>
              </w:rPr>
              <w:instrText xml:space="preserve"> PAGEREF _Toc68443138 \h </w:instrText>
            </w:r>
            <w:r>
              <w:rPr>
                <w:noProof/>
                <w:webHidden/>
              </w:rPr>
            </w:r>
            <w:r>
              <w:rPr>
                <w:noProof/>
                <w:webHidden/>
              </w:rPr>
              <w:fldChar w:fldCharType="separate"/>
            </w:r>
            <w:r w:rsidR="00A37E89">
              <w:rPr>
                <w:noProof/>
                <w:webHidden/>
              </w:rPr>
              <w:t>25</w:t>
            </w:r>
            <w:r>
              <w:rPr>
                <w:noProof/>
                <w:webHidden/>
              </w:rPr>
              <w:fldChar w:fldCharType="end"/>
            </w:r>
          </w:hyperlink>
        </w:p>
        <w:p w:rsidR="00A37E89" w:rsidRDefault="002966E3">
          <w:pPr>
            <w:pStyle w:val="TM3"/>
            <w:tabs>
              <w:tab w:val="right" w:leader="dot" w:pos="9204"/>
            </w:tabs>
            <w:rPr>
              <w:rFonts w:eastAsiaTheme="minorEastAsia"/>
              <w:noProof/>
              <w:lang w:eastAsia="fr-FR"/>
            </w:rPr>
          </w:pPr>
          <w:hyperlink w:anchor="_Toc68443139" w:history="1">
            <w:r w:rsidR="00A37E89" w:rsidRPr="00046BA0">
              <w:rPr>
                <w:rStyle w:val="Lienhypertexte"/>
                <w:rFonts w:asciiTheme="majorBidi" w:hAnsiTheme="majorBidi"/>
                <w:noProof/>
              </w:rPr>
              <w:t>III-4-3 Evolution de l’inflation générale</w:t>
            </w:r>
            <w:r w:rsidR="00A37E89">
              <w:rPr>
                <w:noProof/>
                <w:webHidden/>
              </w:rPr>
              <w:tab/>
            </w:r>
            <w:r>
              <w:rPr>
                <w:noProof/>
                <w:webHidden/>
              </w:rPr>
              <w:fldChar w:fldCharType="begin"/>
            </w:r>
            <w:r w:rsidR="00A37E89">
              <w:rPr>
                <w:noProof/>
                <w:webHidden/>
              </w:rPr>
              <w:instrText xml:space="preserve"> PAGEREF _Toc68443139 \h </w:instrText>
            </w:r>
            <w:r>
              <w:rPr>
                <w:noProof/>
                <w:webHidden/>
              </w:rPr>
            </w:r>
            <w:r>
              <w:rPr>
                <w:noProof/>
                <w:webHidden/>
              </w:rPr>
              <w:fldChar w:fldCharType="separate"/>
            </w:r>
            <w:r w:rsidR="00A37E89">
              <w:rPr>
                <w:noProof/>
                <w:webHidden/>
              </w:rPr>
              <w:t>26</w:t>
            </w:r>
            <w:r>
              <w:rPr>
                <w:noProof/>
                <w:webHidden/>
              </w:rPr>
              <w:fldChar w:fldCharType="end"/>
            </w:r>
          </w:hyperlink>
        </w:p>
        <w:p w:rsidR="00A37E89" w:rsidRDefault="002966E3">
          <w:pPr>
            <w:pStyle w:val="TM4"/>
            <w:tabs>
              <w:tab w:val="right" w:leader="dot" w:pos="9204"/>
            </w:tabs>
            <w:rPr>
              <w:rFonts w:eastAsiaTheme="minorEastAsia"/>
              <w:noProof/>
              <w:lang w:eastAsia="fr-FR"/>
            </w:rPr>
          </w:pPr>
          <w:hyperlink w:anchor="_Toc68443140" w:history="1">
            <w:r w:rsidR="00A37E89" w:rsidRPr="00046BA0">
              <w:rPr>
                <w:rStyle w:val="Lienhypertexte"/>
                <w:rFonts w:asciiTheme="majorBidi" w:hAnsiTheme="majorBidi"/>
                <w:noProof/>
              </w:rPr>
              <w:t>III-4-3-1 Evolution annuelle de l’inflation</w:t>
            </w:r>
            <w:r w:rsidR="00A37E89">
              <w:rPr>
                <w:noProof/>
                <w:webHidden/>
              </w:rPr>
              <w:tab/>
            </w:r>
            <w:r>
              <w:rPr>
                <w:noProof/>
                <w:webHidden/>
              </w:rPr>
              <w:fldChar w:fldCharType="begin"/>
            </w:r>
            <w:r w:rsidR="00A37E89">
              <w:rPr>
                <w:noProof/>
                <w:webHidden/>
              </w:rPr>
              <w:instrText xml:space="preserve"> PAGEREF _Toc68443140 \h </w:instrText>
            </w:r>
            <w:r>
              <w:rPr>
                <w:noProof/>
                <w:webHidden/>
              </w:rPr>
            </w:r>
            <w:r>
              <w:rPr>
                <w:noProof/>
                <w:webHidden/>
              </w:rPr>
              <w:fldChar w:fldCharType="separate"/>
            </w:r>
            <w:r w:rsidR="00A37E89">
              <w:rPr>
                <w:noProof/>
                <w:webHidden/>
              </w:rPr>
              <w:t>26</w:t>
            </w:r>
            <w:r>
              <w:rPr>
                <w:noProof/>
                <w:webHidden/>
              </w:rPr>
              <w:fldChar w:fldCharType="end"/>
            </w:r>
          </w:hyperlink>
        </w:p>
        <w:p w:rsidR="00A37E89" w:rsidRDefault="002966E3">
          <w:pPr>
            <w:pStyle w:val="TM4"/>
            <w:tabs>
              <w:tab w:val="right" w:leader="dot" w:pos="9204"/>
            </w:tabs>
            <w:rPr>
              <w:rFonts w:eastAsiaTheme="minorEastAsia"/>
              <w:noProof/>
              <w:lang w:eastAsia="fr-FR"/>
            </w:rPr>
          </w:pPr>
          <w:hyperlink w:anchor="_Toc68443141" w:history="1">
            <w:r w:rsidR="00A37E89" w:rsidRPr="00046BA0">
              <w:rPr>
                <w:rStyle w:val="Lienhypertexte"/>
                <w:rFonts w:asciiTheme="majorBidi" w:hAnsiTheme="majorBidi"/>
                <w:noProof/>
              </w:rPr>
              <w:t>III-4-3-2 Glissements annuels</w:t>
            </w:r>
            <w:r w:rsidR="00A37E89">
              <w:rPr>
                <w:noProof/>
                <w:webHidden/>
              </w:rPr>
              <w:tab/>
            </w:r>
            <w:r>
              <w:rPr>
                <w:noProof/>
                <w:webHidden/>
              </w:rPr>
              <w:fldChar w:fldCharType="begin"/>
            </w:r>
            <w:r w:rsidR="00A37E89">
              <w:rPr>
                <w:noProof/>
                <w:webHidden/>
              </w:rPr>
              <w:instrText xml:space="preserve"> PAGEREF _Toc68443141 \h </w:instrText>
            </w:r>
            <w:r>
              <w:rPr>
                <w:noProof/>
                <w:webHidden/>
              </w:rPr>
            </w:r>
            <w:r>
              <w:rPr>
                <w:noProof/>
                <w:webHidden/>
              </w:rPr>
              <w:fldChar w:fldCharType="separate"/>
            </w:r>
            <w:r w:rsidR="00A37E89">
              <w:rPr>
                <w:noProof/>
                <w:webHidden/>
              </w:rPr>
              <w:t>27</w:t>
            </w:r>
            <w:r>
              <w:rPr>
                <w:noProof/>
                <w:webHidden/>
              </w:rPr>
              <w:fldChar w:fldCharType="end"/>
            </w:r>
          </w:hyperlink>
        </w:p>
        <w:p w:rsidR="00A37E89" w:rsidRDefault="002966E3">
          <w:pPr>
            <w:pStyle w:val="TM1"/>
            <w:tabs>
              <w:tab w:val="right" w:leader="dot" w:pos="9204"/>
            </w:tabs>
            <w:rPr>
              <w:rFonts w:eastAsiaTheme="minorEastAsia"/>
              <w:noProof/>
              <w:lang w:eastAsia="fr-FR"/>
            </w:rPr>
          </w:pPr>
          <w:hyperlink w:anchor="_Toc68443142" w:history="1">
            <w:r w:rsidR="00A37E89" w:rsidRPr="00046BA0">
              <w:rPr>
                <w:rStyle w:val="Lienhypertexte"/>
                <w:rFonts w:asciiTheme="majorBidi" w:hAnsiTheme="majorBidi"/>
                <w:noProof/>
              </w:rPr>
              <w:t>CONCLUSION</w:t>
            </w:r>
            <w:r w:rsidR="00A37E89">
              <w:rPr>
                <w:noProof/>
                <w:webHidden/>
              </w:rPr>
              <w:tab/>
            </w:r>
            <w:r>
              <w:rPr>
                <w:noProof/>
                <w:webHidden/>
              </w:rPr>
              <w:fldChar w:fldCharType="begin"/>
            </w:r>
            <w:r w:rsidR="00A37E89">
              <w:rPr>
                <w:noProof/>
                <w:webHidden/>
              </w:rPr>
              <w:instrText xml:space="preserve"> PAGEREF _Toc68443142 \h </w:instrText>
            </w:r>
            <w:r>
              <w:rPr>
                <w:noProof/>
                <w:webHidden/>
              </w:rPr>
            </w:r>
            <w:r>
              <w:rPr>
                <w:noProof/>
                <w:webHidden/>
              </w:rPr>
              <w:fldChar w:fldCharType="separate"/>
            </w:r>
            <w:r w:rsidR="00A37E89">
              <w:rPr>
                <w:noProof/>
                <w:webHidden/>
              </w:rPr>
              <w:t>30</w:t>
            </w:r>
            <w:r>
              <w:rPr>
                <w:noProof/>
                <w:webHidden/>
              </w:rPr>
              <w:fldChar w:fldCharType="end"/>
            </w:r>
          </w:hyperlink>
        </w:p>
        <w:p w:rsidR="00A37E89" w:rsidRDefault="002966E3">
          <w:pPr>
            <w:pStyle w:val="TM1"/>
            <w:tabs>
              <w:tab w:val="right" w:leader="dot" w:pos="9204"/>
            </w:tabs>
            <w:rPr>
              <w:rFonts w:eastAsiaTheme="minorEastAsia"/>
              <w:noProof/>
              <w:lang w:eastAsia="fr-FR"/>
            </w:rPr>
          </w:pPr>
          <w:hyperlink w:anchor="_Toc68443143" w:history="1">
            <w:r w:rsidR="00A37E89" w:rsidRPr="00046BA0">
              <w:rPr>
                <w:rStyle w:val="Lienhypertexte"/>
                <w:rFonts w:asciiTheme="majorBidi" w:hAnsiTheme="majorBidi"/>
                <w:noProof/>
              </w:rPr>
              <w:t>ANNEXES</w:t>
            </w:r>
            <w:r w:rsidR="00A37E89">
              <w:rPr>
                <w:noProof/>
                <w:webHidden/>
              </w:rPr>
              <w:tab/>
            </w:r>
            <w:r>
              <w:rPr>
                <w:noProof/>
                <w:webHidden/>
              </w:rPr>
              <w:fldChar w:fldCharType="begin"/>
            </w:r>
            <w:r w:rsidR="00A37E89">
              <w:rPr>
                <w:noProof/>
                <w:webHidden/>
              </w:rPr>
              <w:instrText xml:space="preserve"> PAGEREF _Toc68443143 \h </w:instrText>
            </w:r>
            <w:r>
              <w:rPr>
                <w:noProof/>
                <w:webHidden/>
              </w:rPr>
            </w:r>
            <w:r>
              <w:rPr>
                <w:noProof/>
                <w:webHidden/>
              </w:rPr>
              <w:fldChar w:fldCharType="separate"/>
            </w:r>
            <w:r w:rsidR="00A37E89">
              <w:rPr>
                <w:noProof/>
                <w:webHidden/>
              </w:rPr>
              <w:t>31</w:t>
            </w:r>
            <w:r>
              <w:rPr>
                <w:noProof/>
                <w:webHidden/>
              </w:rPr>
              <w:fldChar w:fldCharType="end"/>
            </w:r>
          </w:hyperlink>
        </w:p>
        <w:p w:rsidR="008B74DA" w:rsidRDefault="002966E3" w:rsidP="008B74DA">
          <w:r>
            <w:fldChar w:fldCharType="end"/>
          </w:r>
        </w:p>
      </w:sdtContent>
    </w:sdt>
    <w:p w:rsidR="0036690E" w:rsidRPr="005405A4" w:rsidRDefault="00FB3E9B" w:rsidP="005405A4">
      <w:pPr>
        <w:pStyle w:val="Titre1"/>
        <w:rPr>
          <w:color w:val="4F81BD" w:themeColor="accent1"/>
        </w:rPr>
      </w:pPr>
      <w:bookmarkStart w:id="0" w:name="_Toc68443113"/>
      <w:r w:rsidRPr="005405A4">
        <w:rPr>
          <w:color w:val="4F81BD" w:themeColor="accent1"/>
        </w:rPr>
        <w:t>Liste des tableaux</w:t>
      </w:r>
      <w:bookmarkEnd w:id="0"/>
    </w:p>
    <w:p w:rsidR="0036690E" w:rsidRDefault="0036690E" w:rsidP="0036690E"/>
    <w:p w:rsidR="00CB275A" w:rsidRPr="00CB275A" w:rsidRDefault="002966E3">
      <w:pPr>
        <w:pStyle w:val="Tabledesillustrations"/>
        <w:tabs>
          <w:tab w:val="right" w:leader="dot" w:pos="9204"/>
        </w:tabs>
        <w:rPr>
          <w:rFonts w:eastAsiaTheme="minorEastAsia"/>
          <w:noProof/>
          <w:lang w:eastAsia="fr-FR"/>
        </w:rPr>
      </w:pPr>
      <w:r w:rsidRPr="002966E3">
        <w:rPr>
          <w:rFonts w:asciiTheme="majorBidi" w:hAnsiTheme="majorBidi" w:cstheme="majorBidi"/>
          <w:color w:val="0070C0"/>
        </w:rPr>
        <w:fldChar w:fldCharType="begin"/>
      </w:r>
      <w:r w:rsidR="00486BC8" w:rsidRPr="008B74DA">
        <w:rPr>
          <w:rFonts w:asciiTheme="majorBidi" w:hAnsiTheme="majorBidi" w:cstheme="majorBidi"/>
          <w:color w:val="0070C0"/>
        </w:rPr>
        <w:instrText xml:space="preserve"> TOC \h \z \c "Tableau" </w:instrText>
      </w:r>
      <w:r w:rsidRPr="002966E3">
        <w:rPr>
          <w:rFonts w:asciiTheme="majorBidi" w:hAnsiTheme="majorBidi" w:cstheme="majorBidi"/>
          <w:color w:val="0070C0"/>
        </w:rPr>
        <w:fldChar w:fldCharType="separate"/>
      </w:r>
      <w:hyperlink w:anchor="_Toc68436327" w:history="1">
        <w:r w:rsidR="00CB275A" w:rsidRPr="00CB275A">
          <w:rPr>
            <w:rStyle w:val="Lienhypertexte"/>
            <w:rFonts w:asciiTheme="majorBidi" w:hAnsiTheme="majorBidi" w:cstheme="majorBidi"/>
            <w:noProof/>
          </w:rPr>
          <w:t>Tableau 1 : Coefficients de pondération des grands groupes de produits en 2014 en (%)</w:t>
        </w:r>
        <w:r w:rsidR="00CB275A" w:rsidRPr="00CB275A">
          <w:rPr>
            <w:noProof/>
            <w:webHidden/>
          </w:rPr>
          <w:tab/>
        </w:r>
        <w:r w:rsidRPr="00CB275A">
          <w:rPr>
            <w:noProof/>
            <w:webHidden/>
          </w:rPr>
          <w:fldChar w:fldCharType="begin"/>
        </w:r>
        <w:r w:rsidR="00CB275A" w:rsidRPr="00CB275A">
          <w:rPr>
            <w:noProof/>
            <w:webHidden/>
          </w:rPr>
          <w:instrText xml:space="preserve"> PAGEREF _Toc68436327 \h </w:instrText>
        </w:r>
        <w:r w:rsidRPr="00CB275A">
          <w:rPr>
            <w:noProof/>
            <w:webHidden/>
          </w:rPr>
        </w:r>
        <w:r w:rsidRPr="00CB275A">
          <w:rPr>
            <w:noProof/>
            <w:webHidden/>
          </w:rPr>
          <w:fldChar w:fldCharType="separate"/>
        </w:r>
        <w:r w:rsidR="00CB275A" w:rsidRPr="00CB275A">
          <w:rPr>
            <w:noProof/>
            <w:webHidden/>
          </w:rPr>
          <w:t>14</w:t>
        </w:r>
        <w:r w:rsidRPr="00CB275A">
          <w:rPr>
            <w:noProof/>
            <w:webHidden/>
          </w:rPr>
          <w:fldChar w:fldCharType="end"/>
        </w:r>
      </w:hyperlink>
    </w:p>
    <w:p w:rsidR="00CB275A" w:rsidRPr="00CB275A" w:rsidRDefault="002966E3">
      <w:pPr>
        <w:pStyle w:val="Tabledesillustrations"/>
        <w:tabs>
          <w:tab w:val="right" w:leader="dot" w:pos="9204"/>
        </w:tabs>
        <w:rPr>
          <w:rFonts w:eastAsiaTheme="minorEastAsia"/>
          <w:noProof/>
          <w:lang w:eastAsia="fr-FR"/>
        </w:rPr>
      </w:pPr>
      <w:hyperlink w:anchor="_Toc68436328" w:history="1">
        <w:r w:rsidR="00CB275A" w:rsidRPr="00CB275A">
          <w:rPr>
            <w:rStyle w:val="Lienhypertexte"/>
            <w:rFonts w:asciiTheme="majorBidi" w:hAnsiTheme="majorBidi" w:cstheme="majorBidi"/>
            <w:noProof/>
          </w:rPr>
          <w:t>Tableau 2 : Liste des zones d’enquêtes par quartier de concentrations</w:t>
        </w:r>
        <w:r w:rsidR="00CB275A" w:rsidRPr="00CB275A">
          <w:rPr>
            <w:noProof/>
            <w:webHidden/>
          </w:rPr>
          <w:tab/>
        </w:r>
        <w:r w:rsidRPr="00CB275A">
          <w:rPr>
            <w:noProof/>
            <w:webHidden/>
          </w:rPr>
          <w:fldChar w:fldCharType="begin"/>
        </w:r>
        <w:r w:rsidR="00CB275A" w:rsidRPr="00CB275A">
          <w:rPr>
            <w:noProof/>
            <w:webHidden/>
          </w:rPr>
          <w:instrText xml:space="preserve"> PAGEREF _Toc68436328 \h </w:instrText>
        </w:r>
        <w:r w:rsidRPr="00CB275A">
          <w:rPr>
            <w:noProof/>
            <w:webHidden/>
          </w:rPr>
        </w:r>
        <w:r w:rsidRPr="00CB275A">
          <w:rPr>
            <w:noProof/>
            <w:webHidden/>
          </w:rPr>
          <w:fldChar w:fldCharType="separate"/>
        </w:r>
        <w:r w:rsidR="00CB275A" w:rsidRPr="00CB275A">
          <w:rPr>
            <w:noProof/>
            <w:webHidden/>
          </w:rPr>
          <w:t>15</w:t>
        </w:r>
        <w:r w:rsidRPr="00CB275A">
          <w:rPr>
            <w:noProof/>
            <w:webHidden/>
          </w:rPr>
          <w:fldChar w:fldCharType="end"/>
        </w:r>
      </w:hyperlink>
    </w:p>
    <w:p w:rsidR="00CB275A" w:rsidRPr="00CB275A" w:rsidRDefault="002966E3">
      <w:pPr>
        <w:pStyle w:val="Tabledesillustrations"/>
        <w:tabs>
          <w:tab w:val="right" w:leader="dot" w:pos="9204"/>
        </w:tabs>
        <w:rPr>
          <w:rFonts w:eastAsiaTheme="minorEastAsia"/>
          <w:noProof/>
          <w:lang w:eastAsia="fr-FR"/>
        </w:rPr>
      </w:pPr>
      <w:hyperlink w:anchor="_Toc68436329" w:history="1">
        <w:r w:rsidR="00CB275A" w:rsidRPr="00CB275A">
          <w:rPr>
            <w:rStyle w:val="Lienhypertexte"/>
            <w:rFonts w:asciiTheme="majorBidi" w:hAnsiTheme="majorBidi" w:cstheme="majorBidi"/>
            <w:noProof/>
          </w:rPr>
          <w:t>Tableau 3 : IPC général (Base 100 :2017) par ville en 2019 et 2020</w:t>
        </w:r>
        <w:r w:rsidR="00CB275A" w:rsidRPr="00CB275A">
          <w:rPr>
            <w:noProof/>
            <w:webHidden/>
          </w:rPr>
          <w:tab/>
        </w:r>
        <w:r w:rsidRPr="00CB275A">
          <w:rPr>
            <w:noProof/>
            <w:webHidden/>
          </w:rPr>
          <w:fldChar w:fldCharType="begin"/>
        </w:r>
        <w:r w:rsidR="00CB275A" w:rsidRPr="00CB275A">
          <w:rPr>
            <w:noProof/>
            <w:webHidden/>
          </w:rPr>
          <w:instrText xml:space="preserve"> PAGEREF _Toc68436329 \h </w:instrText>
        </w:r>
        <w:r w:rsidRPr="00CB275A">
          <w:rPr>
            <w:noProof/>
            <w:webHidden/>
          </w:rPr>
        </w:r>
        <w:r w:rsidRPr="00CB275A">
          <w:rPr>
            <w:noProof/>
            <w:webHidden/>
          </w:rPr>
          <w:fldChar w:fldCharType="separate"/>
        </w:r>
        <w:r w:rsidR="00CB275A" w:rsidRPr="00CB275A">
          <w:rPr>
            <w:noProof/>
            <w:webHidden/>
          </w:rPr>
          <w:t>19</w:t>
        </w:r>
        <w:r w:rsidRPr="00CB275A">
          <w:rPr>
            <w:noProof/>
            <w:webHidden/>
          </w:rPr>
          <w:fldChar w:fldCharType="end"/>
        </w:r>
      </w:hyperlink>
    </w:p>
    <w:p w:rsidR="00CB275A" w:rsidRPr="00CB275A" w:rsidRDefault="002966E3">
      <w:pPr>
        <w:pStyle w:val="Tabledesillustrations"/>
        <w:tabs>
          <w:tab w:val="right" w:leader="dot" w:pos="9204"/>
        </w:tabs>
        <w:rPr>
          <w:rFonts w:eastAsiaTheme="minorEastAsia"/>
          <w:noProof/>
          <w:lang w:eastAsia="fr-FR"/>
        </w:rPr>
      </w:pPr>
      <w:hyperlink w:anchor="_Toc68436330" w:history="1">
        <w:r w:rsidR="00CB275A" w:rsidRPr="00CB275A">
          <w:rPr>
            <w:rStyle w:val="Lienhypertexte"/>
            <w:rFonts w:asciiTheme="majorBidi" w:hAnsiTheme="majorBidi" w:cstheme="majorBidi"/>
            <w:noProof/>
          </w:rPr>
          <w:t>Tableau 4 : IPC général par mois - Année 2020-</w:t>
        </w:r>
        <w:r w:rsidR="00CB275A" w:rsidRPr="00CB275A">
          <w:rPr>
            <w:noProof/>
            <w:webHidden/>
          </w:rPr>
          <w:tab/>
        </w:r>
        <w:r w:rsidRPr="00CB275A">
          <w:rPr>
            <w:noProof/>
            <w:webHidden/>
          </w:rPr>
          <w:fldChar w:fldCharType="begin"/>
        </w:r>
        <w:r w:rsidR="00CB275A" w:rsidRPr="00CB275A">
          <w:rPr>
            <w:noProof/>
            <w:webHidden/>
          </w:rPr>
          <w:instrText xml:space="preserve"> PAGEREF _Toc68436330 \h </w:instrText>
        </w:r>
        <w:r w:rsidRPr="00CB275A">
          <w:rPr>
            <w:noProof/>
            <w:webHidden/>
          </w:rPr>
        </w:r>
        <w:r w:rsidRPr="00CB275A">
          <w:rPr>
            <w:noProof/>
            <w:webHidden/>
          </w:rPr>
          <w:fldChar w:fldCharType="separate"/>
        </w:r>
        <w:r w:rsidR="00CB275A" w:rsidRPr="00CB275A">
          <w:rPr>
            <w:noProof/>
            <w:webHidden/>
          </w:rPr>
          <w:t>21</w:t>
        </w:r>
        <w:r w:rsidRPr="00CB275A">
          <w:rPr>
            <w:noProof/>
            <w:webHidden/>
          </w:rPr>
          <w:fldChar w:fldCharType="end"/>
        </w:r>
      </w:hyperlink>
    </w:p>
    <w:p w:rsidR="00CB275A" w:rsidRPr="00CB275A" w:rsidRDefault="002966E3">
      <w:pPr>
        <w:pStyle w:val="Tabledesillustrations"/>
        <w:tabs>
          <w:tab w:val="right" w:leader="dot" w:pos="9204"/>
        </w:tabs>
        <w:rPr>
          <w:rFonts w:eastAsiaTheme="minorEastAsia"/>
          <w:b/>
          <w:noProof/>
          <w:lang w:eastAsia="fr-FR"/>
        </w:rPr>
      </w:pPr>
      <w:hyperlink w:anchor="_Toc68436331" w:history="1">
        <w:r w:rsidR="00CB275A" w:rsidRPr="00CB275A">
          <w:rPr>
            <w:rStyle w:val="Lienhypertexte"/>
            <w:rFonts w:asciiTheme="majorBidi" w:hAnsiTheme="majorBidi" w:cstheme="majorBidi"/>
            <w:bCs/>
            <w:noProof/>
          </w:rPr>
          <w:t xml:space="preserve">Tableau 5 : </w:t>
        </w:r>
        <w:r w:rsidR="00CB275A" w:rsidRPr="00CB275A">
          <w:rPr>
            <w:rStyle w:val="Lienhypertexte"/>
            <w:rFonts w:asciiTheme="majorBidi" w:eastAsia="Times New Roman" w:hAnsiTheme="majorBidi" w:cstheme="majorBidi"/>
            <w:bCs/>
            <w:noProof/>
            <w:lang w:eastAsia="fr-FR"/>
          </w:rPr>
          <w:t>Indices : général, alimentaire et non alimentaire de la ville de Kénitra</w:t>
        </w:r>
        <w:r w:rsidR="00CB275A" w:rsidRPr="00CB275A">
          <w:rPr>
            <w:noProof/>
            <w:webHidden/>
          </w:rPr>
          <w:tab/>
        </w:r>
        <w:r w:rsidRPr="00CB275A">
          <w:rPr>
            <w:noProof/>
            <w:webHidden/>
          </w:rPr>
          <w:fldChar w:fldCharType="begin"/>
        </w:r>
        <w:r w:rsidR="00CB275A" w:rsidRPr="00CB275A">
          <w:rPr>
            <w:noProof/>
            <w:webHidden/>
          </w:rPr>
          <w:instrText xml:space="preserve"> PAGEREF _Toc68436331 \h </w:instrText>
        </w:r>
        <w:r w:rsidRPr="00CB275A">
          <w:rPr>
            <w:noProof/>
            <w:webHidden/>
          </w:rPr>
        </w:r>
        <w:r w:rsidRPr="00CB275A">
          <w:rPr>
            <w:noProof/>
            <w:webHidden/>
          </w:rPr>
          <w:fldChar w:fldCharType="separate"/>
        </w:r>
        <w:r w:rsidR="00CB275A" w:rsidRPr="00CB275A">
          <w:rPr>
            <w:noProof/>
            <w:webHidden/>
          </w:rPr>
          <w:t>22</w:t>
        </w:r>
        <w:r w:rsidRPr="00CB275A">
          <w:rPr>
            <w:noProof/>
            <w:webHidden/>
          </w:rPr>
          <w:fldChar w:fldCharType="end"/>
        </w:r>
      </w:hyperlink>
    </w:p>
    <w:p w:rsidR="00CB275A" w:rsidRDefault="002966E3">
      <w:pPr>
        <w:pStyle w:val="Tabledesillustrations"/>
        <w:tabs>
          <w:tab w:val="right" w:leader="dot" w:pos="9204"/>
        </w:tabs>
        <w:rPr>
          <w:rFonts w:eastAsiaTheme="minorEastAsia"/>
          <w:noProof/>
          <w:lang w:eastAsia="fr-FR"/>
        </w:rPr>
      </w:pPr>
      <w:hyperlink w:anchor="_Toc68436332" w:history="1">
        <w:r w:rsidR="00CB275A" w:rsidRPr="005230C6">
          <w:rPr>
            <w:rStyle w:val="Lienhypertexte"/>
            <w:rFonts w:asciiTheme="majorBidi" w:hAnsiTheme="majorBidi" w:cstheme="majorBidi"/>
            <w:noProof/>
          </w:rPr>
          <w:t xml:space="preserve">Tableau 6 : </w:t>
        </w:r>
        <w:r w:rsidR="00CB275A" w:rsidRPr="005230C6">
          <w:rPr>
            <w:rStyle w:val="Lienhypertexte"/>
            <w:rFonts w:asciiTheme="majorBidi" w:eastAsia="Times New Roman" w:hAnsiTheme="majorBidi" w:cstheme="majorBidi"/>
            <w:noProof/>
            <w:lang w:eastAsia="fr-FR"/>
          </w:rPr>
          <w:t>Evolution de l'IPC (Base 100: 2017) par division entre 2019 et 2020</w:t>
        </w:r>
        <w:r w:rsidR="00CB275A">
          <w:rPr>
            <w:noProof/>
            <w:webHidden/>
          </w:rPr>
          <w:tab/>
        </w:r>
        <w:r>
          <w:rPr>
            <w:noProof/>
            <w:webHidden/>
          </w:rPr>
          <w:fldChar w:fldCharType="begin"/>
        </w:r>
        <w:r w:rsidR="00CB275A">
          <w:rPr>
            <w:noProof/>
            <w:webHidden/>
          </w:rPr>
          <w:instrText xml:space="preserve"> PAGEREF _Toc68436332 \h </w:instrText>
        </w:r>
        <w:r>
          <w:rPr>
            <w:noProof/>
            <w:webHidden/>
          </w:rPr>
        </w:r>
        <w:r>
          <w:rPr>
            <w:noProof/>
            <w:webHidden/>
          </w:rPr>
          <w:fldChar w:fldCharType="separate"/>
        </w:r>
        <w:r w:rsidR="00CB275A">
          <w:rPr>
            <w:noProof/>
            <w:webHidden/>
          </w:rPr>
          <w:t>24</w:t>
        </w:r>
        <w:r>
          <w:rPr>
            <w:noProof/>
            <w:webHidden/>
          </w:rPr>
          <w:fldChar w:fldCharType="end"/>
        </w:r>
      </w:hyperlink>
    </w:p>
    <w:p w:rsidR="00BC2DF5" w:rsidRPr="008B74DA" w:rsidRDefault="002966E3" w:rsidP="005405A4">
      <w:pPr>
        <w:pStyle w:val="Titre1"/>
        <w:spacing w:before="240" w:after="240"/>
        <w:rPr>
          <w:rFonts w:asciiTheme="majorBidi" w:hAnsiTheme="majorBidi"/>
          <w:b w:val="0"/>
          <w:bCs w:val="0"/>
          <w:color w:val="0070C0"/>
          <w:sz w:val="22"/>
          <w:szCs w:val="22"/>
        </w:rPr>
      </w:pPr>
      <w:r w:rsidRPr="008B74DA">
        <w:rPr>
          <w:rFonts w:asciiTheme="majorBidi" w:hAnsiTheme="majorBidi"/>
          <w:b w:val="0"/>
          <w:bCs w:val="0"/>
          <w:color w:val="0070C0"/>
          <w:sz w:val="22"/>
          <w:szCs w:val="22"/>
        </w:rPr>
        <w:fldChar w:fldCharType="end"/>
      </w:r>
    </w:p>
    <w:p w:rsidR="0036690E" w:rsidRDefault="0036690E" w:rsidP="0036690E"/>
    <w:p w:rsidR="0036690E" w:rsidRDefault="0036690E" w:rsidP="0036690E"/>
    <w:p w:rsidR="0036690E" w:rsidRDefault="0036690E" w:rsidP="0036690E"/>
    <w:p w:rsidR="0036690E" w:rsidRDefault="0036690E" w:rsidP="0036690E"/>
    <w:p w:rsidR="0036690E" w:rsidRDefault="0036690E" w:rsidP="0036690E"/>
    <w:p w:rsidR="0036690E" w:rsidRDefault="0036690E" w:rsidP="0036690E"/>
    <w:p w:rsidR="0036690E" w:rsidRDefault="0036690E" w:rsidP="0036690E"/>
    <w:p w:rsidR="00170E99" w:rsidRDefault="00170E99">
      <w:r>
        <w:br w:type="page"/>
      </w:r>
    </w:p>
    <w:p w:rsidR="00DF65E2" w:rsidRPr="005405A4" w:rsidRDefault="00DF65E2" w:rsidP="005405A4">
      <w:pPr>
        <w:pStyle w:val="Titre1"/>
        <w:rPr>
          <w:rFonts w:ascii="Cambria" w:hAnsi="Cambria"/>
          <w:bCs w:val="0"/>
          <w:color w:val="4F81BD" w:themeColor="accent1"/>
        </w:rPr>
      </w:pPr>
      <w:bookmarkStart w:id="1" w:name="_Toc68443114"/>
      <w:r w:rsidRPr="005405A4">
        <w:rPr>
          <w:rFonts w:ascii="Cambria" w:hAnsi="Cambria"/>
          <w:bCs w:val="0"/>
          <w:color w:val="4F81BD" w:themeColor="accent1"/>
        </w:rPr>
        <w:lastRenderedPageBreak/>
        <w:t>Liste des graphiques</w:t>
      </w:r>
      <w:bookmarkEnd w:id="1"/>
    </w:p>
    <w:p w:rsidR="00462F63" w:rsidRPr="00462F63" w:rsidRDefault="00462F63" w:rsidP="00462F63"/>
    <w:p w:rsidR="00CB275A" w:rsidRDefault="002966E3">
      <w:pPr>
        <w:pStyle w:val="Tabledesillustrations"/>
        <w:tabs>
          <w:tab w:val="right" w:leader="dot" w:pos="9204"/>
        </w:tabs>
        <w:rPr>
          <w:rFonts w:eastAsiaTheme="minorEastAsia"/>
          <w:noProof/>
          <w:lang w:eastAsia="fr-FR"/>
        </w:rPr>
      </w:pPr>
      <w:r>
        <w:rPr>
          <w:rFonts w:asciiTheme="majorBidi" w:hAnsiTheme="majorBidi"/>
          <w:b/>
          <w:bCs/>
          <w:color w:val="0070C0"/>
        </w:rPr>
        <w:fldChar w:fldCharType="begin"/>
      </w:r>
      <w:r w:rsidR="0036690E">
        <w:rPr>
          <w:rFonts w:asciiTheme="majorBidi" w:hAnsiTheme="majorBidi"/>
          <w:b/>
          <w:bCs/>
          <w:color w:val="0070C0"/>
        </w:rPr>
        <w:instrText xml:space="preserve"> TOC \h \z \c "Graphique" </w:instrText>
      </w:r>
      <w:r>
        <w:rPr>
          <w:rFonts w:asciiTheme="majorBidi" w:hAnsiTheme="majorBidi"/>
          <w:b/>
          <w:bCs/>
          <w:color w:val="0070C0"/>
        </w:rPr>
        <w:fldChar w:fldCharType="separate"/>
      </w:r>
      <w:hyperlink w:anchor="_Toc68436335" w:history="1">
        <w:r w:rsidR="00CB275A" w:rsidRPr="00226959">
          <w:rPr>
            <w:rStyle w:val="Lienhypertexte"/>
            <w:rFonts w:asciiTheme="majorBidi" w:hAnsiTheme="majorBidi" w:cstheme="majorBidi"/>
            <w:noProof/>
          </w:rPr>
          <w:t>Graphique 1 : IPC général  par ville en 2019 et 2020</w:t>
        </w:r>
        <w:r w:rsidR="00CB275A">
          <w:rPr>
            <w:noProof/>
            <w:webHidden/>
          </w:rPr>
          <w:tab/>
        </w:r>
        <w:r>
          <w:rPr>
            <w:noProof/>
            <w:webHidden/>
          </w:rPr>
          <w:fldChar w:fldCharType="begin"/>
        </w:r>
        <w:r w:rsidR="00CB275A">
          <w:rPr>
            <w:noProof/>
            <w:webHidden/>
          </w:rPr>
          <w:instrText xml:space="preserve"> PAGEREF _Toc68436335 \h </w:instrText>
        </w:r>
        <w:r>
          <w:rPr>
            <w:noProof/>
            <w:webHidden/>
          </w:rPr>
        </w:r>
        <w:r>
          <w:rPr>
            <w:noProof/>
            <w:webHidden/>
          </w:rPr>
          <w:fldChar w:fldCharType="separate"/>
        </w:r>
        <w:r w:rsidR="00CB275A">
          <w:rPr>
            <w:noProof/>
            <w:webHidden/>
          </w:rPr>
          <w:t>20</w:t>
        </w:r>
        <w:r>
          <w:rPr>
            <w:noProof/>
            <w:webHidden/>
          </w:rPr>
          <w:fldChar w:fldCharType="end"/>
        </w:r>
      </w:hyperlink>
    </w:p>
    <w:p w:rsidR="00CB275A" w:rsidRDefault="002966E3">
      <w:pPr>
        <w:pStyle w:val="Tabledesillustrations"/>
        <w:tabs>
          <w:tab w:val="right" w:leader="dot" w:pos="9204"/>
        </w:tabs>
        <w:rPr>
          <w:rFonts w:eastAsiaTheme="minorEastAsia"/>
          <w:noProof/>
          <w:lang w:eastAsia="fr-FR"/>
        </w:rPr>
      </w:pPr>
      <w:hyperlink w:anchor="_Toc68436336" w:history="1">
        <w:r w:rsidR="00CB275A" w:rsidRPr="00226959">
          <w:rPr>
            <w:rStyle w:val="Lienhypertexte"/>
            <w:rFonts w:asciiTheme="majorBidi" w:hAnsiTheme="majorBidi" w:cstheme="majorBidi"/>
            <w:noProof/>
          </w:rPr>
          <w:t>Graphique 2</w:t>
        </w:r>
        <w:r w:rsidR="00CB275A" w:rsidRPr="00226959">
          <w:rPr>
            <w:rStyle w:val="Lienhypertexte"/>
            <w:rFonts w:ascii="Times New Roman" w:hAnsi="Times New Roman"/>
            <w:noProof/>
          </w:rPr>
          <w:t xml:space="preserve"> : </w:t>
        </w:r>
        <w:r w:rsidR="00CB275A" w:rsidRPr="00226959">
          <w:rPr>
            <w:rStyle w:val="Lienhypertexte"/>
            <w:rFonts w:ascii="Times New Roman" w:hAnsi="Times New Roman" w:cstheme="majorBidi"/>
            <w:noProof/>
          </w:rPr>
          <w:t>Inflation générale par ville (en %) -Année 2020-</w:t>
        </w:r>
        <w:r w:rsidR="00CB275A">
          <w:rPr>
            <w:noProof/>
            <w:webHidden/>
          </w:rPr>
          <w:tab/>
        </w:r>
        <w:r>
          <w:rPr>
            <w:noProof/>
            <w:webHidden/>
          </w:rPr>
          <w:fldChar w:fldCharType="begin"/>
        </w:r>
        <w:r w:rsidR="00CB275A">
          <w:rPr>
            <w:noProof/>
            <w:webHidden/>
          </w:rPr>
          <w:instrText xml:space="preserve"> PAGEREF _Toc68436336 \h </w:instrText>
        </w:r>
        <w:r>
          <w:rPr>
            <w:noProof/>
            <w:webHidden/>
          </w:rPr>
        </w:r>
        <w:r>
          <w:rPr>
            <w:noProof/>
            <w:webHidden/>
          </w:rPr>
          <w:fldChar w:fldCharType="separate"/>
        </w:r>
        <w:r w:rsidR="00CB275A">
          <w:rPr>
            <w:noProof/>
            <w:webHidden/>
          </w:rPr>
          <w:t>20</w:t>
        </w:r>
        <w:r>
          <w:rPr>
            <w:noProof/>
            <w:webHidden/>
          </w:rPr>
          <w:fldChar w:fldCharType="end"/>
        </w:r>
      </w:hyperlink>
    </w:p>
    <w:p w:rsidR="00CB275A" w:rsidRDefault="002966E3">
      <w:pPr>
        <w:pStyle w:val="Tabledesillustrations"/>
        <w:tabs>
          <w:tab w:val="right" w:leader="dot" w:pos="9204"/>
        </w:tabs>
        <w:rPr>
          <w:rFonts w:eastAsiaTheme="minorEastAsia"/>
          <w:noProof/>
          <w:lang w:eastAsia="fr-FR"/>
        </w:rPr>
      </w:pPr>
      <w:hyperlink w:anchor="_Toc68436337" w:history="1">
        <w:r w:rsidR="00CB275A" w:rsidRPr="00226959">
          <w:rPr>
            <w:rStyle w:val="Lienhypertexte"/>
            <w:rFonts w:ascii="Times New Roman" w:hAnsi="Times New Roman"/>
            <w:noProof/>
          </w:rPr>
          <w:t xml:space="preserve">Graphique 3 : </w:t>
        </w:r>
        <w:r w:rsidR="00CB275A" w:rsidRPr="00226959">
          <w:rPr>
            <w:rStyle w:val="Lienhypertexte"/>
            <w:rFonts w:ascii="Times New Roman" w:hAnsi="Times New Roman" w:cstheme="majorBidi"/>
            <w:noProof/>
          </w:rPr>
          <w:t>IPC général de la ville de Kénitra et du Maroc -Année 2020-</w:t>
        </w:r>
        <w:r w:rsidR="00CB275A">
          <w:rPr>
            <w:noProof/>
            <w:webHidden/>
          </w:rPr>
          <w:tab/>
        </w:r>
        <w:r>
          <w:rPr>
            <w:noProof/>
            <w:webHidden/>
          </w:rPr>
          <w:fldChar w:fldCharType="begin"/>
        </w:r>
        <w:r w:rsidR="00CB275A">
          <w:rPr>
            <w:noProof/>
            <w:webHidden/>
          </w:rPr>
          <w:instrText xml:space="preserve"> PAGEREF _Toc68436337 \h </w:instrText>
        </w:r>
        <w:r>
          <w:rPr>
            <w:noProof/>
            <w:webHidden/>
          </w:rPr>
        </w:r>
        <w:r>
          <w:rPr>
            <w:noProof/>
            <w:webHidden/>
          </w:rPr>
          <w:fldChar w:fldCharType="separate"/>
        </w:r>
        <w:r w:rsidR="00CB275A">
          <w:rPr>
            <w:noProof/>
            <w:webHidden/>
          </w:rPr>
          <w:t>21</w:t>
        </w:r>
        <w:r>
          <w:rPr>
            <w:noProof/>
            <w:webHidden/>
          </w:rPr>
          <w:fldChar w:fldCharType="end"/>
        </w:r>
      </w:hyperlink>
    </w:p>
    <w:p w:rsidR="00CB275A" w:rsidRDefault="002966E3">
      <w:pPr>
        <w:pStyle w:val="Tabledesillustrations"/>
        <w:tabs>
          <w:tab w:val="right" w:leader="dot" w:pos="9204"/>
        </w:tabs>
        <w:rPr>
          <w:rFonts w:eastAsiaTheme="minorEastAsia"/>
          <w:noProof/>
          <w:lang w:eastAsia="fr-FR"/>
        </w:rPr>
      </w:pPr>
      <w:hyperlink w:anchor="_Toc68436338" w:history="1">
        <w:r w:rsidR="00CB275A" w:rsidRPr="00226959">
          <w:rPr>
            <w:rStyle w:val="Lienhypertexte"/>
            <w:rFonts w:ascii="Times New Roman" w:hAnsi="Times New Roman"/>
            <w:noProof/>
          </w:rPr>
          <w:t xml:space="preserve">Graphique 4: </w:t>
        </w:r>
        <w:r w:rsidR="00CB275A" w:rsidRPr="00226959">
          <w:rPr>
            <w:rStyle w:val="Lienhypertexte"/>
            <w:rFonts w:ascii="Times New Roman" w:hAnsi="Times New Roman" w:cstheme="majorBidi"/>
            <w:noProof/>
          </w:rPr>
          <w:t>Indices  Général, alimentaire et non alimentaire de la ville de Kénitra - Année 2020-</w:t>
        </w:r>
        <w:r w:rsidR="00CB275A">
          <w:rPr>
            <w:noProof/>
            <w:webHidden/>
          </w:rPr>
          <w:tab/>
        </w:r>
        <w:r>
          <w:rPr>
            <w:noProof/>
            <w:webHidden/>
          </w:rPr>
          <w:fldChar w:fldCharType="begin"/>
        </w:r>
        <w:r w:rsidR="00CB275A">
          <w:rPr>
            <w:noProof/>
            <w:webHidden/>
          </w:rPr>
          <w:instrText xml:space="preserve"> PAGEREF _Toc68436338 \h </w:instrText>
        </w:r>
        <w:r>
          <w:rPr>
            <w:noProof/>
            <w:webHidden/>
          </w:rPr>
        </w:r>
        <w:r>
          <w:rPr>
            <w:noProof/>
            <w:webHidden/>
          </w:rPr>
          <w:fldChar w:fldCharType="separate"/>
        </w:r>
        <w:r w:rsidR="00CB275A">
          <w:rPr>
            <w:noProof/>
            <w:webHidden/>
          </w:rPr>
          <w:t>23</w:t>
        </w:r>
        <w:r>
          <w:rPr>
            <w:noProof/>
            <w:webHidden/>
          </w:rPr>
          <w:fldChar w:fldCharType="end"/>
        </w:r>
      </w:hyperlink>
    </w:p>
    <w:p w:rsidR="00CB275A" w:rsidRDefault="002966E3">
      <w:pPr>
        <w:pStyle w:val="Tabledesillustrations"/>
        <w:tabs>
          <w:tab w:val="right" w:leader="dot" w:pos="9204"/>
        </w:tabs>
        <w:rPr>
          <w:rFonts w:eastAsiaTheme="minorEastAsia"/>
          <w:noProof/>
          <w:lang w:eastAsia="fr-FR"/>
        </w:rPr>
      </w:pPr>
      <w:hyperlink w:anchor="_Toc68436339" w:history="1">
        <w:r w:rsidR="00CB275A" w:rsidRPr="00226959">
          <w:rPr>
            <w:rStyle w:val="Lienhypertexte"/>
            <w:rFonts w:ascii="Times New Roman" w:hAnsi="Times New Roman"/>
            <w:b/>
            <w:bCs/>
            <w:noProof/>
          </w:rPr>
          <w:t xml:space="preserve">Graphique 5 : </w:t>
        </w:r>
        <w:r w:rsidR="00CB275A" w:rsidRPr="00226959">
          <w:rPr>
            <w:rStyle w:val="Lienhypertexte"/>
            <w:rFonts w:ascii="Times New Roman" w:hAnsi="Times New Roman" w:cstheme="majorBidi"/>
            <w:b/>
            <w:bCs/>
            <w:noProof/>
          </w:rPr>
          <w:t>Evolution de l'IPC de la ville de Kenitra entre 2017 et 2020</w:t>
        </w:r>
        <w:r w:rsidR="00CB275A">
          <w:rPr>
            <w:noProof/>
            <w:webHidden/>
          </w:rPr>
          <w:tab/>
        </w:r>
        <w:r>
          <w:rPr>
            <w:noProof/>
            <w:webHidden/>
          </w:rPr>
          <w:fldChar w:fldCharType="begin"/>
        </w:r>
        <w:r w:rsidR="00CB275A">
          <w:rPr>
            <w:noProof/>
            <w:webHidden/>
          </w:rPr>
          <w:instrText xml:space="preserve"> PAGEREF _Toc68436339 \h </w:instrText>
        </w:r>
        <w:r>
          <w:rPr>
            <w:noProof/>
            <w:webHidden/>
          </w:rPr>
        </w:r>
        <w:r>
          <w:rPr>
            <w:noProof/>
            <w:webHidden/>
          </w:rPr>
          <w:fldChar w:fldCharType="separate"/>
        </w:r>
        <w:r w:rsidR="00CB275A">
          <w:rPr>
            <w:noProof/>
            <w:webHidden/>
          </w:rPr>
          <w:t>25</w:t>
        </w:r>
        <w:r>
          <w:rPr>
            <w:noProof/>
            <w:webHidden/>
          </w:rPr>
          <w:fldChar w:fldCharType="end"/>
        </w:r>
      </w:hyperlink>
    </w:p>
    <w:p w:rsidR="00CB275A" w:rsidRDefault="002966E3">
      <w:pPr>
        <w:pStyle w:val="Tabledesillustrations"/>
        <w:tabs>
          <w:tab w:val="right" w:leader="dot" w:pos="9204"/>
        </w:tabs>
        <w:rPr>
          <w:rFonts w:eastAsiaTheme="minorEastAsia"/>
          <w:noProof/>
          <w:lang w:eastAsia="fr-FR"/>
        </w:rPr>
      </w:pPr>
      <w:hyperlink w:anchor="_Toc68436340" w:history="1">
        <w:r w:rsidR="00CB275A" w:rsidRPr="00226959">
          <w:rPr>
            <w:rStyle w:val="Lienhypertexte"/>
            <w:rFonts w:ascii="Times New Roman" w:hAnsi="Times New Roman"/>
            <w:noProof/>
          </w:rPr>
          <w:t xml:space="preserve">Graphique 6 : </w:t>
        </w:r>
        <w:r w:rsidR="00CB275A" w:rsidRPr="00226959">
          <w:rPr>
            <w:rStyle w:val="Lienhypertexte"/>
            <w:rFonts w:ascii="Times New Roman" w:hAnsi="Times New Roman" w:cstheme="majorBidi"/>
            <w:noProof/>
          </w:rPr>
          <w:t>Evolution de l'IPC  général de la ville de  Kénitra et du Maroc entre 2017 et 2020</w:t>
        </w:r>
        <w:r w:rsidR="00CB275A">
          <w:rPr>
            <w:noProof/>
            <w:webHidden/>
          </w:rPr>
          <w:tab/>
        </w:r>
        <w:r>
          <w:rPr>
            <w:noProof/>
            <w:webHidden/>
          </w:rPr>
          <w:fldChar w:fldCharType="begin"/>
        </w:r>
        <w:r w:rsidR="00CB275A">
          <w:rPr>
            <w:noProof/>
            <w:webHidden/>
          </w:rPr>
          <w:instrText xml:space="preserve"> PAGEREF _Toc68436340 \h </w:instrText>
        </w:r>
        <w:r>
          <w:rPr>
            <w:noProof/>
            <w:webHidden/>
          </w:rPr>
        </w:r>
        <w:r>
          <w:rPr>
            <w:noProof/>
            <w:webHidden/>
          </w:rPr>
          <w:fldChar w:fldCharType="separate"/>
        </w:r>
        <w:r w:rsidR="00CB275A">
          <w:rPr>
            <w:noProof/>
            <w:webHidden/>
          </w:rPr>
          <w:t>26</w:t>
        </w:r>
        <w:r>
          <w:rPr>
            <w:noProof/>
            <w:webHidden/>
          </w:rPr>
          <w:fldChar w:fldCharType="end"/>
        </w:r>
      </w:hyperlink>
    </w:p>
    <w:p w:rsidR="00CB275A" w:rsidRDefault="002966E3">
      <w:pPr>
        <w:pStyle w:val="Tabledesillustrations"/>
        <w:tabs>
          <w:tab w:val="right" w:leader="dot" w:pos="9204"/>
        </w:tabs>
        <w:rPr>
          <w:rFonts w:eastAsiaTheme="minorEastAsia"/>
          <w:noProof/>
          <w:lang w:eastAsia="fr-FR"/>
        </w:rPr>
      </w:pPr>
      <w:hyperlink w:anchor="_Toc68436341" w:history="1">
        <w:r w:rsidR="00CB275A" w:rsidRPr="00226959">
          <w:rPr>
            <w:rStyle w:val="Lienhypertexte"/>
            <w:rFonts w:ascii="Times New Roman" w:hAnsi="Times New Roman"/>
            <w:noProof/>
          </w:rPr>
          <w:t xml:space="preserve">Graphique 7 : </w:t>
        </w:r>
        <w:r w:rsidR="00CB275A" w:rsidRPr="00226959">
          <w:rPr>
            <w:rStyle w:val="Lienhypertexte"/>
            <w:rFonts w:ascii="Times New Roman" w:hAnsi="Times New Roman" w:cstheme="majorBidi"/>
            <w:noProof/>
          </w:rPr>
          <w:t>Evolution des indices alimentaire, non alimentaire et général entre 2017 et 2020</w:t>
        </w:r>
        <w:r w:rsidR="00CB275A">
          <w:rPr>
            <w:noProof/>
            <w:webHidden/>
          </w:rPr>
          <w:tab/>
        </w:r>
        <w:r>
          <w:rPr>
            <w:noProof/>
            <w:webHidden/>
          </w:rPr>
          <w:fldChar w:fldCharType="begin"/>
        </w:r>
        <w:r w:rsidR="00CB275A">
          <w:rPr>
            <w:noProof/>
            <w:webHidden/>
          </w:rPr>
          <w:instrText xml:space="preserve"> PAGEREF _Toc68436341 \h </w:instrText>
        </w:r>
        <w:r>
          <w:rPr>
            <w:noProof/>
            <w:webHidden/>
          </w:rPr>
        </w:r>
        <w:r>
          <w:rPr>
            <w:noProof/>
            <w:webHidden/>
          </w:rPr>
          <w:fldChar w:fldCharType="separate"/>
        </w:r>
        <w:r w:rsidR="00CB275A">
          <w:rPr>
            <w:noProof/>
            <w:webHidden/>
          </w:rPr>
          <w:t>28</w:t>
        </w:r>
        <w:r>
          <w:rPr>
            <w:noProof/>
            <w:webHidden/>
          </w:rPr>
          <w:fldChar w:fldCharType="end"/>
        </w:r>
      </w:hyperlink>
    </w:p>
    <w:p w:rsidR="00CB275A" w:rsidRDefault="002966E3">
      <w:pPr>
        <w:pStyle w:val="Tabledesillustrations"/>
        <w:tabs>
          <w:tab w:val="right" w:leader="dot" w:pos="9204"/>
        </w:tabs>
        <w:rPr>
          <w:rFonts w:eastAsiaTheme="minorEastAsia"/>
          <w:noProof/>
          <w:lang w:eastAsia="fr-FR"/>
        </w:rPr>
      </w:pPr>
      <w:hyperlink w:anchor="_Toc68436342" w:history="1">
        <w:r w:rsidR="00CB275A" w:rsidRPr="00226959">
          <w:rPr>
            <w:rStyle w:val="Lienhypertexte"/>
            <w:rFonts w:ascii="Times New Roman" w:hAnsi="Times New Roman"/>
            <w:noProof/>
          </w:rPr>
          <w:t xml:space="preserve">Graphique 8 : </w:t>
        </w:r>
        <w:r w:rsidR="00CB275A" w:rsidRPr="00226959">
          <w:rPr>
            <w:rStyle w:val="Lienhypertexte"/>
            <w:rFonts w:ascii="Times New Roman" w:hAnsi="Times New Roman" w:cstheme="majorBidi"/>
            <w:noProof/>
          </w:rPr>
          <w:t>Evolution de l'inflation générale entre 2017 et 2020</w:t>
        </w:r>
        <w:r w:rsidR="00CB275A">
          <w:rPr>
            <w:noProof/>
            <w:webHidden/>
          </w:rPr>
          <w:tab/>
        </w:r>
        <w:r>
          <w:rPr>
            <w:noProof/>
            <w:webHidden/>
          </w:rPr>
          <w:fldChar w:fldCharType="begin"/>
        </w:r>
        <w:r w:rsidR="00CB275A">
          <w:rPr>
            <w:noProof/>
            <w:webHidden/>
          </w:rPr>
          <w:instrText xml:space="preserve"> PAGEREF _Toc68436342 \h </w:instrText>
        </w:r>
        <w:r>
          <w:rPr>
            <w:noProof/>
            <w:webHidden/>
          </w:rPr>
        </w:r>
        <w:r>
          <w:rPr>
            <w:noProof/>
            <w:webHidden/>
          </w:rPr>
          <w:fldChar w:fldCharType="separate"/>
        </w:r>
        <w:r w:rsidR="00CB275A">
          <w:rPr>
            <w:noProof/>
            <w:webHidden/>
          </w:rPr>
          <w:t>29</w:t>
        </w:r>
        <w:r>
          <w:rPr>
            <w:noProof/>
            <w:webHidden/>
          </w:rPr>
          <w:fldChar w:fldCharType="end"/>
        </w:r>
      </w:hyperlink>
    </w:p>
    <w:p w:rsidR="00CB275A" w:rsidRDefault="002966E3">
      <w:pPr>
        <w:pStyle w:val="Tabledesillustrations"/>
        <w:tabs>
          <w:tab w:val="right" w:leader="dot" w:pos="9204"/>
        </w:tabs>
        <w:rPr>
          <w:rFonts w:eastAsiaTheme="minorEastAsia"/>
          <w:noProof/>
          <w:lang w:eastAsia="fr-FR"/>
        </w:rPr>
      </w:pPr>
      <w:hyperlink w:anchor="_Toc68436343" w:history="1">
        <w:r w:rsidR="00CB275A" w:rsidRPr="00226959">
          <w:rPr>
            <w:rStyle w:val="Lienhypertexte"/>
            <w:rFonts w:asciiTheme="majorBidi" w:hAnsiTheme="majorBidi" w:cstheme="majorBidi"/>
            <w:noProof/>
          </w:rPr>
          <w:t>Graphique 9 : IPC de la ville de Kénitra et du Maroc : glissements annuels entre 2017 et 2020</w:t>
        </w:r>
        <w:r w:rsidR="00CB275A">
          <w:rPr>
            <w:noProof/>
            <w:webHidden/>
          </w:rPr>
          <w:tab/>
        </w:r>
        <w:r>
          <w:rPr>
            <w:noProof/>
            <w:webHidden/>
          </w:rPr>
          <w:fldChar w:fldCharType="begin"/>
        </w:r>
        <w:r w:rsidR="00CB275A">
          <w:rPr>
            <w:noProof/>
            <w:webHidden/>
          </w:rPr>
          <w:instrText xml:space="preserve"> PAGEREF _Toc68436343 \h </w:instrText>
        </w:r>
        <w:r>
          <w:rPr>
            <w:noProof/>
            <w:webHidden/>
          </w:rPr>
        </w:r>
        <w:r>
          <w:rPr>
            <w:noProof/>
            <w:webHidden/>
          </w:rPr>
          <w:fldChar w:fldCharType="separate"/>
        </w:r>
        <w:r w:rsidR="00CB275A">
          <w:rPr>
            <w:noProof/>
            <w:webHidden/>
          </w:rPr>
          <w:t>29</w:t>
        </w:r>
        <w:r>
          <w:rPr>
            <w:noProof/>
            <w:webHidden/>
          </w:rPr>
          <w:fldChar w:fldCharType="end"/>
        </w:r>
      </w:hyperlink>
    </w:p>
    <w:p w:rsidR="00BC2DF5" w:rsidRDefault="002966E3" w:rsidP="005405A4">
      <w:pPr>
        <w:pStyle w:val="Tabledesillustrations"/>
        <w:tabs>
          <w:tab w:val="right" w:leader="dot" w:pos="9204"/>
        </w:tabs>
        <w:spacing w:before="240" w:after="240"/>
        <w:rPr>
          <w:rFonts w:asciiTheme="majorBidi" w:hAnsiTheme="majorBidi"/>
          <w:b/>
          <w:bCs/>
          <w:color w:val="0070C0"/>
        </w:rPr>
      </w:pPr>
      <w:r>
        <w:rPr>
          <w:rFonts w:asciiTheme="majorBidi" w:hAnsiTheme="majorBidi"/>
          <w:b/>
          <w:bCs/>
          <w:color w:val="0070C0"/>
        </w:rPr>
        <w:fldChar w:fldCharType="end"/>
      </w:r>
    </w:p>
    <w:p w:rsidR="00462F63" w:rsidRDefault="00462F63" w:rsidP="00462F63"/>
    <w:p w:rsidR="00462F63" w:rsidRDefault="00462F63" w:rsidP="005B5C23">
      <w:pPr>
        <w:pStyle w:val="Titre1"/>
        <w:rPr>
          <w:color w:val="0070C0"/>
        </w:rPr>
      </w:pPr>
    </w:p>
    <w:p w:rsidR="00462F63" w:rsidRDefault="00462F63" w:rsidP="00462F63"/>
    <w:p w:rsidR="00F67E78" w:rsidRDefault="00F67E78" w:rsidP="00462F63"/>
    <w:p w:rsidR="00F67E78" w:rsidRDefault="00F67E78" w:rsidP="00462F63"/>
    <w:p w:rsidR="00F67E78" w:rsidRDefault="00F67E78" w:rsidP="00462F63"/>
    <w:p w:rsidR="00F67E78" w:rsidRDefault="00F67E78" w:rsidP="00462F63"/>
    <w:p w:rsidR="00462F63" w:rsidRDefault="00462F63" w:rsidP="00462F63"/>
    <w:p w:rsidR="00F67E78" w:rsidRDefault="00F67E78" w:rsidP="00462F63"/>
    <w:p w:rsidR="00F67E78" w:rsidRDefault="00F67E78" w:rsidP="00462F63"/>
    <w:p w:rsidR="00F67E78" w:rsidRDefault="00F67E78" w:rsidP="00462F63"/>
    <w:p w:rsidR="00002361" w:rsidRDefault="00002361">
      <w:r>
        <w:br w:type="page"/>
      </w: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156FC8" w:rsidRDefault="00156FC8" w:rsidP="008B74DA">
      <w:pPr>
        <w:rPr>
          <w:rFonts w:asciiTheme="majorBidi" w:hAnsiTheme="majorBidi"/>
          <w:color w:val="0070C0"/>
        </w:rPr>
      </w:pPr>
    </w:p>
    <w:p w:rsidR="00156FC8" w:rsidRDefault="00156FC8"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Pr="00C4542D" w:rsidRDefault="00C4542D" w:rsidP="00C4542D">
      <w:pPr>
        <w:jc w:val="center"/>
        <w:rPr>
          <w:rFonts w:asciiTheme="majorBidi" w:hAnsiTheme="majorBidi"/>
          <w:b/>
          <w:bCs/>
          <w:color w:val="0070C0"/>
          <w:sz w:val="72"/>
          <w:szCs w:val="72"/>
        </w:rPr>
      </w:pPr>
      <w:r w:rsidRPr="00C4542D">
        <w:rPr>
          <w:rFonts w:asciiTheme="majorBidi" w:hAnsiTheme="majorBidi"/>
          <w:b/>
          <w:bCs/>
          <w:color w:val="0070C0"/>
          <w:sz w:val="72"/>
          <w:szCs w:val="72"/>
        </w:rPr>
        <w:t>INTRODUCTION</w:t>
      </w:r>
    </w:p>
    <w:p w:rsidR="007B49E0" w:rsidRDefault="007B49E0" w:rsidP="008B74DA"/>
    <w:p w:rsidR="007B49E0" w:rsidRDefault="007B49E0" w:rsidP="00764ECF">
      <w:r>
        <w:br w:type="page"/>
      </w:r>
    </w:p>
    <w:p w:rsidR="007B49E0" w:rsidRPr="00A15D45" w:rsidRDefault="007B49E0" w:rsidP="00A15D45">
      <w:pPr>
        <w:pStyle w:val="Titre1"/>
        <w:rPr>
          <w:rFonts w:asciiTheme="majorBidi" w:hAnsiTheme="majorBidi"/>
        </w:rPr>
      </w:pPr>
      <w:bookmarkStart w:id="2" w:name="_Toc68443115"/>
      <w:r w:rsidRPr="00A15D45">
        <w:rPr>
          <w:rFonts w:asciiTheme="majorBidi" w:hAnsiTheme="majorBidi"/>
        </w:rPr>
        <w:lastRenderedPageBreak/>
        <w:t>I</w:t>
      </w:r>
      <w:r w:rsidR="00A15D45" w:rsidRPr="00A15D45">
        <w:rPr>
          <w:rFonts w:asciiTheme="majorBidi" w:hAnsiTheme="majorBidi"/>
        </w:rPr>
        <w:t>ntroduction</w:t>
      </w:r>
      <w:bookmarkEnd w:id="2"/>
    </w:p>
    <w:p w:rsidR="005863A5" w:rsidRDefault="0002091A" w:rsidP="004328F8">
      <w:pPr>
        <w:spacing w:before="240" w:after="240" w:line="240" w:lineRule="auto"/>
        <w:jc w:val="both"/>
        <w:rPr>
          <w:rFonts w:asciiTheme="majorBidi" w:hAnsiTheme="majorBidi" w:cstheme="majorBidi"/>
          <w:sz w:val="24"/>
          <w:szCs w:val="24"/>
        </w:rPr>
      </w:pPr>
      <w:r w:rsidRPr="00612B9A">
        <w:rPr>
          <w:rFonts w:asciiTheme="majorBidi" w:hAnsiTheme="majorBidi" w:cstheme="majorBidi"/>
          <w:sz w:val="24"/>
          <w:szCs w:val="24"/>
        </w:rPr>
        <w:t>Définie comme étant une hausse généralisée et durable du niveau des prix, l’inflation est, généralement, mesurée par le biais d’un indice des prix à la consommation (IPC) qui synthétise l’évolution des prix des différents biens et services, à qualité constante, consommés par les ménages entre deux périodes données.</w:t>
      </w:r>
      <w:r w:rsidR="002517EE">
        <w:rPr>
          <w:rFonts w:asciiTheme="majorBidi" w:hAnsiTheme="majorBidi" w:cstheme="majorBidi"/>
          <w:sz w:val="24"/>
          <w:szCs w:val="24"/>
        </w:rPr>
        <w:t xml:space="preserve"> C</w:t>
      </w:r>
      <w:r w:rsidRPr="00612B9A">
        <w:rPr>
          <w:rFonts w:asciiTheme="majorBidi" w:hAnsiTheme="majorBidi" w:cstheme="majorBidi"/>
          <w:sz w:val="24"/>
          <w:szCs w:val="24"/>
        </w:rPr>
        <w:t>et indice revêt un caractère officiel institué par un décret fixant les éléments entrant dans sa composition</w:t>
      </w:r>
      <w:r w:rsidR="005863A5">
        <w:rPr>
          <w:rFonts w:asciiTheme="majorBidi" w:hAnsiTheme="majorBidi" w:cstheme="majorBidi"/>
          <w:sz w:val="24"/>
          <w:szCs w:val="24"/>
        </w:rPr>
        <w:t>.</w:t>
      </w:r>
    </w:p>
    <w:p w:rsidR="0002091A" w:rsidRPr="00612B9A" w:rsidRDefault="005863A5" w:rsidP="004328F8">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Le HCP a procédé à la publication du nouvel indice base 2017 à partir du 20 Mai 2020 en application du </w:t>
      </w:r>
      <w:r w:rsidR="0056229E">
        <w:rPr>
          <w:rFonts w:asciiTheme="majorBidi" w:hAnsiTheme="majorBidi" w:cstheme="majorBidi"/>
          <w:sz w:val="24"/>
          <w:szCs w:val="24"/>
        </w:rPr>
        <w:t>décret n°2-</w:t>
      </w:r>
      <w:r>
        <w:rPr>
          <w:rFonts w:asciiTheme="majorBidi" w:hAnsiTheme="majorBidi" w:cstheme="majorBidi"/>
          <w:sz w:val="24"/>
          <w:szCs w:val="24"/>
        </w:rPr>
        <w:t>1</w:t>
      </w:r>
      <w:r w:rsidR="0056229E">
        <w:rPr>
          <w:rFonts w:asciiTheme="majorBidi" w:hAnsiTheme="majorBidi" w:cstheme="majorBidi"/>
          <w:sz w:val="24"/>
          <w:szCs w:val="24"/>
        </w:rPr>
        <w:t>9-</w:t>
      </w:r>
      <w:r>
        <w:rPr>
          <w:rFonts w:asciiTheme="majorBidi" w:hAnsiTheme="majorBidi" w:cstheme="majorBidi"/>
          <w:sz w:val="24"/>
          <w:szCs w:val="24"/>
        </w:rPr>
        <w:t>1083</w:t>
      </w:r>
      <w:r w:rsidR="0056229E">
        <w:rPr>
          <w:rFonts w:asciiTheme="majorBidi" w:hAnsiTheme="majorBidi" w:cstheme="majorBidi"/>
          <w:sz w:val="24"/>
          <w:szCs w:val="24"/>
        </w:rPr>
        <w:t xml:space="preserve"> </w:t>
      </w:r>
      <w:r>
        <w:rPr>
          <w:rFonts w:asciiTheme="majorBidi" w:hAnsiTheme="majorBidi" w:cstheme="majorBidi"/>
          <w:sz w:val="24"/>
          <w:szCs w:val="24"/>
        </w:rPr>
        <w:t>publié au BO n°6880 du 7 mai 2020</w:t>
      </w:r>
      <w:r w:rsidR="006A3E0C">
        <w:rPr>
          <w:rFonts w:asciiTheme="majorBidi" w:hAnsiTheme="majorBidi" w:cstheme="majorBidi"/>
          <w:sz w:val="24"/>
          <w:szCs w:val="24"/>
        </w:rPr>
        <w:t xml:space="preserve"> et qui abroge le décret n°2-09-529 relatif à l’IPC base 2006</w:t>
      </w:r>
      <w:r w:rsidR="0002091A" w:rsidRPr="00612B9A">
        <w:rPr>
          <w:rFonts w:asciiTheme="majorBidi" w:hAnsiTheme="majorBidi" w:cstheme="majorBidi"/>
          <w:sz w:val="24"/>
          <w:szCs w:val="24"/>
        </w:rPr>
        <w:t>.</w:t>
      </w:r>
    </w:p>
    <w:p w:rsidR="0002091A" w:rsidRPr="00612B9A" w:rsidRDefault="0002091A" w:rsidP="00725E87">
      <w:pPr>
        <w:spacing w:before="240" w:after="240" w:line="240" w:lineRule="auto"/>
        <w:jc w:val="both"/>
        <w:rPr>
          <w:rFonts w:asciiTheme="majorBidi" w:hAnsiTheme="majorBidi" w:cstheme="majorBidi"/>
          <w:sz w:val="24"/>
          <w:szCs w:val="24"/>
        </w:rPr>
      </w:pPr>
      <w:r w:rsidRPr="00612B9A">
        <w:rPr>
          <w:rFonts w:asciiTheme="majorBidi" w:hAnsiTheme="majorBidi" w:cstheme="majorBidi"/>
          <w:sz w:val="24"/>
          <w:szCs w:val="24"/>
        </w:rPr>
        <w:t>L’IPC joue un triple rôle :</w:t>
      </w:r>
    </w:p>
    <w:p w:rsidR="0002091A" w:rsidRPr="00612B9A" w:rsidRDefault="0002091A" w:rsidP="00725E87">
      <w:pPr>
        <w:pStyle w:val="Paragraphedeliste"/>
        <w:numPr>
          <w:ilvl w:val="0"/>
          <w:numId w:val="28"/>
        </w:numPr>
        <w:spacing w:before="240" w:after="240" w:line="240" w:lineRule="auto"/>
        <w:jc w:val="both"/>
        <w:rPr>
          <w:rFonts w:asciiTheme="majorBidi" w:hAnsiTheme="majorBidi" w:cstheme="majorBidi"/>
          <w:sz w:val="24"/>
          <w:szCs w:val="24"/>
        </w:rPr>
      </w:pPr>
      <w:r w:rsidRPr="00612B9A">
        <w:rPr>
          <w:rFonts w:asciiTheme="majorBidi" w:hAnsiTheme="majorBidi" w:cstheme="majorBidi"/>
          <w:sz w:val="24"/>
          <w:szCs w:val="24"/>
        </w:rPr>
        <w:t>Economique : il permet de suivre, mois par mois, l’inflation et est également utilisé comme déflateur de nombreux agrégats</w:t>
      </w:r>
      <w:r w:rsidR="001241B7" w:rsidRPr="00612B9A">
        <w:rPr>
          <w:rFonts w:asciiTheme="majorBidi" w:hAnsiTheme="majorBidi" w:cstheme="majorBidi"/>
          <w:sz w:val="24"/>
          <w:szCs w:val="24"/>
        </w:rPr>
        <w:t xml:space="preserve"> </w:t>
      </w:r>
      <w:r w:rsidR="00302B06">
        <w:rPr>
          <w:rFonts w:asciiTheme="majorBidi" w:hAnsiTheme="majorBidi" w:cstheme="majorBidi"/>
          <w:sz w:val="24"/>
          <w:szCs w:val="24"/>
        </w:rPr>
        <w:t>macro</w:t>
      </w:r>
      <w:r w:rsidR="001241B7" w:rsidRPr="00612B9A">
        <w:rPr>
          <w:rFonts w:asciiTheme="majorBidi" w:hAnsiTheme="majorBidi" w:cstheme="majorBidi"/>
          <w:sz w:val="24"/>
          <w:szCs w:val="24"/>
        </w:rPr>
        <w:t>économiques (PIB, Consommation,…) pour calculer des évolutio</w:t>
      </w:r>
      <w:r w:rsidR="00302B06">
        <w:rPr>
          <w:rFonts w:asciiTheme="majorBidi" w:hAnsiTheme="majorBidi" w:cstheme="majorBidi"/>
          <w:sz w:val="24"/>
          <w:szCs w:val="24"/>
        </w:rPr>
        <w:t>ns en volume ou en termes réels ;</w:t>
      </w:r>
    </w:p>
    <w:p w:rsidR="001241B7" w:rsidRPr="00612B9A" w:rsidRDefault="001241B7" w:rsidP="00725E87">
      <w:pPr>
        <w:pStyle w:val="Paragraphedeliste"/>
        <w:numPr>
          <w:ilvl w:val="0"/>
          <w:numId w:val="28"/>
        </w:numPr>
        <w:spacing w:before="240" w:after="240" w:line="240" w:lineRule="auto"/>
        <w:jc w:val="both"/>
        <w:rPr>
          <w:rFonts w:asciiTheme="majorBidi" w:hAnsiTheme="majorBidi" w:cstheme="majorBidi"/>
          <w:sz w:val="24"/>
          <w:szCs w:val="24"/>
        </w:rPr>
      </w:pPr>
      <w:r w:rsidRPr="00612B9A">
        <w:rPr>
          <w:rFonts w:asciiTheme="majorBidi" w:hAnsiTheme="majorBidi" w:cstheme="majorBidi"/>
          <w:sz w:val="24"/>
          <w:szCs w:val="24"/>
        </w:rPr>
        <w:t>Socio-économique : l’IPC sert à indexer de nombreux contrats entre les différents partenaires. Il sert, également, d’instrument</w:t>
      </w:r>
      <w:r w:rsidR="00302B06">
        <w:rPr>
          <w:rFonts w:asciiTheme="majorBidi" w:hAnsiTheme="majorBidi" w:cstheme="majorBidi"/>
          <w:sz w:val="24"/>
          <w:szCs w:val="24"/>
        </w:rPr>
        <w:t xml:space="preserve"> de travail pour les chercheurs ;</w:t>
      </w:r>
    </w:p>
    <w:p w:rsidR="00E25D71" w:rsidRDefault="001241B7" w:rsidP="00725E87">
      <w:pPr>
        <w:pStyle w:val="Paragraphedeliste"/>
        <w:numPr>
          <w:ilvl w:val="0"/>
          <w:numId w:val="28"/>
        </w:numPr>
        <w:spacing w:before="240" w:after="240" w:line="240" w:lineRule="auto"/>
        <w:jc w:val="both"/>
        <w:rPr>
          <w:rFonts w:asciiTheme="majorBidi" w:hAnsiTheme="majorBidi" w:cstheme="majorBidi"/>
          <w:sz w:val="24"/>
          <w:szCs w:val="24"/>
        </w:rPr>
      </w:pPr>
      <w:r w:rsidRPr="00E25D71">
        <w:rPr>
          <w:rFonts w:asciiTheme="majorBidi" w:hAnsiTheme="majorBidi" w:cstheme="majorBidi"/>
          <w:sz w:val="24"/>
          <w:szCs w:val="24"/>
        </w:rPr>
        <w:t xml:space="preserve">Monétaire et financier : il est utilisé dans l’élaboration de la politique monétaire à des fins </w:t>
      </w:r>
      <w:r w:rsidR="002F1959" w:rsidRPr="00E25D71">
        <w:rPr>
          <w:rFonts w:asciiTheme="majorBidi" w:hAnsiTheme="majorBidi" w:cstheme="majorBidi"/>
          <w:sz w:val="24"/>
          <w:szCs w:val="24"/>
        </w:rPr>
        <w:t>de comparaison internationale. C’est dans ce sens que les indices des prix ont fait l’objet d’un travail d’harmonisation entre les services statistiques nationaux</w:t>
      </w:r>
      <w:r w:rsidR="00E25D71" w:rsidRPr="00E25D71">
        <w:rPr>
          <w:rFonts w:asciiTheme="majorBidi" w:hAnsiTheme="majorBidi" w:cstheme="majorBidi"/>
          <w:sz w:val="24"/>
          <w:szCs w:val="24"/>
        </w:rPr>
        <w:t>.</w:t>
      </w:r>
      <w:r w:rsidR="002F1959" w:rsidRPr="00E25D71">
        <w:rPr>
          <w:rFonts w:asciiTheme="majorBidi" w:hAnsiTheme="majorBidi" w:cstheme="majorBidi"/>
          <w:sz w:val="24"/>
          <w:szCs w:val="24"/>
        </w:rPr>
        <w:t xml:space="preserve"> </w:t>
      </w:r>
    </w:p>
    <w:p w:rsidR="002F1959" w:rsidRPr="00E25D71" w:rsidRDefault="002F1959" w:rsidP="00E25D71">
      <w:pPr>
        <w:spacing w:before="240" w:after="240" w:line="240" w:lineRule="auto"/>
        <w:jc w:val="both"/>
        <w:rPr>
          <w:rFonts w:asciiTheme="majorBidi" w:hAnsiTheme="majorBidi" w:cstheme="majorBidi"/>
          <w:sz w:val="24"/>
          <w:szCs w:val="24"/>
        </w:rPr>
      </w:pPr>
      <w:r w:rsidRPr="00E25D71">
        <w:rPr>
          <w:rFonts w:asciiTheme="majorBidi" w:hAnsiTheme="majorBidi" w:cstheme="majorBidi"/>
          <w:sz w:val="24"/>
          <w:szCs w:val="24"/>
        </w:rPr>
        <w:t>L’IPC est l’un des principaux indices calculés par le Haut Commissariat au Plan. Pour cela, une enquête permanente sur les prix de détail est réalisée afin de servir de base de données pour le calcul mensuel de l’IPC.</w:t>
      </w:r>
    </w:p>
    <w:p w:rsidR="00612B9A" w:rsidRPr="00612B9A" w:rsidRDefault="00FC4512" w:rsidP="005D5073">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première partie du présent rapport</w:t>
      </w:r>
      <w:r w:rsidR="001F1549">
        <w:rPr>
          <w:rFonts w:asciiTheme="majorBidi" w:hAnsiTheme="majorBidi" w:cstheme="majorBidi"/>
          <w:sz w:val="24"/>
          <w:szCs w:val="24"/>
        </w:rPr>
        <w:t xml:space="preserve"> </w:t>
      </w:r>
      <w:r w:rsidR="00105F6E" w:rsidRPr="00612B9A">
        <w:rPr>
          <w:rFonts w:asciiTheme="majorBidi" w:hAnsiTheme="majorBidi" w:cstheme="majorBidi"/>
          <w:sz w:val="24"/>
          <w:szCs w:val="24"/>
        </w:rPr>
        <w:t>mettr</w:t>
      </w:r>
      <w:r>
        <w:rPr>
          <w:rFonts w:asciiTheme="majorBidi" w:hAnsiTheme="majorBidi" w:cstheme="majorBidi"/>
          <w:sz w:val="24"/>
          <w:szCs w:val="24"/>
        </w:rPr>
        <w:t>a</w:t>
      </w:r>
      <w:r w:rsidR="00105F6E" w:rsidRPr="00612B9A">
        <w:rPr>
          <w:rFonts w:asciiTheme="majorBidi" w:hAnsiTheme="majorBidi" w:cstheme="majorBidi"/>
          <w:sz w:val="24"/>
          <w:szCs w:val="24"/>
        </w:rPr>
        <w:t xml:space="preserve"> la lumière sur l’historique </w:t>
      </w:r>
      <w:r w:rsidR="005266EA">
        <w:rPr>
          <w:rFonts w:asciiTheme="majorBidi" w:hAnsiTheme="majorBidi" w:cstheme="majorBidi"/>
          <w:sz w:val="24"/>
          <w:szCs w:val="24"/>
        </w:rPr>
        <w:t>d</w:t>
      </w:r>
      <w:r w:rsidR="00105F6E" w:rsidRPr="00612B9A">
        <w:rPr>
          <w:rFonts w:asciiTheme="majorBidi" w:hAnsiTheme="majorBidi" w:cstheme="majorBidi"/>
          <w:sz w:val="24"/>
          <w:szCs w:val="24"/>
        </w:rPr>
        <w:t xml:space="preserve">u système de suivi des prix de détail au Maroc. Ensuite, </w:t>
      </w:r>
      <w:r w:rsidR="00905C64">
        <w:rPr>
          <w:rFonts w:asciiTheme="majorBidi" w:hAnsiTheme="majorBidi" w:cstheme="majorBidi"/>
          <w:sz w:val="24"/>
          <w:szCs w:val="24"/>
        </w:rPr>
        <w:t>le deuxième chapitre</w:t>
      </w:r>
      <w:r w:rsidR="00612B9A" w:rsidRPr="00612B9A">
        <w:rPr>
          <w:rFonts w:asciiTheme="majorBidi" w:hAnsiTheme="majorBidi" w:cstheme="majorBidi"/>
          <w:sz w:val="24"/>
          <w:szCs w:val="24"/>
        </w:rPr>
        <w:t xml:space="preserve"> </w:t>
      </w:r>
      <w:r w:rsidR="004766B3">
        <w:rPr>
          <w:rFonts w:asciiTheme="majorBidi" w:hAnsiTheme="majorBidi" w:cstheme="majorBidi"/>
          <w:sz w:val="24"/>
          <w:szCs w:val="24"/>
        </w:rPr>
        <w:t xml:space="preserve">donnera un aperçu sur </w:t>
      </w:r>
      <w:r w:rsidR="004766B3" w:rsidRPr="00612B9A">
        <w:rPr>
          <w:rFonts w:asciiTheme="majorBidi" w:hAnsiTheme="majorBidi" w:cstheme="majorBidi"/>
          <w:sz w:val="24"/>
          <w:szCs w:val="24"/>
        </w:rPr>
        <w:t>l’aspect méthodologique de l’IPC</w:t>
      </w:r>
      <w:r w:rsidR="004766B3">
        <w:rPr>
          <w:rFonts w:asciiTheme="majorBidi" w:hAnsiTheme="majorBidi" w:cstheme="majorBidi"/>
          <w:sz w:val="24"/>
          <w:szCs w:val="24"/>
        </w:rPr>
        <w:t xml:space="preserve"> où </w:t>
      </w:r>
      <w:r>
        <w:rPr>
          <w:rFonts w:asciiTheme="majorBidi" w:hAnsiTheme="majorBidi" w:cstheme="majorBidi"/>
          <w:sz w:val="24"/>
          <w:szCs w:val="24"/>
        </w:rPr>
        <w:t>on</w:t>
      </w:r>
      <w:r w:rsidR="004766B3">
        <w:rPr>
          <w:rFonts w:asciiTheme="majorBidi" w:hAnsiTheme="majorBidi" w:cstheme="majorBidi"/>
          <w:sz w:val="24"/>
          <w:szCs w:val="24"/>
        </w:rPr>
        <w:t xml:space="preserve"> présenter</w:t>
      </w:r>
      <w:r>
        <w:rPr>
          <w:rFonts w:asciiTheme="majorBidi" w:hAnsiTheme="majorBidi" w:cstheme="majorBidi"/>
          <w:sz w:val="24"/>
          <w:szCs w:val="24"/>
        </w:rPr>
        <w:t>a</w:t>
      </w:r>
      <w:r w:rsidR="004766B3" w:rsidRPr="00612B9A">
        <w:rPr>
          <w:rFonts w:asciiTheme="majorBidi" w:hAnsiTheme="majorBidi" w:cstheme="majorBidi"/>
          <w:sz w:val="24"/>
          <w:szCs w:val="24"/>
        </w:rPr>
        <w:t>, en plus de l’aspect théorique, des éclaircissements sur les démarches suivies pour la réalisation de l’enquête sur les prix à la consommation.</w:t>
      </w:r>
      <w:r w:rsidR="004766B3">
        <w:rPr>
          <w:rFonts w:asciiTheme="majorBidi" w:hAnsiTheme="majorBidi" w:cstheme="majorBidi"/>
          <w:sz w:val="24"/>
          <w:szCs w:val="24"/>
        </w:rPr>
        <w:t xml:space="preserve"> Enfin, le dernier chapitre </w:t>
      </w:r>
      <w:r w:rsidR="00612B9A" w:rsidRPr="00612B9A">
        <w:rPr>
          <w:rFonts w:asciiTheme="majorBidi" w:hAnsiTheme="majorBidi" w:cstheme="majorBidi"/>
          <w:sz w:val="24"/>
          <w:szCs w:val="24"/>
        </w:rPr>
        <w:t xml:space="preserve">sera consacré à l’analyse des </w:t>
      </w:r>
      <w:r w:rsidR="00905C64">
        <w:rPr>
          <w:rFonts w:asciiTheme="majorBidi" w:hAnsiTheme="majorBidi" w:cstheme="majorBidi"/>
          <w:sz w:val="24"/>
          <w:szCs w:val="24"/>
        </w:rPr>
        <w:t xml:space="preserve">principaux </w:t>
      </w:r>
      <w:r w:rsidR="00612B9A" w:rsidRPr="00612B9A">
        <w:rPr>
          <w:rFonts w:asciiTheme="majorBidi" w:hAnsiTheme="majorBidi" w:cstheme="majorBidi"/>
          <w:sz w:val="24"/>
          <w:szCs w:val="24"/>
        </w:rPr>
        <w:t xml:space="preserve">résultats de l’indice des prix à la consommation au niveau de la ville de </w:t>
      </w:r>
      <w:r w:rsidR="00B12946" w:rsidRPr="00612B9A">
        <w:rPr>
          <w:rFonts w:asciiTheme="majorBidi" w:hAnsiTheme="majorBidi" w:cstheme="majorBidi"/>
          <w:sz w:val="24"/>
          <w:szCs w:val="24"/>
        </w:rPr>
        <w:t>Kenitra</w:t>
      </w:r>
      <w:r w:rsidR="00612B9A" w:rsidRPr="00612B9A">
        <w:rPr>
          <w:rFonts w:asciiTheme="majorBidi" w:hAnsiTheme="majorBidi" w:cstheme="majorBidi"/>
          <w:sz w:val="24"/>
          <w:szCs w:val="24"/>
        </w:rPr>
        <w:t xml:space="preserve"> </w:t>
      </w:r>
      <w:r w:rsidR="00302B06">
        <w:rPr>
          <w:rFonts w:asciiTheme="majorBidi" w:hAnsiTheme="majorBidi" w:cstheme="majorBidi"/>
          <w:sz w:val="24"/>
          <w:szCs w:val="24"/>
        </w:rPr>
        <w:t xml:space="preserve">accompagnée d’une </w:t>
      </w:r>
      <w:r w:rsidR="00612B9A" w:rsidRPr="00612B9A">
        <w:rPr>
          <w:rFonts w:asciiTheme="majorBidi" w:hAnsiTheme="majorBidi" w:cstheme="majorBidi"/>
          <w:sz w:val="24"/>
          <w:szCs w:val="24"/>
        </w:rPr>
        <w:t>comparaison avec l’IPC national</w:t>
      </w:r>
      <w:r>
        <w:rPr>
          <w:rFonts w:asciiTheme="majorBidi" w:hAnsiTheme="majorBidi" w:cstheme="majorBidi"/>
          <w:sz w:val="24"/>
          <w:szCs w:val="24"/>
        </w:rPr>
        <w:t xml:space="preserve"> et ce</w:t>
      </w:r>
      <w:r w:rsidR="00E95877">
        <w:rPr>
          <w:rFonts w:asciiTheme="majorBidi" w:hAnsiTheme="majorBidi" w:cstheme="majorBidi"/>
          <w:sz w:val="24"/>
          <w:szCs w:val="24"/>
        </w:rPr>
        <w:t>,</w:t>
      </w:r>
      <w:r>
        <w:rPr>
          <w:rFonts w:asciiTheme="majorBidi" w:hAnsiTheme="majorBidi" w:cstheme="majorBidi"/>
          <w:sz w:val="24"/>
          <w:szCs w:val="24"/>
        </w:rPr>
        <w:t xml:space="preserve"> pour la période allant de 20</w:t>
      </w:r>
      <w:r w:rsidR="006A3E0C">
        <w:rPr>
          <w:rFonts w:asciiTheme="majorBidi" w:hAnsiTheme="majorBidi" w:cstheme="majorBidi"/>
          <w:sz w:val="24"/>
          <w:szCs w:val="24"/>
        </w:rPr>
        <w:t>1</w:t>
      </w:r>
      <w:r>
        <w:rPr>
          <w:rFonts w:asciiTheme="majorBidi" w:hAnsiTheme="majorBidi" w:cstheme="majorBidi"/>
          <w:sz w:val="24"/>
          <w:szCs w:val="24"/>
        </w:rPr>
        <w:t>7 à 20</w:t>
      </w:r>
      <w:r w:rsidR="006A3E0C">
        <w:rPr>
          <w:rFonts w:asciiTheme="majorBidi" w:hAnsiTheme="majorBidi" w:cstheme="majorBidi"/>
          <w:sz w:val="24"/>
          <w:szCs w:val="24"/>
        </w:rPr>
        <w:t>20</w:t>
      </w:r>
      <w:r>
        <w:rPr>
          <w:rFonts w:asciiTheme="majorBidi" w:hAnsiTheme="majorBidi" w:cstheme="majorBidi"/>
          <w:sz w:val="24"/>
          <w:szCs w:val="24"/>
        </w:rPr>
        <w:t>.</w:t>
      </w:r>
      <w:r w:rsidR="00612B9A" w:rsidRPr="00612B9A">
        <w:rPr>
          <w:rFonts w:asciiTheme="majorBidi" w:hAnsiTheme="majorBidi" w:cstheme="majorBidi"/>
          <w:sz w:val="24"/>
          <w:szCs w:val="24"/>
        </w:rPr>
        <w:t xml:space="preserve"> </w:t>
      </w:r>
    </w:p>
    <w:p w:rsidR="006B1064" w:rsidRPr="00612B9A" w:rsidRDefault="006B1064" w:rsidP="00725E87">
      <w:pPr>
        <w:spacing w:before="240" w:after="240" w:line="240" w:lineRule="auto"/>
        <w:jc w:val="both"/>
        <w:rPr>
          <w:rFonts w:asciiTheme="majorBidi" w:hAnsiTheme="majorBidi" w:cstheme="majorBidi"/>
          <w:sz w:val="24"/>
          <w:szCs w:val="24"/>
        </w:rPr>
      </w:pPr>
    </w:p>
    <w:p w:rsidR="006B1064" w:rsidRPr="00612B9A" w:rsidRDefault="006B1064" w:rsidP="00725E87">
      <w:pPr>
        <w:spacing w:before="240" w:after="240" w:line="240" w:lineRule="auto"/>
        <w:jc w:val="both"/>
        <w:rPr>
          <w:rFonts w:asciiTheme="majorBidi" w:hAnsiTheme="majorBidi" w:cstheme="majorBidi"/>
          <w:sz w:val="24"/>
          <w:szCs w:val="24"/>
        </w:rPr>
      </w:pPr>
    </w:p>
    <w:p w:rsidR="00DF65E2" w:rsidRDefault="00DF65E2" w:rsidP="00586B08">
      <w:pPr>
        <w:pStyle w:val="Titre1"/>
        <w:rPr>
          <w:rFonts w:asciiTheme="majorBidi" w:hAnsiTheme="majorBidi"/>
          <w:color w:val="0070C0"/>
        </w:rPr>
      </w:pPr>
    </w:p>
    <w:p w:rsidR="00DF65E2" w:rsidRDefault="00DF65E2" w:rsidP="00DF65E2"/>
    <w:p w:rsidR="00DF65E2" w:rsidRDefault="00DF65E2" w:rsidP="00DF65E2"/>
    <w:p w:rsidR="00A15D45" w:rsidRDefault="00A15D45" w:rsidP="00DF65E2"/>
    <w:p w:rsidR="00170E99" w:rsidRDefault="00170E99">
      <w:r>
        <w:br w:type="page"/>
      </w:r>
    </w:p>
    <w:p w:rsidR="00170E99" w:rsidRDefault="00170E99"/>
    <w:p w:rsidR="00170E99" w:rsidRDefault="00170E99" w:rsidP="00170E99"/>
    <w:p w:rsidR="00170E99" w:rsidRDefault="00170E99" w:rsidP="00170E99"/>
    <w:p w:rsidR="00170E99" w:rsidRDefault="00170E99" w:rsidP="00170E99"/>
    <w:p w:rsidR="00170E99" w:rsidRDefault="00170E99" w:rsidP="00170E99"/>
    <w:p w:rsidR="00170E99" w:rsidRDefault="00170E99" w:rsidP="00170E99"/>
    <w:p w:rsidR="00170E99" w:rsidRDefault="00170E99" w:rsidP="00170E99"/>
    <w:p w:rsidR="00170E99" w:rsidRDefault="00170E99" w:rsidP="00170E99"/>
    <w:p w:rsidR="00E2154A" w:rsidRPr="00C4542D" w:rsidRDefault="00C4542D" w:rsidP="00170E99">
      <w:pPr>
        <w:rPr>
          <w:rFonts w:asciiTheme="majorBidi" w:hAnsiTheme="majorBidi"/>
          <w:b/>
          <w:bCs/>
          <w:color w:val="0070C0"/>
          <w:sz w:val="72"/>
          <w:szCs w:val="72"/>
        </w:rPr>
      </w:pPr>
      <w:r w:rsidRPr="00C4542D">
        <w:rPr>
          <w:rFonts w:asciiTheme="majorBidi" w:hAnsiTheme="majorBidi"/>
          <w:b/>
          <w:bCs/>
          <w:color w:val="0070C0"/>
          <w:sz w:val="72"/>
          <w:szCs w:val="72"/>
        </w:rPr>
        <w:t>CHAPITRE I</w:t>
      </w:r>
    </w:p>
    <w:p w:rsidR="00C4542D" w:rsidRPr="00C4542D" w:rsidRDefault="00C4542D" w:rsidP="00170E99">
      <w:pPr>
        <w:rPr>
          <w:rFonts w:asciiTheme="majorBidi" w:hAnsiTheme="majorBidi"/>
          <w:b/>
          <w:bCs/>
          <w:color w:val="0070C0"/>
          <w:sz w:val="72"/>
          <w:szCs w:val="72"/>
        </w:rPr>
      </w:pPr>
      <w:r w:rsidRPr="00C4542D">
        <w:rPr>
          <w:rFonts w:asciiTheme="majorBidi" w:hAnsiTheme="majorBidi"/>
          <w:b/>
          <w:bCs/>
          <w:color w:val="0070C0"/>
          <w:sz w:val="72"/>
          <w:szCs w:val="72"/>
        </w:rPr>
        <w:t>HISTORIQUE DU SYSTEME DE SUIVI DES PRIX DE DETAIL</w:t>
      </w:r>
    </w:p>
    <w:p w:rsidR="00E2154A" w:rsidRDefault="00E2154A">
      <w:pPr>
        <w:rPr>
          <w:rFonts w:asciiTheme="majorBidi" w:hAnsiTheme="majorBidi"/>
          <w:color w:val="0070C0"/>
          <w:sz w:val="32"/>
          <w:szCs w:val="32"/>
        </w:rPr>
      </w:pPr>
      <w:r>
        <w:rPr>
          <w:rFonts w:asciiTheme="majorBidi" w:hAnsiTheme="majorBidi"/>
          <w:color w:val="0070C0"/>
          <w:sz w:val="32"/>
          <w:szCs w:val="32"/>
        </w:rPr>
        <w:br w:type="page"/>
      </w:r>
    </w:p>
    <w:p w:rsidR="006B1064" w:rsidRPr="00B432FD" w:rsidRDefault="00170E99" w:rsidP="009C5270">
      <w:pPr>
        <w:pStyle w:val="Titre1"/>
        <w:rPr>
          <w:rFonts w:asciiTheme="majorBidi" w:hAnsiTheme="majorBidi"/>
          <w:color w:val="0070C0"/>
        </w:rPr>
      </w:pPr>
      <w:r w:rsidRPr="00B432FD">
        <w:lastRenderedPageBreak/>
        <w:t xml:space="preserve"> </w:t>
      </w:r>
      <w:bookmarkStart w:id="3" w:name="_Toc68443116"/>
      <w:r w:rsidR="00725E87" w:rsidRPr="00B432FD">
        <w:rPr>
          <w:rFonts w:asciiTheme="majorBidi" w:hAnsiTheme="majorBidi"/>
          <w:color w:val="0070C0"/>
        </w:rPr>
        <w:t xml:space="preserve">I- </w:t>
      </w:r>
      <w:r w:rsidR="00612B9A" w:rsidRPr="00B432FD">
        <w:rPr>
          <w:rFonts w:asciiTheme="majorBidi" w:hAnsiTheme="majorBidi"/>
          <w:color w:val="0070C0"/>
        </w:rPr>
        <w:t>Historique du système de suivi des prix de détail</w:t>
      </w:r>
      <w:bookmarkEnd w:id="3"/>
    </w:p>
    <w:p w:rsidR="00612B9A" w:rsidRDefault="00612B9A"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L’histoire des indices des prix de détail remonte aux années trente</w:t>
      </w:r>
      <w:r w:rsidR="00302B06">
        <w:rPr>
          <w:rFonts w:asciiTheme="majorBidi" w:hAnsiTheme="majorBidi" w:cstheme="majorBidi"/>
          <w:sz w:val="24"/>
          <w:szCs w:val="24"/>
        </w:rPr>
        <w:t>,</w:t>
      </w:r>
      <w:r>
        <w:rPr>
          <w:rFonts w:asciiTheme="majorBidi" w:hAnsiTheme="majorBidi" w:cstheme="majorBidi"/>
          <w:sz w:val="24"/>
          <w:szCs w:val="24"/>
        </w:rPr>
        <w:t xml:space="preserve"> avec le calcul d’un indice au niveau de Casablanca sur la base de 42 articles pour les marocains et 38 pour les européens. Une telle distinction s’imposait vu</w:t>
      </w:r>
      <w:r w:rsidR="00905C64">
        <w:rPr>
          <w:rFonts w:asciiTheme="majorBidi" w:hAnsiTheme="majorBidi" w:cstheme="majorBidi"/>
          <w:sz w:val="24"/>
          <w:szCs w:val="24"/>
        </w:rPr>
        <w:t>es</w:t>
      </w:r>
      <w:r>
        <w:rPr>
          <w:rFonts w:asciiTheme="majorBidi" w:hAnsiTheme="majorBidi" w:cstheme="majorBidi"/>
          <w:sz w:val="24"/>
          <w:szCs w:val="24"/>
        </w:rPr>
        <w:t xml:space="preserve"> les divergences dans les habitudes de consommation entre les deux communautés.</w:t>
      </w:r>
    </w:p>
    <w:p w:rsidR="00612B9A" w:rsidRDefault="00612B9A" w:rsidP="0047754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Après l’indépendance, un nouvel indice a vu le jour et a remplacé l’ancien </w:t>
      </w:r>
      <w:r w:rsidR="008B1B4C">
        <w:rPr>
          <w:rFonts w:asciiTheme="majorBidi" w:hAnsiTheme="majorBidi" w:cstheme="majorBidi"/>
          <w:sz w:val="24"/>
          <w:szCs w:val="24"/>
        </w:rPr>
        <w:t xml:space="preserve">qui distinguait entre </w:t>
      </w:r>
      <w:r>
        <w:rPr>
          <w:rFonts w:asciiTheme="majorBidi" w:hAnsiTheme="majorBidi" w:cstheme="majorBidi"/>
          <w:sz w:val="24"/>
          <w:szCs w:val="24"/>
        </w:rPr>
        <w:t xml:space="preserve"> </w:t>
      </w:r>
      <w:r w:rsidR="008B1B4C">
        <w:rPr>
          <w:rFonts w:asciiTheme="majorBidi" w:hAnsiTheme="majorBidi" w:cstheme="majorBidi"/>
          <w:sz w:val="24"/>
          <w:szCs w:val="24"/>
        </w:rPr>
        <w:t>la population autochtone et celle étrangère. Celui-ci a été élargi à 111 articles relatifs à un budget modeste des salariés casablancais.</w:t>
      </w:r>
    </w:p>
    <w:p w:rsidR="008B1B4C" w:rsidRDefault="008B1B4C" w:rsidP="0047754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En 1972, l’indice (base 100 : </w:t>
      </w:r>
      <w:r w:rsidR="00477549">
        <w:rPr>
          <w:rFonts w:asciiTheme="majorBidi" w:hAnsiTheme="majorBidi" w:cstheme="majorBidi"/>
          <w:sz w:val="24"/>
          <w:szCs w:val="24"/>
        </w:rPr>
        <w:t>M</w:t>
      </w:r>
      <w:r>
        <w:rPr>
          <w:rFonts w:asciiTheme="majorBidi" w:hAnsiTheme="majorBidi" w:cstheme="majorBidi"/>
          <w:sz w:val="24"/>
          <w:szCs w:val="24"/>
        </w:rPr>
        <w:t>ai72-</w:t>
      </w:r>
      <w:r w:rsidR="00477549">
        <w:rPr>
          <w:rFonts w:asciiTheme="majorBidi" w:hAnsiTheme="majorBidi" w:cstheme="majorBidi"/>
          <w:sz w:val="24"/>
          <w:szCs w:val="24"/>
        </w:rPr>
        <w:t>A</w:t>
      </w:r>
      <w:r>
        <w:rPr>
          <w:rFonts w:asciiTheme="majorBidi" w:hAnsiTheme="majorBidi" w:cstheme="majorBidi"/>
          <w:sz w:val="24"/>
          <w:szCs w:val="24"/>
        </w:rPr>
        <w:t>vril73)  a été mis en place comme substitut de l’ancien indice (base 100 : oct58-sep59), avec, cette fois-ci, un panier de 210 articles et un champ géographique beaucoup plus étendu</w:t>
      </w:r>
      <w:r w:rsidR="00302B06">
        <w:rPr>
          <w:rFonts w:asciiTheme="majorBidi" w:hAnsiTheme="majorBidi" w:cstheme="majorBidi"/>
          <w:sz w:val="24"/>
          <w:szCs w:val="24"/>
        </w:rPr>
        <w:t>,</w:t>
      </w:r>
      <w:r>
        <w:rPr>
          <w:rFonts w:asciiTheme="majorBidi" w:hAnsiTheme="majorBidi" w:cstheme="majorBidi"/>
          <w:sz w:val="24"/>
          <w:szCs w:val="24"/>
        </w:rPr>
        <w:t xml:space="preserve"> couvrant huit villes à savo</w:t>
      </w:r>
      <w:r w:rsidR="00477549">
        <w:rPr>
          <w:rFonts w:asciiTheme="majorBidi" w:hAnsiTheme="majorBidi" w:cstheme="majorBidi"/>
          <w:sz w:val="24"/>
          <w:szCs w:val="24"/>
        </w:rPr>
        <w:t>ir : Agadir, Casablanca, Fès, Ké</w:t>
      </w:r>
      <w:r>
        <w:rPr>
          <w:rFonts w:asciiTheme="majorBidi" w:hAnsiTheme="majorBidi" w:cstheme="majorBidi"/>
          <w:sz w:val="24"/>
          <w:szCs w:val="24"/>
        </w:rPr>
        <w:t>nitra, Marrakech, Oujda, Rabat et Této</w:t>
      </w:r>
      <w:r w:rsidR="00477549">
        <w:rPr>
          <w:rFonts w:asciiTheme="majorBidi" w:hAnsiTheme="majorBidi" w:cstheme="majorBidi"/>
          <w:sz w:val="24"/>
          <w:szCs w:val="24"/>
        </w:rPr>
        <w:t>uan. La population de référence</w:t>
      </w:r>
      <w:r>
        <w:rPr>
          <w:rFonts w:asciiTheme="majorBidi" w:hAnsiTheme="majorBidi" w:cstheme="majorBidi"/>
          <w:sz w:val="24"/>
          <w:szCs w:val="24"/>
        </w:rPr>
        <w:t xml:space="preserve">, elle aussi, </w:t>
      </w:r>
      <w:r w:rsidR="00477549">
        <w:rPr>
          <w:rFonts w:asciiTheme="majorBidi" w:hAnsiTheme="majorBidi" w:cstheme="majorBidi"/>
          <w:sz w:val="24"/>
          <w:szCs w:val="24"/>
        </w:rPr>
        <w:t xml:space="preserve">a </w:t>
      </w:r>
      <w:r>
        <w:rPr>
          <w:rFonts w:asciiTheme="majorBidi" w:hAnsiTheme="majorBidi" w:cstheme="majorBidi"/>
          <w:sz w:val="24"/>
          <w:szCs w:val="24"/>
        </w:rPr>
        <w:t xml:space="preserve">été élargie pour englober toute la classe moyenne </w:t>
      </w:r>
      <w:r w:rsidR="00CC4351">
        <w:rPr>
          <w:rFonts w:asciiTheme="majorBidi" w:hAnsiTheme="majorBidi" w:cstheme="majorBidi"/>
          <w:sz w:val="24"/>
          <w:szCs w:val="24"/>
        </w:rPr>
        <w:t>(</w:t>
      </w:r>
      <w:r w:rsidR="00477549">
        <w:rPr>
          <w:rFonts w:asciiTheme="majorBidi" w:hAnsiTheme="majorBidi" w:cstheme="majorBidi"/>
          <w:sz w:val="24"/>
          <w:szCs w:val="24"/>
        </w:rPr>
        <w:t>C</w:t>
      </w:r>
      <w:r w:rsidR="00CC4351">
        <w:rPr>
          <w:rFonts w:asciiTheme="majorBidi" w:hAnsiTheme="majorBidi" w:cstheme="majorBidi"/>
          <w:sz w:val="24"/>
          <w:szCs w:val="24"/>
        </w:rPr>
        <w:t>adres</w:t>
      </w:r>
      <w:r>
        <w:rPr>
          <w:rFonts w:asciiTheme="majorBidi" w:hAnsiTheme="majorBidi" w:cstheme="majorBidi"/>
          <w:sz w:val="24"/>
          <w:szCs w:val="24"/>
        </w:rPr>
        <w:t xml:space="preserve"> moyens, </w:t>
      </w:r>
      <w:r w:rsidR="00477549">
        <w:rPr>
          <w:rFonts w:asciiTheme="majorBidi" w:hAnsiTheme="majorBidi" w:cstheme="majorBidi"/>
          <w:sz w:val="24"/>
          <w:szCs w:val="24"/>
        </w:rPr>
        <w:t>C</w:t>
      </w:r>
      <w:r w:rsidR="00CC4351">
        <w:rPr>
          <w:rFonts w:asciiTheme="majorBidi" w:hAnsiTheme="majorBidi" w:cstheme="majorBidi"/>
          <w:sz w:val="24"/>
          <w:szCs w:val="24"/>
        </w:rPr>
        <w:t>ommerçants,</w:t>
      </w:r>
      <w:r>
        <w:rPr>
          <w:rFonts w:asciiTheme="majorBidi" w:hAnsiTheme="majorBidi" w:cstheme="majorBidi"/>
          <w:sz w:val="24"/>
          <w:szCs w:val="24"/>
        </w:rPr>
        <w:t xml:space="preserve"> </w:t>
      </w:r>
      <w:r w:rsidR="00477549">
        <w:rPr>
          <w:rFonts w:asciiTheme="majorBidi" w:hAnsiTheme="majorBidi" w:cstheme="majorBidi"/>
          <w:sz w:val="24"/>
          <w:szCs w:val="24"/>
        </w:rPr>
        <w:t>I</w:t>
      </w:r>
      <w:r>
        <w:rPr>
          <w:rFonts w:asciiTheme="majorBidi" w:hAnsiTheme="majorBidi" w:cstheme="majorBidi"/>
          <w:sz w:val="24"/>
          <w:szCs w:val="24"/>
        </w:rPr>
        <w:t xml:space="preserve">ndépendants non agricoles, </w:t>
      </w:r>
      <w:r w:rsidR="00477549">
        <w:rPr>
          <w:rFonts w:asciiTheme="majorBidi" w:hAnsiTheme="majorBidi" w:cstheme="majorBidi"/>
          <w:sz w:val="24"/>
          <w:szCs w:val="24"/>
        </w:rPr>
        <w:t>E</w:t>
      </w:r>
      <w:r>
        <w:rPr>
          <w:rFonts w:asciiTheme="majorBidi" w:hAnsiTheme="majorBidi" w:cstheme="majorBidi"/>
          <w:sz w:val="24"/>
          <w:szCs w:val="24"/>
        </w:rPr>
        <w:t>mployés d</w:t>
      </w:r>
      <w:r w:rsidR="00477549">
        <w:rPr>
          <w:rFonts w:asciiTheme="majorBidi" w:hAnsiTheme="majorBidi" w:cstheme="majorBidi"/>
          <w:sz w:val="24"/>
          <w:szCs w:val="24"/>
        </w:rPr>
        <w:t>ans les</w:t>
      </w:r>
      <w:r>
        <w:rPr>
          <w:rFonts w:asciiTheme="majorBidi" w:hAnsiTheme="majorBidi" w:cstheme="majorBidi"/>
          <w:sz w:val="24"/>
          <w:szCs w:val="24"/>
        </w:rPr>
        <w:t xml:space="preserve"> bureaux et les services et </w:t>
      </w:r>
      <w:r w:rsidR="00477549">
        <w:rPr>
          <w:rFonts w:asciiTheme="majorBidi" w:hAnsiTheme="majorBidi" w:cstheme="majorBidi"/>
          <w:sz w:val="24"/>
          <w:szCs w:val="24"/>
        </w:rPr>
        <w:t>O</w:t>
      </w:r>
      <w:r>
        <w:rPr>
          <w:rFonts w:asciiTheme="majorBidi" w:hAnsiTheme="majorBidi" w:cstheme="majorBidi"/>
          <w:sz w:val="24"/>
          <w:szCs w:val="24"/>
        </w:rPr>
        <w:t>uvriers non agricoles)</w:t>
      </w:r>
      <w:r w:rsidR="00CC4351">
        <w:rPr>
          <w:rFonts w:asciiTheme="majorBidi" w:hAnsiTheme="majorBidi" w:cstheme="majorBidi"/>
          <w:sz w:val="24"/>
          <w:szCs w:val="24"/>
        </w:rPr>
        <w:t>.</w:t>
      </w:r>
    </w:p>
    <w:p w:rsidR="00CC4351" w:rsidRDefault="00CC4351"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De même , cet indice a été réformé et remplacé par l’indice du coût de la vie (base 100 : 1989) qui avait le même objectif, à savoir la mesure de la variation des prix, entre deux dates données, des biens et services consommés, toujours par la population dite modeste vivant dans le milieu urbain. Le nombre d’articles composant le panier de cet indice a atteint 385  avec une couverture géographique de onze villes (trois villes de plus par rapport à l’ICV de 1972 et qui sont</w:t>
      </w:r>
      <w:r w:rsidR="00E95877">
        <w:rPr>
          <w:rFonts w:asciiTheme="majorBidi" w:hAnsiTheme="majorBidi" w:cstheme="majorBidi"/>
          <w:sz w:val="24"/>
          <w:szCs w:val="24"/>
        </w:rPr>
        <w:t> :</w:t>
      </w:r>
      <w:r>
        <w:rPr>
          <w:rFonts w:asciiTheme="majorBidi" w:hAnsiTheme="majorBidi" w:cstheme="majorBidi"/>
          <w:sz w:val="24"/>
          <w:szCs w:val="24"/>
        </w:rPr>
        <w:t xml:space="preserve"> Meknès, Tanger et L</w:t>
      </w:r>
      <w:r w:rsidR="003C05C9">
        <w:rPr>
          <w:rFonts w:asciiTheme="majorBidi" w:hAnsiTheme="majorBidi" w:cstheme="majorBidi"/>
          <w:sz w:val="24"/>
          <w:szCs w:val="24"/>
        </w:rPr>
        <w:t>â</w:t>
      </w:r>
      <w:r>
        <w:rPr>
          <w:rFonts w:asciiTheme="majorBidi" w:hAnsiTheme="majorBidi" w:cstheme="majorBidi"/>
          <w:sz w:val="24"/>
          <w:szCs w:val="24"/>
        </w:rPr>
        <w:t>ayoune).</w:t>
      </w:r>
    </w:p>
    <w:p w:rsidR="00CC4351" w:rsidRDefault="00CC4351" w:rsidP="0047754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Avec l’avènement de l’</w:t>
      </w:r>
      <w:r w:rsidR="00477549">
        <w:rPr>
          <w:rFonts w:asciiTheme="majorBidi" w:hAnsiTheme="majorBidi" w:cstheme="majorBidi"/>
          <w:sz w:val="24"/>
          <w:szCs w:val="24"/>
        </w:rPr>
        <w:t>E</w:t>
      </w:r>
      <w:r>
        <w:rPr>
          <w:rFonts w:asciiTheme="majorBidi" w:hAnsiTheme="majorBidi" w:cstheme="majorBidi"/>
          <w:sz w:val="24"/>
          <w:szCs w:val="24"/>
        </w:rPr>
        <w:t xml:space="preserve">nquête </w:t>
      </w:r>
      <w:r w:rsidR="00477549">
        <w:rPr>
          <w:rFonts w:asciiTheme="majorBidi" w:hAnsiTheme="majorBidi" w:cstheme="majorBidi"/>
          <w:sz w:val="24"/>
          <w:szCs w:val="24"/>
        </w:rPr>
        <w:t>N</w:t>
      </w:r>
      <w:r>
        <w:rPr>
          <w:rFonts w:asciiTheme="majorBidi" w:hAnsiTheme="majorBidi" w:cstheme="majorBidi"/>
          <w:sz w:val="24"/>
          <w:szCs w:val="24"/>
        </w:rPr>
        <w:t xml:space="preserve">ationale sur la </w:t>
      </w:r>
      <w:r w:rsidR="00477549">
        <w:rPr>
          <w:rFonts w:asciiTheme="majorBidi" w:hAnsiTheme="majorBidi" w:cstheme="majorBidi"/>
          <w:sz w:val="24"/>
          <w:szCs w:val="24"/>
        </w:rPr>
        <w:t>C</w:t>
      </w:r>
      <w:r>
        <w:rPr>
          <w:rFonts w:asciiTheme="majorBidi" w:hAnsiTheme="majorBidi" w:cstheme="majorBidi"/>
          <w:sz w:val="24"/>
          <w:szCs w:val="24"/>
        </w:rPr>
        <w:t xml:space="preserve">onsommation et les </w:t>
      </w:r>
      <w:r w:rsidR="00477549">
        <w:rPr>
          <w:rFonts w:asciiTheme="majorBidi" w:hAnsiTheme="majorBidi" w:cstheme="majorBidi"/>
          <w:sz w:val="24"/>
          <w:szCs w:val="24"/>
        </w:rPr>
        <w:t>D</w:t>
      </w:r>
      <w:r>
        <w:rPr>
          <w:rFonts w:asciiTheme="majorBidi" w:hAnsiTheme="majorBidi" w:cstheme="majorBidi"/>
          <w:sz w:val="24"/>
          <w:szCs w:val="24"/>
        </w:rPr>
        <w:t xml:space="preserve">épenses des </w:t>
      </w:r>
      <w:r w:rsidR="00477549">
        <w:rPr>
          <w:rFonts w:asciiTheme="majorBidi" w:hAnsiTheme="majorBidi" w:cstheme="majorBidi"/>
          <w:sz w:val="24"/>
          <w:szCs w:val="24"/>
        </w:rPr>
        <w:t>M</w:t>
      </w:r>
      <w:r>
        <w:rPr>
          <w:rFonts w:asciiTheme="majorBidi" w:hAnsiTheme="majorBidi" w:cstheme="majorBidi"/>
          <w:sz w:val="24"/>
          <w:szCs w:val="24"/>
        </w:rPr>
        <w:t>énages de 2001 et du Recensement Général de la Population et de l’Habitat de 2004, un besoin fort a été ressenti pour la réforme de l’ICV (base 100 :1989).</w:t>
      </w:r>
      <w:r w:rsidR="00754997">
        <w:rPr>
          <w:rFonts w:asciiTheme="majorBidi" w:hAnsiTheme="majorBidi" w:cstheme="majorBidi"/>
          <w:sz w:val="24"/>
          <w:szCs w:val="24"/>
        </w:rPr>
        <w:t xml:space="preserve"> D’autant plus, les articles constituant le panier de cet indice sont devenus obsolescents, vu qu’ils sont basés sur l’</w:t>
      </w:r>
      <w:r w:rsidR="00477549">
        <w:rPr>
          <w:rFonts w:asciiTheme="majorBidi" w:hAnsiTheme="majorBidi" w:cstheme="majorBidi"/>
          <w:sz w:val="24"/>
          <w:szCs w:val="24"/>
        </w:rPr>
        <w:t>E</w:t>
      </w:r>
      <w:r w:rsidR="00754997">
        <w:rPr>
          <w:rFonts w:asciiTheme="majorBidi" w:hAnsiTheme="majorBidi" w:cstheme="majorBidi"/>
          <w:sz w:val="24"/>
          <w:szCs w:val="24"/>
        </w:rPr>
        <w:t>nquête</w:t>
      </w:r>
      <w:r>
        <w:rPr>
          <w:rFonts w:asciiTheme="majorBidi" w:hAnsiTheme="majorBidi" w:cstheme="majorBidi"/>
          <w:sz w:val="24"/>
          <w:szCs w:val="24"/>
        </w:rPr>
        <w:t xml:space="preserve"> </w:t>
      </w:r>
      <w:r w:rsidR="00477549">
        <w:rPr>
          <w:rFonts w:asciiTheme="majorBidi" w:hAnsiTheme="majorBidi" w:cstheme="majorBidi"/>
          <w:sz w:val="24"/>
          <w:szCs w:val="24"/>
        </w:rPr>
        <w:t>N</w:t>
      </w:r>
      <w:r w:rsidR="00754997">
        <w:rPr>
          <w:rFonts w:asciiTheme="majorBidi" w:hAnsiTheme="majorBidi" w:cstheme="majorBidi"/>
          <w:sz w:val="24"/>
          <w:szCs w:val="24"/>
        </w:rPr>
        <w:t xml:space="preserve">ationale sur la </w:t>
      </w:r>
      <w:r w:rsidR="00477549">
        <w:rPr>
          <w:rFonts w:asciiTheme="majorBidi" w:hAnsiTheme="majorBidi" w:cstheme="majorBidi"/>
          <w:sz w:val="24"/>
          <w:szCs w:val="24"/>
        </w:rPr>
        <w:t>C</w:t>
      </w:r>
      <w:r w:rsidR="00754997">
        <w:rPr>
          <w:rFonts w:asciiTheme="majorBidi" w:hAnsiTheme="majorBidi" w:cstheme="majorBidi"/>
          <w:sz w:val="24"/>
          <w:szCs w:val="24"/>
        </w:rPr>
        <w:t xml:space="preserve">onsommation et les </w:t>
      </w:r>
      <w:r w:rsidR="00477549">
        <w:rPr>
          <w:rFonts w:asciiTheme="majorBidi" w:hAnsiTheme="majorBidi" w:cstheme="majorBidi"/>
          <w:sz w:val="24"/>
          <w:szCs w:val="24"/>
        </w:rPr>
        <w:t>D</w:t>
      </w:r>
      <w:r w:rsidR="00754997">
        <w:rPr>
          <w:rFonts w:asciiTheme="majorBidi" w:hAnsiTheme="majorBidi" w:cstheme="majorBidi"/>
          <w:sz w:val="24"/>
          <w:szCs w:val="24"/>
        </w:rPr>
        <w:t>épenses des ménages de 1985 et ne représentent plus les nouvelles  habitudes de consommation des marocains.</w:t>
      </w:r>
    </w:p>
    <w:p w:rsidR="00754997" w:rsidRDefault="00754997" w:rsidP="000937F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C’est ainsi qu’à partir de 2005, le Haut Commissariat au Plan a procédé à une révision profonde de l’indice du coût de la vie pour donner lieu à un nouvel indice des prix à la co</w:t>
      </w:r>
      <w:r w:rsidR="000937FE">
        <w:rPr>
          <w:rFonts w:asciiTheme="majorBidi" w:hAnsiTheme="majorBidi" w:cstheme="majorBidi"/>
          <w:sz w:val="24"/>
          <w:szCs w:val="24"/>
        </w:rPr>
        <w:t>nsommation appelé IPC (base 100</w:t>
      </w:r>
      <w:r>
        <w:rPr>
          <w:rFonts w:asciiTheme="majorBidi" w:hAnsiTheme="majorBidi" w:cstheme="majorBidi"/>
          <w:sz w:val="24"/>
          <w:szCs w:val="24"/>
        </w:rPr>
        <w:t>:</w:t>
      </w:r>
      <w:r w:rsidR="007C44A4">
        <w:rPr>
          <w:rFonts w:asciiTheme="majorBidi" w:hAnsiTheme="majorBidi" w:cstheme="majorBidi"/>
          <w:sz w:val="24"/>
          <w:szCs w:val="24"/>
        </w:rPr>
        <w:t xml:space="preserve"> </w:t>
      </w:r>
      <w:r>
        <w:rPr>
          <w:rFonts w:asciiTheme="majorBidi" w:hAnsiTheme="majorBidi" w:cstheme="majorBidi"/>
          <w:sz w:val="24"/>
          <w:szCs w:val="24"/>
        </w:rPr>
        <w:t xml:space="preserve">2006) qui </w:t>
      </w:r>
      <w:r w:rsidR="000937FE">
        <w:rPr>
          <w:rFonts w:asciiTheme="majorBidi" w:hAnsiTheme="majorBidi" w:cstheme="majorBidi"/>
          <w:sz w:val="24"/>
          <w:szCs w:val="24"/>
        </w:rPr>
        <w:t>allait</w:t>
      </w:r>
      <w:r>
        <w:rPr>
          <w:rFonts w:asciiTheme="majorBidi" w:hAnsiTheme="majorBidi" w:cstheme="majorBidi"/>
          <w:sz w:val="24"/>
          <w:szCs w:val="24"/>
        </w:rPr>
        <w:t xml:space="preserve"> toucher l’ensemble des régions du Royaume, représentées par dix-sept villes (avec six nouvelles villes : El Houceima, Settat, Beni Mellal, Safi, Guelmim et Dakhla) et élargir la population de référence qui couvrira</w:t>
      </w:r>
      <w:r w:rsidR="000937FE">
        <w:rPr>
          <w:rFonts w:asciiTheme="majorBidi" w:hAnsiTheme="majorBidi" w:cstheme="majorBidi"/>
          <w:sz w:val="24"/>
          <w:szCs w:val="24"/>
        </w:rPr>
        <w:t>it</w:t>
      </w:r>
      <w:r>
        <w:rPr>
          <w:rFonts w:asciiTheme="majorBidi" w:hAnsiTheme="majorBidi" w:cstheme="majorBidi"/>
          <w:sz w:val="24"/>
          <w:szCs w:val="24"/>
        </w:rPr>
        <w:t xml:space="preserve">, désormais, l’ensemble de la population urbaine. </w:t>
      </w:r>
    </w:p>
    <w:p w:rsidR="00F7495D" w:rsidRDefault="007C44A4" w:rsidP="00DE0E0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Soucieux de la qualité des données statistiques publiées, le HCP procède régulièrement à leur mise à jour afin qu’elles soient conformes aux clauses de la NSDD (Norme Spéciale de Diffusion des Données). Ainsi, à</w:t>
      </w:r>
      <w:r w:rsidR="00F7495D">
        <w:rPr>
          <w:rFonts w:asciiTheme="majorBidi" w:hAnsiTheme="majorBidi" w:cstheme="majorBidi"/>
          <w:sz w:val="24"/>
          <w:szCs w:val="24"/>
        </w:rPr>
        <w:t xml:space="preserve"> partir de </w:t>
      </w:r>
      <w:r>
        <w:rPr>
          <w:rFonts w:asciiTheme="majorBidi" w:hAnsiTheme="majorBidi" w:cstheme="majorBidi"/>
          <w:sz w:val="24"/>
          <w:szCs w:val="24"/>
        </w:rPr>
        <w:t>fin</w:t>
      </w:r>
      <w:r w:rsidR="00DE0E05">
        <w:rPr>
          <w:rFonts w:asciiTheme="majorBidi" w:hAnsiTheme="majorBidi" w:cstheme="majorBidi"/>
          <w:sz w:val="24"/>
          <w:szCs w:val="24"/>
        </w:rPr>
        <w:t xml:space="preserve"> </w:t>
      </w:r>
      <w:r w:rsidR="00F7495D">
        <w:rPr>
          <w:rFonts w:asciiTheme="majorBidi" w:hAnsiTheme="majorBidi" w:cstheme="majorBidi"/>
          <w:sz w:val="24"/>
          <w:szCs w:val="24"/>
        </w:rPr>
        <w:t>201</w:t>
      </w:r>
      <w:r w:rsidR="00DE0E05">
        <w:rPr>
          <w:rFonts w:asciiTheme="majorBidi" w:hAnsiTheme="majorBidi" w:cstheme="majorBidi"/>
          <w:sz w:val="24"/>
          <w:szCs w:val="24"/>
        </w:rPr>
        <w:t>6</w:t>
      </w:r>
      <w:r w:rsidR="00F7495D">
        <w:rPr>
          <w:rFonts w:asciiTheme="majorBidi" w:hAnsiTheme="majorBidi" w:cstheme="majorBidi"/>
          <w:sz w:val="24"/>
          <w:szCs w:val="24"/>
        </w:rPr>
        <w:t xml:space="preserve">,  </w:t>
      </w:r>
      <w:r w:rsidR="00DE0E05">
        <w:rPr>
          <w:rFonts w:asciiTheme="majorBidi" w:hAnsiTheme="majorBidi" w:cstheme="majorBidi"/>
          <w:sz w:val="24"/>
          <w:szCs w:val="24"/>
        </w:rPr>
        <w:t>il</w:t>
      </w:r>
      <w:r w:rsidR="00F7495D">
        <w:rPr>
          <w:rFonts w:asciiTheme="majorBidi" w:hAnsiTheme="majorBidi" w:cstheme="majorBidi"/>
          <w:sz w:val="24"/>
          <w:szCs w:val="24"/>
        </w:rPr>
        <w:t xml:space="preserve"> a entamé la réforme de l’IPC (base100 : 2006) pour les raisons suivantes :</w:t>
      </w:r>
    </w:p>
    <w:p w:rsidR="00F7495D" w:rsidRPr="00F7495D" w:rsidRDefault="00F7495D" w:rsidP="00C76BFB">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Mise en place d’un nouveau découpage régional</w:t>
      </w:r>
      <w:r w:rsidR="00C76BFB">
        <w:rPr>
          <w:rFonts w:asciiTheme="majorBidi" w:hAnsiTheme="majorBidi" w:cstheme="majorBidi"/>
          <w:sz w:val="24"/>
          <w:szCs w:val="24"/>
        </w:rPr>
        <w:t xml:space="preserve"> et par conséquent, l’institution de nouvelles régions économiques (insertion de la ville d’Errachidia dans le champ géographique du nouvel indice (base100 :2017)).</w:t>
      </w:r>
    </w:p>
    <w:p w:rsidR="00F7495D" w:rsidRDefault="00F93525" w:rsidP="00767BA0">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Réalisation </w:t>
      </w:r>
      <w:r w:rsidR="00F7495D">
        <w:rPr>
          <w:rFonts w:asciiTheme="majorBidi" w:hAnsiTheme="majorBidi" w:cstheme="majorBidi"/>
          <w:sz w:val="24"/>
          <w:szCs w:val="24"/>
        </w:rPr>
        <w:t>du RGPH 2014</w:t>
      </w:r>
      <w:r w:rsidR="00F7495D" w:rsidRPr="00F7495D">
        <w:rPr>
          <w:rFonts w:asciiTheme="majorBidi" w:hAnsiTheme="majorBidi" w:cstheme="majorBidi"/>
          <w:sz w:val="24"/>
          <w:szCs w:val="24"/>
        </w:rPr>
        <w:t xml:space="preserve"> </w:t>
      </w:r>
      <w:r w:rsidR="00767BA0">
        <w:rPr>
          <w:rFonts w:asciiTheme="majorBidi" w:hAnsiTheme="majorBidi" w:cstheme="majorBidi"/>
          <w:sz w:val="24"/>
          <w:szCs w:val="24"/>
        </w:rPr>
        <w:t xml:space="preserve">qui offre de </w:t>
      </w:r>
      <w:r w:rsidR="00C76BFB">
        <w:rPr>
          <w:rFonts w:asciiTheme="majorBidi" w:hAnsiTheme="majorBidi" w:cstheme="majorBidi"/>
          <w:sz w:val="24"/>
          <w:szCs w:val="24"/>
        </w:rPr>
        <w:t>nouvelles</w:t>
      </w:r>
      <w:r w:rsidR="00F7495D">
        <w:rPr>
          <w:rFonts w:asciiTheme="majorBidi" w:hAnsiTheme="majorBidi" w:cstheme="majorBidi"/>
          <w:sz w:val="24"/>
          <w:szCs w:val="24"/>
        </w:rPr>
        <w:t xml:space="preserve"> pondérations de la population urbaine</w:t>
      </w:r>
      <w:r w:rsidR="00C76BFB">
        <w:rPr>
          <w:rFonts w:asciiTheme="majorBidi" w:hAnsiTheme="majorBidi" w:cstheme="majorBidi"/>
          <w:sz w:val="24"/>
          <w:szCs w:val="24"/>
        </w:rPr>
        <w:t>.</w:t>
      </w:r>
    </w:p>
    <w:p w:rsidR="00DF65E2" w:rsidRPr="00051130" w:rsidRDefault="00E30AD8" w:rsidP="00586B08">
      <w:pPr>
        <w:pStyle w:val="Paragraphedeliste"/>
        <w:numPr>
          <w:ilvl w:val="0"/>
          <w:numId w:val="44"/>
        </w:numPr>
        <w:spacing w:before="240" w:after="240" w:line="240" w:lineRule="auto"/>
        <w:jc w:val="both"/>
        <w:rPr>
          <w:rFonts w:asciiTheme="majorBidi" w:hAnsiTheme="majorBidi"/>
          <w:color w:val="0070C0"/>
        </w:rPr>
      </w:pPr>
      <w:r w:rsidRPr="00051130">
        <w:rPr>
          <w:rFonts w:asciiTheme="majorBidi" w:hAnsiTheme="majorBidi" w:cstheme="majorBidi"/>
          <w:sz w:val="24"/>
          <w:szCs w:val="24"/>
        </w:rPr>
        <w:lastRenderedPageBreak/>
        <w:t xml:space="preserve">Disponibilité des données </w:t>
      </w:r>
      <w:r w:rsidR="00C76BFB" w:rsidRPr="00051130">
        <w:rPr>
          <w:rFonts w:asciiTheme="majorBidi" w:hAnsiTheme="majorBidi" w:cstheme="majorBidi"/>
          <w:sz w:val="24"/>
          <w:szCs w:val="24"/>
        </w:rPr>
        <w:t xml:space="preserve">de l’Enquête Nationale sur la </w:t>
      </w:r>
      <w:r w:rsidR="00477549" w:rsidRPr="00051130">
        <w:rPr>
          <w:rFonts w:asciiTheme="majorBidi" w:hAnsiTheme="majorBidi" w:cstheme="majorBidi"/>
          <w:sz w:val="24"/>
          <w:szCs w:val="24"/>
        </w:rPr>
        <w:t>C</w:t>
      </w:r>
      <w:r w:rsidR="00C76BFB" w:rsidRPr="00051130">
        <w:rPr>
          <w:rFonts w:asciiTheme="majorBidi" w:hAnsiTheme="majorBidi" w:cstheme="majorBidi"/>
          <w:sz w:val="24"/>
          <w:szCs w:val="24"/>
        </w:rPr>
        <w:t xml:space="preserve">onsommation et les </w:t>
      </w:r>
      <w:r w:rsidR="00477549" w:rsidRPr="00051130">
        <w:rPr>
          <w:rFonts w:asciiTheme="majorBidi" w:hAnsiTheme="majorBidi" w:cstheme="majorBidi"/>
          <w:sz w:val="24"/>
          <w:szCs w:val="24"/>
        </w:rPr>
        <w:t>D</w:t>
      </w:r>
      <w:r w:rsidR="00C76BFB" w:rsidRPr="00051130">
        <w:rPr>
          <w:rFonts w:asciiTheme="majorBidi" w:hAnsiTheme="majorBidi" w:cstheme="majorBidi"/>
          <w:sz w:val="24"/>
          <w:szCs w:val="24"/>
        </w:rPr>
        <w:t xml:space="preserve">épenses des </w:t>
      </w:r>
      <w:r w:rsidR="00477549" w:rsidRPr="00051130">
        <w:rPr>
          <w:rFonts w:asciiTheme="majorBidi" w:hAnsiTheme="majorBidi" w:cstheme="majorBidi"/>
          <w:sz w:val="24"/>
          <w:szCs w:val="24"/>
        </w:rPr>
        <w:t>M</w:t>
      </w:r>
      <w:r w:rsidR="00C76BFB" w:rsidRPr="00051130">
        <w:rPr>
          <w:rFonts w:asciiTheme="majorBidi" w:hAnsiTheme="majorBidi" w:cstheme="majorBidi"/>
          <w:sz w:val="24"/>
          <w:szCs w:val="24"/>
        </w:rPr>
        <w:t xml:space="preserve">énages </w:t>
      </w:r>
      <w:r w:rsidRPr="00051130">
        <w:rPr>
          <w:rFonts w:asciiTheme="majorBidi" w:hAnsiTheme="majorBidi" w:cstheme="majorBidi"/>
          <w:sz w:val="24"/>
          <w:szCs w:val="24"/>
        </w:rPr>
        <w:t>de</w:t>
      </w:r>
      <w:r w:rsidR="00C76BFB" w:rsidRPr="00051130">
        <w:rPr>
          <w:rFonts w:asciiTheme="majorBidi" w:hAnsiTheme="majorBidi" w:cstheme="majorBidi"/>
          <w:sz w:val="24"/>
          <w:szCs w:val="24"/>
        </w:rPr>
        <w:t xml:space="preserve"> 2014 </w:t>
      </w:r>
      <w:r w:rsidRPr="00051130">
        <w:rPr>
          <w:rFonts w:asciiTheme="majorBidi" w:hAnsiTheme="majorBidi" w:cstheme="majorBidi"/>
          <w:sz w:val="24"/>
          <w:szCs w:val="24"/>
        </w:rPr>
        <w:t>qui met à jour le</w:t>
      </w:r>
      <w:r w:rsidR="00C76BFB" w:rsidRPr="00051130">
        <w:rPr>
          <w:rFonts w:asciiTheme="majorBidi" w:hAnsiTheme="majorBidi" w:cstheme="majorBidi"/>
          <w:sz w:val="24"/>
          <w:szCs w:val="24"/>
        </w:rPr>
        <w:t xml:space="preserve"> panier de biens et services</w:t>
      </w:r>
      <w:r w:rsidR="00F93525" w:rsidRPr="00051130">
        <w:rPr>
          <w:rFonts w:asciiTheme="majorBidi" w:hAnsiTheme="majorBidi" w:cstheme="majorBidi"/>
          <w:sz w:val="24"/>
          <w:szCs w:val="24"/>
        </w:rPr>
        <w:t xml:space="preserve"> consommés par la population marocaine</w:t>
      </w:r>
      <w:r w:rsidR="00C76BFB" w:rsidRPr="00051130">
        <w:rPr>
          <w:rFonts w:asciiTheme="majorBidi" w:hAnsiTheme="majorBidi" w:cstheme="majorBidi"/>
          <w:sz w:val="24"/>
          <w:szCs w:val="24"/>
        </w:rPr>
        <w:t xml:space="preserve">. Ce dernier fait </w:t>
      </w:r>
      <w:r w:rsidR="00F93525" w:rsidRPr="00051130">
        <w:rPr>
          <w:rFonts w:asciiTheme="majorBidi" w:hAnsiTheme="majorBidi" w:cstheme="majorBidi"/>
          <w:sz w:val="24"/>
          <w:szCs w:val="24"/>
        </w:rPr>
        <w:t xml:space="preserve">ressortir </w:t>
      </w:r>
      <w:r w:rsidR="00C76BFB" w:rsidRPr="00051130">
        <w:rPr>
          <w:rFonts w:asciiTheme="majorBidi" w:hAnsiTheme="majorBidi" w:cstheme="majorBidi"/>
          <w:sz w:val="24"/>
          <w:szCs w:val="24"/>
        </w:rPr>
        <w:t>de nouvelles pondérations des produits</w:t>
      </w:r>
      <w:r w:rsidR="00051130">
        <w:rPr>
          <w:rFonts w:asciiTheme="majorBidi" w:hAnsiTheme="majorBidi" w:cstheme="majorBidi"/>
          <w:sz w:val="24"/>
          <w:szCs w:val="24"/>
        </w:rPr>
        <w:t>.</w:t>
      </w:r>
    </w:p>
    <w:p w:rsidR="00051130" w:rsidRPr="00051130" w:rsidRDefault="00051130" w:rsidP="00051130">
      <w:pPr>
        <w:spacing w:before="240" w:after="240" w:line="240" w:lineRule="auto"/>
        <w:jc w:val="both"/>
        <w:rPr>
          <w:rFonts w:asciiTheme="majorBidi" w:hAnsiTheme="majorBidi" w:cstheme="majorBidi"/>
          <w:sz w:val="24"/>
          <w:szCs w:val="24"/>
        </w:rPr>
      </w:pPr>
      <w:r w:rsidRPr="00051130">
        <w:rPr>
          <w:rFonts w:asciiTheme="majorBidi" w:hAnsiTheme="majorBidi" w:cstheme="majorBidi"/>
          <w:sz w:val="24"/>
          <w:szCs w:val="24"/>
        </w:rPr>
        <w:t>Ainsi</w:t>
      </w:r>
      <w:r>
        <w:rPr>
          <w:rFonts w:asciiTheme="majorBidi" w:hAnsiTheme="majorBidi" w:cstheme="majorBidi"/>
          <w:sz w:val="24"/>
          <w:szCs w:val="24"/>
        </w:rPr>
        <w:t>, le HCP a</w:t>
      </w:r>
      <w:r w:rsidR="005317F6">
        <w:rPr>
          <w:rFonts w:asciiTheme="majorBidi" w:hAnsiTheme="majorBidi" w:cstheme="majorBidi"/>
          <w:sz w:val="24"/>
          <w:szCs w:val="24"/>
        </w:rPr>
        <w:t xml:space="preserve"> achevé les travaux de réforme de l’indice </w:t>
      </w:r>
      <w:r w:rsidR="00DD5D35">
        <w:rPr>
          <w:rFonts w:asciiTheme="majorBidi" w:hAnsiTheme="majorBidi" w:cstheme="majorBidi"/>
          <w:sz w:val="24"/>
          <w:szCs w:val="24"/>
        </w:rPr>
        <w:t>des prix à la consommation base 2006 et a</w:t>
      </w:r>
      <w:r>
        <w:rPr>
          <w:rFonts w:asciiTheme="majorBidi" w:hAnsiTheme="majorBidi" w:cstheme="majorBidi"/>
          <w:sz w:val="24"/>
          <w:szCs w:val="24"/>
        </w:rPr>
        <w:t xml:space="preserve"> procédé à la publication du nouvel indice base 2017</w:t>
      </w:r>
      <w:r w:rsidR="005317F6">
        <w:rPr>
          <w:rFonts w:asciiTheme="majorBidi" w:hAnsiTheme="majorBidi" w:cstheme="majorBidi"/>
          <w:sz w:val="24"/>
          <w:szCs w:val="24"/>
        </w:rPr>
        <w:t xml:space="preserve"> à partir du 20 Mai 2020.</w:t>
      </w:r>
    </w:p>
    <w:p w:rsidR="00DF65E2" w:rsidRDefault="00DF65E2" w:rsidP="00586B08">
      <w:pPr>
        <w:pStyle w:val="Titre1"/>
        <w:rPr>
          <w:rFonts w:asciiTheme="majorBidi" w:hAnsiTheme="majorBidi"/>
          <w:color w:val="0070C0"/>
        </w:rPr>
      </w:pPr>
    </w:p>
    <w:p w:rsidR="00DF65E2" w:rsidRDefault="00DF65E2" w:rsidP="00586B08">
      <w:pPr>
        <w:pStyle w:val="Titre1"/>
        <w:rPr>
          <w:rFonts w:asciiTheme="majorBidi" w:hAnsiTheme="majorBidi"/>
          <w:color w:val="0070C0"/>
        </w:rPr>
      </w:pPr>
    </w:p>
    <w:p w:rsidR="00E2154A" w:rsidRDefault="00E2154A">
      <w:pPr>
        <w:rPr>
          <w:rFonts w:asciiTheme="majorBidi" w:eastAsiaTheme="majorEastAsia" w:hAnsiTheme="majorBidi" w:cstheme="majorBidi"/>
          <w:b/>
          <w:bCs/>
          <w:color w:val="0070C0"/>
          <w:sz w:val="28"/>
          <w:szCs w:val="28"/>
        </w:rPr>
      </w:pPr>
      <w:r>
        <w:rPr>
          <w:rFonts w:asciiTheme="majorBidi" w:hAnsiTheme="majorBidi"/>
          <w:color w:val="0070C0"/>
        </w:rPr>
        <w:br w:type="page"/>
      </w:r>
    </w:p>
    <w:p w:rsidR="00DF65E2" w:rsidRDefault="00DF65E2" w:rsidP="00586B08">
      <w:pPr>
        <w:pStyle w:val="Titre1"/>
        <w:rPr>
          <w:rFonts w:asciiTheme="majorBidi" w:hAnsiTheme="majorBidi"/>
          <w:color w:val="0070C0"/>
        </w:rPr>
      </w:pPr>
    </w:p>
    <w:p w:rsidR="00DF65E2" w:rsidRDefault="00DF65E2" w:rsidP="00586B08">
      <w:pPr>
        <w:pStyle w:val="Titre1"/>
        <w:rPr>
          <w:rFonts w:asciiTheme="majorBidi" w:hAnsiTheme="majorBidi"/>
          <w:color w:val="0070C0"/>
        </w:rPr>
      </w:pPr>
    </w:p>
    <w:p w:rsidR="00A905C6" w:rsidRDefault="00A905C6" w:rsidP="00A905C6"/>
    <w:p w:rsidR="00A905C6" w:rsidRDefault="00A905C6" w:rsidP="00A905C6"/>
    <w:p w:rsidR="008B74DA" w:rsidRDefault="008B74DA" w:rsidP="00A905C6"/>
    <w:p w:rsidR="008B74DA" w:rsidRPr="00A905C6" w:rsidRDefault="008B74DA" w:rsidP="00A905C6"/>
    <w:p w:rsidR="008B74DA" w:rsidRPr="00C4542D" w:rsidRDefault="00C4542D" w:rsidP="00A37E89">
      <w:pPr>
        <w:jc w:val="center"/>
        <w:rPr>
          <w:rFonts w:asciiTheme="majorBidi" w:hAnsiTheme="majorBidi"/>
          <w:color w:val="0070C0"/>
          <w:sz w:val="72"/>
          <w:szCs w:val="72"/>
        </w:rPr>
      </w:pPr>
      <w:r w:rsidRPr="00C4542D">
        <w:rPr>
          <w:rFonts w:asciiTheme="majorBidi" w:hAnsiTheme="majorBidi"/>
          <w:color w:val="0070C0"/>
          <w:sz w:val="72"/>
          <w:szCs w:val="72"/>
        </w:rPr>
        <w:t>CHAPITRE II</w:t>
      </w:r>
    </w:p>
    <w:p w:rsidR="00C4542D" w:rsidRDefault="00C4542D" w:rsidP="00A37E89">
      <w:pPr>
        <w:jc w:val="center"/>
        <w:rPr>
          <w:rFonts w:asciiTheme="majorBidi" w:hAnsiTheme="majorBidi"/>
          <w:color w:val="0070C0"/>
          <w:sz w:val="72"/>
          <w:szCs w:val="72"/>
        </w:rPr>
      </w:pPr>
      <w:r w:rsidRPr="00C4542D">
        <w:rPr>
          <w:rFonts w:asciiTheme="majorBidi" w:hAnsiTheme="majorBidi"/>
          <w:color w:val="0070C0"/>
          <w:sz w:val="72"/>
          <w:szCs w:val="72"/>
        </w:rPr>
        <w:t>METHODOLOGIE DE L’INDICE DES PRIX A</w:t>
      </w:r>
    </w:p>
    <w:p w:rsidR="00C4542D" w:rsidRDefault="00C4542D" w:rsidP="00A37E89">
      <w:pPr>
        <w:jc w:val="center"/>
        <w:rPr>
          <w:rFonts w:asciiTheme="majorBidi" w:hAnsiTheme="majorBidi"/>
          <w:color w:val="0070C0"/>
          <w:sz w:val="72"/>
          <w:szCs w:val="72"/>
        </w:rPr>
      </w:pPr>
      <w:r w:rsidRPr="00C4542D">
        <w:rPr>
          <w:rFonts w:asciiTheme="majorBidi" w:hAnsiTheme="majorBidi"/>
          <w:color w:val="0070C0"/>
          <w:sz w:val="72"/>
          <w:szCs w:val="72"/>
        </w:rPr>
        <w:t>LA CONSOMMATION</w:t>
      </w:r>
    </w:p>
    <w:p w:rsidR="00C4542D" w:rsidRPr="00C4542D" w:rsidRDefault="00C4542D" w:rsidP="00A37E89">
      <w:pPr>
        <w:jc w:val="center"/>
        <w:rPr>
          <w:rFonts w:asciiTheme="majorBidi" w:hAnsiTheme="majorBidi"/>
          <w:color w:val="0070C0"/>
          <w:sz w:val="72"/>
          <w:szCs w:val="72"/>
        </w:rPr>
      </w:pPr>
      <w:r w:rsidRPr="00C4542D">
        <w:rPr>
          <w:rFonts w:asciiTheme="majorBidi" w:hAnsiTheme="majorBidi"/>
          <w:color w:val="0070C0"/>
          <w:sz w:val="72"/>
          <w:szCs w:val="72"/>
        </w:rPr>
        <w:t>(BASE 100 : 20</w:t>
      </w:r>
      <w:r w:rsidR="00F70A11">
        <w:rPr>
          <w:rFonts w:asciiTheme="majorBidi" w:hAnsiTheme="majorBidi" w:hint="cs"/>
          <w:color w:val="0070C0"/>
          <w:sz w:val="72"/>
          <w:szCs w:val="72"/>
          <w:rtl/>
        </w:rPr>
        <w:t>17</w:t>
      </w:r>
      <w:r w:rsidRPr="00C4542D">
        <w:rPr>
          <w:rFonts w:asciiTheme="majorBidi" w:hAnsiTheme="majorBidi"/>
          <w:color w:val="0070C0"/>
          <w:sz w:val="72"/>
          <w:szCs w:val="72"/>
        </w:rPr>
        <w:t>)</w:t>
      </w:r>
    </w:p>
    <w:p w:rsidR="008B74DA" w:rsidRPr="001022E9" w:rsidRDefault="008B74DA" w:rsidP="008B74DA"/>
    <w:p w:rsidR="00A905C6" w:rsidRPr="001022E9" w:rsidRDefault="00A905C6" w:rsidP="008B74DA"/>
    <w:p w:rsidR="00DF65E2" w:rsidRDefault="00DF65E2" w:rsidP="00A905C6"/>
    <w:p w:rsidR="00A905C6" w:rsidRDefault="00A905C6" w:rsidP="00A905C6"/>
    <w:p w:rsidR="00DF65E2" w:rsidRDefault="00DF65E2" w:rsidP="00586B08">
      <w:pPr>
        <w:pStyle w:val="Titre1"/>
        <w:rPr>
          <w:rFonts w:asciiTheme="majorBidi" w:hAnsiTheme="majorBidi"/>
          <w:color w:val="0070C0"/>
        </w:rPr>
      </w:pPr>
    </w:p>
    <w:p w:rsidR="00E2154A" w:rsidRDefault="00E2154A">
      <w:pPr>
        <w:rPr>
          <w:rFonts w:asciiTheme="majorBidi" w:eastAsiaTheme="majorEastAsia" w:hAnsiTheme="majorBidi" w:cstheme="majorBidi"/>
          <w:b/>
          <w:bCs/>
          <w:color w:val="0070C0"/>
          <w:sz w:val="28"/>
          <w:szCs w:val="28"/>
        </w:rPr>
      </w:pPr>
      <w:r>
        <w:rPr>
          <w:rFonts w:asciiTheme="majorBidi" w:hAnsiTheme="majorBidi"/>
          <w:color w:val="0070C0"/>
        </w:rPr>
        <w:br w:type="page"/>
      </w:r>
    </w:p>
    <w:p w:rsidR="0088739E" w:rsidRPr="00FC4512" w:rsidRDefault="0088739E" w:rsidP="00A24939">
      <w:pPr>
        <w:pStyle w:val="Titre1"/>
        <w:rPr>
          <w:rFonts w:asciiTheme="majorBidi" w:hAnsiTheme="majorBidi"/>
          <w:color w:val="0070C0"/>
        </w:rPr>
      </w:pPr>
      <w:bookmarkStart w:id="4" w:name="_Toc68443117"/>
      <w:r w:rsidRPr="00FC4512">
        <w:rPr>
          <w:rFonts w:asciiTheme="majorBidi" w:hAnsiTheme="majorBidi"/>
          <w:color w:val="0070C0"/>
        </w:rPr>
        <w:lastRenderedPageBreak/>
        <w:t xml:space="preserve">II- Méthodologie de l’Indice des Prix à la Consommation </w:t>
      </w:r>
      <w:r w:rsidR="000937FE" w:rsidRPr="00FC4512">
        <w:rPr>
          <w:rFonts w:asciiTheme="majorBidi" w:hAnsiTheme="majorBidi"/>
          <w:color w:val="0070C0"/>
        </w:rPr>
        <w:t>(Base 100:20</w:t>
      </w:r>
      <w:r w:rsidR="00A24939">
        <w:rPr>
          <w:rFonts w:asciiTheme="majorBidi" w:hAnsiTheme="majorBidi"/>
          <w:color w:val="0070C0"/>
        </w:rPr>
        <w:t>17</w:t>
      </w:r>
      <w:r w:rsidR="000937FE" w:rsidRPr="00FC4512">
        <w:rPr>
          <w:rFonts w:asciiTheme="majorBidi" w:hAnsiTheme="majorBidi"/>
          <w:color w:val="0070C0"/>
        </w:rPr>
        <w:t>)</w:t>
      </w:r>
      <w:bookmarkEnd w:id="4"/>
    </w:p>
    <w:p w:rsidR="0088739E" w:rsidRPr="00FC4512" w:rsidRDefault="0088739E" w:rsidP="00586B08">
      <w:pPr>
        <w:pStyle w:val="Titre2"/>
        <w:rPr>
          <w:rFonts w:asciiTheme="majorBidi" w:hAnsiTheme="majorBidi"/>
          <w:color w:val="0070C0"/>
          <w:sz w:val="28"/>
          <w:szCs w:val="28"/>
        </w:rPr>
      </w:pPr>
      <w:bookmarkStart w:id="5" w:name="_Toc68443118"/>
      <w:r w:rsidRPr="00FC4512">
        <w:rPr>
          <w:rFonts w:asciiTheme="majorBidi" w:hAnsiTheme="majorBidi"/>
          <w:color w:val="0070C0"/>
        </w:rPr>
        <w:t>II-1 Définition et objectifs</w:t>
      </w:r>
      <w:bookmarkEnd w:id="5"/>
    </w:p>
    <w:p w:rsidR="0088739E" w:rsidRPr="00FC4512" w:rsidRDefault="0088739E" w:rsidP="00586B08">
      <w:pPr>
        <w:pStyle w:val="Titre3"/>
        <w:rPr>
          <w:rFonts w:asciiTheme="majorBidi" w:hAnsiTheme="majorBidi"/>
          <w:color w:val="0070C0"/>
          <w:sz w:val="24"/>
          <w:szCs w:val="24"/>
        </w:rPr>
      </w:pPr>
      <w:r w:rsidRPr="00725E87">
        <w:rPr>
          <w:rFonts w:asciiTheme="majorBidi" w:hAnsiTheme="majorBidi"/>
          <w:b w:val="0"/>
          <w:bCs w:val="0"/>
          <w:color w:val="0070C0"/>
          <w:sz w:val="24"/>
          <w:szCs w:val="24"/>
        </w:rPr>
        <w:tab/>
      </w:r>
      <w:r w:rsidRPr="00725E87">
        <w:rPr>
          <w:rFonts w:asciiTheme="majorBidi" w:hAnsiTheme="majorBidi"/>
          <w:b w:val="0"/>
          <w:bCs w:val="0"/>
          <w:color w:val="0070C0"/>
          <w:sz w:val="24"/>
          <w:szCs w:val="24"/>
        </w:rPr>
        <w:tab/>
      </w:r>
      <w:bookmarkStart w:id="6" w:name="_Toc68443119"/>
      <w:r w:rsidRPr="00FC4512">
        <w:rPr>
          <w:rFonts w:asciiTheme="majorBidi" w:hAnsiTheme="majorBidi"/>
          <w:color w:val="0070C0"/>
          <w:sz w:val="24"/>
          <w:szCs w:val="24"/>
        </w:rPr>
        <w:t>II-1-1 Définition</w:t>
      </w:r>
      <w:bookmarkEnd w:id="6"/>
    </w:p>
    <w:p w:rsidR="0088739E" w:rsidRDefault="0088739E" w:rsidP="00D5577B">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L’indice des prix à la consommation mesure la variation des prix d’un panier de biens et </w:t>
      </w:r>
      <w:r w:rsidR="00302B06">
        <w:rPr>
          <w:rFonts w:asciiTheme="majorBidi" w:hAnsiTheme="majorBidi" w:cstheme="majorBidi"/>
          <w:sz w:val="24"/>
          <w:szCs w:val="24"/>
        </w:rPr>
        <w:t xml:space="preserve">de </w:t>
      </w:r>
      <w:r>
        <w:rPr>
          <w:rFonts w:asciiTheme="majorBidi" w:hAnsiTheme="majorBidi" w:cstheme="majorBidi"/>
          <w:sz w:val="24"/>
          <w:szCs w:val="24"/>
        </w:rPr>
        <w:t>services</w:t>
      </w:r>
      <w:r w:rsidR="00D5577B">
        <w:rPr>
          <w:rFonts w:asciiTheme="majorBidi" w:hAnsiTheme="majorBidi" w:cstheme="majorBidi"/>
          <w:sz w:val="24"/>
          <w:szCs w:val="24"/>
        </w:rPr>
        <w:t>, à qualité constante,</w:t>
      </w:r>
      <w:r>
        <w:rPr>
          <w:rFonts w:asciiTheme="majorBidi" w:hAnsiTheme="majorBidi" w:cstheme="majorBidi"/>
          <w:sz w:val="24"/>
          <w:szCs w:val="24"/>
        </w:rPr>
        <w:t xml:space="preserve"> représentatifs de la consommation des ménages, </w:t>
      </w:r>
      <w:r w:rsidR="00D5577B">
        <w:rPr>
          <w:rFonts w:asciiTheme="majorBidi" w:hAnsiTheme="majorBidi" w:cstheme="majorBidi"/>
          <w:sz w:val="24"/>
          <w:szCs w:val="24"/>
        </w:rPr>
        <w:t>entre deux périodes données</w:t>
      </w:r>
      <w:r>
        <w:rPr>
          <w:rFonts w:asciiTheme="majorBidi" w:hAnsiTheme="majorBidi" w:cstheme="majorBidi"/>
          <w:sz w:val="24"/>
          <w:szCs w:val="24"/>
        </w:rPr>
        <w:t>.</w:t>
      </w:r>
    </w:p>
    <w:p w:rsidR="0088739E" w:rsidRDefault="0088739E" w:rsidP="00D5577B">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Cet indice revêt un caractère officiel institué par un décret fixant les éléments entrant dans sa composition (décret n°2-</w:t>
      </w:r>
      <w:r w:rsidR="00A36821">
        <w:rPr>
          <w:rFonts w:asciiTheme="majorBidi" w:hAnsiTheme="majorBidi" w:cstheme="majorBidi"/>
          <w:sz w:val="24"/>
          <w:szCs w:val="24"/>
        </w:rPr>
        <w:t>19-1083 publié au BO N° 6880 du 7 Mai</w:t>
      </w:r>
      <w:r>
        <w:rPr>
          <w:rFonts w:asciiTheme="majorBidi" w:hAnsiTheme="majorBidi" w:cstheme="majorBidi"/>
          <w:sz w:val="24"/>
          <w:szCs w:val="24"/>
        </w:rPr>
        <w:t xml:space="preserve"> 20</w:t>
      </w:r>
      <w:r w:rsidR="00A36821">
        <w:rPr>
          <w:rFonts w:asciiTheme="majorBidi" w:hAnsiTheme="majorBidi" w:cstheme="majorBidi"/>
          <w:sz w:val="24"/>
          <w:szCs w:val="24"/>
        </w:rPr>
        <w:t>20)</w:t>
      </w:r>
      <w:r>
        <w:rPr>
          <w:rFonts w:asciiTheme="majorBidi" w:hAnsiTheme="majorBidi" w:cstheme="majorBidi"/>
          <w:sz w:val="24"/>
          <w:szCs w:val="24"/>
        </w:rPr>
        <w:t>. Il est élaboré conformément aux recommandations du Bureau International du Travail (BIT) et aux pratiques de la Norme Spéciale de Diffusion des Données (NSDD) et le Fond Monétaire International (FMI).</w:t>
      </w:r>
    </w:p>
    <w:p w:rsidR="0088739E" w:rsidRDefault="0088739E" w:rsidP="00302B06">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Même s’il ne tient pas compte de tous les produits (biens immobiliers,</w:t>
      </w:r>
      <w:r w:rsidR="00302B06">
        <w:rPr>
          <w:rFonts w:asciiTheme="majorBidi" w:hAnsiTheme="majorBidi" w:cstheme="majorBidi"/>
          <w:sz w:val="24"/>
          <w:szCs w:val="24"/>
        </w:rPr>
        <w:t xml:space="preserve"> biens d’équipement,..), il est, </w:t>
      </w:r>
      <w:r>
        <w:rPr>
          <w:rFonts w:asciiTheme="majorBidi" w:hAnsiTheme="majorBidi" w:cstheme="majorBidi"/>
          <w:sz w:val="24"/>
          <w:szCs w:val="24"/>
        </w:rPr>
        <w:t>quand même</w:t>
      </w:r>
      <w:r w:rsidR="00302B06">
        <w:rPr>
          <w:rFonts w:asciiTheme="majorBidi" w:hAnsiTheme="majorBidi" w:cstheme="majorBidi"/>
          <w:sz w:val="24"/>
          <w:szCs w:val="24"/>
        </w:rPr>
        <w:t>,</w:t>
      </w:r>
      <w:r>
        <w:rPr>
          <w:rFonts w:asciiTheme="majorBidi" w:hAnsiTheme="majorBidi" w:cstheme="majorBidi"/>
          <w:sz w:val="24"/>
          <w:szCs w:val="24"/>
        </w:rPr>
        <w:t xml:space="preserve"> utilisé comme indicateur de l’inflation générale par beaucoup de pays</w:t>
      </w:r>
      <w:r w:rsidR="00302B06">
        <w:rPr>
          <w:rFonts w:asciiTheme="majorBidi" w:hAnsiTheme="majorBidi" w:cstheme="majorBidi"/>
          <w:sz w:val="24"/>
          <w:szCs w:val="24"/>
        </w:rPr>
        <w:t xml:space="preserve">, </w:t>
      </w:r>
      <w:r>
        <w:rPr>
          <w:rFonts w:asciiTheme="majorBidi" w:hAnsiTheme="majorBidi" w:cstheme="majorBidi"/>
          <w:sz w:val="24"/>
          <w:szCs w:val="24"/>
        </w:rPr>
        <w:t>notamment le Maroc.</w:t>
      </w:r>
    </w:p>
    <w:p w:rsidR="0088739E" w:rsidRPr="00FC4512" w:rsidRDefault="0088739E" w:rsidP="00586B08">
      <w:pPr>
        <w:pStyle w:val="Titre3"/>
        <w:rPr>
          <w:rFonts w:asciiTheme="majorBidi" w:hAnsiTheme="majorBidi"/>
          <w:color w:val="0070C0"/>
          <w:sz w:val="24"/>
          <w:szCs w:val="24"/>
        </w:rPr>
      </w:pPr>
      <w:r w:rsidRPr="00725E87">
        <w:rPr>
          <w:rFonts w:asciiTheme="majorBidi" w:hAnsiTheme="majorBidi"/>
          <w:color w:val="0070C0"/>
          <w:sz w:val="24"/>
          <w:szCs w:val="24"/>
        </w:rPr>
        <w:tab/>
      </w:r>
      <w:r w:rsidRPr="00725E87">
        <w:rPr>
          <w:rFonts w:asciiTheme="majorBidi" w:hAnsiTheme="majorBidi"/>
          <w:color w:val="0070C0"/>
          <w:sz w:val="24"/>
          <w:szCs w:val="24"/>
        </w:rPr>
        <w:tab/>
      </w:r>
      <w:bookmarkStart w:id="7" w:name="_Toc68443120"/>
      <w:r w:rsidRPr="00FC4512">
        <w:rPr>
          <w:rFonts w:asciiTheme="majorBidi" w:hAnsiTheme="majorBidi"/>
          <w:color w:val="0070C0"/>
          <w:sz w:val="24"/>
          <w:szCs w:val="24"/>
        </w:rPr>
        <w:t>II-1-2 Objectifs</w:t>
      </w:r>
      <w:bookmarkEnd w:id="7"/>
    </w:p>
    <w:p w:rsidR="0088739E" w:rsidRPr="00C84D24" w:rsidRDefault="0088739E" w:rsidP="0088739E">
      <w:p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Outre son utilisation comme indicateur de l’inflation générale, l’IPC sert comme :</w:t>
      </w:r>
    </w:p>
    <w:p w:rsidR="0088739E" w:rsidRPr="00C84D24" w:rsidRDefault="0088739E" w:rsidP="0088739E">
      <w:pPr>
        <w:pStyle w:val="Paragraphedeliste"/>
        <w:numPr>
          <w:ilvl w:val="0"/>
          <w:numId w:val="30"/>
        </w:num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Instrument d’analyse de la conjoncture économique ;</w:t>
      </w:r>
    </w:p>
    <w:p w:rsidR="0088739E" w:rsidRPr="00C84D24" w:rsidRDefault="0088739E" w:rsidP="0088739E">
      <w:pPr>
        <w:pStyle w:val="Paragraphedeliste"/>
        <w:numPr>
          <w:ilvl w:val="0"/>
          <w:numId w:val="30"/>
        </w:num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Donnée de base pour l’élaboration de la politique monétaire ;</w:t>
      </w:r>
    </w:p>
    <w:p w:rsidR="0088739E" w:rsidRPr="00C84D24" w:rsidRDefault="0088739E" w:rsidP="0088739E">
      <w:pPr>
        <w:pStyle w:val="Paragraphedeliste"/>
        <w:numPr>
          <w:ilvl w:val="0"/>
          <w:numId w:val="30"/>
        </w:num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Outil d’indexation des contrats entre les différents partenaires socio-économiques ;</w:t>
      </w:r>
    </w:p>
    <w:p w:rsidR="0088739E" w:rsidRDefault="0088739E" w:rsidP="0088739E">
      <w:pPr>
        <w:pStyle w:val="Paragraphedeliste"/>
        <w:numPr>
          <w:ilvl w:val="0"/>
          <w:numId w:val="30"/>
        </w:num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Déflateur des agrégats de la comptabilité nationale.</w:t>
      </w:r>
    </w:p>
    <w:p w:rsidR="0088739E" w:rsidRPr="00FC4512" w:rsidRDefault="0088739E" w:rsidP="00586B08">
      <w:pPr>
        <w:pStyle w:val="Titre2"/>
        <w:rPr>
          <w:rFonts w:asciiTheme="majorBidi" w:hAnsiTheme="majorBidi"/>
          <w:color w:val="0070C0"/>
          <w:sz w:val="24"/>
          <w:szCs w:val="24"/>
        </w:rPr>
      </w:pPr>
      <w:bookmarkStart w:id="8" w:name="_Toc68443121"/>
      <w:r w:rsidRPr="00FC4512">
        <w:rPr>
          <w:rFonts w:asciiTheme="majorBidi" w:hAnsiTheme="majorBidi"/>
          <w:color w:val="0070C0"/>
        </w:rPr>
        <w:t>II-2 Couverture de l’IPC</w:t>
      </w:r>
      <w:bookmarkEnd w:id="8"/>
    </w:p>
    <w:p w:rsidR="00F7495D" w:rsidRDefault="0088739E" w:rsidP="00A37B8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w:t>
      </w:r>
      <w:r w:rsidRPr="00C84D24">
        <w:rPr>
          <w:rFonts w:asciiTheme="majorBidi" w:hAnsiTheme="majorBidi" w:cstheme="majorBidi"/>
          <w:sz w:val="24"/>
          <w:szCs w:val="24"/>
        </w:rPr>
        <w:t>’indice des prix à la consommation</w:t>
      </w:r>
      <w:r w:rsidR="00E30AD8">
        <w:rPr>
          <w:rFonts w:asciiTheme="majorBidi" w:hAnsiTheme="majorBidi" w:cstheme="majorBidi"/>
          <w:sz w:val="24"/>
          <w:szCs w:val="24"/>
        </w:rPr>
        <w:t xml:space="preserve"> (Base 100 : 20</w:t>
      </w:r>
      <w:r w:rsidR="00A36821">
        <w:rPr>
          <w:rFonts w:asciiTheme="majorBidi" w:hAnsiTheme="majorBidi" w:cstheme="majorBidi"/>
          <w:sz w:val="24"/>
          <w:szCs w:val="24"/>
        </w:rPr>
        <w:t>17</w:t>
      </w:r>
      <w:r w:rsidR="00E30AD8">
        <w:rPr>
          <w:rFonts w:asciiTheme="majorBidi" w:hAnsiTheme="majorBidi" w:cstheme="majorBidi"/>
          <w:sz w:val="24"/>
          <w:szCs w:val="24"/>
        </w:rPr>
        <w:t xml:space="preserve">) </w:t>
      </w:r>
      <w:r>
        <w:rPr>
          <w:rFonts w:asciiTheme="majorBidi" w:hAnsiTheme="majorBidi" w:cstheme="majorBidi"/>
          <w:sz w:val="24"/>
          <w:szCs w:val="24"/>
        </w:rPr>
        <w:t>couvre l’ensemble de la population urbaine des dix-</w:t>
      </w:r>
      <w:r w:rsidR="00A36821">
        <w:rPr>
          <w:rFonts w:asciiTheme="majorBidi" w:hAnsiTheme="majorBidi" w:cstheme="majorBidi"/>
          <w:sz w:val="24"/>
          <w:szCs w:val="24"/>
        </w:rPr>
        <w:t>hui</w:t>
      </w:r>
      <w:r>
        <w:rPr>
          <w:rFonts w:asciiTheme="majorBidi" w:hAnsiTheme="majorBidi" w:cstheme="majorBidi"/>
          <w:sz w:val="24"/>
          <w:szCs w:val="24"/>
        </w:rPr>
        <w:t>t villes </w:t>
      </w:r>
      <w:r w:rsidR="00F7495D">
        <w:rPr>
          <w:rFonts w:asciiTheme="majorBidi" w:hAnsiTheme="majorBidi" w:cstheme="majorBidi"/>
          <w:sz w:val="24"/>
          <w:szCs w:val="24"/>
        </w:rPr>
        <w:t xml:space="preserve">représentant les </w:t>
      </w:r>
      <w:r w:rsidR="00A36821">
        <w:rPr>
          <w:rFonts w:asciiTheme="majorBidi" w:hAnsiTheme="majorBidi" w:cstheme="majorBidi"/>
          <w:sz w:val="24"/>
          <w:szCs w:val="24"/>
        </w:rPr>
        <w:t>12</w:t>
      </w:r>
      <w:r w:rsidR="00F7495D">
        <w:rPr>
          <w:rFonts w:asciiTheme="majorBidi" w:hAnsiTheme="majorBidi" w:cstheme="majorBidi"/>
          <w:sz w:val="24"/>
          <w:szCs w:val="24"/>
        </w:rPr>
        <w:t xml:space="preserve"> régions économiques</w:t>
      </w:r>
      <w:r w:rsidR="00C32398">
        <w:rPr>
          <w:rFonts w:asciiTheme="majorBidi" w:hAnsiTheme="majorBidi" w:cstheme="majorBidi"/>
          <w:sz w:val="24"/>
          <w:szCs w:val="24"/>
        </w:rPr>
        <w:t xml:space="preserve"> issues du dernier découpage administratif. I</w:t>
      </w:r>
      <w:r w:rsidR="00F7495D">
        <w:rPr>
          <w:rFonts w:asciiTheme="majorBidi" w:hAnsiTheme="majorBidi" w:cstheme="majorBidi"/>
          <w:sz w:val="24"/>
          <w:szCs w:val="24"/>
        </w:rPr>
        <w:t>l s’agit de</w:t>
      </w:r>
      <w:r>
        <w:rPr>
          <w:rFonts w:asciiTheme="majorBidi" w:hAnsiTheme="majorBidi" w:cstheme="majorBidi"/>
          <w:sz w:val="24"/>
          <w:szCs w:val="24"/>
        </w:rPr>
        <w:t>:</w:t>
      </w:r>
      <w:r w:rsidRPr="002519A6">
        <w:rPr>
          <w:rFonts w:asciiTheme="majorBidi" w:hAnsiTheme="majorBidi" w:cstheme="majorBidi"/>
          <w:sz w:val="24"/>
          <w:szCs w:val="24"/>
        </w:rPr>
        <w:t xml:space="preserve"> </w:t>
      </w:r>
      <w:r>
        <w:rPr>
          <w:rFonts w:asciiTheme="majorBidi" w:hAnsiTheme="majorBidi" w:cstheme="majorBidi"/>
          <w:sz w:val="24"/>
          <w:szCs w:val="24"/>
        </w:rPr>
        <w:t>Agadir, Casablanca, Fès, Kenitra, Marrakech, Oujda, Rabat,</w:t>
      </w:r>
      <w:r w:rsidR="00D5577B">
        <w:rPr>
          <w:rFonts w:asciiTheme="majorBidi" w:hAnsiTheme="majorBidi" w:cstheme="majorBidi"/>
          <w:sz w:val="24"/>
          <w:szCs w:val="24"/>
        </w:rPr>
        <w:t xml:space="preserve"> Tanger,</w:t>
      </w:r>
      <w:r>
        <w:rPr>
          <w:rFonts w:asciiTheme="majorBidi" w:hAnsiTheme="majorBidi" w:cstheme="majorBidi"/>
          <w:sz w:val="24"/>
          <w:szCs w:val="24"/>
        </w:rPr>
        <w:t xml:space="preserve"> Tétouan, Meknès</w:t>
      </w:r>
      <w:r w:rsidR="00302B06">
        <w:rPr>
          <w:rFonts w:asciiTheme="majorBidi" w:hAnsiTheme="majorBidi" w:cstheme="majorBidi"/>
          <w:sz w:val="24"/>
          <w:szCs w:val="24"/>
        </w:rPr>
        <w:t>,</w:t>
      </w:r>
      <w:r>
        <w:rPr>
          <w:rFonts w:asciiTheme="majorBidi" w:hAnsiTheme="majorBidi" w:cstheme="majorBidi"/>
          <w:sz w:val="24"/>
          <w:szCs w:val="24"/>
        </w:rPr>
        <w:t xml:space="preserve"> Laâyoune, El Houceima, Set</w:t>
      </w:r>
      <w:r w:rsidR="00C32398">
        <w:rPr>
          <w:rFonts w:asciiTheme="majorBidi" w:hAnsiTheme="majorBidi" w:cstheme="majorBidi"/>
          <w:sz w:val="24"/>
          <w:szCs w:val="24"/>
        </w:rPr>
        <w:t>tat, Beni Mellal, Safi, Guelmim,</w:t>
      </w:r>
      <w:r>
        <w:rPr>
          <w:rFonts w:asciiTheme="majorBidi" w:hAnsiTheme="majorBidi" w:cstheme="majorBidi"/>
          <w:sz w:val="24"/>
          <w:szCs w:val="24"/>
        </w:rPr>
        <w:t xml:space="preserve"> Dakhla</w:t>
      </w:r>
      <w:r w:rsidR="00C32398">
        <w:rPr>
          <w:rFonts w:asciiTheme="majorBidi" w:hAnsiTheme="majorBidi" w:cstheme="majorBidi"/>
          <w:sz w:val="24"/>
          <w:szCs w:val="24"/>
        </w:rPr>
        <w:t xml:space="preserve"> et Errachidia</w:t>
      </w:r>
      <w:r>
        <w:rPr>
          <w:rFonts w:asciiTheme="majorBidi" w:hAnsiTheme="majorBidi" w:cstheme="majorBidi"/>
          <w:sz w:val="24"/>
          <w:szCs w:val="24"/>
        </w:rPr>
        <w:t>.</w:t>
      </w:r>
      <w:r w:rsidR="00F7495D" w:rsidRPr="00F7495D">
        <w:rPr>
          <w:rFonts w:asciiTheme="majorBidi" w:hAnsiTheme="majorBidi" w:cstheme="majorBidi"/>
          <w:sz w:val="24"/>
          <w:szCs w:val="24"/>
        </w:rPr>
        <w:t xml:space="preserve"> </w:t>
      </w:r>
      <w:r w:rsidR="00F7495D">
        <w:rPr>
          <w:rFonts w:asciiTheme="majorBidi" w:hAnsiTheme="majorBidi" w:cstheme="majorBidi"/>
          <w:sz w:val="24"/>
          <w:szCs w:val="24"/>
        </w:rPr>
        <w:t>Le choix de ces villes s’est fait selon l’importance de la population de référence, l’importance du commerce de détail et la situation géographique, et ce pour garantir une meilleure représentativité de l’indice en milieu urbain.</w:t>
      </w:r>
      <w:r w:rsidR="00E30AD8">
        <w:rPr>
          <w:rFonts w:asciiTheme="majorBidi" w:hAnsiTheme="majorBidi" w:cstheme="majorBidi"/>
          <w:sz w:val="24"/>
          <w:szCs w:val="24"/>
        </w:rPr>
        <w:t xml:space="preserve"> </w:t>
      </w:r>
    </w:p>
    <w:p w:rsidR="0088739E" w:rsidRPr="00FC4512" w:rsidRDefault="0088739E" w:rsidP="00586B08">
      <w:pPr>
        <w:pStyle w:val="Titre2"/>
        <w:rPr>
          <w:rFonts w:asciiTheme="majorBidi" w:hAnsiTheme="majorBidi"/>
          <w:color w:val="0070C0"/>
        </w:rPr>
      </w:pPr>
      <w:bookmarkStart w:id="9" w:name="_Toc68443122"/>
      <w:r w:rsidRPr="00FC4512">
        <w:rPr>
          <w:rFonts w:asciiTheme="majorBidi" w:hAnsiTheme="majorBidi"/>
          <w:color w:val="0070C0"/>
        </w:rPr>
        <w:t>II-3 Panier de l’indice</w:t>
      </w:r>
      <w:bookmarkEnd w:id="9"/>
    </w:p>
    <w:p w:rsidR="0088739E" w:rsidRDefault="0088739E" w:rsidP="0047754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choix des produits retenus dans le panier de l’IPC (base 100:20</w:t>
      </w:r>
      <w:r w:rsidR="00B01C51">
        <w:rPr>
          <w:rFonts w:asciiTheme="majorBidi" w:hAnsiTheme="majorBidi" w:cstheme="majorBidi"/>
          <w:sz w:val="24"/>
          <w:szCs w:val="24"/>
        </w:rPr>
        <w:t>17</w:t>
      </w:r>
      <w:r>
        <w:rPr>
          <w:rFonts w:asciiTheme="majorBidi" w:hAnsiTheme="majorBidi" w:cstheme="majorBidi"/>
          <w:sz w:val="24"/>
          <w:szCs w:val="24"/>
        </w:rPr>
        <w:t>) se fait selon leur importance dans la dépense totale des ménages. Cette information est obtenue à partir de l’</w:t>
      </w:r>
      <w:r w:rsidR="00477549">
        <w:rPr>
          <w:rFonts w:asciiTheme="majorBidi" w:hAnsiTheme="majorBidi" w:cstheme="majorBidi"/>
          <w:sz w:val="24"/>
          <w:szCs w:val="24"/>
        </w:rPr>
        <w:t>E</w:t>
      </w:r>
      <w:r>
        <w:rPr>
          <w:rFonts w:asciiTheme="majorBidi" w:hAnsiTheme="majorBidi" w:cstheme="majorBidi"/>
          <w:sz w:val="24"/>
          <w:szCs w:val="24"/>
        </w:rPr>
        <w:t xml:space="preserve">nquête sur la </w:t>
      </w:r>
      <w:r w:rsidR="00477549">
        <w:rPr>
          <w:rFonts w:asciiTheme="majorBidi" w:hAnsiTheme="majorBidi" w:cstheme="majorBidi"/>
          <w:sz w:val="24"/>
          <w:szCs w:val="24"/>
        </w:rPr>
        <w:t>C</w:t>
      </w:r>
      <w:r>
        <w:rPr>
          <w:rFonts w:asciiTheme="majorBidi" w:hAnsiTheme="majorBidi" w:cstheme="majorBidi"/>
          <w:sz w:val="24"/>
          <w:szCs w:val="24"/>
        </w:rPr>
        <w:t xml:space="preserve">onsommation et les </w:t>
      </w:r>
      <w:r w:rsidR="00477549">
        <w:rPr>
          <w:rFonts w:asciiTheme="majorBidi" w:hAnsiTheme="majorBidi" w:cstheme="majorBidi"/>
          <w:sz w:val="24"/>
          <w:szCs w:val="24"/>
        </w:rPr>
        <w:t>D</w:t>
      </w:r>
      <w:r>
        <w:rPr>
          <w:rFonts w:asciiTheme="majorBidi" w:hAnsiTheme="majorBidi" w:cstheme="majorBidi"/>
          <w:sz w:val="24"/>
          <w:szCs w:val="24"/>
        </w:rPr>
        <w:t xml:space="preserve">épenses des </w:t>
      </w:r>
      <w:r w:rsidR="00477549">
        <w:rPr>
          <w:rFonts w:asciiTheme="majorBidi" w:hAnsiTheme="majorBidi" w:cstheme="majorBidi"/>
          <w:sz w:val="24"/>
          <w:szCs w:val="24"/>
        </w:rPr>
        <w:t>M</w:t>
      </w:r>
      <w:r>
        <w:rPr>
          <w:rFonts w:asciiTheme="majorBidi" w:hAnsiTheme="majorBidi" w:cstheme="majorBidi"/>
          <w:sz w:val="24"/>
          <w:szCs w:val="24"/>
        </w:rPr>
        <w:t>énages de 20</w:t>
      </w:r>
      <w:r w:rsidR="00B01C51">
        <w:rPr>
          <w:rFonts w:asciiTheme="majorBidi" w:hAnsiTheme="majorBidi" w:cstheme="majorBidi"/>
          <w:sz w:val="24"/>
          <w:szCs w:val="24"/>
        </w:rPr>
        <w:t>14</w:t>
      </w:r>
      <w:r>
        <w:rPr>
          <w:rFonts w:asciiTheme="majorBidi" w:hAnsiTheme="majorBidi" w:cstheme="majorBidi"/>
          <w:sz w:val="24"/>
          <w:szCs w:val="24"/>
        </w:rPr>
        <w:t>.</w:t>
      </w:r>
    </w:p>
    <w:p w:rsidR="004B1065" w:rsidRDefault="004B1065" w:rsidP="0088739E">
      <w:pPr>
        <w:spacing w:before="240" w:after="240" w:line="240" w:lineRule="auto"/>
        <w:jc w:val="both"/>
        <w:rPr>
          <w:rFonts w:asciiTheme="majorBidi" w:hAnsiTheme="majorBidi" w:cstheme="majorBidi"/>
          <w:sz w:val="24"/>
          <w:szCs w:val="24"/>
        </w:rPr>
      </w:pPr>
    </w:p>
    <w:p w:rsidR="004B1065" w:rsidRDefault="004B1065" w:rsidP="0088739E">
      <w:pPr>
        <w:spacing w:before="240" w:after="240" w:line="240" w:lineRule="auto"/>
        <w:jc w:val="both"/>
        <w:rPr>
          <w:rFonts w:asciiTheme="majorBidi" w:hAnsiTheme="majorBidi" w:cstheme="majorBidi"/>
          <w:sz w:val="24"/>
          <w:szCs w:val="24"/>
        </w:rPr>
      </w:pPr>
    </w:p>
    <w:p w:rsidR="0088739E" w:rsidRDefault="00AB5696"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L</w:t>
      </w:r>
      <w:r w:rsidR="0088739E">
        <w:rPr>
          <w:rFonts w:asciiTheme="majorBidi" w:hAnsiTheme="majorBidi" w:cstheme="majorBidi"/>
          <w:sz w:val="24"/>
          <w:szCs w:val="24"/>
        </w:rPr>
        <w:t>e choix du panier de l’indice passe par trois étapes majeures :</w:t>
      </w:r>
    </w:p>
    <w:p w:rsidR="00E30AD8" w:rsidRPr="005677DF" w:rsidRDefault="0088739E" w:rsidP="005677DF">
      <w:pPr>
        <w:pStyle w:val="Paragraphedeliste"/>
        <w:numPr>
          <w:ilvl w:val="0"/>
          <w:numId w:val="31"/>
        </w:numPr>
        <w:spacing w:before="240" w:after="240" w:line="240" w:lineRule="auto"/>
        <w:jc w:val="both"/>
        <w:rPr>
          <w:rFonts w:asciiTheme="majorBidi" w:hAnsiTheme="majorBidi" w:cstheme="majorBidi"/>
          <w:sz w:val="24"/>
          <w:szCs w:val="24"/>
        </w:rPr>
      </w:pPr>
      <w:r w:rsidRPr="005677DF">
        <w:rPr>
          <w:rFonts w:asciiTheme="majorBidi" w:hAnsiTheme="majorBidi" w:cstheme="majorBidi"/>
          <w:b/>
          <w:bCs/>
          <w:i/>
          <w:iCs/>
          <w:color w:val="0070C0"/>
          <w:sz w:val="24"/>
          <w:szCs w:val="24"/>
        </w:rPr>
        <w:t>Classification des produits</w:t>
      </w:r>
      <w:r w:rsidRPr="005677DF">
        <w:rPr>
          <w:rFonts w:asciiTheme="majorBidi" w:hAnsiTheme="majorBidi" w:cstheme="majorBidi"/>
          <w:b/>
          <w:bCs/>
          <w:i/>
          <w:iCs/>
          <w:sz w:val="24"/>
          <w:szCs w:val="24"/>
        </w:rPr>
        <w:t> :</w:t>
      </w:r>
      <w:r w:rsidRPr="005677DF">
        <w:rPr>
          <w:rFonts w:asciiTheme="majorBidi" w:hAnsiTheme="majorBidi" w:cstheme="majorBidi"/>
          <w:sz w:val="24"/>
          <w:szCs w:val="24"/>
        </w:rPr>
        <w:t xml:space="preserve"> la constitution du panier consiste à établir la liste de tous les biens et services consommés par la population. Ces produits sont décomposés en des postes</w:t>
      </w:r>
      <w:r w:rsidR="00A37B89">
        <w:rPr>
          <w:rFonts w:asciiTheme="majorBidi" w:hAnsiTheme="majorBidi" w:cstheme="majorBidi"/>
          <w:sz w:val="24"/>
          <w:szCs w:val="24"/>
        </w:rPr>
        <w:t>,</w:t>
      </w:r>
      <w:r w:rsidRPr="005677DF">
        <w:rPr>
          <w:rFonts w:asciiTheme="majorBidi" w:hAnsiTheme="majorBidi" w:cstheme="majorBidi"/>
          <w:sz w:val="24"/>
          <w:szCs w:val="24"/>
        </w:rPr>
        <w:t xml:space="preserve"> les plus fins possibles</w:t>
      </w:r>
      <w:r w:rsidR="00A37B89">
        <w:rPr>
          <w:rFonts w:asciiTheme="majorBidi" w:hAnsiTheme="majorBidi" w:cstheme="majorBidi"/>
          <w:sz w:val="24"/>
          <w:szCs w:val="24"/>
        </w:rPr>
        <w:t>,</w:t>
      </w:r>
      <w:r w:rsidRPr="005677DF">
        <w:rPr>
          <w:rFonts w:asciiTheme="majorBidi" w:hAnsiTheme="majorBidi" w:cstheme="majorBidi"/>
          <w:sz w:val="24"/>
          <w:szCs w:val="24"/>
        </w:rPr>
        <w:t xml:space="preserve"> et organisés hiérarchiquement suivant une nomenclature obéissant aux normes internationales</w:t>
      </w:r>
      <w:r w:rsidR="00E30AD8" w:rsidRPr="005677DF">
        <w:rPr>
          <w:rFonts w:asciiTheme="majorBidi" w:hAnsiTheme="majorBidi" w:cstheme="majorBidi"/>
          <w:sz w:val="24"/>
          <w:szCs w:val="24"/>
        </w:rPr>
        <w:t xml:space="preserve"> appelée COICOP (Classification Of Individual Consumption by Purpose). Celle-ci est structurée en 12 divisions, 41 groupes, 88 classes et 112 sections. </w:t>
      </w:r>
    </w:p>
    <w:p w:rsidR="0088739E" w:rsidRDefault="0088739E" w:rsidP="00767BA0">
      <w:pPr>
        <w:pStyle w:val="Paragraphedeliste"/>
        <w:numPr>
          <w:ilvl w:val="0"/>
          <w:numId w:val="31"/>
        </w:numPr>
        <w:spacing w:before="240" w:after="240" w:line="240" w:lineRule="auto"/>
        <w:jc w:val="both"/>
        <w:rPr>
          <w:rFonts w:asciiTheme="majorBidi" w:hAnsiTheme="majorBidi" w:cstheme="majorBidi"/>
          <w:sz w:val="24"/>
          <w:szCs w:val="24"/>
        </w:rPr>
      </w:pPr>
      <w:r w:rsidRPr="00725E87">
        <w:rPr>
          <w:rFonts w:asciiTheme="majorBidi" w:hAnsiTheme="majorBidi" w:cstheme="majorBidi"/>
          <w:b/>
          <w:bCs/>
          <w:i/>
          <w:iCs/>
          <w:color w:val="0070C0"/>
          <w:sz w:val="24"/>
          <w:szCs w:val="24"/>
        </w:rPr>
        <w:t>Choix des produits</w:t>
      </w:r>
      <w:r>
        <w:rPr>
          <w:rFonts w:asciiTheme="majorBidi" w:hAnsiTheme="majorBidi" w:cstheme="majorBidi"/>
          <w:b/>
          <w:bCs/>
          <w:i/>
          <w:iCs/>
          <w:sz w:val="24"/>
          <w:szCs w:val="24"/>
        </w:rPr>
        <w:t> :</w:t>
      </w:r>
      <w:r>
        <w:rPr>
          <w:rFonts w:asciiTheme="majorBidi" w:hAnsiTheme="majorBidi" w:cstheme="majorBidi"/>
          <w:sz w:val="24"/>
          <w:szCs w:val="24"/>
        </w:rPr>
        <w:t xml:space="preserve"> étant donné la liste exhaustive des produits, le choix s’arrête sur un échantillon représentatif de produits témoins dont la taille s’élève à </w:t>
      </w:r>
      <w:r w:rsidR="00767BA0">
        <w:rPr>
          <w:rFonts w:asciiTheme="majorBidi" w:hAnsiTheme="majorBidi" w:cstheme="majorBidi"/>
          <w:sz w:val="24"/>
          <w:szCs w:val="24"/>
        </w:rPr>
        <w:t>plus de 500</w:t>
      </w:r>
      <w:r>
        <w:rPr>
          <w:rFonts w:asciiTheme="majorBidi" w:hAnsiTheme="majorBidi" w:cstheme="majorBidi"/>
          <w:sz w:val="24"/>
          <w:szCs w:val="24"/>
        </w:rPr>
        <w:t>. Ce choix tient compte de l’importance du produit dans la consommation des ménages.</w:t>
      </w:r>
    </w:p>
    <w:p w:rsidR="0088739E" w:rsidRDefault="0088739E" w:rsidP="0088739E">
      <w:pPr>
        <w:pStyle w:val="Paragraphedeliste"/>
        <w:numPr>
          <w:ilvl w:val="0"/>
          <w:numId w:val="31"/>
        </w:numPr>
        <w:spacing w:before="240" w:after="240" w:line="240" w:lineRule="auto"/>
        <w:jc w:val="both"/>
        <w:rPr>
          <w:rFonts w:asciiTheme="majorBidi" w:hAnsiTheme="majorBidi" w:cstheme="majorBidi"/>
          <w:sz w:val="24"/>
          <w:szCs w:val="24"/>
        </w:rPr>
      </w:pPr>
      <w:r w:rsidRPr="00725E87">
        <w:rPr>
          <w:rFonts w:asciiTheme="majorBidi" w:hAnsiTheme="majorBidi" w:cstheme="majorBidi"/>
          <w:b/>
          <w:bCs/>
          <w:i/>
          <w:iCs/>
          <w:color w:val="0070C0"/>
          <w:sz w:val="24"/>
          <w:szCs w:val="24"/>
        </w:rPr>
        <w:t>Choix et description des variétés</w:t>
      </w:r>
      <w:r>
        <w:rPr>
          <w:rFonts w:asciiTheme="majorBidi" w:hAnsiTheme="majorBidi" w:cstheme="majorBidi"/>
          <w:b/>
          <w:bCs/>
          <w:i/>
          <w:iCs/>
          <w:sz w:val="24"/>
          <w:szCs w:val="24"/>
        </w:rPr>
        <w:t> :</w:t>
      </w:r>
      <w:r>
        <w:rPr>
          <w:rFonts w:asciiTheme="majorBidi" w:hAnsiTheme="majorBidi" w:cstheme="majorBidi"/>
          <w:sz w:val="24"/>
          <w:szCs w:val="24"/>
        </w:rPr>
        <w:t xml:space="preserve"> étant donné un produit du panier de l’indice, des variétés sont choisies pour mieux renseigner sur la variation globale des différents prix du produit. La description exacte de ces variétés est primordiale pour mener à bien le relevé des prix auprès des détaillants, notamment pour les produits hétérogènes tels que les articles d’habillement et de l’ameublement. Dans ce cadre, 1067 variétés (y compris les variétés relatives au loyer et aux médicaments) sont sélectionnées pour une meilleure représentativité régionale et saisonnière.</w:t>
      </w:r>
    </w:p>
    <w:p w:rsidR="0088739E" w:rsidRPr="00FC4512" w:rsidRDefault="0088739E" w:rsidP="00586B08">
      <w:pPr>
        <w:pStyle w:val="Titre2"/>
        <w:rPr>
          <w:rFonts w:asciiTheme="majorBidi" w:hAnsiTheme="majorBidi"/>
          <w:color w:val="0070C0"/>
          <w:lang w:val="en-US"/>
        </w:rPr>
      </w:pPr>
      <w:bookmarkStart w:id="10" w:name="_Toc68443123"/>
      <w:r w:rsidRPr="00FC4512">
        <w:rPr>
          <w:rFonts w:asciiTheme="majorBidi" w:hAnsiTheme="majorBidi"/>
          <w:color w:val="0070C0"/>
          <w:lang w:val="en-US"/>
        </w:rPr>
        <w:t>II-</w:t>
      </w:r>
      <w:r w:rsidR="005677DF" w:rsidRPr="00FC4512">
        <w:rPr>
          <w:rFonts w:asciiTheme="majorBidi" w:hAnsiTheme="majorBidi"/>
          <w:color w:val="0070C0"/>
          <w:lang w:val="en-US"/>
        </w:rPr>
        <w:t>4</w:t>
      </w:r>
      <w:r w:rsidRPr="00FC4512">
        <w:rPr>
          <w:rFonts w:asciiTheme="majorBidi" w:hAnsiTheme="majorBidi"/>
          <w:color w:val="0070C0"/>
          <w:lang w:val="en-US"/>
        </w:rPr>
        <w:t xml:space="preserve"> </w:t>
      </w:r>
      <w:r w:rsidRPr="00FC4512">
        <w:rPr>
          <w:rFonts w:asciiTheme="majorBidi" w:hAnsiTheme="majorBidi"/>
          <w:color w:val="0070C0"/>
        </w:rPr>
        <w:t>Pondérations</w:t>
      </w:r>
      <w:bookmarkEnd w:id="10"/>
      <w:r w:rsidRPr="00FC4512">
        <w:rPr>
          <w:rFonts w:asciiTheme="majorBidi" w:hAnsiTheme="majorBidi"/>
          <w:color w:val="0070C0"/>
          <w:lang w:val="en-US"/>
        </w:rPr>
        <w:t xml:space="preserve"> </w:t>
      </w:r>
    </w:p>
    <w:p w:rsidR="0088739E" w:rsidRDefault="0088739E" w:rsidP="00477549">
      <w:pPr>
        <w:spacing w:before="240" w:after="240" w:line="240" w:lineRule="auto"/>
        <w:jc w:val="both"/>
        <w:rPr>
          <w:rFonts w:asciiTheme="majorBidi" w:hAnsiTheme="majorBidi" w:cstheme="majorBidi"/>
          <w:sz w:val="24"/>
          <w:szCs w:val="24"/>
          <w:lang w:val="fr-MA"/>
        </w:rPr>
      </w:pPr>
      <w:r w:rsidRPr="00FE3C0E">
        <w:rPr>
          <w:rFonts w:asciiTheme="majorBidi" w:hAnsiTheme="majorBidi" w:cstheme="majorBidi"/>
          <w:sz w:val="24"/>
          <w:szCs w:val="24"/>
          <w:lang w:val="fr-MA"/>
        </w:rPr>
        <w:t xml:space="preserve">Les coefficients de </w:t>
      </w:r>
      <w:r w:rsidRPr="00BC220A">
        <w:rPr>
          <w:rFonts w:asciiTheme="majorBidi" w:hAnsiTheme="majorBidi" w:cstheme="majorBidi"/>
          <w:sz w:val="24"/>
          <w:szCs w:val="24"/>
        </w:rPr>
        <w:t>pondération</w:t>
      </w:r>
      <w:r w:rsidRPr="00FE3C0E">
        <w:rPr>
          <w:rFonts w:asciiTheme="majorBidi" w:hAnsiTheme="majorBidi" w:cstheme="majorBidi"/>
          <w:sz w:val="24"/>
          <w:szCs w:val="24"/>
          <w:lang w:val="fr-MA"/>
        </w:rPr>
        <w:t xml:space="preserve"> des </w:t>
      </w:r>
      <w:r w:rsidRPr="00007386">
        <w:rPr>
          <w:rFonts w:asciiTheme="majorBidi" w:hAnsiTheme="majorBidi" w:cstheme="majorBidi"/>
          <w:sz w:val="24"/>
          <w:szCs w:val="24"/>
        </w:rPr>
        <w:t>produits</w:t>
      </w:r>
      <w:r w:rsidRPr="00FE3C0E">
        <w:rPr>
          <w:rFonts w:asciiTheme="majorBidi" w:hAnsiTheme="majorBidi" w:cstheme="majorBidi"/>
          <w:sz w:val="24"/>
          <w:szCs w:val="24"/>
          <w:lang w:val="fr-MA"/>
        </w:rPr>
        <w:t xml:space="preserve"> du</w:t>
      </w:r>
      <w:r w:rsidRPr="006C41F1">
        <w:rPr>
          <w:rFonts w:asciiTheme="majorBidi" w:hAnsiTheme="majorBidi" w:cstheme="majorBidi"/>
          <w:sz w:val="24"/>
          <w:szCs w:val="24"/>
          <w:lang w:val="fr-MA"/>
        </w:rPr>
        <w:t xml:space="preserve"> panier</w:t>
      </w:r>
      <w:r w:rsidRPr="00FE3C0E">
        <w:rPr>
          <w:rFonts w:asciiTheme="majorBidi" w:hAnsiTheme="majorBidi" w:cstheme="majorBidi"/>
          <w:sz w:val="24"/>
          <w:szCs w:val="24"/>
          <w:lang w:val="fr-MA"/>
        </w:rPr>
        <w:t xml:space="preserve"> de</w:t>
      </w:r>
      <w:r w:rsidRPr="006C41F1">
        <w:rPr>
          <w:rFonts w:asciiTheme="majorBidi" w:hAnsiTheme="majorBidi" w:cstheme="majorBidi"/>
          <w:sz w:val="24"/>
          <w:szCs w:val="24"/>
          <w:lang w:val="fr-MA"/>
        </w:rPr>
        <w:t xml:space="preserve"> l’IPC</w:t>
      </w:r>
      <w:r w:rsidRPr="00FE3C0E">
        <w:rPr>
          <w:rFonts w:asciiTheme="majorBidi" w:hAnsiTheme="majorBidi" w:cstheme="majorBidi"/>
          <w:sz w:val="24"/>
          <w:szCs w:val="24"/>
          <w:lang w:val="fr-MA"/>
        </w:rPr>
        <w:t xml:space="preserve"> reflètent la structure des</w:t>
      </w:r>
      <w:r w:rsidRPr="00B12946">
        <w:rPr>
          <w:rFonts w:asciiTheme="majorBidi" w:hAnsiTheme="majorBidi" w:cstheme="majorBidi"/>
          <w:sz w:val="24"/>
          <w:szCs w:val="24"/>
          <w:lang w:val="fr-MA"/>
        </w:rPr>
        <w:t xml:space="preserve"> dépenses</w:t>
      </w:r>
      <w:r w:rsidRPr="00FE3C0E">
        <w:rPr>
          <w:rFonts w:asciiTheme="majorBidi" w:hAnsiTheme="majorBidi" w:cstheme="majorBidi"/>
          <w:sz w:val="24"/>
          <w:szCs w:val="24"/>
          <w:lang w:val="fr-MA"/>
        </w:rPr>
        <w:t xml:space="preserve"> de</w:t>
      </w:r>
      <w:r w:rsidRPr="00B12946">
        <w:rPr>
          <w:rFonts w:asciiTheme="majorBidi" w:hAnsiTheme="majorBidi" w:cstheme="majorBidi"/>
          <w:sz w:val="24"/>
          <w:szCs w:val="24"/>
        </w:rPr>
        <w:t xml:space="preserve"> consommation</w:t>
      </w:r>
      <w:r w:rsidRPr="00FE3C0E">
        <w:rPr>
          <w:rFonts w:asciiTheme="majorBidi" w:hAnsiTheme="majorBidi" w:cstheme="majorBidi"/>
          <w:sz w:val="24"/>
          <w:szCs w:val="24"/>
          <w:lang w:val="fr-MA"/>
        </w:rPr>
        <w:t xml:space="preserve"> des ménages urbains.</w:t>
      </w:r>
      <w:r w:rsidRPr="00FE3C0E">
        <w:rPr>
          <w:rFonts w:asciiTheme="majorBidi" w:hAnsiTheme="majorBidi" w:cstheme="majorBidi"/>
          <w:sz w:val="24"/>
          <w:szCs w:val="24"/>
        </w:rPr>
        <w:t xml:space="preserve"> Ils</w:t>
      </w:r>
      <w:r>
        <w:rPr>
          <w:rFonts w:asciiTheme="majorBidi" w:hAnsiTheme="majorBidi" w:cstheme="majorBidi"/>
          <w:sz w:val="24"/>
          <w:szCs w:val="24"/>
          <w:lang w:val="en-US"/>
        </w:rPr>
        <w:t xml:space="preserve"> </w:t>
      </w:r>
      <w:r w:rsidRPr="00FE3C0E">
        <w:rPr>
          <w:rFonts w:asciiTheme="majorBidi" w:hAnsiTheme="majorBidi" w:cstheme="majorBidi"/>
          <w:sz w:val="24"/>
          <w:szCs w:val="24"/>
        </w:rPr>
        <w:t>sont calculés</w:t>
      </w:r>
      <w:r>
        <w:rPr>
          <w:rFonts w:asciiTheme="majorBidi" w:hAnsiTheme="majorBidi" w:cstheme="majorBidi"/>
          <w:sz w:val="24"/>
          <w:szCs w:val="24"/>
          <w:lang w:val="en-US"/>
        </w:rPr>
        <w:t xml:space="preserve"> </w:t>
      </w:r>
      <w:r w:rsidR="0086253C">
        <w:rPr>
          <w:rFonts w:asciiTheme="majorBidi" w:hAnsiTheme="majorBidi" w:cstheme="majorBidi"/>
          <w:sz w:val="24"/>
          <w:szCs w:val="24"/>
          <w:lang w:val="en-US"/>
        </w:rPr>
        <w:t>sur la base de l’</w:t>
      </w:r>
      <w:r w:rsidR="00477549">
        <w:rPr>
          <w:rFonts w:asciiTheme="majorBidi" w:hAnsiTheme="majorBidi" w:cstheme="majorBidi"/>
          <w:sz w:val="24"/>
          <w:szCs w:val="24"/>
          <w:lang w:val="en-US"/>
        </w:rPr>
        <w:t>E</w:t>
      </w:r>
      <w:r w:rsidR="0086253C">
        <w:rPr>
          <w:rFonts w:asciiTheme="majorBidi" w:hAnsiTheme="majorBidi" w:cstheme="majorBidi"/>
          <w:sz w:val="24"/>
          <w:szCs w:val="24"/>
          <w:lang w:val="en-US"/>
        </w:rPr>
        <w:t xml:space="preserve">nquête de </w:t>
      </w:r>
      <w:r w:rsidR="00477549">
        <w:rPr>
          <w:rFonts w:asciiTheme="majorBidi" w:hAnsiTheme="majorBidi" w:cstheme="majorBidi"/>
          <w:sz w:val="24"/>
          <w:szCs w:val="24"/>
          <w:lang w:val="en-US"/>
        </w:rPr>
        <w:t>C</w:t>
      </w:r>
      <w:r w:rsidR="0086253C">
        <w:rPr>
          <w:rFonts w:asciiTheme="majorBidi" w:hAnsiTheme="majorBidi" w:cstheme="majorBidi"/>
          <w:sz w:val="24"/>
          <w:szCs w:val="24"/>
          <w:lang w:val="en-US"/>
        </w:rPr>
        <w:t>ons</w:t>
      </w:r>
      <w:r w:rsidR="0085673B">
        <w:rPr>
          <w:rFonts w:asciiTheme="majorBidi" w:hAnsiTheme="majorBidi" w:cstheme="majorBidi"/>
          <w:sz w:val="24"/>
          <w:szCs w:val="24"/>
          <w:lang w:val="en-US"/>
        </w:rPr>
        <w:t>o</w:t>
      </w:r>
      <w:r w:rsidR="0086253C">
        <w:rPr>
          <w:rFonts w:asciiTheme="majorBidi" w:hAnsiTheme="majorBidi" w:cstheme="majorBidi"/>
          <w:sz w:val="24"/>
          <w:szCs w:val="24"/>
          <w:lang w:val="en-US"/>
        </w:rPr>
        <w:t>mmation de 2014 pour l’IPC</w:t>
      </w:r>
      <w:r w:rsidR="00FD0F9A">
        <w:rPr>
          <w:rFonts w:asciiTheme="majorBidi" w:hAnsiTheme="majorBidi" w:cstheme="majorBidi"/>
          <w:sz w:val="24"/>
          <w:szCs w:val="24"/>
          <w:lang w:val="en-US"/>
        </w:rPr>
        <w:t xml:space="preserve"> (base100:</w:t>
      </w:r>
      <w:r w:rsidR="0086253C">
        <w:rPr>
          <w:rFonts w:asciiTheme="majorBidi" w:hAnsiTheme="majorBidi" w:cstheme="majorBidi"/>
          <w:sz w:val="24"/>
          <w:szCs w:val="24"/>
          <w:lang w:val="en-US"/>
        </w:rPr>
        <w:t>2017</w:t>
      </w:r>
      <w:r w:rsidR="00FD0F9A">
        <w:rPr>
          <w:rFonts w:asciiTheme="majorBidi" w:hAnsiTheme="majorBidi" w:cstheme="majorBidi"/>
          <w:sz w:val="24"/>
          <w:szCs w:val="24"/>
          <w:lang w:val="en-US"/>
        </w:rPr>
        <w:t>)</w:t>
      </w:r>
      <w:r w:rsidR="00AF3072">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Selon cette dernière enquête, les coefficients de pondération des produits alimentaires et boissons ont atteint </w:t>
      </w:r>
      <w:r w:rsidR="00FD0F9A">
        <w:rPr>
          <w:rFonts w:asciiTheme="majorBidi" w:hAnsiTheme="majorBidi" w:cstheme="majorBidi"/>
          <w:sz w:val="24"/>
          <w:szCs w:val="24"/>
          <w:lang w:val="en-US"/>
        </w:rPr>
        <w:t>39</w:t>
      </w:r>
      <w:r>
        <w:rPr>
          <w:rFonts w:asciiTheme="majorBidi" w:hAnsiTheme="majorBidi" w:cstheme="majorBidi"/>
          <w:sz w:val="24"/>
          <w:szCs w:val="24"/>
          <w:lang w:val="en-US"/>
        </w:rPr>
        <w:t>%</w:t>
      </w:r>
      <w:r w:rsidR="00FD0F9A">
        <w:rPr>
          <w:rFonts w:asciiTheme="majorBidi" w:hAnsiTheme="majorBidi" w:cstheme="majorBidi"/>
          <w:sz w:val="24"/>
          <w:szCs w:val="24"/>
          <w:lang w:val="en-US"/>
        </w:rPr>
        <w:t xml:space="preserve"> pour l’ensemble du pays contre 42,7% pour la ville de Kénitra</w:t>
      </w:r>
      <w:r w:rsidR="00AB553C">
        <w:rPr>
          <w:rFonts w:asciiTheme="majorBidi" w:hAnsiTheme="majorBidi" w:cstheme="majorBidi"/>
          <w:sz w:val="24"/>
          <w:szCs w:val="24"/>
          <w:lang w:val="fr-MA"/>
        </w:rPr>
        <w:t xml:space="preserve">. </w:t>
      </w:r>
      <w:r w:rsidR="007D43FD">
        <w:rPr>
          <w:rFonts w:asciiTheme="majorBidi" w:hAnsiTheme="majorBidi" w:cstheme="majorBidi"/>
          <w:sz w:val="24"/>
          <w:szCs w:val="24"/>
          <w:lang w:val="fr-MA"/>
        </w:rPr>
        <w:t xml:space="preserve">Ce qui signifie que les dépenses alimentaires de la population urbaine </w:t>
      </w:r>
      <w:r w:rsidR="00AB38D1">
        <w:rPr>
          <w:rFonts w:asciiTheme="majorBidi" w:hAnsiTheme="majorBidi" w:cstheme="majorBidi"/>
          <w:sz w:val="24"/>
          <w:szCs w:val="24"/>
          <w:lang w:val="fr-MA"/>
        </w:rPr>
        <w:t>de la ville de Kenitra</w:t>
      </w:r>
      <w:r w:rsidR="007D43FD">
        <w:rPr>
          <w:rFonts w:asciiTheme="majorBidi" w:hAnsiTheme="majorBidi" w:cstheme="majorBidi"/>
          <w:sz w:val="24"/>
          <w:szCs w:val="24"/>
          <w:lang w:val="fr-MA"/>
        </w:rPr>
        <w:t xml:space="preserve"> sont supérieures à celles nationales de 9,5%</w:t>
      </w:r>
      <w:r w:rsidR="00AB38D1">
        <w:rPr>
          <w:rFonts w:asciiTheme="majorBidi" w:hAnsiTheme="majorBidi" w:cstheme="majorBidi"/>
          <w:sz w:val="24"/>
          <w:szCs w:val="24"/>
          <w:lang w:val="fr-MA"/>
        </w:rPr>
        <w:t>. Cet écart est réalisé au détriment d’autres dépenses à caractère qualitatif, notamment la Santé</w:t>
      </w:r>
      <w:r w:rsidR="003A073F">
        <w:rPr>
          <w:rFonts w:asciiTheme="majorBidi" w:hAnsiTheme="majorBidi" w:cstheme="majorBidi"/>
          <w:sz w:val="24"/>
          <w:szCs w:val="24"/>
          <w:lang w:val="fr-MA"/>
        </w:rPr>
        <w:t xml:space="preserve"> et</w:t>
      </w:r>
      <w:r w:rsidR="00AB38D1">
        <w:rPr>
          <w:rFonts w:asciiTheme="majorBidi" w:hAnsiTheme="majorBidi" w:cstheme="majorBidi"/>
          <w:sz w:val="24"/>
          <w:szCs w:val="24"/>
          <w:lang w:val="fr-MA"/>
        </w:rPr>
        <w:t xml:space="preserve"> </w:t>
      </w:r>
      <w:r w:rsidR="003A073F">
        <w:rPr>
          <w:rFonts w:asciiTheme="majorBidi" w:hAnsiTheme="majorBidi" w:cstheme="majorBidi"/>
          <w:sz w:val="24"/>
          <w:szCs w:val="24"/>
          <w:lang w:val="fr-MA"/>
        </w:rPr>
        <w:t xml:space="preserve">l’Enseignement </w:t>
      </w:r>
      <w:r w:rsidR="00AB38D1">
        <w:rPr>
          <w:rFonts w:asciiTheme="majorBidi" w:hAnsiTheme="majorBidi" w:cstheme="majorBidi"/>
          <w:sz w:val="24"/>
          <w:szCs w:val="24"/>
          <w:lang w:val="fr-MA"/>
        </w:rPr>
        <w:t xml:space="preserve">avec </w:t>
      </w:r>
      <w:r w:rsidR="003A073F">
        <w:rPr>
          <w:rFonts w:asciiTheme="majorBidi" w:hAnsiTheme="majorBidi" w:cstheme="majorBidi"/>
          <w:sz w:val="24"/>
          <w:szCs w:val="24"/>
          <w:lang w:val="fr-MA"/>
        </w:rPr>
        <w:t xml:space="preserve">respectivement </w:t>
      </w:r>
      <w:r w:rsidR="00AB38D1">
        <w:rPr>
          <w:rFonts w:asciiTheme="majorBidi" w:hAnsiTheme="majorBidi" w:cstheme="majorBidi"/>
          <w:sz w:val="24"/>
          <w:szCs w:val="24"/>
          <w:lang w:val="fr-MA"/>
        </w:rPr>
        <w:t>6,4%</w:t>
      </w:r>
      <w:r w:rsidR="003A073F" w:rsidRPr="003A073F">
        <w:rPr>
          <w:rFonts w:asciiTheme="majorBidi" w:hAnsiTheme="majorBidi" w:cstheme="majorBidi"/>
          <w:sz w:val="24"/>
          <w:szCs w:val="24"/>
          <w:lang w:val="fr-MA"/>
        </w:rPr>
        <w:t xml:space="preserve"> </w:t>
      </w:r>
      <w:r w:rsidR="003A073F">
        <w:rPr>
          <w:rFonts w:asciiTheme="majorBidi" w:hAnsiTheme="majorBidi" w:cstheme="majorBidi"/>
          <w:sz w:val="24"/>
          <w:szCs w:val="24"/>
          <w:lang w:val="fr-MA"/>
        </w:rPr>
        <w:t>et  4,7%</w:t>
      </w:r>
      <w:r w:rsidR="00AB38D1">
        <w:rPr>
          <w:rFonts w:asciiTheme="majorBidi" w:hAnsiTheme="majorBidi" w:cstheme="majorBidi"/>
          <w:sz w:val="24"/>
          <w:szCs w:val="24"/>
          <w:lang w:val="fr-MA"/>
        </w:rPr>
        <w:t xml:space="preserve"> </w:t>
      </w:r>
      <w:r w:rsidR="003A073F">
        <w:rPr>
          <w:rFonts w:asciiTheme="majorBidi" w:hAnsiTheme="majorBidi" w:cstheme="majorBidi"/>
          <w:sz w:val="24"/>
          <w:szCs w:val="24"/>
          <w:lang w:val="fr-MA"/>
        </w:rPr>
        <w:t xml:space="preserve">pour la ville de Kénitra </w:t>
      </w:r>
      <w:r w:rsidR="00AB38D1">
        <w:rPr>
          <w:rFonts w:asciiTheme="majorBidi" w:hAnsiTheme="majorBidi" w:cstheme="majorBidi"/>
          <w:sz w:val="24"/>
          <w:szCs w:val="24"/>
          <w:lang w:val="fr-MA"/>
        </w:rPr>
        <w:t xml:space="preserve">contre 7,7% </w:t>
      </w:r>
      <w:r w:rsidR="003A073F">
        <w:rPr>
          <w:rFonts w:asciiTheme="majorBidi" w:hAnsiTheme="majorBidi" w:cstheme="majorBidi"/>
          <w:sz w:val="24"/>
          <w:szCs w:val="24"/>
          <w:lang w:val="fr-MA"/>
        </w:rPr>
        <w:t xml:space="preserve">et 5,6% </w:t>
      </w:r>
      <w:r w:rsidR="00AB38D1">
        <w:rPr>
          <w:rFonts w:asciiTheme="majorBidi" w:hAnsiTheme="majorBidi" w:cstheme="majorBidi"/>
          <w:sz w:val="24"/>
          <w:szCs w:val="24"/>
          <w:lang w:val="fr-MA"/>
        </w:rPr>
        <w:t>pour l’ensemble du pays</w:t>
      </w:r>
      <w:r w:rsidR="003A073F">
        <w:rPr>
          <w:rFonts w:asciiTheme="majorBidi" w:hAnsiTheme="majorBidi" w:cstheme="majorBidi"/>
          <w:sz w:val="24"/>
          <w:szCs w:val="24"/>
          <w:lang w:val="fr-MA"/>
        </w:rPr>
        <w:t xml:space="preserve">. </w:t>
      </w:r>
    </w:p>
    <w:p w:rsidR="0088739E" w:rsidRPr="00007386" w:rsidRDefault="0088739E" w:rsidP="001848E9">
      <w:pPr>
        <w:spacing w:before="240" w:after="240" w:line="240" w:lineRule="auto"/>
        <w:ind w:right="142"/>
        <w:jc w:val="both"/>
        <w:rPr>
          <w:rFonts w:asciiTheme="majorBidi" w:hAnsiTheme="majorBidi" w:cstheme="majorBidi"/>
          <w:lang w:val="en-US"/>
        </w:rPr>
      </w:pPr>
      <w:r>
        <w:rPr>
          <w:rFonts w:asciiTheme="majorBidi" w:hAnsiTheme="majorBidi" w:cstheme="majorBidi"/>
          <w:sz w:val="24"/>
          <w:szCs w:val="24"/>
          <w:lang w:val="fr-MA"/>
        </w:rPr>
        <w:t>La structure</w:t>
      </w:r>
      <w:r w:rsidR="001E3F22">
        <w:rPr>
          <w:rFonts w:asciiTheme="majorBidi" w:hAnsiTheme="majorBidi" w:cstheme="majorBidi"/>
          <w:sz w:val="24"/>
          <w:szCs w:val="24"/>
          <w:lang w:val="fr-MA"/>
        </w:rPr>
        <w:t xml:space="preserve"> </w:t>
      </w:r>
      <w:r>
        <w:rPr>
          <w:rFonts w:asciiTheme="majorBidi" w:hAnsiTheme="majorBidi" w:cstheme="majorBidi"/>
          <w:sz w:val="24"/>
          <w:szCs w:val="24"/>
          <w:lang w:val="fr-MA"/>
        </w:rPr>
        <w:t xml:space="preserve">des coefficients budgétaires de l’ensemble des biens et services du panier de l’indice, </w:t>
      </w:r>
      <w:r w:rsidR="00C2411B">
        <w:rPr>
          <w:rFonts w:asciiTheme="majorBidi" w:hAnsiTheme="majorBidi" w:cstheme="majorBidi"/>
          <w:sz w:val="24"/>
          <w:szCs w:val="24"/>
          <w:lang w:val="fr-MA"/>
        </w:rPr>
        <w:t xml:space="preserve">selon </w:t>
      </w:r>
      <w:r w:rsidR="003A073F">
        <w:rPr>
          <w:rFonts w:asciiTheme="majorBidi" w:hAnsiTheme="majorBidi" w:cstheme="majorBidi"/>
          <w:sz w:val="24"/>
          <w:szCs w:val="24"/>
          <w:lang w:val="fr-MA"/>
        </w:rPr>
        <w:t>l’enquête de consommation 2014</w:t>
      </w:r>
      <w:r w:rsidR="00C2411B">
        <w:rPr>
          <w:rFonts w:asciiTheme="majorBidi" w:hAnsiTheme="majorBidi" w:cstheme="majorBidi"/>
          <w:sz w:val="24"/>
          <w:szCs w:val="24"/>
          <w:lang w:val="fr-MA"/>
        </w:rPr>
        <w:t xml:space="preserve">, </w:t>
      </w:r>
      <w:r>
        <w:rPr>
          <w:rFonts w:asciiTheme="majorBidi" w:hAnsiTheme="majorBidi" w:cstheme="majorBidi"/>
          <w:sz w:val="24"/>
          <w:szCs w:val="24"/>
          <w:lang w:val="fr-MA"/>
        </w:rPr>
        <w:t>est présentée dans le tableau, ci-dessous :</w:t>
      </w:r>
    </w:p>
    <w:p w:rsidR="004B1065" w:rsidRDefault="004B1065">
      <w:pPr>
        <w:rPr>
          <w:rFonts w:asciiTheme="majorBidi" w:hAnsiTheme="majorBidi" w:cstheme="majorBidi"/>
          <w:b/>
          <w:bCs/>
          <w:color w:val="4F81BD" w:themeColor="accent1"/>
        </w:rPr>
      </w:pPr>
      <w:bookmarkStart w:id="11" w:name="_Toc510776092"/>
      <w:r>
        <w:rPr>
          <w:rFonts w:asciiTheme="majorBidi" w:hAnsiTheme="majorBidi" w:cstheme="majorBidi"/>
        </w:rPr>
        <w:br w:type="page"/>
      </w:r>
    </w:p>
    <w:p w:rsidR="00832702" w:rsidRPr="006A40CB" w:rsidRDefault="00486BC8" w:rsidP="000A6B5F">
      <w:pPr>
        <w:pStyle w:val="Lgende"/>
        <w:spacing w:after="0"/>
        <w:rPr>
          <w:rFonts w:asciiTheme="majorBidi" w:hAnsiTheme="majorBidi" w:cstheme="majorBidi"/>
          <w:sz w:val="22"/>
          <w:szCs w:val="22"/>
        </w:rPr>
      </w:pPr>
      <w:bookmarkStart w:id="12" w:name="_Toc68436327"/>
      <w:r w:rsidRPr="006A40CB">
        <w:rPr>
          <w:rFonts w:asciiTheme="majorBidi" w:hAnsiTheme="majorBidi" w:cstheme="majorBidi"/>
          <w:sz w:val="22"/>
          <w:szCs w:val="22"/>
        </w:rPr>
        <w:lastRenderedPageBreak/>
        <w:t xml:space="preserve">Tableau </w:t>
      </w:r>
      <w:r w:rsidR="002966E3" w:rsidRPr="006A40CB">
        <w:rPr>
          <w:rFonts w:asciiTheme="majorBidi" w:hAnsiTheme="majorBidi" w:cstheme="majorBidi"/>
          <w:sz w:val="22"/>
          <w:szCs w:val="22"/>
        </w:rPr>
        <w:fldChar w:fldCharType="begin"/>
      </w:r>
      <w:r w:rsidR="00756AA5" w:rsidRPr="006A40CB">
        <w:rPr>
          <w:rFonts w:asciiTheme="majorBidi" w:hAnsiTheme="majorBidi" w:cstheme="majorBidi"/>
          <w:sz w:val="22"/>
          <w:szCs w:val="22"/>
        </w:rPr>
        <w:instrText xml:space="preserve"> SEQ Tableau \* ARABIC </w:instrText>
      </w:r>
      <w:r w:rsidR="002966E3" w:rsidRPr="006A40CB">
        <w:rPr>
          <w:rFonts w:asciiTheme="majorBidi" w:hAnsiTheme="majorBidi" w:cstheme="majorBidi"/>
          <w:sz w:val="22"/>
          <w:szCs w:val="22"/>
        </w:rPr>
        <w:fldChar w:fldCharType="separate"/>
      </w:r>
      <w:r w:rsidR="00794CED">
        <w:rPr>
          <w:rFonts w:asciiTheme="majorBidi" w:hAnsiTheme="majorBidi" w:cstheme="majorBidi"/>
          <w:noProof/>
          <w:sz w:val="22"/>
          <w:szCs w:val="22"/>
        </w:rPr>
        <w:t>1</w:t>
      </w:r>
      <w:r w:rsidR="002966E3" w:rsidRPr="006A40CB">
        <w:rPr>
          <w:rFonts w:asciiTheme="majorBidi" w:hAnsiTheme="majorBidi" w:cstheme="majorBidi"/>
          <w:sz w:val="22"/>
          <w:szCs w:val="22"/>
        </w:rPr>
        <w:fldChar w:fldCharType="end"/>
      </w:r>
      <w:r w:rsidRPr="006A40CB">
        <w:rPr>
          <w:rFonts w:asciiTheme="majorBidi" w:hAnsiTheme="majorBidi" w:cstheme="majorBidi"/>
          <w:sz w:val="22"/>
          <w:szCs w:val="22"/>
        </w:rPr>
        <w:t xml:space="preserve"> : </w:t>
      </w:r>
      <w:r w:rsidR="00832702" w:rsidRPr="006A40CB">
        <w:rPr>
          <w:rFonts w:asciiTheme="majorBidi" w:hAnsiTheme="majorBidi" w:cstheme="majorBidi"/>
          <w:color w:val="0070C0"/>
          <w:sz w:val="22"/>
          <w:szCs w:val="22"/>
        </w:rPr>
        <w:t>Coefficients de pondération des grands groupes de produits en 2014</w:t>
      </w:r>
      <w:bookmarkEnd w:id="11"/>
      <w:r w:rsidR="000A6B5F">
        <w:rPr>
          <w:rFonts w:asciiTheme="majorBidi" w:hAnsiTheme="majorBidi" w:cstheme="majorBidi"/>
          <w:color w:val="0070C0"/>
          <w:sz w:val="22"/>
          <w:szCs w:val="22"/>
        </w:rPr>
        <w:t xml:space="preserve"> en (%)</w:t>
      </w:r>
      <w:bookmarkEnd w:id="12"/>
    </w:p>
    <w:tbl>
      <w:tblPr>
        <w:tblW w:w="5000" w:type="pct"/>
        <w:tblCellMar>
          <w:left w:w="70" w:type="dxa"/>
          <w:right w:w="70" w:type="dxa"/>
        </w:tblCellMar>
        <w:tblLook w:val="04A0"/>
      </w:tblPr>
      <w:tblGrid>
        <w:gridCol w:w="7195"/>
        <w:gridCol w:w="1035"/>
        <w:gridCol w:w="1124"/>
      </w:tblGrid>
      <w:tr w:rsidR="000A6B5F" w:rsidRPr="00FE3C0E" w:rsidTr="00FE291C">
        <w:trPr>
          <w:trHeight w:val="375"/>
        </w:trPr>
        <w:tc>
          <w:tcPr>
            <w:tcW w:w="3846" w:type="pct"/>
            <w:tcBorders>
              <w:top w:val="single" w:sz="12" w:space="0" w:color="auto"/>
              <w:left w:val="nil"/>
              <w:right w:val="nil"/>
            </w:tcBorders>
            <w:shd w:val="clear" w:color="000000" w:fill="A5A5A5"/>
            <w:noWrap/>
            <w:vAlign w:val="center"/>
            <w:hideMark/>
          </w:tcPr>
          <w:p w:rsidR="000A6B5F" w:rsidRPr="0066312D" w:rsidRDefault="000A6B5F" w:rsidP="000A6B5F">
            <w:pPr>
              <w:spacing w:after="0" w:line="240" w:lineRule="auto"/>
              <w:rPr>
                <w:rFonts w:ascii="Times New Roman" w:eastAsia="Times New Roman" w:hAnsi="Times New Roman" w:cs="Times New Roman"/>
                <w:b/>
                <w:bCs/>
                <w:sz w:val="24"/>
                <w:szCs w:val="24"/>
                <w:lang w:eastAsia="fr-FR"/>
              </w:rPr>
            </w:pPr>
            <w:r w:rsidRPr="0066312D">
              <w:rPr>
                <w:rFonts w:ascii="Times New Roman" w:eastAsia="Times New Roman" w:hAnsi="Times New Roman" w:cs="Times New Roman"/>
                <w:b/>
                <w:bCs/>
                <w:sz w:val="24"/>
                <w:szCs w:val="24"/>
                <w:lang w:eastAsia="fr-FR"/>
              </w:rPr>
              <w:t>DIVISIONS</w:t>
            </w:r>
          </w:p>
        </w:tc>
        <w:tc>
          <w:tcPr>
            <w:tcW w:w="553" w:type="pct"/>
            <w:tcBorders>
              <w:top w:val="single" w:sz="12" w:space="0" w:color="auto"/>
              <w:left w:val="nil"/>
              <w:right w:val="nil"/>
            </w:tcBorders>
            <w:shd w:val="clear" w:color="000000" w:fill="A5A5A5"/>
            <w:vAlign w:val="center"/>
          </w:tcPr>
          <w:p w:rsidR="000A6B5F" w:rsidRPr="00FE3C0E" w:rsidRDefault="000A6B5F" w:rsidP="000A6B5F">
            <w:pPr>
              <w:spacing w:after="0" w:line="240" w:lineRule="auto"/>
              <w:jc w:val="right"/>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Kénitra</w:t>
            </w:r>
          </w:p>
        </w:tc>
        <w:tc>
          <w:tcPr>
            <w:tcW w:w="601" w:type="pct"/>
            <w:tcBorders>
              <w:top w:val="single" w:sz="12" w:space="0" w:color="auto"/>
              <w:left w:val="nil"/>
              <w:right w:val="nil"/>
            </w:tcBorders>
            <w:shd w:val="clear" w:color="000000" w:fill="A5A5A5"/>
            <w:noWrap/>
            <w:vAlign w:val="center"/>
            <w:hideMark/>
          </w:tcPr>
          <w:p w:rsidR="000A6B5F" w:rsidRPr="00FE3C0E" w:rsidRDefault="000A6B5F" w:rsidP="000A6B5F">
            <w:pPr>
              <w:spacing w:after="0" w:line="240" w:lineRule="auto"/>
              <w:jc w:val="right"/>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National</w:t>
            </w:r>
          </w:p>
        </w:tc>
      </w:tr>
      <w:tr w:rsidR="000A6B5F" w:rsidRPr="00FE3C0E" w:rsidTr="00FE291C">
        <w:trPr>
          <w:trHeight w:val="315"/>
        </w:trPr>
        <w:tc>
          <w:tcPr>
            <w:tcW w:w="3846" w:type="pct"/>
            <w:tcBorders>
              <w:top w:val="single" w:sz="12" w:space="0" w:color="auto"/>
            </w:tcBorders>
            <w:shd w:val="clear" w:color="auto" w:fill="auto"/>
            <w:noWrap/>
            <w:vAlign w:val="bottom"/>
            <w:hideMark/>
          </w:tcPr>
          <w:p w:rsidR="000A6B5F" w:rsidRPr="004B1065" w:rsidRDefault="000A6B5F" w:rsidP="00477549">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Produits Alimentaires et Boissons </w:t>
            </w:r>
            <w:r>
              <w:rPr>
                <w:rFonts w:ascii="Times New Roman" w:eastAsia="Times New Roman" w:hAnsi="Times New Roman" w:cs="Times New Roman"/>
                <w:lang w:eastAsia="fr-FR"/>
              </w:rPr>
              <w:t>n</w:t>
            </w:r>
            <w:r w:rsidRPr="004B1065">
              <w:rPr>
                <w:rFonts w:ascii="Times New Roman" w:eastAsia="Times New Roman" w:hAnsi="Times New Roman" w:cs="Times New Roman"/>
                <w:lang w:eastAsia="fr-FR"/>
              </w:rPr>
              <w:t>on Alcoolisées</w:t>
            </w:r>
          </w:p>
        </w:tc>
        <w:tc>
          <w:tcPr>
            <w:tcW w:w="553" w:type="pct"/>
            <w:tcBorders>
              <w:top w:val="single" w:sz="12" w:space="0" w:color="auto"/>
            </w:tcBorders>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41,2</w:t>
            </w:r>
          </w:p>
        </w:tc>
        <w:tc>
          <w:tcPr>
            <w:tcW w:w="601" w:type="pct"/>
            <w:tcBorders>
              <w:top w:val="single" w:sz="12" w:space="0" w:color="auto"/>
            </w:tcBorders>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37,5</w:t>
            </w:r>
          </w:p>
        </w:tc>
      </w:tr>
      <w:tr w:rsidR="000A6B5F" w:rsidRPr="00FE3C0E" w:rsidTr="00FE291C">
        <w:trPr>
          <w:trHeight w:val="315"/>
        </w:trPr>
        <w:tc>
          <w:tcPr>
            <w:tcW w:w="3846" w:type="pct"/>
            <w:shd w:val="clear" w:color="auto" w:fill="auto"/>
            <w:noWrap/>
            <w:vAlign w:val="bottom"/>
            <w:hideMark/>
          </w:tcPr>
          <w:p w:rsidR="000A6B5F" w:rsidRPr="004B1065" w:rsidRDefault="000A6B5F" w:rsidP="00FC5811">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Boissons Alcoolisées, Tabac et Stupéfiants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1,5</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1,5</w:t>
            </w:r>
          </w:p>
        </w:tc>
      </w:tr>
      <w:tr w:rsidR="000A6B5F" w:rsidRPr="00FE3C0E" w:rsidTr="00FE291C">
        <w:trPr>
          <w:trHeight w:val="315"/>
        </w:trPr>
        <w:tc>
          <w:tcPr>
            <w:tcW w:w="3846" w:type="pct"/>
            <w:shd w:val="clear" w:color="auto" w:fill="auto"/>
            <w:noWrap/>
            <w:vAlign w:val="bottom"/>
            <w:hideMark/>
          </w:tcPr>
          <w:p w:rsidR="000A6B5F" w:rsidRPr="004B1065" w:rsidRDefault="000A6B5F" w:rsidP="00FC5811">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Articles D'habillement et Chaussures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4,1</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4,3</w:t>
            </w:r>
          </w:p>
        </w:tc>
      </w:tr>
      <w:tr w:rsidR="000A6B5F" w:rsidRPr="00FE3C0E" w:rsidTr="00FE291C">
        <w:trPr>
          <w:trHeight w:val="315"/>
        </w:trPr>
        <w:tc>
          <w:tcPr>
            <w:tcW w:w="3846" w:type="pct"/>
            <w:shd w:val="clear" w:color="auto" w:fill="auto"/>
            <w:noWrap/>
            <w:vAlign w:val="bottom"/>
            <w:hideMark/>
          </w:tcPr>
          <w:p w:rsidR="000A6B5F" w:rsidRPr="004B1065" w:rsidRDefault="000A6B5F" w:rsidP="00FC5811">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Logement, Eau, Gaz, Electricité et Autres Combustibles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13,6</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14,6</w:t>
            </w:r>
          </w:p>
        </w:tc>
      </w:tr>
      <w:tr w:rsidR="000A6B5F" w:rsidRPr="00FE3C0E" w:rsidTr="00FE291C">
        <w:trPr>
          <w:trHeight w:val="315"/>
        </w:trPr>
        <w:tc>
          <w:tcPr>
            <w:tcW w:w="3846" w:type="pct"/>
            <w:shd w:val="clear" w:color="auto" w:fill="auto"/>
            <w:noWrap/>
            <w:vAlign w:val="bottom"/>
            <w:hideMark/>
          </w:tcPr>
          <w:p w:rsidR="000A6B5F" w:rsidRPr="004B1065" w:rsidRDefault="000A6B5F" w:rsidP="00477549">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Meubles, Articles De Ménage et Entretien Courant </w:t>
            </w:r>
            <w:r>
              <w:rPr>
                <w:rFonts w:ascii="Times New Roman" w:eastAsia="Times New Roman" w:hAnsi="Times New Roman" w:cs="Times New Roman"/>
                <w:lang w:eastAsia="fr-FR"/>
              </w:rPr>
              <w:t>d</w:t>
            </w:r>
            <w:r w:rsidRPr="004B1065">
              <w:rPr>
                <w:rFonts w:ascii="Times New Roman" w:eastAsia="Times New Roman" w:hAnsi="Times New Roman" w:cs="Times New Roman"/>
                <w:lang w:eastAsia="fr-FR"/>
              </w:rPr>
              <w:t>u Foyer</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5,2</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4,4</w:t>
            </w:r>
          </w:p>
        </w:tc>
      </w:tr>
      <w:tr w:rsidR="000A6B5F" w:rsidRPr="00FE3C0E" w:rsidTr="00FE291C">
        <w:trPr>
          <w:trHeight w:val="315"/>
        </w:trPr>
        <w:tc>
          <w:tcPr>
            <w:tcW w:w="3846" w:type="pct"/>
            <w:shd w:val="clear" w:color="auto" w:fill="auto"/>
            <w:noWrap/>
            <w:vAlign w:val="bottom"/>
            <w:hideMark/>
          </w:tcPr>
          <w:p w:rsidR="000A6B5F" w:rsidRPr="004B1065" w:rsidRDefault="000A6B5F"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Santé</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6,4</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7,7</w:t>
            </w:r>
          </w:p>
        </w:tc>
      </w:tr>
      <w:tr w:rsidR="000A6B5F" w:rsidRPr="00FE3C0E" w:rsidTr="00FE291C">
        <w:trPr>
          <w:trHeight w:val="315"/>
        </w:trPr>
        <w:tc>
          <w:tcPr>
            <w:tcW w:w="3846" w:type="pct"/>
            <w:shd w:val="clear" w:color="auto" w:fill="auto"/>
            <w:noWrap/>
            <w:vAlign w:val="bottom"/>
            <w:hideMark/>
          </w:tcPr>
          <w:p w:rsidR="000A6B5F" w:rsidRPr="004B1065" w:rsidRDefault="000A6B5F"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Transports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9,2</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10,0</w:t>
            </w:r>
          </w:p>
        </w:tc>
      </w:tr>
      <w:tr w:rsidR="000A6B5F" w:rsidRPr="00FE3C0E" w:rsidTr="00FE291C">
        <w:trPr>
          <w:trHeight w:val="315"/>
        </w:trPr>
        <w:tc>
          <w:tcPr>
            <w:tcW w:w="3846" w:type="pct"/>
            <w:shd w:val="clear" w:color="auto" w:fill="auto"/>
            <w:noWrap/>
            <w:vAlign w:val="bottom"/>
            <w:hideMark/>
          </w:tcPr>
          <w:p w:rsidR="000A6B5F" w:rsidRPr="004B1065" w:rsidRDefault="000A6B5F"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Communications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2,9</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2,9</w:t>
            </w:r>
          </w:p>
        </w:tc>
      </w:tr>
      <w:tr w:rsidR="000A6B5F" w:rsidRPr="00FE3C0E" w:rsidTr="00FE291C">
        <w:trPr>
          <w:trHeight w:val="315"/>
        </w:trPr>
        <w:tc>
          <w:tcPr>
            <w:tcW w:w="3846" w:type="pct"/>
            <w:shd w:val="clear" w:color="auto" w:fill="auto"/>
            <w:noWrap/>
            <w:vAlign w:val="bottom"/>
            <w:hideMark/>
          </w:tcPr>
          <w:p w:rsidR="000A6B5F" w:rsidRPr="004B1065" w:rsidRDefault="000A6B5F" w:rsidP="00477549">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Loisirs </w:t>
            </w:r>
            <w:r>
              <w:rPr>
                <w:rFonts w:ascii="Times New Roman" w:eastAsia="Times New Roman" w:hAnsi="Times New Roman" w:cs="Times New Roman"/>
                <w:lang w:eastAsia="fr-FR"/>
              </w:rPr>
              <w:t>e</w:t>
            </w:r>
            <w:r w:rsidRPr="004B1065">
              <w:rPr>
                <w:rFonts w:ascii="Times New Roman" w:eastAsia="Times New Roman" w:hAnsi="Times New Roman" w:cs="Times New Roman"/>
                <w:lang w:eastAsia="fr-FR"/>
              </w:rPr>
              <w:t>t Culture</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2,9</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2,7</w:t>
            </w:r>
          </w:p>
        </w:tc>
      </w:tr>
      <w:tr w:rsidR="000A6B5F" w:rsidRPr="00FE3C0E" w:rsidTr="00FE291C">
        <w:trPr>
          <w:trHeight w:val="315"/>
        </w:trPr>
        <w:tc>
          <w:tcPr>
            <w:tcW w:w="3846" w:type="pct"/>
            <w:shd w:val="clear" w:color="auto" w:fill="auto"/>
            <w:noWrap/>
            <w:vAlign w:val="bottom"/>
            <w:hideMark/>
          </w:tcPr>
          <w:p w:rsidR="000A6B5F" w:rsidRPr="004B1065" w:rsidRDefault="000A6B5F"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Enseignement</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4,7</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5,6</w:t>
            </w:r>
          </w:p>
        </w:tc>
      </w:tr>
      <w:tr w:rsidR="000A6B5F" w:rsidRPr="00FE3C0E" w:rsidTr="00FE291C">
        <w:trPr>
          <w:trHeight w:val="315"/>
        </w:trPr>
        <w:tc>
          <w:tcPr>
            <w:tcW w:w="3846" w:type="pct"/>
            <w:shd w:val="clear" w:color="auto" w:fill="auto"/>
            <w:noWrap/>
            <w:vAlign w:val="bottom"/>
            <w:hideMark/>
          </w:tcPr>
          <w:p w:rsidR="000A6B5F" w:rsidRPr="004B1065" w:rsidRDefault="000A6B5F" w:rsidP="00477549">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Restaurants </w:t>
            </w:r>
            <w:r>
              <w:rPr>
                <w:rFonts w:ascii="Times New Roman" w:eastAsia="Times New Roman" w:hAnsi="Times New Roman" w:cs="Times New Roman"/>
                <w:lang w:eastAsia="fr-FR"/>
              </w:rPr>
              <w:t>e</w:t>
            </w:r>
            <w:r w:rsidRPr="004B1065">
              <w:rPr>
                <w:rFonts w:ascii="Times New Roman" w:eastAsia="Times New Roman" w:hAnsi="Times New Roman" w:cs="Times New Roman"/>
                <w:lang w:eastAsia="fr-FR"/>
              </w:rPr>
              <w:t>t Hôtels</w:t>
            </w:r>
          </w:p>
        </w:tc>
        <w:tc>
          <w:tcPr>
            <w:tcW w:w="553" w:type="pct"/>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1,4</w:t>
            </w:r>
          </w:p>
        </w:tc>
        <w:tc>
          <w:tcPr>
            <w:tcW w:w="601" w:type="pct"/>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1,5</w:t>
            </w:r>
          </w:p>
        </w:tc>
      </w:tr>
      <w:tr w:rsidR="000A6B5F" w:rsidRPr="00FE3C0E" w:rsidTr="00FE291C">
        <w:trPr>
          <w:trHeight w:val="330"/>
        </w:trPr>
        <w:tc>
          <w:tcPr>
            <w:tcW w:w="3846" w:type="pct"/>
            <w:tcBorders>
              <w:bottom w:val="single" w:sz="12" w:space="0" w:color="auto"/>
            </w:tcBorders>
            <w:shd w:val="clear" w:color="auto" w:fill="auto"/>
            <w:noWrap/>
            <w:vAlign w:val="bottom"/>
            <w:hideMark/>
          </w:tcPr>
          <w:p w:rsidR="000A6B5F" w:rsidRPr="004B1065" w:rsidRDefault="000A6B5F" w:rsidP="00477549">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Biens </w:t>
            </w:r>
            <w:r>
              <w:rPr>
                <w:rFonts w:ascii="Times New Roman" w:eastAsia="Times New Roman" w:hAnsi="Times New Roman" w:cs="Times New Roman"/>
                <w:lang w:eastAsia="fr-FR"/>
              </w:rPr>
              <w:t>e</w:t>
            </w:r>
            <w:r w:rsidRPr="004B1065">
              <w:rPr>
                <w:rFonts w:ascii="Times New Roman" w:eastAsia="Times New Roman" w:hAnsi="Times New Roman" w:cs="Times New Roman"/>
                <w:lang w:eastAsia="fr-FR"/>
              </w:rPr>
              <w:t>t Services Divers</w:t>
            </w:r>
          </w:p>
        </w:tc>
        <w:tc>
          <w:tcPr>
            <w:tcW w:w="553" w:type="pct"/>
            <w:tcBorders>
              <w:bottom w:val="single" w:sz="12" w:space="0" w:color="auto"/>
            </w:tcBorders>
            <w:vAlign w:val="center"/>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7,0</w:t>
            </w:r>
          </w:p>
        </w:tc>
        <w:tc>
          <w:tcPr>
            <w:tcW w:w="601" w:type="pct"/>
            <w:tcBorders>
              <w:bottom w:val="single" w:sz="12" w:space="0" w:color="auto"/>
            </w:tcBorders>
            <w:shd w:val="clear" w:color="auto" w:fill="auto"/>
            <w:noWrap/>
            <w:vAlign w:val="center"/>
            <w:hideMark/>
          </w:tcPr>
          <w:p w:rsidR="000A6B5F" w:rsidRPr="004B1065" w:rsidRDefault="000A6B5F" w:rsidP="000A6B5F">
            <w:pPr>
              <w:spacing w:after="0" w:line="240" w:lineRule="auto"/>
              <w:jc w:val="right"/>
              <w:rPr>
                <w:rFonts w:ascii="Times New Roman" w:eastAsia="Times New Roman" w:hAnsi="Times New Roman" w:cs="Times New Roman"/>
                <w:color w:val="000000"/>
                <w:lang w:eastAsia="fr-FR"/>
              </w:rPr>
            </w:pPr>
            <w:r>
              <w:rPr>
                <w:rFonts w:ascii="Times New Roman" w:eastAsia="Times New Roman" w:hAnsi="Times New Roman" w:cs="Times New Roman"/>
                <w:color w:val="000000"/>
                <w:lang w:eastAsia="fr-FR"/>
              </w:rPr>
              <w:t>7,1</w:t>
            </w:r>
          </w:p>
        </w:tc>
      </w:tr>
    </w:tbl>
    <w:p w:rsidR="001959A7" w:rsidRPr="00A37E89" w:rsidRDefault="007E29B6" w:rsidP="007C0BAE">
      <w:pPr>
        <w:rPr>
          <w:rFonts w:asciiTheme="majorBidi" w:hAnsiTheme="majorBidi"/>
          <w:i/>
          <w:color w:val="4F81BD" w:themeColor="accent1"/>
        </w:rPr>
      </w:pPr>
      <w:r w:rsidRPr="00A37E89">
        <w:rPr>
          <w:rFonts w:asciiTheme="majorBidi" w:hAnsiTheme="majorBidi"/>
          <w:i/>
          <w:color w:val="4F81BD" w:themeColor="accent1"/>
        </w:rPr>
        <w:t>Source : HCP</w:t>
      </w:r>
    </w:p>
    <w:p w:rsidR="00C2411B" w:rsidRDefault="009860E6" w:rsidP="00E95877">
      <w:pPr>
        <w:spacing w:before="240" w:after="240" w:line="240" w:lineRule="auto"/>
        <w:jc w:val="both"/>
        <w:rPr>
          <w:rFonts w:asciiTheme="majorBidi" w:hAnsiTheme="majorBidi" w:cstheme="majorBidi"/>
          <w:sz w:val="24"/>
          <w:szCs w:val="24"/>
          <w:lang w:val="fr-MA"/>
        </w:rPr>
      </w:pPr>
      <w:r>
        <w:rPr>
          <w:rFonts w:asciiTheme="majorBidi" w:hAnsiTheme="majorBidi" w:cstheme="majorBidi"/>
          <w:sz w:val="24"/>
          <w:szCs w:val="24"/>
          <w:lang w:val="fr-MA"/>
        </w:rPr>
        <w:t>A noter qu’il y a eu un changement</w:t>
      </w:r>
      <w:r w:rsidR="00C2411B">
        <w:rPr>
          <w:rFonts w:asciiTheme="majorBidi" w:hAnsiTheme="majorBidi" w:cstheme="majorBidi"/>
          <w:sz w:val="24"/>
          <w:szCs w:val="24"/>
          <w:lang w:val="fr-MA"/>
        </w:rPr>
        <w:t xml:space="preserve"> dans la structure des dépenses des ménages </w:t>
      </w:r>
      <w:r>
        <w:rPr>
          <w:rFonts w:asciiTheme="majorBidi" w:hAnsiTheme="majorBidi" w:cstheme="majorBidi"/>
          <w:sz w:val="24"/>
          <w:szCs w:val="24"/>
          <w:lang w:val="fr-MA"/>
        </w:rPr>
        <w:t>en 2014 par rapport à 2007 qui émane d’une</w:t>
      </w:r>
      <w:r w:rsidR="00C2411B">
        <w:rPr>
          <w:rFonts w:asciiTheme="majorBidi" w:hAnsiTheme="majorBidi" w:cstheme="majorBidi"/>
          <w:sz w:val="24"/>
          <w:szCs w:val="24"/>
          <w:lang w:val="fr-MA"/>
        </w:rPr>
        <w:t xml:space="preserve"> vraie mutation dans les habitudes de consommation de la population marocaine</w:t>
      </w:r>
      <w:r>
        <w:rPr>
          <w:rFonts w:asciiTheme="majorBidi" w:hAnsiTheme="majorBidi" w:cstheme="majorBidi"/>
          <w:sz w:val="24"/>
          <w:szCs w:val="24"/>
          <w:lang w:val="fr-MA"/>
        </w:rPr>
        <w:t>.</w:t>
      </w:r>
    </w:p>
    <w:p w:rsidR="0088739E" w:rsidRPr="00FC4512" w:rsidRDefault="0088739E" w:rsidP="00586B08">
      <w:pPr>
        <w:pStyle w:val="Titre2"/>
        <w:rPr>
          <w:rFonts w:asciiTheme="majorBidi" w:hAnsiTheme="majorBidi"/>
          <w:color w:val="0070C0"/>
        </w:rPr>
      </w:pPr>
      <w:bookmarkStart w:id="13" w:name="_Toc68443124"/>
      <w:r w:rsidRPr="00FC4512">
        <w:rPr>
          <w:rFonts w:asciiTheme="majorBidi" w:hAnsiTheme="majorBidi"/>
          <w:color w:val="0070C0"/>
        </w:rPr>
        <w:t>II-</w:t>
      </w:r>
      <w:r w:rsidR="005677DF" w:rsidRPr="00FC4512">
        <w:rPr>
          <w:rFonts w:asciiTheme="majorBidi" w:hAnsiTheme="majorBidi"/>
          <w:color w:val="0070C0"/>
        </w:rPr>
        <w:t>5</w:t>
      </w:r>
      <w:r w:rsidRPr="00FC4512">
        <w:rPr>
          <w:rFonts w:asciiTheme="majorBidi" w:hAnsiTheme="majorBidi"/>
          <w:color w:val="0070C0"/>
        </w:rPr>
        <w:t xml:space="preserve"> Collecte des prix</w:t>
      </w:r>
      <w:bookmarkEnd w:id="13"/>
      <w:r w:rsidRPr="00FC4512">
        <w:rPr>
          <w:rFonts w:asciiTheme="majorBidi" w:hAnsiTheme="majorBidi"/>
          <w:color w:val="0070C0"/>
        </w:rPr>
        <w:t xml:space="preserve"> </w:t>
      </w:r>
    </w:p>
    <w:p w:rsidR="0088739E" w:rsidRPr="00C372E4" w:rsidRDefault="0088739E" w:rsidP="0088739E">
      <w:pPr>
        <w:spacing w:before="240" w:after="240" w:line="240" w:lineRule="auto"/>
        <w:jc w:val="both"/>
        <w:rPr>
          <w:rFonts w:asciiTheme="majorBidi" w:hAnsiTheme="majorBidi" w:cstheme="majorBidi"/>
          <w:sz w:val="24"/>
          <w:szCs w:val="24"/>
        </w:rPr>
      </w:pPr>
      <w:r w:rsidRPr="00C372E4">
        <w:rPr>
          <w:rFonts w:asciiTheme="majorBidi" w:hAnsiTheme="majorBidi" w:cstheme="majorBidi"/>
          <w:sz w:val="24"/>
          <w:szCs w:val="24"/>
        </w:rPr>
        <w:t>L’indice doit ret</w:t>
      </w:r>
      <w:r>
        <w:rPr>
          <w:rFonts w:asciiTheme="majorBidi" w:hAnsiTheme="majorBidi" w:cstheme="majorBidi"/>
          <w:sz w:val="24"/>
          <w:szCs w:val="24"/>
        </w:rPr>
        <w:t xml:space="preserve">racer l’évolution pure des prix. Celle-ci, </w:t>
      </w:r>
      <w:r w:rsidRPr="00C372E4">
        <w:rPr>
          <w:rFonts w:asciiTheme="majorBidi" w:hAnsiTheme="majorBidi" w:cstheme="majorBidi"/>
          <w:sz w:val="24"/>
          <w:szCs w:val="24"/>
        </w:rPr>
        <w:t>doit être soumise uniquement aux règles du marché et non aux changements qui affectent la qualité des produits, les points de vente, l’horaire de relevé ou autres facteurs. Les conditions de collecte ne doivent, en aucun cas, influencer le niveau des prix des variétés.</w:t>
      </w:r>
    </w:p>
    <w:p w:rsidR="006A40CB" w:rsidRDefault="0088739E" w:rsidP="006A40CB">
      <w:pPr>
        <w:spacing w:before="240" w:after="240" w:line="240" w:lineRule="auto"/>
        <w:jc w:val="both"/>
        <w:rPr>
          <w:rFonts w:asciiTheme="majorBidi" w:hAnsiTheme="majorBidi" w:cstheme="majorBidi"/>
          <w:sz w:val="24"/>
          <w:szCs w:val="24"/>
        </w:rPr>
      </w:pPr>
      <w:r w:rsidRPr="00C372E4">
        <w:rPr>
          <w:rFonts w:asciiTheme="majorBidi" w:hAnsiTheme="majorBidi" w:cstheme="majorBidi"/>
          <w:sz w:val="24"/>
          <w:szCs w:val="24"/>
        </w:rPr>
        <w:t xml:space="preserve">Le prix se définit comme la valeur unitaire (TTC) du produit qui est effectivement payé par les ménages. Cependant, pour des raisons pratiques, les prix des </w:t>
      </w:r>
      <w:r w:rsidR="009860E6">
        <w:rPr>
          <w:rFonts w:asciiTheme="majorBidi" w:hAnsiTheme="majorBidi" w:cstheme="majorBidi"/>
          <w:sz w:val="24"/>
          <w:szCs w:val="24"/>
        </w:rPr>
        <w:t>500</w:t>
      </w:r>
      <w:r w:rsidRPr="00C372E4">
        <w:rPr>
          <w:rFonts w:asciiTheme="majorBidi" w:hAnsiTheme="majorBidi" w:cstheme="majorBidi"/>
          <w:sz w:val="24"/>
          <w:szCs w:val="24"/>
        </w:rPr>
        <w:t xml:space="preserve"> articles sont relevés à l’aide d’une enquête permanente auprès d’un échantillon fixe de points de vente par entretien direct avec le vendeur</w:t>
      </w:r>
      <w:r w:rsidR="00AF6D2F">
        <w:rPr>
          <w:rFonts w:asciiTheme="majorBidi" w:hAnsiTheme="majorBidi" w:cstheme="majorBidi"/>
          <w:sz w:val="24"/>
          <w:szCs w:val="24"/>
        </w:rPr>
        <w:t>,</w:t>
      </w:r>
      <w:r w:rsidRPr="00C372E4">
        <w:rPr>
          <w:rFonts w:asciiTheme="majorBidi" w:hAnsiTheme="majorBidi" w:cstheme="majorBidi"/>
          <w:sz w:val="24"/>
          <w:szCs w:val="24"/>
        </w:rPr>
        <w:t xml:space="preserve"> tout en respectant la périodicité de chaque variété observée.</w:t>
      </w:r>
    </w:p>
    <w:p w:rsidR="0088739E" w:rsidRPr="006A40CB" w:rsidRDefault="0088739E" w:rsidP="006A40CB">
      <w:pPr>
        <w:spacing w:before="240" w:after="240" w:line="240" w:lineRule="auto"/>
        <w:jc w:val="both"/>
        <w:rPr>
          <w:rFonts w:asciiTheme="majorBidi" w:hAnsiTheme="majorBidi" w:cstheme="majorBidi"/>
          <w:b/>
          <w:bCs/>
          <w:sz w:val="24"/>
          <w:szCs w:val="24"/>
        </w:rPr>
      </w:pPr>
      <w:r w:rsidRPr="00C372E4">
        <w:rPr>
          <w:rFonts w:asciiTheme="majorBidi" w:hAnsiTheme="majorBidi"/>
          <w:color w:val="0070C0"/>
        </w:rPr>
        <w:tab/>
      </w:r>
      <w:r w:rsidRPr="006A40CB">
        <w:rPr>
          <w:rFonts w:asciiTheme="majorBidi" w:hAnsiTheme="majorBidi"/>
          <w:b/>
          <w:bCs/>
          <w:color w:val="0070C0"/>
          <w:sz w:val="24"/>
          <w:szCs w:val="24"/>
        </w:rPr>
        <w:t>II-</w:t>
      </w:r>
      <w:r w:rsidR="005677DF" w:rsidRPr="006A40CB">
        <w:rPr>
          <w:rFonts w:asciiTheme="majorBidi" w:hAnsiTheme="majorBidi"/>
          <w:b/>
          <w:bCs/>
          <w:color w:val="0070C0"/>
          <w:sz w:val="24"/>
          <w:szCs w:val="24"/>
        </w:rPr>
        <w:t>5</w:t>
      </w:r>
      <w:r w:rsidRPr="006A40CB">
        <w:rPr>
          <w:rFonts w:asciiTheme="majorBidi" w:hAnsiTheme="majorBidi"/>
          <w:b/>
          <w:bCs/>
          <w:color w:val="0070C0"/>
          <w:sz w:val="24"/>
          <w:szCs w:val="24"/>
        </w:rPr>
        <w:t>-</w:t>
      </w:r>
      <w:r w:rsidR="00C4189C" w:rsidRPr="006A40CB">
        <w:rPr>
          <w:rFonts w:asciiTheme="majorBidi" w:hAnsiTheme="majorBidi"/>
          <w:b/>
          <w:bCs/>
          <w:color w:val="0070C0"/>
          <w:sz w:val="24"/>
          <w:szCs w:val="24"/>
        </w:rPr>
        <w:t>1</w:t>
      </w:r>
      <w:r w:rsidRPr="006A40CB">
        <w:rPr>
          <w:rFonts w:asciiTheme="majorBidi" w:hAnsiTheme="majorBidi"/>
          <w:b/>
          <w:bCs/>
          <w:color w:val="0070C0"/>
          <w:sz w:val="24"/>
          <w:szCs w:val="24"/>
        </w:rPr>
        <w:t xml:space="preserve"> Zones d’enquête </w:t>
      </w:r>
    </w:p>
    <w:p w:rsidR="0088739E" w:rsidRDefault="0088739E" w:rsidP="00FC4512">
      <w:pPr>
        <w:spacing w:before="240" w:after="240" w:line="240" w:lineRule="auto"/>
        <w:jc w:val="both"/>
        <w:rPr>
          <w:rFonts w:asciiTheme="majorBidi" w:hAnsiTheme="majorBidi" w:cstheme="majorBidi"/>
          <w:sz w:val="24"/>
          <w:szCs w:val="24"/>
        </w:rPr>
      </w:pPr>
      <w:r w:rsidRPr="005E2393">
        <w:rPr>
          <w:rFonts w:asciiTheme="majorBidi" w:hAnsiTheme="majorBidi" w:cstheme="majorBidi"/>
          <w:sz w:val="24"/>
          <w:szCs w:val="24"/>
        </w:rPr>
        <w:t>Le découpage de la ville en zones d’enquête</w:t>
      </w:r>
      <w:r>
        <w:rPr>
          <w:rFonts w:asciiTheme="majorBidi" w:hAnsiTheme="majorBidi" w:cstheme="majorBidi"/>
          <w:sz w:val="24"/>
          <w:szCs w:val="24"/>
        </w:rPr>
        <w:t>, permet</w:t>
      </w:r>
      <w:r w:rsidRPr="005E2393">
        <w:rPr>
          <w:rFonts w:asciiTheme="majorBidi" w:hAnsiTheme="majorBidi" w:cstheme="majorBidi"/>
          <w:sz w:val="24"/>
          <w:szCs w:val="24"/>
        </w:rPr>
        <w:t xml:space="preserve"> notamment d</w:t>
      </w:r>
      <w:r w:rsidR="00FC4512">
        <w:rPr>
          <w:rFonts w:asciiTheme="majorBidi" w:hAnsiTheme="majorBidi" w:cstheme="majorBidi"/>
          <w:sz w:val="24"/>
          <w:szCs w:val="24"/>
        </w:rPr>
        <w:t>’</w:t>
      </w:r>
      <w:r w:rsidRPr="005E2393">
        <w:rPr>
          <w:rFonts w:asciiTheme="majorBidi" w:hAnsiTheme="majorBidi" w:cstheme="majorBidi"/>
          <w:sz w:val="24"/>
          <w:szCs w:val="24"/>
        </w:rPr>
        <w:t>:</w:t>
      </w:r>
    </w:p>
    <w:p w:rsidR="0088739E" w:rsidRDefault="0088739E" w:rsidP="00FC4512">
      <w:pPr>
        <w:pStyle w:val="Paragraphedeliste"/>
        <w:numPr>
          <w:ilvl w:val="0"/>
          <w:numId w:val="35"/>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Assurer le principe de représentativité spatiale au niveau de la ville en terme de relevé des prix ;</w:t>
      </w:r>
    </w:p>
    <w:p w:rsidR="0088739E" w:rsidRDefault="0088739E" w:rsidP="0088739E">
      <w:pPr>
        <w:pStyle w:val="Paragraphedeliste"/>
        <w:numPr>
          <w:ilvl w:val="0"/>
          <w:numId w:val="35"/>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Opérer un choix représentatif des points de vente pour l’ensemble des biens et services ;</w:t>
      </w:r>
    </w:p>
    <w:p w:rsidR="0088739E" w:rsidRDefault="0088739E" w:rsidP="0088739E">
      <w:pPr>
        <w:pStyle w:val="Paragraphedeliste"/>
        <w:numPr>
          <w:ilvl w:val="0"/>
          <w:numId w:val="35"/>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Organiser l’enquête dans le temps et dans l’espace ;</w:t>
      </w:r>
    </w:p>
    <w:p w:rsidR="0088739E" w:rsidRDefault="0088739E" w:rsidP="0088739E">
      <w:pPr>
        <w:pStyle w:val="Paragraphedeliste"/>
        <w:numPr>
          <w:ilvl w:val="0"/>
          <w:numId w:val="35"/>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Etablir un planning de relevé des prix en adoptant une périodicité adéquate selon les types de produits.</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Les critères de formation des zones sont comme suit :</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dispersion des prix au sein de la même zone doit être non significative ;</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Une zone doit contenir au moins une ou plusieurs concentrations;</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Une zone doit être une aire continue, c'est-à-dire un ensemble contigu de concentrations;</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zone doit contenir une activité commerciale variée ;</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L’accès à la zone doit être facile.</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Au niveau de la ville de Kenitra, les cinq zones constituées, sont présentées par quartier dans le tableau suivant :</w:t>
      </w:r>
    </w:p>
    <w:p w:rsidR="0088739E" w:rsidRPr="006A40CB" w:rsidRDefault="0036690E" w:rsidP="006A40CB">
      <w:pPr>
        <w:pStyle w:val="Lgende"/>
        <w:spacing w:after="0"/>
        <w:rPr>
          <w:rFonts w:asciiTheme="majorBidi" w:hAnsiTheme="majorBidi" w:cstheme="majorBidi"/>
          <w:sz w:val="22"/>
          <w:szCs w:val="22"/>
        </w:rPr>
      </w:pPr>
      <w:bookmarkStart w:id="14" w:name="_Toc68436328"/>
      <w:r w:rsidRPr="006A40CB">
        <w:rPr>
          <w:rFonts w:asciiTheme="majorBidi" w:hAnsiTheme="majorBidi" w:cstheme="majorBidi"/>
          <w:sz w:val="22"/>
          <w:szCs w:val="22"/>
        </w:rPr>
        <w:t xml:space="preserve">Tableau </w:t>
      </w:r>
      <w:r w:rsidR="002966E3" w:rsidRPr="006A40CB">
        <w:rPr>
          <w:rFonts w:asciiTheme="majorBidi" w:hAnsiTheme="majorBidi" w:cstheme="majorBidi"/>
          <w:sz w:val="22"/>
          <w:szCs w:val="22"/>
        </w:rPr>
        <w:fldChar w:fldCharType="begin"/>
      </w:r>
      <w:r w:rsidR="00756AA5" w:rsidRPr="006A40CB">
        <w:rPr>
          <w:rFonts w:asciiTheme="majorBidi" w:hAnsiTheme="majorBidi" w:cstheme="majorBidi"/>
          <w:sz w:val="22"/>
          <w:szCs w:val="22"/>
        </w:rPr>
        <w:instrText xml:space="preserve"> SEQ Tableau \* ARABIC </w:instrText>
      </w:r>
      <w:r w:rsidR="002966E3" w:rsidRPr="006A40CB">
        <w:rPr>
          <w:rFonts w:asciiTheme="majorBidi" w:hAnsiTheme="majorBidi" w:cstheme="majorBidi"/>
          <w:sz w:val="22"/>
          <w:szCs w:val="22"/>
        </w:rPr>
        <w:fldChar w:fldCharType="separate"/>
      </w:r>
      <w:r w:rsidR="00794CED">
        <w:rPr>
          <w:rFonts w:asciiTheme="majorBidi" w:hAnsiTheme="majorBidi" w:cstheme="majorBidi"/>
          <w:noProof/>
          <w:sz w:val="22"/>
          <w:szCs w:val="22"/>
        </w:rPr>
        <w:t>2</w:t>
      </w:r>
      <w:r w:rsidR="002966E3" w:rsidRPr="006A40CB">
        <w:rPr>
          <w:rFonts w:asciiTheme="majorBidi" w:hAnsiTheme="majorBidi" w:cstheme="majorBidi"/>
          <w:sz w:val="22"/>
          <w:szCs w:val="22"/>
        </w:rPr>
        <w:fldChar w:fldCharType="end"/>
      </w:r>
      <w:r w:rsidRPr="006A40CB">
        <w:rPr>
          <w:rFonts w:asciiTheme="majorBidi" w:hAnsiTheme="majorBidi" w:cstheme="majorBidi"/>
          <w:sz w:val="22"/>
          <w:szCs w:val="22"/>
        </w:rPr>
        <w:t xml:space="preserve"> : </w:t>
      </w:r>
      <w:r w:rsidR="0088739E" w:rsidRPr="006A40CB">
        <w:rPr>
          <w:rFonts w:asciiTheme="majorBidi" w:hAnsiTheme="majorBidi" w:cstheme="majorBidi"/>
          <w:sz w:val="22"/>
          <w:szCs w:val="22"/>
        </w:rPr>
        <w:t>Liste des zones d’enquêtes par quartier de concentrations</w:t>
      </w:r>
      <w:bookmarkEnd w:id="14"/>
      <w:r w:rsidR="0088739E" w:rsidRPr="006A40CB">
        <w:rPr>
          <w:rFonts w:asciiTheme="majorBidi" w:hAnsiTheme="majorBidi" w:cstheme="majorBidi"/>
          <w:sz w:val="22"/>
          <w:szCs w:val="22"/>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828"/>
      </w:tblGrid>
      <w:tr w:rsidR="0088739E" w:rsidRPr="00BF575C" w:rsidTr="00F93525">
        <w:trPr>
          <w:trHeight w:val="475"/>
        </w:trPr>
        <w:tc>
          <w:tcPr>
            <w:tcW w:w="1384" w:type="dxa"/>
            <w:tcBorders>
              <w:top w:val="single" w:sz="12" w:space="0" w:color="auto"/>
              <w:bottom w:val="single" w:sz="12" w:space="0" w:color="auto"/>
            </w:tcBorders>
            <w:shd w:val="clear" w:color="auto" w:fill="BFBFBF" w:themeFill="background1" w:themeFillShade="BF"/>
            <w:vAlign w:val="center"/>
          </w:tcPr>
          <w:p w:rsidR="0088739E" w:rsidRPr="004B1065" w:rsidRDefault="0088739E" w:rsidP="00F93525">
            <w:pPr>
              <w:jc w:val="center"/>
              <w:rPr>
                <w:rFonts w:asciiTheme="majorBidi" w:hAnsiTheme="majorBidi" w:cstheme="majorBidi"/>
                <w:b/>
                <w:bCs/>
              </w:rPr>
            </w:pPr>
            <w:r w:rsidRPr="004B1065">
              <w:rPr>
                <w:rFonts w:asciiTheme="majorBidi" w:hAnsiTheme="majorBidi" w:cstheme="majorBidi"/>
                <w:b/>
                <w:bCs/>
              </w:rPr>
              <w:t>Zones</w:t>
            </w:r>
          </w:p>
        </w:tc>
        <w:tc>
          <w:tcPr>
            <w:tcW w:w="7828" w:type="dxa"/>
            <w:tcBorders>
              <w:top w:val="single" w:sz="12" w:space="0" w:color="auto"/>
              <w:bottom w:val="single" w:sz="12" w:space="0" w:color="auto"/>
            </w:tcBorders>
            <w:shd w:val="clear" w:color="auto" w:fill="BFBFBF" w:themeFill="background1" w:themeFillShade="BF"/>
            <w:vAlign w:val="center"/>
          </w:tcPr>
          <w:p w:rsidR="0088739E" w:rsidRPr="004B1065" w:rsidRDefault="0088739E" w:rsidP="00F93525">
            <w:pPr>
              <w:jc w:val="center"/>
              <w:rPr>
                <w:rFonts w:asciiTheme="majorBidi" w:hAnsiTheme="majorBidi" w:cstheme="majorBidi"/>
                <w:b/>
                <w:bCs/>
              </w:rPr>
            </w:pPr>
            <w:r w:rsidRPr="004B1065">
              <w:rPr>
                <w:rFonts w:asciiTheme="majorBidi" w:hAnsiTheme="majorBidi" w:cstheme="majorBidi"/>
                <w:b/>
                <w:bCs/>
              </w:rPr>
              <w:t>Quartiers des concentrations</w:t>
            </w:r>
          </w:p>
        </w:tc>
      </w:tr>
      <w:tr w:rsidR="0088739E" w:rsidTr="00F93525">
        <w:trPr>
          <w:trHeight w:val="284"/>
        </w:trPr>
        <w:tc>
          <w:tcPr>
            <w:tcW w:w="1384" w:type="dxa"/>
            <w:tcBorders>
              <w:top w:val="single" w:sz="12" w:space="0" w:color="auto"/>
            </w:tcBorders>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1</w:t>
            </w:r>
          </w:p>
        </w:tc>
        <w:tc>
          <w:tcPr>
            <w:tcW w:w="7828" w:type="dxa"/>
            <w:tcBorders>
              <w:top w:val="single" w:sz="12" w:space="0" w:color="auto"/>
            </w:tcBorders>
            <w:vAlign w:val="center"/>
          </w:tcPr>
          <w:p w:rsidR="0088739E" w:rsidRPr="004B1065" w:rsidRDefault="0088739E" w:rsidP="002251E1">
            <w:pPr>
              <w:rPr>
                <w:rFonts w:asciiTheme="majorBidi" w:hAnsiTheme="majorBidi" w:cstheme="majorBidi"/>
              </w:rPr>
            </w:pPr>
            <w:r w:rsidRPr="004B1065">
              <w:rPr>
                <w:rFonts w:asciiTheme="majorBidi" w:hAnsiTheme="majorBidi" w:cstheme="majorBidi"/>
              </w:rPr>
              <w:t xml:space="preserve">Ouled Oujih –  La ville haute –  Marché central –  Kissariat nafora –  Avenue Med V – Place de la municipalité </w:t>
            </w:r>
          </w:p>
        </w:tc>
      </w:tr>
      <w:tr w:rsidR="0088739E" w:rsidTr="00F93525">
        <w:trPr>
          <w:trHeight w:val="502"/>
        </w:trPr>
        <w:tc>
          <w:tcPr>
            <w:tcW w:w="1384" w:type="dxa"/>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2</w:t>
            </w:r>
          </w:p>
        </w:tc>
        <w:tc>
          <w:tcPr>
            <w:tcW w:w="7828" w:type="dxa"/>
            <w:vAlign w:val="center"/>
          </w:tcPr>
          <w:p w:rsidR="0088739E" w:rsidRPr="004B1065" w:rsidRDefault="0088739E" w:rsidP="00F93525">
            <w:pPr>
              <w:rPr>
                <w:rFonts w:asciiTheme="majorBidi" w:hAnsiTheme="majorBidi" w:cstheme="majorBidi"/>
              </w:rPr>
            </w:pPr>
            <w:r w:rsidRPr="004B1065">
              <w:rPr>
                <w:rFonts w:asciiTheme="majorBidi" w:hAnsiTheme="majorBidi" w:cstheme="majorBidi"/>
              </w:rPr>
              <w:t>Errahba –  Centre commercial Maamora –  El Mellah –  Bab Fès –  Avenue Med V</w:t>
            </w:r>
          </w:p>
        </w:tc>
      </w:tr>
      <w:tr w:rsidR="0088739E" w:rsidTr="00F93525">
        <w:trPr>
          <w:trHeight w:val="284"/>
        </w:trPr>
        <w:tc>
          <w:tcPr>
            <w:tcW w:w="1384" w:type="dxa"/>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3</w:t>
            </w:r>
          </w:p>
        </w:tc>
        <w:tc>
          <w:tcPr>
            <w:tcW w:w="7828" w:type="dxa"/>
            <w:vAlign w:val="center"/>
          </w:tcPr>
          <w:p w:rsidR="0088739E" w:rsidRPr="004B1065" w:rsidRDefault="0088739E" w:rsidP="00F93525">
            <w:pPr>
              <w:rPr>
                <w:rFonts w:asciiTheme="majorBidi" w:hAnsiTheme="majorBidi" w:cstheme="majorBidi"/>
              </w:rPr>
            </w:pPr>
            <w:r w:rsidRPr="004B1065">
              <w:rPr>
                <w:rFonts w:asciiTheme="majorBidi" w:hAnsiTheme="majorBidi" w:cstheme="majorBidi"/>
              </w:rPr>
              <w:t xml:space="preserve">Khabbazate – Diour Seniak – Bir Anzarane – Rue 36 – Marché Hourriya – Bidansi – </w:t>
            </w:r>
          </w:p>
          <w:p w:rsidR="0088739E" w:rsidRPr="004B1065" w:rsidRDefault="0088739E" w:rsidP="00F93525">
            <w:pPr>
              <w:rPr>
                <w:rFonts w:asciiTheme="majorBidi" w:hAnsiTheme="majorBidi" w:cstheme="majorBidi"/>
              </w:rPr>
            </w:pPr>
            <w:r w:rsidRPr="004B1065">
              <w:rPr>
                <w:rFonts w:asciiTheme="majorBidi" w:hAnsiTheme="majorBidi" w:cstheme="majorBidi"/>
              </w:rPr>
              <w:t>Avenue Med V</w:t>
            </w:r>
          </w:p>
        </w:tc>
      </w:tr>
      <w:tr w:rsidR="0088739E" w:rsidTr="00F93525">
        <w:trPr>
          <w:trHeight w:val="501"/>
        </w:trPr>
        <w:tc>
          <w:tcPr>
            <w:tcW w:w="1384" w:type="dxa"/>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4</w:t>
            </w:r>
          </w:p>
        </w:tc>
        <w:tc>
          <w:tcPr>
            <w:tcW w:w="7828" w:type="dxa"/>
            <w:vAlign w:val="center"/>
          </w:tcPr>
          <w:p w:rsidR="0088739E" w:rsidRPr="004B1065" w:rsidRDefault="0088739E" w:rsidP="00F93525">
            <w:pPr>
              <w:rPr>
                <w:rFonts w:asciiTheme="majorBidi" w:hAnsiTheme="majorBidi" w:cstheme="majorBidi"/>
              </w:rPr>
            </w:pPr>
            <w:r w:rsidRPr="004B1065">
              <w:rPr>
                <w:rFonts w:asciiTheme="majorBidi" w:hAnsiTheme="majorBidi" w:cstheme="majorBidi"/>
              </w:rPr>
              <w:t>Kissariat Oued Eddahab -  Marché Massira –  Marché l’habitat –  El Aalama –  Diour Achralaf</w:t>
            </w:r>
          </w:p>
        </w:tc>
      </w:tr>
      <w:tr w:rsidR="0088739E" w:rsidTr="00F93525">
        <w:trPr>
          <w:trHeight w:val="436"/>
        </w:trPr>
        <w:tc>
          <w:tcPr>
            <w:tcW w:w="1384" w:type="dxa"/>
            <w:tcBorders>
              <w:bottom w:val="single" w:sz="12" w:space="0" w:color="auto"/>
            </w:tcBorders>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5</w:t>
            </w:r>
          </w:p>
        </w:tc>
        <w:tc>
          <w:tcPr>
            <w:tcW w:w="7828" w:type="dxa"/>
            <w:tcBorders>
              <w:bottom w:val="single" w:sz="12" w:space="0" w:color="auto"/>
            </w:tcBorders>
            <w:vAlign w:val="center"/>
          </w:tcPr>
          <w:p w:rsidR="0088739E" w:rsidRPr="004B1065" w:rsidRDefault="0088739E" w:rsidP="00F93525">
            <w:pPr>
              <w:rPr>
                <w:rFonts w:asciiTheme="majorBidi" w:hAnsiTheme="majorBidi" w:cstheme="majorBidi"/>
              </w:rPr>
            </w:pPr>
            <w:r w:rsidRPr="004B1065">
              <w:rPr>
                <w:rFonts w:asciiTheme="majorBidi" w:hAnsiTheme="majorBidi" w:cstheme="majorBidi"/>
              </w:rPr>
              <w:t>Bir Rami (ASWAK ASSALAM)</w:t>
            </w:r>
          </w:p>
        </w:tc>
      </w:tr>
    </w:tbl>
    <w:p w:rsidR="0088739E" w:rsidRPr="004B1065" w:rsidRDefault="0088739E" w:rsidP="004B1065">
      <w:pPr>
        <w:spacing w:before="240" w:after="240" w:line="240" w:lineRule="auto"/>
        <w:jc w:val="both"/>
        <w:rPr>
          <w:rFonts w:asciiTheme="majorBidi" w:hAnsiTheme="majorBidi"/>
          <w:b/>
          <w:bCs/>
          <w:color w:val="0070C0"/>
          <w:sz w:val="24"/>
          <w:szCs w:val="24"/>
        </w:rPr>
      </w:pPr>
      <w:r w:rsidRPr="00C372E4">
        <w:rPr>
          <w:rFonts w:asciiTheme="majorBidi" w:hAnsiTheme="majorBidi" w:cstheme="majorBidi"/>
          <w:color w:val="0070C0"/>
        </w:rPr>
        <w:tab/>
      </w:r>
      <w:r w:rsidRPr="004B1065">
        <w:rPr>
          <w:rFonts w:asciiTheme="majorBidi" w:hAnsiTheme="majorBidi"/>
          <w:b/>
          <w:bCs/>
          <w:color w:val="0070C0"/>
          <w:sz w:val="24"/>
          <w:szCs w:val="24"/>
        </w:rPr>
        <w:t>II-</w:t>
      </w:r>
      <w:r w:rsidR="005677DF" w:rsidRPr="004B1065">
        <w:rPr>
          <w:rFonts w:asciiTheme="majorBidi" w:hAnsiTheme="majorBidi"/>
          <w:b/>
          <w:bCs/>
          <w:color w:val="0070C0"/>
          <w:sz w:val="24"/>
          <w:szCs w:val="24"/>
        </w:rPr>
        <w:t>5</w:t>
      </w:r>
      <w:r w:rsidRPr="004B1065">
        <w:rPr>
          <w:rFonts w:asciiTheme="majorBidi" w:hAnsiTheme="majorBidi"/>
          <w:b/>
          <w:bCs/>
          <w:color w:val="0070C0"/>
          <w:sz w:val="24"/>
          <w:szCs w:val="24"/>
        </w:rPr>
        <w:t>-</w:t>
      </w:r>
      <w:r w:rsidR="00C4189C" w:rsidRPr="004B1065">
        <w:rPr>
          <w:rFonts w:asciiTheme="majorBidi" w:hAnsiTheme="majorBidi"/>
          <w:b/>
          <w:bCs/>
          <w:color w:val="0070C0"/>
          <w:sz w:val="24"/>
          <w:szCs w:val="24"/>
        </w:rPr>
        <w:t>2</w:t>
      </w:r>
      <w:r w:rsidRPr="004B1065">
        <w:rPr>
          <w:rFonts w:asciiTheme="majorBidi" w:hAnsiTheme="majorBidi"/>
          <w:b/>
          <w:bCs/>
          <w:color w:val="0070C0"/>
          <w:sz w:val="24"/>
          <w:szCs w:val="24"/>
        </w:rPr>
        <w:t xml:space="preserve"> Points d’observation</w:t>
      </w:r>
    </w:p>
    <w:p w:rsidR="0088739E" w:rsidRDefault="0088739E" w:rsidP="0088739E">
      <w:pPr>
        <w:spacing w:before="240" w:after="240" w:line="240" w:lineRule="auto"/>
        <w:jc w:val="both"/>
        <w:rPr>
          <w:rFonts w:asciiTheme="majorBidi" w:hAnsiTheme="majorBidi" w:cstheme="majorBidi"/>
          <w:sz w:val="24"/>
          <w:szCs w:val="24"/>
        </w:rPr>
      </w:pPr>
      <w:r w:rsidRPr="00F85862">
        <w:rPr>
          <w:rFonts w:asciiTheme="majorBidi" w:hAnsiTheme="majorBidi" w:cstheme="majorBidi"/>
          <w:sz w:val="24"/>
          <w:szCs w:val="24"/>
        </w:rPr>
        <w:t>Le point d’observation</w:t>
      </w:r>
      <w:r>
        <w:rPr>
          <w:rFonts w:asciiTheme="majorBidi" w:hAnsiTheme="majorBidi" w:cstheme="majorBidi"/>
          <w:sz w:val="24"/>
          <w:szCs w:val="24"/>
        </w:rPr>
        <w:t>, ou point de vente, peut être un magasin proche, une entreprise de service, un commerçant, une boutique spécialisée, un étal fixe d’un marché ou autres lieux.</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point d’observation doit avoir certaines caractéristiques :</w:t>
      </w:r>
    </w:p>
    <w:p w:rsidR="0088739E" w:rsidRDefault="0088739E" w:rsidP="0088739E">
      <w:pPr>
        <w:pStyle w:val="Paragraphedeliste"/>
        <w:numPr>
          <w:ilvl w:val="0"/>
          <w:numId w:val="37"/>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Une activité intense dans la concentration ;</w:t>
      </w:r>
    </w:p>
    <w:p w:rsidR="0088739E" w:rsidRDefault="0088739E" w:rsidP="0088739E">
      <w:pPr>
        <w:pStyle w:val="Paragraphedeliste"/>
        <w:numPr>
          <w:ilvl w:val="0"/>
          <w:numId w:val="37"/>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continuité de l’activité dans le temps est nécessaire ;</w:t>
      </w:r>
    </w:p>
    <w:p w:rsidR="0088739E" w:rsidRDefault="0088739E" w:rsidP="0088739E">
      <w:pPr>
        <w:pStyle w:val="Paragraphedeliste"/>
        <w:numPr>
          <w:ilvl w:val="0"/>
          <w:numId w:val="37"/>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vendeur doit être coopérant ;</w:t>
      </w:r>
    </w:p>
    <w:p w:rsidR="0088739E" w:rsidRDefault="0088739E" w:rsidP="0088739E">
      <w:pPr>
        <w:pStyle w:val="Paragraphedeliste"/>
        <w:numPr>
          <w:ilvl w:val="0"/>
          <w:numId w:val="37"/>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Les prix déclarés par le vendeur doivent être fiables.</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Ainsi, au niveau de la ville de Kenitra, </w:t>
      </w:r>
      <w:r w:rsidR="004D1B47">
        <w:rPr>
          <w:rFonts w:asciiTheme="majorBidi" w:hAnsiTheme="majorBidi" w:cstheme="majorBidi"/>
          <w:sz w:val="24"/>
          <w:szCs w:val="24"/>
        </w:rPr>
        <w:t>près de 500</w:t>
      </w:r>
      <w:r>
        <w:rPr>
          <w:rFonts w:asciiTheme="majorBidi" w:hAnsiTheme="majorBidi" w:cstheme="majorBidi"/>
          <w:sz w:val="24"/>
          <w:szCs w:val="24"/>
        </w:rPr>
        <w:t xml:space="preserve"> points de vente ont été choisis pour y relever les prix des variétés.</w:t>
      </w:r>
      <w:r w:rsidR="00FC4512">
        <w:rPr>
          <w:rFonts w:asciiTheme="majorBidi" w:hAnsiTheme="majorBidi" w:cstheme="majorBidi"/>
          <w:sz w:val="24"/>
          <w:szCs w:val="24"/>
        </w:rPr>
        <w:t xml:space="preserve"> </w:t>
      </w:r>
    </w:p>
    <w:p w:rsidR="004C6096" w:rsidRDefault="004927E7"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Soulignons que suite à l’entrée en vigueur du confinement sanitaire le 20 mars 2020, plusieurs activités ont dû cesser pour limiter la propagation du virus COVID-19. </w:t>
      </w:r>
      <w:r w:rsidR="00AB5696">
        <w:rPr>
          <w:rFonts w:asciiTheme="majorBidi" w:hAnsiTheme="majorBidi" w:cstheme="majorBidi"/>
          <w:sz w:val="24"/>
          <w:szCs w:val="24"/>
        </w:rPr>
        <w:t>Par conséquent</w:t>
      </w:r>
      <w:r>
        <w:rPr>
          <w:rFonts w:asciiTheme="majorBidi" w:hAnsiTheme="majorBidi" w:cstheme="majorBidi"/>
          <w:sz w:val="24"/>
          <w:szCs w:val="24"/>
        </w:rPr>
        <w:t>, l’enquête sur les prix de détail a connu la fermeture de plusieurs points de vente au cours de cette période</w:t>
      </w:r>
      <w:r w:rsidR="00334B3A">
        <w:rPr>
          <w:rFonts w:asciiTheme="majorBidi" w:hAnsiTheme="majorBidi" w:cstheme="majorBidi"/>
          <w:sz w:val="24"/>
          <w:szCs w:val="24"/>
        </w:rPr>
        <w:t xml:space="preserve">, d’où la réduction du </w:t>
      </w:r>
      <w:r>
        <w:rPr>
          <w:rFonts w:asciiTheme="majorBidi" w:hAnsiTheme="majorBidi" w:cstheme="majorBidi"/>
          <w:sz w:val="24"/>
          <w:szCs w:val="24"/>
        </w:rPr>
        <w:t>taux de réalisation de l’enquête</w:t>
      </w:r>
      <w:r w:rsidR="004C6096">
        <w:rPr>
          <w:rFonts w:asciiTheme="majorBidi" w:hAnsiTheme="majorBidi" w:cstheme="majorBidi"/>
          <w:sz w:val="24"/>
          <w:szCs w:val="24"/>
        </w:rPr>
        <w:t xml:space="preserve"> </w:t>
      </w:r>
      <w:r w:rsidR="00334B3A">
        <w:rPr>
          <w:rFonts w:asciiTheme="majorBidi" w:hAnsiTheme="majorBidi" w:cstheme="majorBidi"/>
          <w:sz w:val="24"/>
          <w:szCs w:val="24"/>
        </w:rPr>
        <w:t>comme suit :</w:t>
      </w:r>
    </w:p>
    <w:p w:rsidR="00334B3A" w:rsidRDefault="00334B3A" w:rsidP="00334B3A">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Avril-2020 : 57,4 %,</w:t>
      </w:r>
    </w:p>
    <w:p w:rsidR="00334B3A" w:rsidRDefault="00334B3A" w:rsidP="00334B3A">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Mai-2020 : 66,9%,</w:t>
      </w:r>
    </w:p>
    <w:p w:rsidR="00334B3A" w:rsidRDefault="00334B3A" w:rsidP="00334B3A">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Juin-2020 : 80,4%.</w:t>
      </w:r>
    </w:p>
    <w:p w:rsidR="00334B3A" w:rsidRPr="00334B3A" w:rsidRDefault="00334B3A" w:rsidP="00334B3A">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Avec la levée progressive des restrictions sanitaires, </w:t>
      </w:r>
      <w:r w:rsidR="0066598F">
        <w:rPr>
          <w:rFonts w:asciiTheme="majorBidi" w:hAnsiTheme="majorBidi" w:cstheme="majorBidi"/>
          <w:sz w:val="24"/>
          <w:szCs w:val="24"/>
        </w:rPr>
        <w:t>la majorité des points de vente a repris son activité ramenant ainsi le taux de réalisation de l’enquête à la normale.</w:t>
      </w:r>
    </w:p>
    <w:p w:rsidR="004D1B47" w:rsidRDefault="004927E7"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88739E" w:rsidRPr="00FC4512" w:rsidRDefault="0088739E" w:rsidP="006A40CB">
      <w:pPr>
        <w:pStyle w:val="Titre3"/>
        <w:ind w:firstLine="708"/>
        <w:rPr>
          <w:rFonts w:asciiTheme="majorBidi" w:hAnsiTheme="majorBidi"/>
          <w:color w:val="0070C0"/>
          <w:sz w:val="24"/>
          <w:szCs w:val="24"/>
        </w:rPr>
      </w:pPr>
      <w:bookmarkStart w:id="15" w:name="_Toc68443125"/>
      <w:r w:rsidRPr="00FC4512">
        <w:rPr>
          <w:rFonts w:asciiTheme="majorBidi" w:hAnsiTheme="majorBidi"/>
          <w:color w:val="0070C0"/>
          <w:sz w:val="24"/>
          <w:szCs w:val="24"/>
        </w:rPr>
        <w:lastRenderedPageBreak/>
        <w:t>II-</w:t>
      </w:r>
      <w:r w:rsidR="005677DF" w:rsidRPr="00FC4512">
        <w:rPr>
          <w:rFonts w:asciiTheme="majorBidi" w:hAnsiTheme="majorBidi"/>
          <w:color w:val="0070C0"/>
          <w:sz w:val="24"/>
          <w:szCs w:val="24"/>
        </w:rPr>
        <w:t>5</w:t>
      </w:r>
      <w:r w:rsidRPr="00FC4512">
        <w:rPr>
          <w:rFonts w:asciiTheme="majorBidi" w:hAnsiTheme="majorBidi"/>
          <w:color w:val="0070C0"/>
          <w:sz w:val="24"/>
          <w:szCs w:val="24"/>
        </w:rPr>
        <w:t>-</w:t>
      </w:r>
      <w:r w:rsidR="00C4189C" w:rsidRPr="00FC4512">
        <w:rPr>
          <w:rFonts w:asciiTheme="majorBidi" w:hAnsiTheme="majorBidi"/>
          <w:color w:val="0070C0"/>
          <w:sz w:val="24"/>
          <w:szCs w:val="24"/>
        </w:rPr>
        <w:t>3</w:t>
      </w:r>
      <w:r w:rsidRPr="00FC4512">
        <w:rPr>
          <w:rFonts w:asciiTheme="majorBidi" w:hAnsiTheme="majorBidi"/>
          <w:color w:val="0070C0"/>
          <w:sz w:val="24"/>
          <w:szCs w:val="24"/>
        </w:rPr>
        <w:t xml:space="preserve"> Périodicité de l’enquête</w:t>
      </w:r>
      <w:bookmarkEnd w:id="15"/>
    </w:p>
    <w:p w:rsidR="0088739E" w:rsidRDefault="0088739E" w:rsidP="0088739E">
      <w:pPr>
        <w:spacing w:before="240" w:after="240" w:line="240" w:lineRule="auto"/>
        <w:jc w:val="both"/>
        <w:rPr>
          <w:rFonts w:asciiTheme="majorBidi" w:hAnsiTheme="majorBidi" w:cstheme="majorBidi"/>
          <w:sz w:val="24"/>
          <w:szCs w:val="24"/>
        </w:rPr>
      </w:pPr>
      <w:r w:rsidRPr="00D97E85">
        <w:rPr>
          <w:rFonts w:asciiTheme="majorBidi" w:hAnsiTheme="majorBidi" w:cstheme="majorBidi"/>
          <w:sz w:val="24"/>
          <w:szCs w:val="24"/>
        </w:rPr>
        <w:t>Chaque produit</w:t>
      </w:r>
      <w:r>
        <w:rPr>
          <w:rFonts w:asciiTheme="majorBidi" w:hAnsiTheme="majorBidi" w:cstheme="majorBidi"/>
          <w:sz w:val="24"/>
          <w:szCs w:val="24"/>
        </w:rPr>
        <w:t xml:space="preserve"> est observé selon son importance dans les habitudes de consommation de la population concernée. Ainsi, on distingue trois types d’observation :</w:t>
      </w:r>
    </w:p>
    <w:p w:rsidR="0088739E" w:rsidRPr="00D97E85" w:rsidRDefault="0088739E" w:rsidP="0088739E">
      <w:pPr>
        <w:pStyle w:val="Paragraphedeliste"/>
        <w:numPr>
          <w:ilvl w:val="0"/>
          <w:numId w:val="38"/>
        </w:numPr>
        <w:spacing w:before="240" w:after="240" w:line="240" w:lineRule="auto"/>
        <w:jc w:val="both"/>
        <w:rPr>
          <w:rFonts w:asciiTheme="majorBidi" w:hAnsiTheme="majorBidi" w:cstheme="majorBidi"/>
          <w:i/>
          <w:iCs/>
          <w:sz w:val="24"/>
          <w:szCs w:val="24"/>
        </w:rPr>
      </w:pPr>
      <w:r w:rsidRPr="00D97E85">
        <w:rPr>
          <w:rFonts w:asciiTheme="majorBidi" w:hAnsiTheme="majorBidi" w:cstheme="majorBidi"/>
          <w:i/>
          <w:iCs/>
          <w:sz w:val="24"/>
          <w:szCs w:val="24"/>
        </w:rPr>
        <w:t>Observations hebdomadaires</w:t>
      </w:r>
    </w:p>
    <w:p w:rsidR="0088739E" w:rsidRPr="00D97E85" w:rsidRDefault="0088739E" w:rsidP="0088739E">
      <w:pPr>
        <w:pStyle w:val="Paragraphedeliste"/>
        <w:numPr>
          <w:ilvl w:val="0"/>
          <w:numId w:val="38"/>
        </w:numPr>
        <w:spacing w:before="240" w:after="240" w:line="240" w:lineRule="auto"/>
        <w:jc w:val="both"/>
        <w:rPr>
          <w:rFonts w:asciiTheme="majorBidi" w:hAnsiTheme="majorBidi" w:cstheme="majorBidi"/>
          <w:i/>
          <w:iCs/>
          <w:sz w:val="24"/>
          <w:szCs w:val="24"/>
        </w:rPr>
      </w:pPr>
      <w:r w:rsidRPr="00D97E85">
        <w:rPr>
          <w:rFonts w:asciiTheme="majorBidi" w:hAnsiTheme="majorBidi" w:cstheme="majorBidi"/>
          <w:i/>
          <w:iCs/>
          <w:sz w:val="24"/>
          <w:szCs w:val="24"/>
        </w:rPr>
        <w:t>Observations mensuelles</w:t>
      </w:r>
    </w:p>
    <w:p w:rsidR="0088739E" w:rsidRDefault="0088739E" w:rsidP="0088739E">
      <w:pPr>
        <w:pStyle w:val="Paragraphedeliste"/>
        <w:numPr>
          <w:ilvl w:val="0"/>
          <w:numId w:val="38"/>
        </w:numPr>
        <w:spacing w:before="240" w:after="240" w:line="240" w:lineRule="auto"/>
        <w:jc w:val="both"/>
        <w:rPr>
          <w:rFonts w:asciiTheme="majorBidi" w:hAnsiTheme="majorBidi" w:cstheme="majorBidi"/>
          <w:i/>
          <w:iCs/>
          <w:sz w:val="24"/>
          <w:szCs w:val="24"/>
        </w:rPr>
      </w:pPr>
      <w:r w:rsidRPr="00D97E85">
        <w:rPr>
          <w:rFonts w:asciiTheme="majorBidi" w:hAnsiTheme="majorBidi" w:cstheme="majorBidi"/>
          <w:i/>
          <w:iCs/>
          <w:sz w:val="24"/>
          <w:szCs w:val="24"/>
        </w:rPr>
        <w:t>Observations relatives au loyer</w:t>
      </w:r>
    </w:p>
    <w:p w:rsidR="0088739E" w:rsidRDefault="0088739E" w:rsidP="00B9288C">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Mis à part les produits frais qui sont observés quatre fois par mois, et les produits de l’épicerie ainsi que le loyer une fois par mois,</w:t>
      </w:r>
      <w:r w:rsidR="00B9288C">
        <w:rPr>
          <w:rFonts w:asciiTheme="majorBidi" w:hAnsiTheme="majorBidi" w:cstheme="majorBidi"/>
          <w:sz w:val="24"/>
          <w:szCs w:val="24"/>
        </w:rPr>
        <w:t xml:space="preserve"> dans les quatre zones,</w:t>
      </w:r>
      <w:r>
        <w:rPr>
          <w:rFonts w:asciiTheme="majorBidi" w:hAnsiTheme="majorBidi" w:cstheme="majorBidi"/>
          <w:sz w:val="24"/>
          <w:szCs w:val="24"/>
        </w:rPr>
        <w:t xml:space="preserve"> tous les autres produits (de la 2</w:t>
      </w:r>
      <w:r w:rsidRPr="007577EB">
        <w:rPr>
          <w:rFonts w:asciiTheme="majorBidi" w:hAnsiTheme="majorBidi" w:cstheme="majorBidi"/>
          <w:sz w:val="24"/>
          <w:szCs w:val="24"/>
          <w:vertAlign w:val="superscript"/>
        </w:rPr>
        <w:t>ème</w:t>
      </w:r>
      <w:r>
        <w:rPr>
          <w:rFonts w:asciiTheme="majorBidi" w:hAnsiTheme="majorBidi" w:cstheme="majorBidi"/>
          <w:sz w:val="24"/>
          <w:szCs w:val="24"/>
        </w:rPr>
        <w:t xml:space="preserve"> à la 12</w:t>
      </w:r>
      <w:r w:rsidRPr="007577EB">
        <w:rPr>
          <w:rFonts w:asciiTheme="majorBidi" w:hAnsiTheme="majorBidi" w:cstheme="majorBidi"/>
          <w:sz w:val="24"/>
          <w:szCs w:val="24"/>
          <w:vertAlign w:val="superscript"/>
        </w:rPr>
        <w:t>ème</w:t>
      </w:r>
      <w:r>
        <w:rPr>
          <w:rFonts w:asciiTheme="majorBidi" w:hAnsiTheme="majorBidi" w:cstheme="majorBidi"/>
          <w:sz w:val="24"/>
          <w:szCs w:val="24"/>
        </w:rPr>
        <w:t xml:space="preserve"> division) sont observés</w:t>
      </w:r>
      <w:r w:rsidR="00B9288C">
        <w:rPr>
          <w:rFonts w:asciiTheme="majorBidi" w:hAnsiTheme="majorBidi" w:cstheme="majorBidi"/>
          <w:sz w:val="24"/>
          <w:szCs w:val="24"/>
        </w:rPr>
        <w:t xml:space="preserve"> seulement dans deux zones</w:t>
      </w:r>
      <w:r>
        <w:rPr>
          <w:rFonts w:asciiTheme="majorBidi" w:hAnsiTheme="majorBidi" w:cstheme="majorBidi"/>
          <w:sz w:val="24"/>
          <w:szCs w:val="24"/>
        </w:rPr>
        <w:t>,</w:t>
      </w:r>
      <w:r w:rsidR="00B9288C">
        <w:rPr>
          <w:rFonts w:asciiTheme="majorBidi" w:hAnsiTheme="majorBidi" w:cstheme="majorBidi"/>
          <w:sz w:val="24"/>
          <w:szCs w:val="24"/>
        </w:rPr>
        <w:t xml:space="preserve"> tandis que dans les deux autres zones,</w:t>
      </w:r>
      <w:r>
        <w:rPr>
          <w:rFonts w:asciiTheme="majorBidi" w:hAnsiTheme="majorBidi" w:cstheme="majorBidi"/>
          <w:sz w:val="24"/>
          <w:szCs w:val="24"/>
        </w:rPr>
        <w:t xml:space="preserve"> on procède au report des </w:t>
      </w:r>
      <w:r w:rsidR="00B9288C">
        <w:rPr>
          <w:rFonts w:asciiTheme="majorBidi" w:hAnsiTheme="majorBidi" w:cstheme="majorBidi"/>
          <w:sz w:val="24"/>
          <w:szCs w:val="24"/>
        </w:rPr>
        <w:t>prix</w:t>
      </w:r>
      <w:r>
        <w:rPr>
          <w:rFonts w:asciiTheme="majorBidi" w:hAnsiTheme="majorBidi" w:cstheme="majorBidi"/>
          <w:sz w:val="24"/>
          <w:szCs w:val="24"/>
        </w:rPr>
        <w:t xml:space="preserve"> du mois précédent.</w:t>
      </w:r>
      <w:r w:rsidR="00B9288C">
        <w:rPr>
          <w:rFonts w:asciiTheme="majorBidi" w:hAnsiTheme="majorBidi" w:cstheme="majorBidi"/>
          <w:sz w:val="24"/>
          <w:szCs w:val="24"/>
        </w:rPr>
        <w:t xml:space="preserve"> Cette opération est inversée le mois d’après.</w:t>
      </w:r>
    </w:p>
    <w:p w:rsidR="0088739E" w:rsidRPr="00FC4512" w:rsidRDefault="006A40CB" w:rsidP="00586B08">
      <w:pPr>
        <w:pStyle w:val="Titre3"/>
        <w:rPr>
          <w:rFonts w:asciiTheme="majorBidi" w:hAnsiTheme="majorBidi"/>
          <w:color w:val="0070C0"/>
          <w:sz w:val="24"/>
          <w:szCs w:val="24"/>
        </w:rPr>
      </w:pPr>
      <w:r>
        <w:rPr>
          <w:rFonts w:asciiTheme="majorBidi" w:hAnsiTheme="majorBidi"/>
          <w:color w:val="0070C0"/>
          <w:sz w:val="24"/>
          <w:szCs w:val="24"/>
        </w:rPr>
        <w:tab/>
      </w:r>
      <w:bookmarkStart w:id="16" w:name="_Toc68443126"/>
      <w:r w:rsidR="0088739E" w:rsidRPr="00FC4512">
        <w:rPr>
          <w:rFonts w:asciiTheme="majorBidi" w:hAnsiTheme="majorBidi"/>
          <w:color w:val="0070C0"/>
          <w:sz w:val="24"/>
          <w:szCs w:val="24"/>
        </w:rPr>
        <w:t>II-</w:t>
      </w:r>
      <w:r w:rsidR="005677DF" w:rsidRPr="00FC4512">
        <w:rPr>
          <w:rFonts w:asciiTheme="majorBidi" w:hAnsiTheme="majorBidi"/>
          <w:color w:val="0070C0"/>
          <w:sz w:val="24"/>
          <w:szCs w:val="24"/>
        </w:rPr>
        <w:t>5</w:t>
      </w:r>
      <w:r w:rsidR="0088739E" w:rsidRPr="00FC4512">
        <w:rPr>
          <w:rFonts w:asciiTheme="majorBidi" w:hAnsiTheme="majorBidi"/>
          <w:color w:val="0070C0"/>
          <w:sz w:val="24"/>
          <w:szCs w:val="24"/>
        </w:rPr>
        <w:t>-</w:t>
      </w:r>
      <w:r w:rsidR="00586B08" w:rsidRPr="00FC4512">
        <w:rPr>
          <w:rFonts w:asciiTheme="majorBidi" w:hAnsiTheme="majorBidi"/>
          <w:color w:val="0070C0"/>
          <w:sz w:val="24"/>
          <w:szCs w:val="24"/>
        </w:rPr>
        <w:t>4</w:t>
      </w:r>
      <w:r w:rsidR="0088739E" w:rsidRPr="00FC4512">
        <w:rPr>
          <w:rFonts w:asciiTheme="majorBidi" w:hAnsiTheme="majorBidi"/>
          <w:color w:val="0070C0"/>
          <w:sz w:val="24"/>
          <w:szCs w:val="24"/>
        </w:rPr>
        <w:t xml:space="preserve"> Questionnaires de l’enquête</w:t>
      </w:r>
      <w:bookmarkEnd w:id="16"/>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relevé des prix s’effectue selon trois types de questionnaires :</w:t>
      </w:r>
    </w:p>
    <w:p w:rsidR="0088739E" w:rsidRDefault="0088739E" w:rsidP="0088739E">
      <w:pPr>
        <w:pStyle w:val="Paragraphedeliste"/>
        <w:numPr>
          <w:ilvl w:val="0"/>
          <w:numId w:val="40"/>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 questionnaire pour les produits hebdomadaires ;</w:t>
      </w:r>
    </w:p>
    <w:p w:rsidR="0088739E" w:rsidRDefault="0088739E" w:rsidP="0088739E">
      <w:pPr>
        <w:pStyle w:val="Paragraphedeliste"/>
        <w:numPr>
          <w:ilvl w:val="0"/>
          <w:numId w:val="40"/>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 questionnaire pour les produits mensuels;</w:t>
      </w:r>
    </w:p>
    <w:p w:rsidR="0088739E" w:rsidRDefault="0088739E" w:rsidP="0088739E">
      <w:pPr>
        <w:pStyle w:val="Paragraphedeliste"/>
        <w:numPr>
          <w:ilvl w:val="0"/>
          <w:numId w:val="40"/>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 questionnaire pour le loyer.</w:t>
      </w:r>
    </w:p>
    <w:p w:rsidR="0088739E" w:rsidRPr="000665DB" w:rsidRDefault="0088739E" w:rsidP="00586B08">
      <w:pPr>
        <w:pStyle w:val="Titre3"/>
        <w:rPr>
          <w:rFonts w:asciiTheme="majorBidi" w:hAnsiTheme="majorBidi"/>
          <w:color w:val="0070C0"/>
          <w:sz w:val="24"/>
          <w:szCs w:val="24"/>
        </w:rPr>
      </w:pPr>
      <w:r w:rsidRPr="00000178">
        <w:rPr>
          <w:rFonts w:asciiTheme="majorBidi" w:hAnsiTheme="majorBidi"/>
          <w:b w:val="0"/>
          <w:bCs w:val="0"/>
          <w:color w:val="0070C0"/>
          <w:sz w:val="24"/>
          <w:szCs w:val="24"/>
        </w:rPr>
        <w:tab/>
      </w:r>
      <w:bookmarkStart w:id="17" w:name="_Toc68443127"/>
      <w:r w:rsidRPr="000665DB">
        <w:rPr>
          <w:rFonts w:asciiTheme="majorBidi" w:hAnsiTheme="majorBidi"/>
          <w:color w:val="0070C0"/>
          <w:sz w:val="24"/>
          <w:szCs w:val="24"/>
        </w:rPr>
        <w:t>II-</w:t>
      </w:r>
      <w:r w:rsidR="005677DF" w:rsidRPr="000665DB">
        <w:rPr>
          <w:rFonts w:asciiTheme="majorBidi" w:hAnsiTheme="majorBidi"/>
          <w:color w:val="0070C0"/>
          <w:sz w:val="24"/>
          <w:szCs w:val="24"/>
        </w:rPr>
        <w:t>5</w:t>
      </w:r>
      <w:r w:rsidRPr="000665DB">
        <w:rPr>
          <w:rFonts w:asciiTheme="majorBidi" w:hAnsiTheme="majorBidi"/>
          <w:color w:val="0070C0"/>
          <w:sz w:val="24"/>
          <w:szCs w:val="24"/>
        </w:rPr>
        <w:t>-</w:t>
      </w:r>
      <w:r w:rsidR="00586B08" w:rsidRPr="000665DB">
        <w:rPr>
          <w:rFonts w:asciiTheme="majorBidi" w:hAnsiTheme="majorBidi"/>
          <w:color w:val="0070C0"/>
          <w:sz w:val="24"/>
          <w:szCs w:val="24"/>
        </w:rPr>
        <w:t>5</w:t>
      </w:r>
      <w:r w:rsidR="00C4189C" w:rsidRPr="000665DB">
        <w:rPr>
          <w:rFonts w:asciiTheme="majorBidi" w:hAnsiTheme="majorBidi"/>
          <w:color w:val="0070C0"/>
          <w:sz w:val="24"/>
          <w:szCs w:val="24"/>
        </w:rPr>
        <w:t xml:space="preserve"> </w:t>
      </w:r>
      <w:r w:rsidRPr="000665DB">
        <w:rPr>
          <w:rFonts w:asciiTheme="majorBidi" w:hAnsiTheme="majorBidi"/>
          <w:color w:val="0070C0"/>
          <w:sz w:val="24"/>
          <w:szCs w:val="24"/>
        </w:rPr>
        <w:t>Problèmes et difficultés d’observation des prix</w:t>
      </w:r>
      <w:bookmarkEnd w:id="17"/>
    </w:p>
    <w:p w:rsidR="0088739E" w:rsidRPr="009B04CF"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collecte des prix de détail est souvent exposée à un certain nombre de contraintes liées à la nature de l’enquête. On cite notamment :</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Réticence des points de vente à cause du caractère permanent de l’enquête ;</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Difficultés de suivi de certains produits du fait du caractère évolutif des descriptions (exemple des produits électroniques qui évoluent rapidement avec le progrès technologique);</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Problèmes liés au changement de la qualité, tel le cas des produits frais: Fruits, légumes frais et poissons;</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Apparition de nouveaux produits ;</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Changement des points de  vente;</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Discussion ou négociation des prix;</w:t>
      </w:r>
    </w:p>
    <w:p w:rsidR="00974B0E" w:rsidRPr="00EB48A0" w:rsidRDefault="0088739E" w:rsidP="00586B08">
      <w:pPr>
        <w:numPr>
          <w:ilvl w:val="0"/>
          <w:numId w:val="26"/>
        </w:numPr>
        <w:spacing w:before="240" w:after="240" w:line="240" w:lineRule="auto"/>
        <w:jc w:val="both"/>
        <w:rPr>
          <w:rFonts w:asciiTheme="majorBidi" w:hAnsiTheme="majorBidi"/>
          <w:color w:val="0070C0"/>
          <w:sz w:val="24"/>
          <w:szCs w:val="24"/>
        </w:rPr>
      </w:pPr>
      <w:r w:rsidRPr="004B1065">
        <w:rPr>
          <w:rFonts w:asciiTheme="majorBidi" w:hAnsiTheme="majorBidi" w:cstheme="majorBidi"/>
          <w:sz w:val="24"/>
          <w:szCs w:val="24"/>
        </w:rPr>
        <w:t>Caducité ou obsolescence des produits</w:t>
      </w:r>
      <w:r w:rsidR="006A40CB" w:rsidRPr="004B1065">
        <w:rPr>
          <w:rFonts w:asciiTheme="majorBidi" w:hAnsiTheme="majorBidi" w:cstheme="majorBidi"/>
          <w:sz w:val="24"/>
          <w:szCs w:val="24"/>
        </w:rPr>
        <w:t>.</w:t>
      </w:r>
    </w:p>
    <w:p w:rsidR="00EB48A0" w:rsidRPr="004B1065" w:rsidRDefault="00EB48A0" w:rsidP="00EB48A0">
      <w:pPr>
        <w:spacing w:before="240" w:after="240" w:line="240" w:lineRule="auto"/>
        <w:jc w:val="both"/>
        <w:rPr>
          <w:rFonts w:asciiTheme="majorBidi" w:hAnsiTheme="majorBidi"/>
          <w:color w:val="0070C0"/>
          <w:sz w:val="24"/>
          <w:szCs w:val="24"/>
        </w:rPr>
      </w:pPr>
      <w:r>
        <w:rPr>
          <w:rFonts w:asciiTheme="majorBidi" w:hAnsiTheme="majorBidi" w:cstheme="majorBidi"/>
          <w:sz w:val="24"/>
          <w:szCs w:val="24"/>
        </w:rPr>
        <w:t xml:space="preserve">Il est à souligner qu’en plus de ces problèmes, l’année 2020 a présenté un certain  nombre de difficultés relatives aux mesures sanitaires appliquées par le gouvernement marocain pour faire </w:t>
      </w:r>
      <w:r w:rsidR="00145925">
        <w:rPr>
          <w:rFonts w:asciiTheme="majorBidi" w:hAnsiTheme="majorBidi" w:cstheme="majorBidi"/>
          <w:sz w:val="24"/>
          <w:szCs w:val="24"/>
        </w:rPr>
        <w:t xml:space="preserve">face </w:t>
      </w:r>
      <w:r>
        <w:rPr>
          <w:rFonts w:asciiTheme="majorBidi" w:hAnsiTheme="majorBidi" w:cstheme="majorBidi"/>
          <w:sz w:val="24"/>
          <w:szCs w:val="24"/>
        </w:rPr>
        <w:t>à la pandémie COVID-19</w:t>
      </w:r>
      <w:r w:rsidR="00145925">
        <w:rPr>
          <w:rFonts w:asciiTheme="majorBidi" w:hAnsiTheme="majorBidi" w:cstheme="majorBidi"/>
          <w:sz w:val="24"/>
          <w:szCs w:val="24"/>
        </w:rPr>
        <w:t>. On cite, notamment, la fermeture d’un nombre important de points de vente, le risque de contamination des enquêteurs par le virus</w:t>
      </w:r>
      <w:r w:rsidR="00D02128">
        <w:rPr>
          <w:rFonts w:asciiTheme="majorBidi" w:hAnsiTheme="majorBidi" w:cstheme="majorBidi"/>
          <w:sz w:val="24"/>
          <w:szCs w:val="24"/>
        </w:rPr>
        <w:t>, attente prolongée devant les points de vente à cause des longues files d’attente,…..etc.</w:t>
      </w:r>
    </w:p>
    <w:p w:rsidR="000665DB" w:rsidRDefault="000665DB" w:rsidP="000665DB"/>
    <w:p w:rsidR="000665DB" w:rsidRDefault="000665DB" w:rsidP="000665DB"/>
    <w:p w:rsidR="000665DB" w:rsidRDefault="000665DB" w:rsidP="000665DB"/>
    <w:p w:rsidR="000665DB" w:rsidRDefault="000665DB" w:rsidP="000665DB"/>
    <w:p w:rsidR="006A40CB" w:rsidRDefault="006A40CB" w:rsidP="000665DB"/>
    <w:p w:rsidR="00A279D5" w:rsidRDefault="00A279D5" w:rsidP="00764ECF">
      <w:pPr>
        <w:rPr>
          <w:rFonts w:asciiTheme="majorBidi" w:hAnsiTheme="majorBidi"/>
          <w:color w:val="4F81BD" w:themeColor="accent1"/>
        </w:rPr>
      </w:pPr>
    </w:p>
    <w:p w:rsidR="00A279D5" w:rsidRDefault="00A279D5" w:rsidP="00764ECF">
      <w:pPr>
        <w:rPr>
          <w:rFonts w:asciiTheme="majorBidi" w:hAnsiTheme="majorBidi" w:cstheme="majorBidi"/>
          <w:b/>
          <w:bCs/>
          <w:color w:val="4F81BD" w:themeColor="accent1"/>
          <w:sz w:val="72"/>
          <w:szCs w:val="72"/>
        </w:rPr>
      </w:pPr>
    </w:p>
    <w:p w:rsidR="00A279D5" w:rsidRPr="00A279D5" w:rsidRDefault="00A279D5" w:rsidP="00A37E89">
      <w:pPr>
        <w:jc w:val="center"/>
        <w:rPr>
          <w:rFonts w:asciiTheme="majorBidi" w:hAnsiTheme="majorBidi" w:cstheme="majorBidi"/>
          <w:b/>
          <w:bCs/>
          <w:color w:val="4F81BD" w:themeColor="accent1"/>
          <w:sz w:val="72"/>
          <w:szCs w:val="72"/>
        </w:rPr>
      </w:pPr>
      <w:r w:rsidRPr="00A279D5">
        <w:rPr>
          <w:rFonts w:asciiTheme="majorBidi" w:hAnsiTheme="majorBidi" w:cstheme="majorBidi"/>
          <w:b/>
          <w:bCs/>
          <w:color w:val="4F81BD" w:themeColor="accent1"/>
          <w:sz w:val="72"/>
          <w:szCs w:val="72"/>
        </w:rPr>
        <w:t>CHAPITRE III</w:t>
      </w:r>
    </w:p>
    <w:p w:rsidR="00A279D5" w:rsidRPr="00A279D5" w:rsidRDefault="00A279D5" w:rsidP="00A37E89">
      <w:pPr>
        <w:jc w:val="center"/>
        <w:rPr>
          <w:rFonts w:asciiTheme="majorBidi" w:hAnsiTheme="majorBidi" w:cstheme="majorBidi"/>
          <w:b/>
          <w:bCs/>
          <w:color w:val="4F81BD" w:themeColor="accent1"/>
          <w:sz w:val="72"/>
          <w:szCs w:val="72"/>
        </w:rPr>
      </w:pPr>
      <w:r w:rsidRPr="00A279D5">
        <w:rPr>
          <w:rFonts w:asciiTheme="majorBidi" w:hAnsiTheme="majorBidi" w:cstheme="majorBidi"/>
          <w:b/>
          <w:bCs/>
          <w:color w:val="4F81BD" w:themeColor="accent1"/>
          <w:sz w:val="72"/>
          <w:szCs w:val="72"/>
        </w:rPr>
        <w:t>IPC (BASE 100 : 20</w:t>
      </w:r>
      <w:r w:rsidR="00F70A11">
        <w:rPr>
          <w:rFonts w:asciiTheme="majorBidi" w:hAnsiTheme="majorBidi" w:cstheme="majorBidi" w:hint="cs"/>
          <w:b/>
          <w:bCs/>
          <w:color w:val="4F81BD" w:themeColor="accent1"/>
          <w:sz w:val="72"/>
          <w:szCs w:val="72"/>
          <w:rtl/>
        </w:rPr>
        <w:t>17</w:t>
      </w:r>
      <w:r w:rsidRPr="00A279D5">
        <w:rPr>
          <w:rFonts w:asciiTheme="majorBidi" w:hAnsiTheme="majorBidi" w:cstheme="majorBidi"/>
          <w:b/>
          <w:bCs/>
          <w:color w:val="4F81BD" w:themeColor="accent1"/>
          <w:sz w:val="72"/>
          <w:szCs w:val="72"/>
        </w:rPr>
        <w:t>) DE LA VILLE DE KENITRA</w:t>
      </w:r>
    </w:p>
    <w:p w:rsidR="00A37E89" w:rsidRDefault="00A279D5" w:rsidP="00A37E89">
      <w:pPr>
        <w:jc w:val="center"/>
        <w:rPr>
          <w:rFonts w:asciiTheme="majorBidi" w:hAnsiTheme="majorBidi" w:cstheme="majorBidi"/>
          <w:b/>
          <w:bCs/>
          <w:color w:val="4F81BD" w:themeColor="accent1"/>
          <w:sz w:val="72"/>
          <w:szCs w:val="72"/>
        </w:rPr>
      </w:pPr>
      <w:r w:rsidRPr="00A279D5">
        <w:rPr>
          <w:rFonts w:asciiTheme="majorBidi" w:hAnsiTheme="majorBidi" w:cstheme="majorBidi"/>
          <w:b/>
          <w:bCs/>
          <w:color w:val="4F81BD" w:themeColor="accent1"/>
          <w:sz w:val="72"/>
          <w:szCs w:val="72"/>
        </w:rPr>
        <w:t>EVOLUTION ENTRE</w:t>
      </w:r>
    </w:p>
    <w:p w:rsidR="00A279D5" w:rsidRPr="00A279D5" w:rsidRDefault="00A279D5" w:rsidP="00A37E89">
      <w:pPr>
        <w:jc w:val="center"/>
        <w:rPr>
          <w:rFonts w:asciiTheme="majorBidi" w:hAnsiTheme="majorBidi" w:cstheme="majorBidi"/>
          <w:b/>
          <w:bCs/>
          <w:color w:val="4F81BD" w:themeColor="accent1"/>
          <w:sz w:val="72"/>
          <w:szCs w:val="72"/>
        </w:rPr>
      </w:pPr>
      <w:r w:rsidRPr="00A279D5">
        <w:rPr>
          <w:rFonts w:asciiTheme="majorBidi" w:hAnsiTheme="majorBidi" w:cstheme="majorBidi"/>
          <w:b/>
          <w:bCs/>
          <w:color w:val="4F81BD" w:themeColor="accent1"/>
          <w:sz w:val="72"/>
          <w:szCs w:val="72"/>
        </w:rPr>
        <w:t xml:space="preserve"> 20</w:t>
      </w:r>
      <w:r w:rsidR="00F70A11">
        <w:rPr>
          <w:rFonts w:asciiTheme="majorBidi" w:hAnsiTheme="majorBidi" w:cstheme="majorBidi" w:hint="cs"/>
          <w:b/>
          <w:bCs/>
          <w:color w:val="4F81BD" w:themeColor="accent1"/>
          <w:sz w:val="72"/>
          <w:szCs w:val="72"/>
          <w:rtl/>
        </w:rPr>
        <w:t>1</w:t>
      </w:r>
      <w:r w:rsidRPr="00A279D5">
        <w:rPr>
          <w:rFonts w:asciiTheme="majorBidi" w:hAnsiTheme="majorBidi" w:cstheme="majorBidi"/>
          <w:b/>
          <w:bCs/>
          <w:color w:val="4F81BD" w:themeColor="accent1"/>
          <w:sz w:val="72"/>
          <w:szCs w:val="72"/>
        </w:rPr>
        <w:t>7 ET 20</w:t>
      </w:r>
      <w:r w:rsidR="00F70A11">
        <w:rPr>
          <w:rFonts w:asciiTheme="majorBidi" w:hAnsiTheme="majorBidi" w:cstheme="majorBidi" w:hint="cs"/>
          <w:b/>
          <w:bCs/>
          <w:color w:val="4F81BD" w:themeColor="accent1"/>
          <w:sz w:val="72"/>
          <w:szCs w:val="72"/>
          <w:rtl/>
        </w:rPr>
        <w:t>20</w:t>
      </w:r>
    </w:p>
    <w:p w:rsidR="004B1065" w:rsidRDefault="004B1065" w:rsidP="00156FC8"/>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pPr>
        <w:rPr>
          <w:rFonts w:asciiTheme="majorBidi" w:eastAsiaTheme="majorEastAsia" w:hAnsiTheme="majorBidi" w:cstheme="majorBidi"/>
          <w:b/>
          <w:bCs/>
          <w:color w:val="4F81BD" w:themeColor="accent1"/>
          <w:sz w:val="28"/>
          <w:szCs w:val="28"/>
        </w:rPr>
      </w:pPr>
      <w:r>
        <w:rPr>
          <w:rFonts w:asciiTheme="majorBidi" w:hAnsiTheme="majorBidi"/>
          <w:color w:val="4F81BD" w:themeColor="accent1"/>
        </w:rPr>
        <w:br w:type="page"/>
      </w:r>
    </w:p>
    <w:p w:rsidR="00E4492A" w:rsidRPr="00864A16" w:rsidRDefault="006F61F8" w:rsidP="00DE657D">
      <w:pPr>
        <w:pStyle w:val="Titre1"/>
        <w:spacing w:before="0"/>
        <w:rPr>
          <w:rFonts w:asciiTheme="majorBidi" w:hAnsiTheme="majorBidi"/>
          <w:color w:val="4F81BD" w:themeColor="accent1"/>
        </w:rPr>
      </w:pPr>
      <w:bookmarkStart w:id="18" w:name="_Toc68443128"/>
      <w:r w:rsidRPr="00864A16">
        <w:rPr>
          <w:rFonts w:asciiTheme="majorBidi" w:hAnsiTheme="majorBidi"/>
          <w:color w:val="4F81BD" w:themeColor="accent1"/>
        </w:rPr>
        <w:lastRenderedPageBreak/>
        <w:t>II</w:t>
      </w:r>
      <w:r w:rsidR="002519A6" w:rsidRPr="00864A16">
        <w:rPr>
          <w:rFonts w:asciiTheme="majorBidi" w:hAnsiTheme="majorBidi"/>
          <w:color w:val="4F81BD" w:themeColor="accent1"/>
        </w:rPr>
        <w:t>I</w:t>
      </w:r>
      <w:r w:rsidRPr="00864A16">
        <w:rPr>
          <w:rFonts w:asciiTheme="majorBidi" w:hAnsiTheme="majorBidi"/>
          <w:color w:val="4F81BD" w:themeColor="accent1"/>
        </w:rPr>
        <w:t>- IPC</w:t>
      </w:r>
      <w:r w:rsidR="001D68BF" w:rsidRPr="00864A16">
        <w:rPr>
          <w:rFonts w:asciiTheme="majorBidi" w:hAnsiTheme="majorBidi"/>
          <w:color w:val="4F81BD" w:themeColor="accent1"/>
        </w:rPr>
        <w:t xml:space="preserve"> (Base100 :20</w:t>
      </w:r>
      <w:r w:rsidR="00DE657D">
        <w:rPr>
          <w:rFonts w:asciiTheme="majorBidi" w:hAnsiTheme="majorBidi"/>
          <w:color w:val="4F81BD" w:themeColor="accent1"/>
        </w:rPr>
        <w:t>17</w:t>
      </w:r>
      <w:r w:rsidR="001D68BF" w:rsidRPr="00864A16">
        <w:rPr>
          <w:rFonts w:asciiTheme="majorBidi" w:hAnsiTheme="majorBidi"/>
          <w:color w:val="4F81BD" w:themeColor="accent1"/>
        </w:rPr>
        <w:t xml:space="preserve">) </w:t>
      </w:r>
      <w:r w:rsidR="007E29B6">
        <w:rPr>
          <w:rFonts w:asciiTheme="majorBidi" w:hAnsiTheme="majorBidi"/>
          <w:color w:val="4F81BD" w:themeColor="accent1"/>
        </w:rPr>
        <w:t xml:space="preserve"> de la ville de Ké</w:t>
      </w:r>
      <w:r w:rsidRPr="00864A16">
        <w:rPr>
          <w:rFonts w:asciiTheme="majorBidi" w:hAnsiTheme="majorBidi"/>
          <w:color w:val="4F81BD" w:themeColor="accent1"/>
        </w:rPr>
        <w:t xml:space="preserve">nitra : </w:t>
      </w:r>
      <w:r w:rsidR="00777D90" w:rsidRPr="00864A16">
        <w:rPr>
          <w:rFonts w:asciiTheme="majorBidi" w:hAnsiTheme="majorBidi"/>
          <w:color w:val="4F81BD" w:themeColor="accent1"/>
        </w:rPr>
        <w:t>évolution entre 20</w:t>
      </w:r>
      <w:r w:rsidR="00DE657D">
        <w:rPr>
          <w:rFonts w:asciiTheme="majorBidi" w:hAnsiTheme="majorBidi"/>
          <w:color w:val="4F81BD" w:themeColor="accent1"/>
        </w:rPr>
        <w:t>1</w:t>
      </w:r>
      <w:r w:rsidR="00777D90" w:rsidRPr="00864A16">
        <w:rPr>
          <w:rFonts w:asciiTheme="majorBidi" w:hAnsiTheme="majorBidi"/>
          <w:color w:val="4F81BD" w:themeColor="accent1"/>
        </w:rPr>
        <w:t>7 et 20</w:t>
      </w:r>
      <w:r w:rsidR="00DE657D">
        <w:rPr>
          <w:rFonts w:asciiTheme="majorBidi" w:hAnsiTheme="majorBidi"/>
          <w:color w:val="4F81BD" w:themeColor="accent1"/>
        </w:rPr>
        <w:t>20</w:t>
      </w:r>
      <w:bookmarkEnd w:id="18"/>
    </w:p>
    <w:p w:rsidR="00777D90" w:rsidRPr="00864A16" w:rsidRDefault="006536C2" w:rsidP="00DE657D">
      <w:pPr>
        <w:pStyle w:val="Titre2"/>
        <w:rPr>
          <w:rFonts w:asciiTheme="majorBidi" w:hAnsiTheme="majorBidi"/>
        </w:rPr>
      </w:pPr>
      <w:bookmarkStart w:id="19" w:name="_Toc68443129"/>
      <w:r w:rsidRPr="00864A16">
        <w:rPr>
          <w:rFonts w:asciiTheme="majorBidi" w:hAnsiTheme="majorBidi"/>
        </w:rPr>
        <w:t>II</w:t>
      </w:r>
      <w:r w:rsidR="00586B08" w:rsidRPr="00864A16">
        <w:rPr>
          <w:rFonts w:asciiTheme="majorBidi" w:hAnsiTheme="majorBidi"/>
        </w:rPr>
        <w:t>I</w:t>
      </w:r>
      <w:r w:rsidR="00777D90" w:rsidRPr="00864A16">
        <w:rPr>
          <w:rFonts w:asciiTheme="majorBidi" w:hAnsiTheme="majorBidi"/>
        </w:rPr>
        <w:t>-1 IPC général par ville en 201</w:t>
      </w:r>
      <w:r w:rsidR="00DE657D">
        <w:rPr>
          <w:rFonts w:asciiTheme="majorBidi" w:hAnsiTheme="majorBidi"/>
        </w:rPr>
        <w:t>9</w:t>
      </w:r>
      <w:r w:rsidR="00A12EEA">
        <w:rPr>
          <w:rFonts w:asciiTheme="majorBidi" w:hAnsiTheme="majorBidi"/>
        </w:rPr>
        <w:t xml:space="preserve"> et 20</w:t>
      </w:r>
      <w:r w:rsidR="00DE657D">
        <w:rPr>
          <w:rFonts w:asciiTheme="majorBidi" w:hAnsiTheme="majorBidi"/>
        </w:rPr>
        <w:t>20</w:t>
      </w:r>
      <w:bookmarkEnd w:id="19"/>
    </w:p>
    <w:p w:rsidR="00777D90" w:rsidRDefault="00777D90" w:rsidP="00B432F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20</w:t>
      </w:r>
      <w:r w:rsidR="00F821A1">
        <w:rPr>
          <w:rFonts w:asciiTheme="majorBidi" w:hAnsiTheme="majorBidi" w:cstheme="majorBidi"/>
          <w:sz w:val="24"/>
          <w:szCs w:val="24"/>
        </w:rPr>
        <w:t>20</w:t>
      </w:r>
      <w:r>
        <w:rPr>
          <w:rFonts w:asciiTheme="majorBidi" w:hAnsiTheme="majorBidi" w:cstheme="majorBidi"/>
          <w:sz w:val="24"/>
          <w:szCs w:val="24"/>
        </w:rPr>
        <w:t xml:space="preserve">, la comparaison de l’IPC général par ville montre que le </w:t>
      </w:r>
      <w:r w:rsidR="00363237">
        <w:rPr>
          <w:rFonts w:asciiTheme="majorBidi" w:hAnsiTheme="majorBidi" w:cstheme="majorBidi"/>
          <w:sz w:val="24"/>
          <w:szCs w:val="24"/>
        </w:rPr>
        <w:t xml:space="preserve">coût </w:t>
      </w:r>
      <w:r>
        <w:rPr>
          <w:rFonts w:asciiTheme="majorBidi" w:hAnsiTheme="majorBidi" w:cstheme="majorBidi"/>
          <w:sz w:val="24"/>
          <w:szCs w:val="24"/>
        </w:rPr>
        <w:t>de</w:t>
      </w:r>
      <w:r w:rsidR="00363237">
        <w:rPr>
          <w:rFonts w:asciiTheme="majorBidi" w:hAnsiTheme="majorBidi" w:cstheme="majorBidi"/>
          <w:sz w:val="24"/>
          <w:szCs w:val="24"/>
        </w:rPr>
        <w:t xml:space="preserve"> la</w:t>
      </w:r>
      <w:r w:rsidR="00F821A1">
        <w:rPr>
          <w:rFonts w:asciiTheme="majorBidi" w:hAnsiTheme="majorBidi" w:cstheme="majorBidi"/>
          <w:sz w:val="24"/>
          <w:szCs w:val="24"/>
        </w:rPr>
        <w:t xml:space="preserve"> vie à Kenitra affiche le niveau le plus bas après la ville d’Errachidia avec 101,6 contre 102,5 pour l’ensemble </w:t>
      </w:r>
      <w:r>
        <w:rPr>
          <w:rFonts w:asciiTheme="majorBidi" w:hAnsiTheme="majorBidi" w:cstheme="majorBidi"/>
          <w:sz w:val="24"/>
          <w:szCs w:val="24"/>
        </w:rPr>
        <w:t>national.</w:t>
      </w:r>
      <w:r w:rsidR="00F821A1">
        <w:rPr>
          <w:rFonts w:asciiTheme="majorBidi" w:hAnsiTheme="majorBidi" w:cstheme="majorBidi"/>
          <w:sz w:val="24"/>
          <w:szCs w:val="24"/>
        </w:rPr>
        <w:t xml:space="preserve"> A noter que dix villes ont enregistré des niveaux inférieurs à la moyenne nationale, </w:t>
      </w:r>
      <w:r w:rsidR="00A9472A">
        <w:rPr>
          <w:rFonts w:asciiTheme="majorBidi" w:hAnsiTheme="majorBidi" w:cstheme="majorBidi"/>
          <w:sz w:val="24"/>
          <w:szCs w:val="24"/>
        </w:rPr>
        <w:t>contre huit dont les indices se sont situés au dessus de la moyenne.</w:t>
      </w:r>
    </w:p>
    <w:p w:rsidR="00777D90" w:rsidRDefault="00DF65E2" w:rsidP="00DE657D">
      <w:pPr>
        <w:pStyle w:val="Lgende"/>
        <w:rPr>
          <w:rFonts w:asciiTheme="majorBidi" w:hAnsiTheme="majorBidi" w:cstheme="majorBidi"/>
          <w:sz w:val="22"/>
          <w:szCs w:val="22"/>
          <w:rtl/>
        </w:rPr>
      </w:pPr>
      <w:bookmarkStart w:id="20" w:name="_Toc68436329"/>
      <w:r w:rsidRPr="00864A16">
        <w:rPr>
          <w:rFonts w:asciiTheme="majorBidi" w:hAnsiTheme="majorBidi" w:cstheme="majorBidi"/>
          <w:sz w:val="22"/>
          <w:szCs w:val="22"/>
        </w:rPr>
        <w:t xml:space="preserve">Tableau </w:t>
      </w:r>
      <w:r w:rsidR="002966E3" w:rsidRPr="00864A16">
        <w:rPr>
          <w:rFonts w:asciiTheme="majorBidi" w:hAnsiTheme="majorBidi" w:cstheme="majorBidi"/>
          <w:sz w:val="22"/>
          <w:szCs w:val="22"/>
        </w:rPr>
        <w:fldChar w:fldCharType="begin"/>
      </w:r>
      <w:r w:rsidRPr="00864A16">
        <w:rPr>
          <w:rFonts w:asciiTheme="majorBidi" w:hAnsiTheme="majorBidi" w:cstheme="majorBidi"/>
          <w:sz w:val="22"/>
          <w:szCs w:val="22"/>
        </w:rPr>
        <w:instrText xml:space="preserve"> SEQ Tableau \* ARABIC </w:instrText>
      </w:r>
      <w:r w:rsidR="002966E3" w:rsidRPr="00864A16">
        <w:rPr>
          <w:rFonts w:asciiTheme="majorBidi" w:hAnsiTheme="majorBidi" w:cstheme="majorBidi"/>
          <w:sz w:val="22"/>
          <w:szCs w:val="22"/>
        </w:rPr>
        <w:fldChar w:fldCharType="separate"/>
      </w:r>
      <w:r w:rsidR="00794CED">
        <w:rPr>
          <w:rFonts w:asciiTheme="majorBidi" w:hAnsiTheme="majorBidi" w:cstheme="majorBidi"/>
          <w:noProof/>
          <w:sz w:val="22"/>
          <w:szCs w:val="22"/>
        </w:rPr>
        <w:t>3</w:t>
      </w:r>
      <w:r w:rsidR="002966E3" w:rsidRPr="00864A16">
        <w:rPr>
          <w:rFonts w:asciiTheme="majorBidi" w:hAnsiTheme="majorBidi" w:cstheme="majorBidi"/>
          <w:sz w:val="22"/>
          <w:szCs w:val="22"/>
        </w:rPr>
        <w:fldChar w:fldCharType="end"/>
      </w:r>
      <w:r w:rsidRPr="00864A16">
        <w:rPr>
          <w:rFonts w:asciiTheme="majorBidi" w:hAnsiTheme="majorBidi" w:cstheme="majorBidi"/>
          <w:sz w:val="22"/>
          <w:szCs w:val="22"/>
        </w:rPr>
        <w:t xml:space="preserve"> : </w:t>
      </w:r>
      <w:r w:rsidR="00777D90" w:rsidRPr="00864A16">
        <w:rPr>
          <w:rFonts w:asciiTheme="majorBidi" w:hAnsiTheme="majorBidi" w:cstheme="majorBidi"/>
          <w:sz w:val="22"/>
          <w:szCs w:val="22"/>
        </w:rPr>
        <w:t>IPC</w:t>
      </w:r>
      <w:r w:rsidR="007156BC" w:rsidRPr="00864A16">
        <w:rPr>
          <w:rFonts w:asciiTheme="majorBidi" w:hAnsiTheme="majorBidi" w:cstheme="majorBidi"/>
          <w:sz w:val="22"/>
          <w:szCs w:val="22"/>
        </w:rPr>
        <w:t xml:space="preserve"> </w:t>
      </w:r>
      <w:r w:rsidR="00777D90" w:rsidRPr="00864A16">
        <w:rPr>
          <w:rFonts w:asciiTheme="majorBidi" w:hAnsiTheme="majorBidi" w:cstheme="majorBidi"/>
          <w:sz w:val="22"/>
          <w:szCs w:val="22"/>
        </w:rPr>
        <w:t xml:space="preserve">général </w:t>
      </w:r>
      <w:r w:rsidR="007156BC" w:rsidRPr="00864A16">
        <w:rPr>
          <w:rFonts w:asciiTheme="majorBidi" w:hAnsiTheme="majorBidi" w:cstheme="majorBidi"/>
          <w:sz w:val="22"/>
          <w:szCs w:val="22"/>
        </w:rPr>
        <w:t>(Base 100 :20</w:t>
      </w:r>
      <w:r w:rsidR="00DE657D">
        <w:rPr>
          <w:rFonts w:asciiTheme="majorBidi" w:hAnsiTheme="majorBidi" w:cstheme="majorBidi"/>
          <w:sz w:val="22"/>
          <w:szCs w:val="22"/>
        </w:rPr>
        <w:t>17</w:t>
      </w:r>
      <w:r w:rsidR="007156BC" w:rsidRPr="00864A16">
        <w:rPr>
          <w:rFonts w:asciiTheme="majorBidi" w:hAnsiTheme="majorBidi" w:cstheme="majorBidi"/>
          <w:sz w:val="22"/>
          <w:szCs w:val="22"/>
        </w:rPr>
        <w:t xml:space="preserve">) </w:t>
      </w:r>
      <w:r w:rsidR="00777D90" w:rsidRPr="00864A16">
        <w:rPr>
          <w:rFonts w:asciiTheme="majorBidi" w:hAnsiTheme="majorBidi" w:cstheme="majorBidi"/>
          <w:sz w:val="22"/>
          <w:szCs w:val="22"/>
        </w:rPr>
        <w:t>par ville en 201</w:t>
      </w:r>
      <w:r w:rsidR="00DE657D">
        <w:rPr>
          <w:rFonts w:asciiTheme="majorBidi" w:hAnsiTheme="majorBidi" w:cstheme="majorBidi"/>
          <w:sz w:val="22"/>
          <w:szCs w:val="22"/>
        </w:rPr>
        <w:t>9</w:t>
      </w:r>
      <w:r w:rsidR="00D562EA" w:rsidRPr="00864A16">
        <w:rPr>
          <w:rFonts w:asciiTheme="majorBidi" w:hAnsiTheme="majorBidi" w:cstheme="majorBidi"/>
          <w:sz w:val="22"/>
          <w:szCs w:val="22"/>
        </w:rPr>
        <w:t xml:space="preserve"> </w:t>
      </w:r>
      <w:r w:rsidR="00777D90" w:rsidRPr="00864A16">
        <w:rPr>
          <w:rFonts w:asciiTheme="majorBidi" w:hAnsiTheme="majorBidi" w:cstheme="majorBidi"/>
          <w:sz w:val="22"/>
          <w:szCs w:val="22"/>
        </w:rPr>
        <w:t>et 20</w:t>
      </w:r>
      <w:r w:rsidR="00DE657D">
        <w:rPr>
          <w:rFonts w:asciiTheme="majorBidi" w:hAnsiTheme="majorBidi" w:cstheme="majorBidi"/>
          <w:sz w:val="22"/>
          <w:szCs w:val="22"/>
        </w:rPr>
        <w:t>20</w:t>
      </w:r>
      <w:bookmarkEnd w:id="20"/>
    </w:p>
    <w:tbl>
      <w:tblPr>
        <w:tblW w:w="5000" w:type="pct"/>
        <w:tblCellMar>
          <w:left w:w="70" w:type="dxa"/>
          <w:right w:w="70" w:type="dxa"/>
        </w:tblCellMar>
        <w:tblLook w:val="04A0"/>
      </w:tblPr>
      <w:tblGrid>
        <w:gridCol w:w="2454"/>
        <w:gridCol w:w="2453"/>
        <w:gridCol w:w="1994"/>
        <w:gridCol w:w="2453"/>
      </w:tblGrid>
      <w:tr w:rsidR="007B181C" w:rsidRPr="007B181C" w:rsidTr="00A37E89">
        <w:trPr>
          <w:trHeight w:val="315"/>
        </w:trPr>
        <w:tc>
          <w:tcPr>
            <w:tcW w:w="1311" w:type="pct"/>
            <w:tcBorders>
              <w:top w:val="single" w:sz="12" w:space="0" w:color="auto"/>
              <w:left w:val="nil"/>
              <w:bottom w:val="single" w:sz="12" w:space="0" w:color="auto"/>
              <w:right w:val="nil"/>
            </w:tcBorders>
            <w:shd w:val="clear" w:color="000000" w:fill="C0C0C0"/>
            <w:noWrap/>
            <w:vAlign w:val="bottom"/>
            <w:hideMark/>
          </w:tcPr>
          <w:p w:rsidR="007B181C" w:rsidRPr="007B181C" w:rsidRDefault="007B181C" w:rsidP="007B181C">
            <w:pPr>
              <w:spacing w:after="0" w:line="240" w:lineRule="auto"/>
              <w:rPr>
                <w:rFonts w:ascii="Times New Roman" w:eastAsia="Times New Roman" w:hAnsi="Times New Roman" w:cs="Times New Roman"/>
                <w:b/>
                <w:bCs/>
                <w:sz w:val="24"/>
                <w:szCs w:val="24"/>
                <w:lang w:eastAsia="fr-FR"/>
              </w:rPr>
            </w:pPr>
            <w:r w:rsidRPr="007B181C">
              <w:rPr>
                <w:rFonts w:ascii="Times New Roman" w:eastAsia="Times New Roman" w:hAnsi="Times New Roman" w:cs="Times New Roman"/>
                <w:b/>
                <w:bCs/>
                <w:sz w:val="24"/>
                <w:szCs w:val="24"/>
                <w:lang w:eastAsia="fr-FR"/>
              </w:rPr>
              <w:t>NOM VILLE</w:t>
            </w:r>
          </w:p>
        </w:tc>
        <w:tc>
          <w:tcPr>
            <w:tcW w:w="1311" w:type="pct"/>
            <w:tcBorders>
              <w:top w:val="single" w:sz="12" w:space="0" w:color="auto"/>
              <w:left w:val="nil"/>
              <w:bottom w:val="single" w:sz="12" w:space="0" w:color="auto"/>
              <w:right w:val="nil"/>
            </w:tcBorders>
            <w:shd w:val="clear" w:color="000000" w:fill="C0C0C0"/>
            <w:noWrap/>
            <w:vAlign w:val="bottom"/>
            <w:hideMark/>
          </w:tcPr>
          <w:p w:rsidR="007B181C" w:rsidRPr="007B181C" w:rsidRDefault="007B181C" w:rsidP="007B181C">
            <w:pPr>
              <w:spacing w:after="0" w:line="240" w:lineRule="auto"/>
              <w:jc w:val="right"/>
              <w:rPr>
                <w:rFonts w:ascii="Times New Roman" w:eastAsia="Times New Roman" w:hAnsi="Times New Roman" w:cs="Times New Roman"/>
                <w:b/>
                <w:bCs/>
                <w:sz w:val="24"/>
                <w:szCs w:val="24"/>
                <w:lang w:eastAsia="fr-FR"/>
              </w:rPr>
            </w:pPr>
            <w:r w:rsidRPr="007B181C">
              <w:rPr>
                <w:rFonts w:ascii="Times New Roman" w:eastAsia="Times New Roman" w:hAnsi="Times New Roman" w:cs="Times New Roman"/>
                <w:b/>
                <w:bCs/>
                <w:sz w:val="24"/>
                <w:szCs w:val="24"/>
                <w:lang w:eastAsia="fr-FR"/>
              </w:rPr>
              <w:t>2019</w:t>
            </w:r>
          </w:p>
        </w:tc>
        <w:tc>
          <w:tcPr>
            <w:tcW w:w="1066" w:type="pct"/>
            <w:tcBorders>
              <w:top w:val="single" w:sz="12" w:space="0" w:color="auto"/>
              <w:left w:val="nil"/>
              <w:bottom w:val="single" w:sz="12" w:space="0" w:color="auto"/>
              <w:right w:val="nil"/>
            </w:tcBorders>
            <w:shd w:val="clear" w:color="000000" w:fill="C0C0C0"/>
            <w:noWrap/>
            <w:vAlign w:val="bottom"/>
            <w:hideMark/>
          </w:tcPr>
          <w:p w:rsidR="007B181C" w:rsidRPr="007B181C" w:rsidRDefault="007B181C" w:rsidP="007B181C">
            <w:pPr>
              <w:spacing w:after="0" w:line="240" w:lineRule="auto"/>
              <w:jc w:val="right"/>
              <w:rPr>
                <w:rFonts w:ascii="Times New Roman" w:eastAsia="Times New Roman" w:hAnsi="Times New Roman" w:cs="Times New Roman"/>
                <w:b/>
                <w:bCs/>
                <w:sz w:val="24"/>
                <w:szCs w:val="24"/>
                <w:lang w:eastAsia="fr-FR"/>
              </w:rPr>
            </w:pPr>
            <w:r w:rsidRPr="007B181C">
              <w:rPr>
                <w:rFonts w:ascii="Times New Roman" w:eastAsia="Times New Roman" w:hAnsi="Times New Roman" w:cs="Times New Roman"/>
                <w:b/>
                <w:bCs/>
                <w:sz w:val="24"/>
                <w:szCs w:val="24"/>
                <w:lang w:eastAsia="fr-FR"/>
              </w:rPr>
              <w:t>2020</w:t>
            </w:r>
          </w:p>
        </w:tc>
        <w:tc>
          <w:tcPr>
            <w:tcW w:w="1311" w:type="pct"/>
            <w:tcBorders>
              <w:top w:val="single" w:sz="12" w:space="0" w:color="auto"/>
              <w:left w:val="nil"/>
              <w:bottom w:val="single" w:sz="12" w:space="0" w:color="auto"/>
              <w:right w:val="nil"/>
            </w:tcBorders>
            <w:shd w:val="clear" w:color="000000" w:fill="C0C0C0"/>
            <w:noWrap/>
            <w:vAlign w:val="bottom"/>
            <w:hideMark/>
          </w:tcPr>
          <w:p w:rsidR="007B181C" w:rsidRPr="007B181C" w:rsidRDefault="007B181C" w:rsidP="00FE291C">
            <w:pPr>
              <w:spacing w:after="0" w:line="240" w:lineRule="auto"/>
              <w:jc w:val="right"/>
              <w:rPr>
                <w:rFonts w:ascii="Times New Roman" w:eastAsia="Times New Roman" w:hAnsi="Times New Roman" w:cs="Times New Roman"/>
                <w:b/>
                <w:bCs/>
                <w:sz w:val="24"/>
                <w:szCs w:val="24"/>
                <w:lang w:eastAsia="fr-FR"/>
              </w:rPr>
            </w:pPr>
            <w:r w:rsidRPr="007B181C">
              <w:rPr>
                <w:rFonts w:ascii="Times New Roman" w:eastAsia="Times New Roman" w:hAnsi="Times New Roman" w:cs="Times New Roman"/>
                <w:b/>
                <w:bCs/>
                <w:sz w:val="24"/>
                <w:szCs w:val="24"/>
                <w:lang w:eastAsia="fr-FR"/>
              </w:rPr>
              <w:t>Variation (%)</w:t>
            </w:r>
          </w:p>
        </w:tc>
      </w:tr>
      <w:tr w:rsidR="007B181C" w:rsidRPr="007B181C" w:rsidTr="00A37E89">
        <w:trPr>
          <w:trHeight w:val="300"/>
        </w:trPr>
        <w:tc>
          <w:tcPr>
            <w:tcW w:w="1311" w:type="pct"/>
            <w:tcBorders>
              <w:top w:val="single" w:sz="12" w:space="0" w:color="auto"/>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lang w:eastAsia="fr-FR"/>
              </w:rPr>
            </w:pPr>
            <w:r w:rsidRPr="007B181C">
              <w:rPr>
                <w:rFonts w:ascii="Times New Roman" w:eastAsia="Times New Roman" w:hAnsi="Times New Roman" w:cs="Times New Roman"/>
                <w:b/>
                <w:bCs/>
                <w:lang w:eastAsia="fr-FR"/>
              </w:rPr>
              <w:t>Errachidia</w:t>
            </w:r>
          </w:p>
        </w:tc>
        <w:tc>
          <w:tcPr>
            <w:tcW w:w="1311" w:type="pct"/>
            <w:tcBorders>
              <w:top w:val="single" w:sz="12" w:space="0" w:color="auto"/>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100,8</w:t>
            </w:r>
          </w:p>
        </w:tc>
        <w:tc>
          <w:tcPr>
            <w:tcW w:w="1066" w:type="pct"/>
            <w:tcBorders>
              <w:top w:val="single" w:sz="12" w:space="0" w:color="auto"/>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101,5</w:t>
            </w:r>
          </w:p>
        </w:tc>
        <w:tc>
          <w:tcPr>
            <w:tcW w:w="1311" w:type="pct"/>
            <w:tcBorders>
              <w:top w:val="single" w:sz="12" w:space="0" w:color="auto"/>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0,7</w:t>
            </w:r>
          </w:p>
        </w:tc>
      </w:tr>
      <w:tr w:rsidR="007B181C" w:rsidRPr="007B181C" w:rsidTr="007B181C">
        <w:trPr>
          <w:trHeight w:val="300"/>
        </w:trPr>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color w:val="FF0000"/>
                <w:lang w:eastAsia="fr-FR"/>
              </w:rPr>
            </w:pPr>
            <w:r w:rsidRPr="007B181C">
              <w:rPr>
                <w:rFonts w:ascii="Times New Roman" w:eastAsia="Times New Roman" w:hAnsi="Times New Roman" w:cs="Times New Roman"/>
                <w:b/>
                <w:bCs/>
                <w:color w:val="FF0000"/>
                <w:lang w:eastAsia="fr-FR"/>
              </w:rPr>
              <w:t>Kenitra</w:t>
            </w:r>
          </w:p>
        </w:tc>
        <w:tc>
          <w:tcPr>
            <w:tcW w:w="1311" w:type="pct"/>
            <w:tcBorders>
              <w:top w:val="nil"/>
              <w:left w:val="nil"/>
              <w:bottom w:val="nil"/>
              <w:right w:val="nil"/>
            </w:tcBorders>
            <w:shd w:val="clear" w:color="auto" w:fill="auto"/>
            <w:noWrap/>
            <w:vAlign w:val="bottom"/>
            <w:hideMark/>
          </w:tcPr>
          <w:p w:rsidR="007B181C" w:rsidRPr="007B181C" w:rsidRDefault="007B181C" w:rsidP="00695CE7">
            <w:pPr>
              <w:spacing w:after="0" w:line="240" w:lineRule="auto"/>
              <w:jc w:val="right"/>
              <w:rPr>
                <w:rFonts w:ascii="Times New Roman" w:eastAsia="Times New Roman" w:hAnsi="Times New Roman" w:cs="Times New Roman"/>
                <w:b/>
                <w:bCs/>
                <w:color w:val="FF0000"/>
                <w:lang w:eastAsia="fr-FR"/>
              </w:rPr>
            </w:pPr>
            <w:r w:rsidRPr="007B181C">
              <w:rPr>
                <w:rFonts w:ascii="Times New Roman" w:eastAsia="Times New Roman" w:hAnsi="Times New Roman" w:cs="Times New Roman"/>
                <w:b/>
                <w:bCs/>
                <w:color w:val="FF0000"/>
                <w:lang w:eastAsia="fr-FR"/>
              </w:rPr>
              <w:t>101,</w:t>
            </w:r>
            <w:r w:rsidR="00695CE7">
              <w:rPr>
                <w:rFonts w:ascii="Times New Roman" w:eastAsia="Times New Roman" w:hAnsi="Times New Roman" w:cs="Times New Roman"/>
                <w:b/>
                <w:bCs/>
                <w:color w:val="FF0000"/>
                <w:lang w:eastAsia="fr-FR"/>
              </w:rPr>
              <w:t>5</w:t>
            </w:r>
          </w:p>
        </w:tc>
        <w:tc>
          <w:tcPr>
            <w:tcW w:w="1066"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b/>
                <w:bCs/>
                <w:color w:val="FF0000"/>
                <w:lang w:eastAsia="fr-FR"/>
              </w:rPr>
            </w:pPr>
            <w:r w:rsidRPr="007B181C">
              <w:rPr>
                <w:rFonts w:ascii="Times New Roman" w:eastAsia="Times New Roman" w:hAnsi="Times New Roman" w:cs="Times New Roman"/>
                <w:b/>
                <w:bCs/>
                <w:color w:val="FF0000"/>
                <w:lang w:eastAsia="fr-FR"/>
              </w:rPr>
              <w:t>101,6</w:t>
            </w:r>
          </w:p>
        </w:tc>
        <w:tc>
          <w:tcPr>
            <w:tcW w:w="1311" w:type="pct"/>
            <w:tcBorders>
              <w:top w:val="nil"/>
              <w:left w:val="nil"/>
              <w:bottom w:val="nil"/>
              <w:right w:val="nil"/>
            </w:tcBorders>
            <w:shd w:val="clear" w:color="auto" w:fill="auto"/>
            <w:noWrap/>
            <w:vAlign w:val="bottom"/>
            <w:hideMark/>
          </w:tcPr>
          <w:p w:rsidR="007B181C" w:rsidRPr="007B181C" w:rsidRDefault="007B181C" w:rsidP="00695CE7">
            <w:pPr>
              <w:spacing w:after="0" w:line="240" w:lineRule="auto"/>
              <w:jc w:val="right"/>
              <w:rPr>
                <w:rFonts w:ascii="Times New Roman" w:eastAsia="Times New Roman" w:hAnsi="Times New Roman" w:cs="Times New Roman"/>
                <w:b/>
                <w:bCs/>
                <w:color w:val="FF0000"/>
                <w:lang w:eastAsia="fr-FR"/>
              </w:rPr>
            </w:pPr>
            <w:r w:rsidRPr="007B181C">
              <w:rPr>
                <w:rFonts w:ascii="Times New Roman" w:eastAsia="Times New Roman" w:hAnsi="Times New Roman" w:cs="Times New Roman"/>
                <w:b/>
                <w:bCs/>
                <w:color w:val="FF0000"/>
                <w:lang w:eastAsia="fr-FR"/>
              </w:rPr>
              <w:t>0,</w:t>
            </w:r>
            <w:r w:rsidR="00695CE7">
              <w:rPr>
                <w:rFonts w:ascii="Times New Roman" w:eastAsia="Times New Roman" w:hAnsi="Times New Roman" w:cs="Times New Roman"/>
                <w:b/>
                <w:bCs/>
                <w:color w:val="FF0000"/>
                <w:lang w:eastAsia="fr-FR"/>
              </w:rPr>
              <w:t>1</w:t>
            </w:r>
          </w:p>
        </w:tc>
      </w:tr>
      <w:tr w:rsidR="007B181C" w:rsidRPr="007B181C" w:rsidTr="007B181C">
        <w:trPr>
          <w:trHeight w:val="300"/>
        </w:trPr>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lang w:eastAsia="fr-FR"/>
              </w:rPr>
            </w:pPr>
            <w:r w:rsidRPr="007B181C">
              <w:rPr>
                <w:rFonts w:ascii="Times New Roman" w:eastAsia="Times New Roman" w:hAnsi="Times New Roman" w:cs="Times New Roman"/>
                <w:b/>
                <w:bCs/>
                <w:lang w:eastAsia="fr-FR"/>
              </w:rPr>
              <w:t>Oujda</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101,6</w:t>
            </w:r>
          </w:p>
        </w:tc>
        <w:tc>
          <w:tcPr>
            <w:tcW w:w="1066"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101,7</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0,1</w:t>
            </w:r>
          </w:p>
        </w:tc>
      </w:tr>
      <w:tr w:rsidR="007B181C" w:rsidRPr="007B181C" w:rsidTr="007B181C">
        <w:trPr>
          <w:trHeight w:val="300"/>
        </w:trPr>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lang w:eastAsia="fr-FR"/>
              </w:rPr>
            </w:pPr>
            <w:r w:rsidRPr="007B181C">
              <w:rPr>
                <w:rFonts w:ascii="Times New Roman" w:eastAsia="Times New Roman" w:hAnsi="Times New Roman" w:cs="Times New Roman"/>
                <w:b/>
                <w:bCs/>
                <w:lang w:eastAsia="fr-FR"/>
              </w:rPr>
              <w:t>Tétouan</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101,1</w:t>
            </w:r>
          </w:p>
        </w:tc>
        <w:tc>
          <w:tcPr>
            <w:tcW w:w="1066"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101,7</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0,6</w:t>
            </w:r>
          </w:p>
        </w:tc>
      </w:tr>
      <w:tr w:rsidR="007B181C" w:rsidRPr="007B181C" w:rsidTr="007B181C">
        <w:trPr>
          <w:trHeight w:val="300"/>
        </w:trPr>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lang w:eastAsia="fr-FR"/>
              </w:rPr>
            </w:pPr>
            <w:r w:rsidRPr="007B181C">
              <w:rPr>
                <w:rFonts w:ascii="Times New Roman" w:eastAsia="Times New Roman" w:hAnsi="Times New Roman" w:cs="Times New Roman"/>
                <w:b/>
                <w:bCs/>
                <w:lang w:eastAsia="fr-FR"/>
              </w:rPr>
              <w:t>Settat</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101,0</w:t>
            </w:r>
          </w:p>
        </w:tc>
        <w:tc>
          <w:tcPr>
            <w:tcW w:w="1066"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101,8</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0,8</w:t>
            </w:r>
          </w:p>
        </w:tc>
      </w:tr>
      <w:tr w:rsidR="007B181C" w:rsidRPr="007B181C" w:rsidTr="007B181C">
        <w:trPr>
          <w:trHeight w:val="300"/>
        </w:trPr>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lang w:eastAsia="fr-FR"/>
              </w:rPr>
            </w:pPr>
            <w:r w:rsidRPr="007B181C">
              <w:rPr>
                <w:rFonts w:ascii="Times New Roman" w:eastAsia="Times New Roman" w:hAnsi="Times New Roman" w:cs="Times New Roman"/>
                <w:b/>
                <w:bCs/>
                <w:lang w:eastAsia="fr-FR"/>
              </w:rPr>
              <w:t>El houceima</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101,4</w:t>
            </w:r>
          </w:p>
        </w:tc>
        <w:tc>
          <w:tcPr>
            <w:tcW w:w="1066"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102,2</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0,8</w:t>
            </w:r>
          </w:p>
        </w:tc>
      </w:tr>
      <w:tr w:rsidR="007B181C" w:rsidRPr="007B181C" w:rsidTr="007B181C">
        <w:trPr>
          <w:trHeight w:val="300"/>
        </w:trPr>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lang w:eastAsia="fr-FR"/>
              </w:rPr>
            </w:pPr>
            <w:r w:rsidRPr="007B181C">
              <w:rPr>
                <w:rFonts w:ascii="Times New Roman" w:eastAsia="Times New Roman" w:hAnsi="Times New Roman" w:cs="Times New Roman"/>
                <w:b/>
                <w:bCs/>
                <w:lang w:eastAsia="fr-FR"/>
              </w:rPr>
              <w:t>Meknes</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101,3</w:t>
            </w:r>
          </w:p>
        </w:tc>
        <w:tc>
          <w:tcPr>
            <w:tcW w:w="1066"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102,2</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0,9</w:t>
            </w:r>
          </w:p>
        </w:tc>
      </w:tr>
      <w:tr w:rsidR="007B181C" w:rsidRPr="007B181C" w:rsidTr="007B181C">
        <w:trPr>
          <w:trHeight w:val="300"/>
        </w:trPr>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lang w:eastAsia="fr-FR"/>
              </w:rPr>
            </w:pPr>
            <w:r w:rsidRPr="007B181C">
              <w:rPr>
                <w:rFonts w:ascii="Times New Roman" w:eastAsia="Times New Roman" w:hAnsi="Times New Roman" w:cs="Times New Roman"/>
                <w:b/>
                <w:bCs/>
                <w:lang w:eastAsia="fr-FR"/>
              </w:rPr>
              <w:t>Marrakech</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101,5</w:t>
            </w:r>
          </w:p>
        </w:tc>
        <w:tc>
          <w:tcPr>
            <w:tcW w:w="1066"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102,3</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0,8</w:t>
            </w:r>
          </w:p>
        </w:tc>
      </w:tr>
      <w:tr w:rsidR="007B181C" w:rsidRPr="007B181C" w:rsidTr="007B181C">
        <w:trPr>
          <w:trHeight w:val="300"/>
        </w:trPr>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lang w:eastAsia="fr-FR"/>
              </w:rPr>
            </w:pPr>
            <w:r w:rsidRPr="007B181C">
              <w:rPr>
                <w:rFonts w:ascii="Times New Roman" w:eastAsia="Times New Roman" w:hAnsi="Times New Roman" w:cs="Times New Roman"/>
                <w:b/>
                <w:bCs/>
                <w:lang w:eastAsia="fr-FR"/>
              </w:rPr>
              <w:t>Tanger</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101,4</w:t>
            </w:r>
          </w:p>
        </w:tc>
        <w:tc>
          <w:tcPr>
            <w:tcW w:w="1066"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102,4</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w:t>
            </w:r>
          </w:p>
        </w:tc>
      </w:tr>
      <w:tr w:rsidR="007B181C" w:rsidRPr="007B181C" w:rsidTr="007B181C">
        <w:trPr>
          <w:trHeight w:val="300"/>
        </w:trPr>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lang w:eastAsia="fr-FR"/>
              </w:rPr>
            </w:pPr>
            <w:r w:rsidRPr="007B181C">
              <w:rPr>
                <w:rFonts w:ascii="Times New Roman" w:eastAsia="Times New Roman" w:hAnsi="Times New Roman" w:cs="Times New Roman"/>
                <w:b/>
                <w:bCs/>
                <w:lang w:eastAsia="fr-FR"/>
              </w:rPr>
              <w:t>Rabat</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101,6</w:t>
            </w:r>
          </w:p>
        </w:tc>
        <w:tc>
          <w:tcPr>
            <w:tcW w:w="1066"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102,5</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0,8</w:t>
            </w:r>
          </w:p>
        </w:tc>
      </w:tr>
      <w:tr w:rsidR="007B181C" w:rsidRPr="007B181C" w:rsidTr="007B181C">
        <w:trPr>
          <w:trHeight w:val="315"/>
        </w:trPr>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color w:val="FF0000"/>
                <w:sz w:val="24"/>
                <w:szCs w:val="24"/>
                <w:lang w:eastAsia="fr-FR"/>
              </w:rPr>
            </w:pPr>
            <w:r w:rsidRPr="007B181C">
              <w:rPr>
                <w:rFonts w:ascii="Times New Roman" w:eastAsia="Times New Roman" w:hAnsi="Times New Roman" w:cs="Times New Roman"/>
                <w:b/>
                <w:bCs/>
                <w:color w:val="FF0000"/>
                <w:sz w:val="24"/>
                <w:szCs w:val="24"/>
                <w:lang w:eastAsia="fr-FR"/>
              </w:rPr>
              <w:t>Ensemble</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b/>
                <w:bCs/>
                <w:color w:val="FF0000"/>
                <w:sz w:val="24"/>
                <w:szCs w:val="24"/>
                <w:lang w:eastAsia="fr-FR"/>
              </w:rPr>
            </w:pPr>
            <w:r w:rsidRPr="007B181C">
              <w:rPr>
                <w:rFonts w:ascii="Times New Roman" w:eastAsia="Times New Roman" w:hAnsi="Times New Roman" w:cs="Times New Roman"/>
                <w:b/>
                <w:bCs/>
                <w:color w:val="FF0000"/>
                <w:sz w:val="24"/>
                <w:szCs w:val="24"/>
                <w:lang w:eastAsia="fr-FR"/>
              </w:rPr>
              <w:t>101,8</w:t>
            </w:r>
          </w:p>
        </w:tc>
        <w:tc>
          <w:tcPr>
            <w:tcW w:w="1066"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b/>
                <w:bCs/>
                <w:color w:val="FF0000"/>
                <w:sz w:val="24"/>
                <w:szCs w:val="24"/>
                <w:lang w:eastAsia="fr-FR"/>
              </w:rPr>
            </w:pPr>
            <w:r w:rsidRPr="007B181C">
              <w:rPr>
                <w:rFonts w:ascii="Times New Roman" w:eastAsia="Times New Roman" w:hAnsi="Times New Roman" w:cs="Times New Roman"/>
                <w:b/>
                <w:bCs/>
                <w:color w:val="FF0000"/>
                <w:sz w:val="24"/>
                <w:szCs w:val="24"/>
                <w:lang w:eastAsia="fr-FR"/>
              </w:rPr>
              <w:t>102,5</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b/>
                <w:bCs/>
                <w:color w:val="FF0000"/>
                <w:sz w:val="24"/>
                <w:szCs w:val="24"/>
                <w:lang w:eastAsia="fr-FR"/>
              </w:rPr>
            </w:pPr>
            <w:r w:rsidRPr="007B181C">
              <w:rPr>
                <w:rFonts w:ascii="Times New Roman" w:eastAsia="Times New Roman" w:hAnsi="Times New Roman" w:cs="Times New Roman"/>
                <w:b/>
                <w:bCs/>
                <w:color w:val="FF0000"/>
                <w:sz w:val="24"/>
                <w:szCs w:val="24"/>
                <w:lang w:eastAsia="fr-FR"/>
              </w:rPr>
              <w:t>0,7</w:t>
            </w:r>
          </w:p>
        </w:tc>
      </w:tr>
      <w:tr w:rsidR="007B181C" w:rsidRPr="007B181C" w:rsidTr="007B181C">
        <w:trPr>
          <w:trHeight w:val="300"/>
        </w:trPr>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lang w:eastAsia="fr-FR"/>
              </w:rPr>
            </w:pPr>
            <w:r w:rsidRPr="007B181C">
              <w:rPr>
                <w:rFonts w:ascii="Times New Roman" w:eastAsia="Times New Roman" w:hAnsi="Times New Roman" w:cs="Times New Roman"/>
                <w:b/>
                <w:bCs/>
                <w:lang w:eastAsia="fr-FR"/>
              </w:rPr>
              <w:t>Beni mellal</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101,2</w:t>
            </w:r>
          </w:p>
        </w:tc>
        <w:tc>
          <w:tcPr>
            <w:tcW w:w="1066"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102,5</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1,3</w:t>
            </w:r>
          </w:p>
        </w:tc>
      </w:tr>
      <w:tr w:rsidR="007B181C" w:rsidRPr="007B181C" w:rsidTr="007B181C">
        <w:trPr>
          <w:trHeight w:val="300"/>
        </w:trPr>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lang w:eastAsia="fr-FR"/>
              </w:rPr>
            </w:pPr>
            <w:r w:rsidRPr="007B181C">
              <w:rPr>
                <w:rFonts w:ascii="Times New Roman" w:eastAsia="Times New Roman" w:hAnsi="Times New Roman" w:cs="Times New Roman"/>
                <w:b/>
                <w:bCs/>
                <w:lang w:eastAsia="fr-FR"/>
              </w:rPr>
              <w:t>Casa</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102,1</w:t>
            </w:r>
          </w:p>
        </w:tc>
        <w:tc>
          <w:tcPr>
            <w:tcW w:w="1066"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102,5</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0,4</w:t>
            </w:r>
          </w:p>
        </w:tc>
      </w:tr>
      <w:tr w:rsidR="007B181C" w:rsidRPr="007B181C" w:rsidTr="007B181C">
        <w:trPr>
          <w:trHeight w:val="300"/>
        </w:trPr>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lang w:eastAsia="fr-FR"/>
              </w:rPr>
            </w:pPr>
            <w:r w:rsidRPr="007B181C">
              <w:rPr>
                <w:rFonts w:ascii="Times New Roman" w:eastAsia="Times New Roman" w:hAnsi="Times New Roman" w:cs="Times New Roman"/>
                <w:b/>
                <w:bCs/>
                <w:lang w:eastAsia="fr-FR"/>
              </w:rPr>
              <w:t>Agadir</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101,8</w:t>
            </w:r>
          </w:p>
        </w:tc>
        <w:tc>
          <w:tcPr>
            <w:tcW w:w="1066"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102,7</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0,9</w:t>
            </w:r>
          </w:p>
        </w:tc>
      </w:tr>
      <w:tr w:rsidR="007B181C" w:rsidRPr="007B181C" w:rsidTr="007B181C">
        <w:trPr>
          <w:trHeight w:val="300"/>
        </w:trPr>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lang w:eastAsia="fr-FR"/>
              </w:rPr>
            </w:pPr>
            <w:r w:rsidRPr="007B181C">
              <w:rPr>
                <w:rFonts w:ascii="Times New Roman" w:eastAsia="Times New Roman" w:hAnsi="Times New Roman" w:cs="Times New Roman"/>
                <w:b/>
                <w:bCs/>
                <w:lang w:eastAsia="fr-FR"/>
              </w:rPr>
              <w:t>Fes</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102,9</w:t>
            </w:r>
          </w:p>
        </w:tc>
        <w:tc>
          <w:tcPr>
            <w:tcW w:w="1066"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102,9</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0,0</w:t>
            </w:r>
          </w:p>
        </w:tc>
      </w:tr>
      <w:tr w:rsidR="007B181C" w:rsidRPr="007B181C" w:rsidTr="007B181C">
        <w:trPr>
          <w:trHeight w:val="300"/>
        </w:trPr>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lang w:eastAsia="fr-FR"/>
              </w:rPr>
            </w:pPr>
            <w:r w:rsidRPr="007B181C">
              <w:rPr>
                <w:rFonts w:ascii="Times New Roman" w:eastAsia="Times New Roman" w:hAnsi="Times New Roman" w:cs="Times New Roman"/>
                <w:b/>
                <w:bCs/>
                <w:lang w:eastAsia="fr-FR"/>
              </w:rPr>
              <w:t>Dakhla</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103,1</w:t>
            </w:r>
          </w:p>
        </w:tc>
        <w:tc>
          <w:tcPr>
            <w:tcW w:w="1066"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103,4</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0,3</w:t>
            </w:r>
          </w:p>
        </w:tc>
      </w:tr>
      <w:tr w:rsidR="007B181C" w:rsidRPr="007B181C" w:rsidTr="007B181C">
        <w:trPr>
          <w:trHeight w:val="300"/>
        </w:trPr>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lang w:eastAsia="fr-FR"/>
              </w:rPr>
            </w:pPr>
            <w:r w:rsidRPr="007B181C">
              <w:rPr>
                <w:rFonts w:ascii="Times New Roman" w:eastAsia="Times New Roman" w:hAnsi="Times New Roman" w:cs="Times New Roman"/>
                <w:b/>
                <w:bCs/>
                <w:lang w:eastAsia="fr-FR"/>
              </w:rPr>
              <w:t>Laayoune</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102,8</w:t>
            </w:r>
          </w:p>
        </w:tc>
        <w:tc>
          <w:tcPr>
            <w:tcW w:w="1066"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103,8</w:t>
            </w:r>
          </w:p>
        </w:tc>
        <w:tc>
          <w:tcPr>
            <w:tcW w:w="1311" w:type="pct"/>
            <w:tcBorders>
              <w:top w:val="nil"/>
              <w:left w:val="nil"/>
              <w:bottom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w:t>
            </w:r>
          </w:p>
        </w:tc>
      </w:tr>
      <w:tr w:rsidR="007B181C" w:rsidRPr="007B181C" w:rsidTr="00A37E89">
        <w:trPr>
          <w:trHeight w:val="300"/>
        </w:trPr>
        <w:tc>
          <w:tcPr>
            <w:tcW w:w="1311" w:type="pct"/>
            <w:tcBorders>
              <w:top w:val="nil"/>
              <w:left w:val="nil"/>
              <w:right w:val="nil"/>
            </w:tcBorders>
            <w:shd w:val="clear" w:color="auto" w:fill="auto"/>
            <w:noWrap/>
            <w:vAlign w:val="bottom"/>
            <w:hideMark/>
          </w:tcPr>
          <w:p w:rsidR="007B181C" w:rsidRPr="007B181C" w:rsidRDefault="007B181C" w:rsidP="007B181C">
            <w:pPr>
              <w:spacing w:after="0" w:line="240" w:lineRule="auto"/>
              <w:rPr>
                <w:rFonts w:ascii="Times New Roman" w:eastAsia="Times New Roman" w:hAnsi="Times New Roman" w:cs="Times New Roman"/>
                <w:b/>
                <w:bCs/>
                <w:lang w:eastAsia="fr-FR"/>
              </w:rPr>
            </w:pPr>
            <w:r w:rsidRPr="007B181C">
              <w:rPr>
                <w:rFonts w:ascii="Times New Roman" w:eastAsia="Times New Roman" w:hAnsi="Times New Roman" w:cs="Times New Roman"/>
                <w:b/>
                <w:bCs/>
                <w:lang w:eastAsia="fr-FR"/>
              </w:rPr>
              <w:t>Safi</w:t>
            </w:r>
          </w:p>
        </w:tc>
        <w:tc>
          <w:tcPr>
            <w:tcW w:w="1311" w:type="pct"/>
            <w:tcBorders>
              <w:top w:val="nil"/>
              <w:left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104,5</w:t>
            </w:r>
          </w:p>
        </w:tc>
        <w:tc>
          <w:tcPr>
            <w:tcW w:w="1066" w:type="pct"/>
            <w:tcBorders>
              <w:top w:val="nil"/>
              <w:left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104,8</w:t>
            </w:r>
          </w:p>
        </w:tc>
        <w:tc>
          <w:tcPr>
            <w:tcW w:w="1311" w:type="pct"/>
            <w:tcBorders>
              <w:top w:val="nil"/>
              <w:left w:val="nil"/>
              <w:right w:val="nil"/>
            </w:tcBorders>
            <w:shd w:val="clear" w:color="auto" w:fill="auto"/>
            <w:noWrap/>
            <w:vAlign w:val="bottom"/>
            <w:hideMark/>
          </w:tcPr>
          <w:p w:rsidR="007B181C" w:rsidRPr="007B181C" w:rsidRDefault="007B181C" w:rsidP="007B181C">
            <w:pPr>
              <w:spacing w:after="0" w:line="240" w:lineRule="auto"/>
              <w:jc w:val="right"/>
              <w:rPr>
                <w:rFonts w:ascii="Times New Roman" w:eastAsia="Times New Roman" w:hAnsi="Times New Roman" w:cs="Times New Roman"/>
                <w:color w:val="000000"/>
                <w:lang w:eastAsia="fr-FR"/>
              </w:rPr>
            </w:pPr>
            <w:r w:rsidRPr="007B181C">
              <w:rPr>
                <w:rFonts w:ascii="Times New Roman" w:eastAsia="Times New Roman" w:hAnsi="Times New Roman" w:cs="Times New Roman"/>
                <w:color w:val="000000"/>
                <w:lang w:eastAsia="fr-FR"/>
              </w:rPr>
              <w:t>0,3</w:t>
            </w:r>
          </w:p>
        </w:tc>
      </w:tr>
      <w:tr w:rsidR="007B181C" w:rsidRPr="00AB5696" w:rsidTr="00A37E89">
        <w:trPr>
          <w:trHeight w:val="300"/>
        </w:trPr>
        <w:tc>
          <w:tcPr>
            <w:tcW w:w="1311" w:type="pct"/>
            <w:tcBorders>
              <w:top w:val="nil"/>
              <w:left w:val="nil"/>
              <w:bottom w:val="single" w:sz="12" w:space="0" w:color="auto"/>
              <w:right w:val="nil"/>
            </w:tcBorders>
            <w:shd w:val="clear" w:color="auto" w:fill="auto"/>
            <w:noWrap/>
            <w:vAlign w:val="bottom"/>
            <w:hideMark/>
          </w:tcPr>
          <w:p w:rsidR="007B181C" w:rsidRPr="00AB5696" w:rsidRDefault="007B181C" w:rsidP="007B181C">
            <w:pPr>
              <w:spacing w:after="0" w:line="240" w:lineRule="auto"/>
              <w:rPr>
                <w:rFonts w:ascii="Times New Roman" w:eastAsia="Times New Roman" w:hAnsi="Times New Roman" w:cs="Times New Roman"/>
                <w:b/>
                <w:bCs/>
                <w:lang w:eastAsia="fr-FR"/>
              </w:rPr>
            </w:pPr>
            <w:r w:rsidRPr="00AB5696">
              <w:rPr>
                <w:rFonts w:ascii="Times New Roman" w:eastAsia="Times New Roman" w:hAnsi="Times New Roman" w:cs="Times New Roman"/>
                <w:b/>
                <w:bCs/>
                <w:lang w:eastAsia="fr-FR"/>
              </w:rPr>
              <w:t>Guelmim</w:t>
            </w:r>
          </w:p>
        </w:tc>
        <w:tc>
          <w:tcPr>
            <w:tcW w:w="1311" w:type="pct"/>
            <w:tcBorders>
              <w:top w:val="nil"/>
              <w:left w:val="nil"/>
              <w:bottom w:val="single" w:sz="12" w:space="0" w:color="auto"/>
              <w:right w:val="nil"/>
            </w:tcBorders>
            <w:shd w:val="clear" w:color="auto" w:fill="auto"/>
            <w:noWrap/>
            <w:vAlign w:val="bottom"/>
            <w:hideMark/>
          </w:tcPr>
          <w:p w:rsidR="007B181C" w:rsidRPr="00AB5696" w:rsidRDefault="007B181C" w:rsidP="007B181C">
            <w:pPr>
              <w:spacing w:after="0" w:line="240" w:lineRule="auto"/>
              <w:jc w:val="right"/>
              <w:rPr>
                <w:rFonts w:ascii="Times New Roman" w:eastAsia="Times New Roman" w:hAnsi="Times New Roman" w:cs="Times New Roman"/>
                <w:lang w:eastAsia="fr-FR"/>
              </w:rPr>
            </w:pPr>
            <w:r w:rsidRPr="00AB5696">
              <w:rPr>
                <w:rFonts w:ascii="Times New Roman" w:eastAsia="Times New Roman" w:hAnsi="Times New Roman" w:cs="Times New Roman"/>
                <w:lang w:eastAsia="fr-FR"/>
              </w:rPr>
              <w:t>103,0</w:t>
            </w:r>
          </w:p>
        </w:tc>
        <w:tc>
          <w:tcPr>
            <w:tcW w:w="1066" w:type="pct"/>
            <w:tcBorders>
              <w:top w:val="nil"/>
              <w:left w:val="nil"/>
              <w:bottom w:val="single" w:sz="12" w:space="0" w:color="auto"/>
              <w:right w:val="nil"/>
            </w:tcBorders>
            <w:shd w:val="clear" w:color="auto" w:fill="auto"/>
            <w:noWrap/>
            <w:vAlign w:val="bottom"/>
            <w:hideMark/>
          </w:tcPr>
          <w:p w:rsidR="007B181C" w:rsidRPr="00AB5696" w:rsidRDefault="007B181C" w:rsidP="007B181C">
            <w:pPr>
              <w:spacing w:after="0" w:line="240" w:lineRule="auto"/>
              <w:jc w:val="right"/>
              <w:rPr>
                <w:rFonts w:ascii="Times New Roman" w:eastAsia="Times New Roman" w:hAnsi="Times New Roman" w:cs="Times New Roman"/>
                <w:lang w:eastAsia="fr-FR"/>
              </w:rPr>
            </w:pPr>
            <w:r w:rsidRPr="00AB5696">
              <w:rPr>
                <w:rFonts w:ascii="Times New Roman" w:eastAsia="Times New Roman" w:hAnsi="Times New Roman" w:cs="Times New Roman"/>
                <w:lang w:eastAsia="fr-FR"/>
              </w:rPr>
              <w:t>105,2</w:t>
            </w:r>
          </w:p>
        </w:tc>
        <w:tc>
          <w:tcPr>
            <w:tcW w:w="1311" w:type="pct"/>
            <w:tcBorders>
              <w:top w:val="nil"/>
              <w:left w:val="nil"/>
              <w:bottom w:val="single" w:sz="12" w:space="0" w:color="auto"/>
              <w:right w:val="nil"/>
            </w:tcBorders>
            <w:shd w:val="clear" w:color="auto" w:fill="auto"/>
            <w:noWrap/>
            <w:vAlign w:val="bottom"/>
            <w:hideMark/>
          </w:tcPr>
          <w:p w:rsidR="007B181C" w:rsidRPr="00AB5696" w:rsidRDefault="007B181C" w:rsidP="007B181C">
            <w:pPr>
              <w:spacing w:after="0" w:line="240" w:lineRule="auto"/>
              <w:jc w:val="right"/>
              <w:rPr>
                <w:rFonts w:ascii="Times New Roman" w:eastAsia="Times New Roman" w:hAnsi="Times New Roman" w:cs="Times New Roman"/>
                <w:lang w:eastAsia="fr-FR"/>
              </w:rPr>
            </w:pPr>
            <w:r w:rsidRPr="00AB5696">
              <w:rPr>
                <w:rFonts w:ascii="Times New Roman" w:eastAsia="Times New Roman" w:hAnsi="Times New Roman" w:cs="Times New Roman"/>
                <w:lang w:eastAsia="fr-FR"/>
              </w:rPr>
              <w:t>2,1</w:t>
            </w:r>
          </w:p>
        </w:tc>
      </w:tr>
    </w:tbl>
    <w:p w:rsidR="000665DB" w:rsidRPr="00BA0527" w:rsidRDefault="00E26CAA" w:rsidP="00BA0527">
      <w:pPr>
        <w:rPr>
          <w:rFonts w:asciiTheme="majorBidi" w:hAnsiTheme="majorBidi"/>
          <w:i/>
          <w:color w:val="4F81BD" w:themeColor="accent1"/>
        </w:rPr>
      </w:pPr>
      <w:r w:rsidRPr="00BA0527">
        <w:rPr>
          <w:rFonts w:asciiTheme="majorBidi" w:hAnsiTheme="majorBidi"/>
          <w:i/>
          <w:color w:val="4F81BD" w:themeColor="accent1"/>
        </w:rPr>
        <w:t>Source : HCP.</w:t>
      </w:r>
    </w:p>
    <w:p w:rsidR="00864A16" w:rsidRPr="008A51D4" w:rsidRDefault="00F301B0" w:rsidP="00B432FD">
      <w:pPr>
        <w:pStyle w:val="Lgende"/>
        <w:spacing w:before="120"/>
        <w:rPr>
          <w:rFonts w:asciiTheme="majorBidi" w:hAnsiTheme="majorBidi" w:cstheme="majorBidi"/>
          <w:b w:val="0"/>
          <w:bCs w:val="0"/>
          <w:color w:val="auto"/>
          <w:sz w:val="24"/>
          <w:szCs w:val="24"/>
        </w:rPr>
      </w:pPr>
      <w:r w:rsidRPr="008A51D4">
        <w:rPr>
          <w:rFonts w:asciiTheme="majorBidi" w:hAnsiTheme="majorBidi" w:cstheme="majorBidi"/>
          <w:b w:val="0"/>
          <w:bCs w:val="0"/>
          <w:color w:val="auto"/>
          <w:sz w:val="24"/>
          <w:szCs w:val="24"/>
        </w:rPr>
        <w:t>On note que le niveau général des prix le plus élevé au Maroc en 20</w:t>
      </w:r>
      <w:r w:rsidR="00A9472A">
        <w:rPr>
          <w:rFonts w:asciiTheme="majorBidi" w:hAnsiTheme="majorBidi" w:cstheme="majorBidi"/>
          <w:b w:val="0"/>
          <w:bCs w:val="0"/>
          <w:color w:val="auto"/>
          <w:sz w:val="24"/>
          <w:szCs w:val="24"/>
        </w:rPr>
        <w:t>20</w:t>
      </w:r>
      <w:r w:rsidRPr="008A51D4">
        <w:rPr>
          <w:rFonts w:asciiTheme="majorBidi" w:hAnsiTheme="majorBidi" w:cstheme="majorBidi"/>
          <w:b w:val="0"/>
          <w:bCs w:val="0"/>
          <w:color w:val="auto"/>
          <w:sz w:val="24"/>
          <w:szCs w:val="24"/>
        </w:rPr>
        <w:t xml:space="preserve">, est celui enregistré par la ville de </w:t>
      </w:r>
      <w:r w:rsidR="00A9472A">
        <w:rPr>
          <w:rFonts w:asciiTheme="majorBidi" w:hAnsiTheme="majorBidi" w:cstheme="majorBidi"/>
          <w:b w:val="0"/>
          <w:bCs w:val="0"/>
          <w:color w:val="auto"/>
          <w:sz w:val="24"/>
          <w:szCs w:val="24"/>
        </w:rPr>
        <w:t>Guelmim</w:t>
      </w:r>
      <w:r w:rsidRPr="008A51D4">
        <w:rPr>
          <w:rFonts w:asciiTheme="majorBidi" w:hAnsiTheme="majorBidi" w:cstheme="majorBidi"/>
          <w:b w:val="0"/>
          <w:bCs w:val="0"/>
          <w:color w:val="auto"/>
          <w:sz w:val="24"/>
          <w:szCs w:val="24"/>
        </w:rPr>
        <w:t xml:space="preserve"> qui </w:t>
      </w:r>
      <w:r w:rsidR="0066312D" w:rsidRPr="008A51D4">
        <w:rPr>
          <w:rFonts w:asciiTheme="majorBidi" w:hAnsiTheme="majorBidi" w:cstheme="majorBidi"/>
          <w:b w:val="0"/>
          <w:bCs w:val="0"/>
          <w:color w:val="auto"/>
          <w:sz w:val="24"/>
          <w:szCs w:val="24"/>
        </w:rPr>
        <w:t xml:space="preserve">a dépassé la moyenne nationale de </w:t>
      </w:r>
      <w:r w:rsidR="006A6E55">
        <w:rPr>
          <w:rFonts w:asciiTheme="majorBidi" w:hAnsiTheme="majorBidi" w:cstheme="majorBidi"/>
          <w:b w:val="0"/>
          <w:bCs w:val="0"/>
          <w:color w:val="auto"/>
          <w:sz w:val="24"/>
          <w:szCs w:val="24"/>
        </w:rPr>
        <w:t>2</w:t>
      </w:r>
      <w:r w:rsidR="0066312D" w:rsidRPr="008A51D4">
        <w:rPr>
          <w:rFonts w:asciiTheme="majorBidi" w:hAnsiTheme="majorBidi" w:cstheme="majorBidi"/>
          <w:b w:val="0"/>
          <w:bCs w:val="0"/>
          <w:color w:val="auto"/>
          <w:sz w:val="24"/>
          <w:szCs w:val="24"/>
        </w:rPr>
        <w:t>,</w:t>
      </w:r>
      <w:r w:rsidR="006A6E55">
        <w:rPr>
          <w:rFonts w:asciiTheme="majorBidi" w:hAnsiTheme="majorBidi" w:cstheme="majorBidi"/>
          <w:b w:val="0"/>
          <w:bCs w:val="0"/>
          <w:color w:val="auto"/>
          <w:sz w:val="24"/>
          <w:szCs w:val="24"/>
        </w:rPr>
        <w:t>7 points</w:t>
      </w:r>
      <w:r w:rsidR="0066312D" w:rsidRPr="008A51D4">
        <w:rPr>
          <w:rFonts w:asciiTheme="majorBidi" w:hAnsiTheme="majorBidi" w:cstheme="majorBidi"/>
          <w:b w:val="0"/>
          <w:bCs w:val="0"/>
          <w:color w:val="auto"/>
          <w:sz w:val="24"/>
          <w:szCs w:val="24"/>
        </w:rPr>
        <w:t>.</w:t>
      </w: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DE657D" w:rsidRDefault="00DE657D" w:rsidP="00DE657D">
      <w:pPr>
        <w:pStyle w:val="Lgende"/>
        <w:rPr>
          <w:rFonts w:asciiTheme="majorBidi" w:hAnsiTheme="majorBidi" w:cstheme="majorBidi"/>
          <w:sz w:val="22"/>
          <w:szCs w:val="22"/>
        </w:rPr>
      </w:pPr>
    </w:p>
    <w:p w:rsidR="000665DB" w:rsidRPr="00DF65E2" w:rsidRDefault="0036690E" w:rsidP="00DE657D">
      <w:pPr>
        <w:pStyle w:val="Lgende"/>
        <w:rPr>
          <w:rFonts w:asciiTheme="majorBidi" w:hAnsiTheme="majorBidi" w:cstheme="majorBidi"/>
          <w:sz w:val="22"/>
          <w:szCs w:val="22"/>
        </w:rPr>
      </w:pPr>
      <w:bookmarkStart w:id="21" w:name="_Toc68436335"/>
      <w:r w:rsidRPr="00DF65E2">
        <w:rPr>
          <w:rFonts w:asciiTheme="majorBidi" w:hAnsiTheme="majorBidi" w:cstheme="majorBidi"/>
          <w:sz w:val="22"/>
          <w:szCs w:val="22"/>
        </w:rPr>
        <w:lastRenderedPageBreak/>
        <w:t xml:space="preserve">Graphique </w:t>
      </w:r>
      <w:r w:rsidR="002966E3" w:rsidRPr="00DF65E2">
        <w:rPr>
          <w:rFonts w:asciiTheme="majorBidi" w:hAnsiTheme="majorBidi" w:cstheme="majorBidi"/>
          <w:sz w:val="22"/>
          <w:szCs w:val="22"/>
        </w:rPr>
        <w:fldChar w:fldCharType="begin"/>
      </w:r>
      <w:r w:rsidR="00756AA5" w:rsidRPr="00DF65E2">
        <w:rPr>
          <w:rFonts w:asciiTheme="majorBidi" w:hAnsiTheme="majorBidi" w:cstheme="majorBidi"/>
          <w:sz w:val="22"/>
          <w:szCs w:val="22"/>
        </w:rPr>
        <w:instrText xml:space="preserve"> SEQ Graphique \* ARABIC </w:instrText>
      </w:r>
      <w:r w:rsidR="002966E3" w:rsidRPr="00DF65E2">
        <w:rPr>
          <w:rFonts w:asciiTheme="majorBidi" w:hAnsiTheme="majorBidi" w:cstheme="majorBidi"/>
          <w:sz w:val="22"/>
          <w:szCs w:val="22"/>
        </w:rPr>
        <w:fldChar w:fldCharType="separate"/>
      </w:r>
      <w:r w:rsidR="00794CED">
        <w:rPr>
          <w:rFonts w:asciiTheme="majorBidi" w:hAnsiTheme="majorBidi" w:cstheme="majorBidi"/>
          <w:noProof/>
          <w:sz w:val="22"/>
          <w:szCs w:val="22"/>
        </w:rPr>
        <w:t>1</w:t>
      </w:r>
      <w:r w:rsidR="002966E3" w:rsidRPr="00DF65E2">
        <w:rPr>
          <w:rFonts w:asciiTheme="majorBidi" w:hAnsiTheme="majorBidi" w:cstheme="majorBidi"/>
          <w:sz w:val="22"/>
          <w:szCs w:val="22"/>
        </w:rPr>
        <w:fldChar w:fldCharType="end"/>
      </w:r>
      <w:r w:rsidRPr="00DF65E2">
        <w:rPr>
          <w:rFonts w:asciiTheme="majorBidi" w:hAnsiTheme="majorBidi" w:cstheme="majorBidi"/>
          <w:sz w:val="22"/>
          <w:szCs w:val="22"/>
        </w:rPr>
        <w:t xml:space="preserve"> : </w:t>
      </w:r>
      <w:r w:rsidR="000665DB" w:rsidRPr="00DF65E2">
        <w:rPr>
          <w:rFonts w:asciiTheme="majorBidi" w:hAnsiTheme="majorBidi" w:cstheme="majorBidi"/>
          <w:sz w:val="22"/>
          <w:szCs w:val="22"/>
        </w:rPr>
        <w:t>IPC général  par ville en 201</w:t>
      </w:r>
      <w:r w:rsidR="00DE657D">
        <w:rPr>
          <w:rFonts w:asciiTheme="majorBidi" w:hAnsiTheme="majorBidi" w:cstheme="majorBidi"/>
          <w:sz w:val="22"/>
          <w:szCs w:val="22"/>
        </w:rPr>
        <w:t>9</w:t>
      </w:r>
      <w:r w:rsidR="000665DB" w:rsidRPr="00DF65E2">
        <w:rPr>
          <w:rFonts w:asciiTheme="majorBidi" w:hAnsiTheme="majorBidi" w:cstheme="majorBidi"/>
          <w:sz w:val="22"/>
          <w:szCs w:val="22"/>
        </w:rPr>
        <w:t xml:space="preserve"> et 20</w:t>
      </w:r>
      <w:r w:rsidR="00DE657D">
        <w:rPr>
          <w:rFonts w:asciiTheme="majorBidi" w:hAnsiTheme="majorBidi" w:cstheme="majorBidi"/>
          <w:sz w:val="22"/>
          <w:szCs w:val="22"/>
        </w:rPr>
        <w:t>20</w:t>
      </w:r>
      <w:bookmarkEnd w:id="21"/>
    </w:p>
    <w:p w:rsidR="00363237" w:rsidRDefault="00DE657D" w:rsidP="00777D90">
      <w:pPr>
        <w:spacing w:before="240" w:after="240" w:line="240" w:lineRule="auto"/>
        <w:jc w:val="both"/>
        <w:rPr>
          <w:rFonts w:asciiTheme="majorBidi" w:hAnsiTheme="majorBidi" w:cstheme="majorBidi"/>
          <w:sz w:val="24"/>
          <w:szCs w:val="24"/>
        </w:rPr>
      </w:pPr>
      <w:r w:rsidRPr="00DE657D">
        <w:rPr>
          <w:rFonts w:asciiTheme="majorBidi" w:hAnsiTheme="majorBidi" w:cstheme="majorBidi"/>
          <w:noProof/>
          <w:sz w:val="24"/>
          <w:szCs w:val="24"/>
          <w:lang w:eastAsia="fr-FR"/>
        </w:rPr>
        <w:drawing>
          <wp:inline distT="0" distB="0" distL="0" distR="0">
            <wp:extent cx="5695950" cy="3498850"/>
            <wp:effectExtent l="19050" t="0" r="19050" b="635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6CAA" w:rsidRPr="006A6E55" w:rsidRDefault="00E26CAA" w:rsidP="00BA0527">
      <w:pPr>
        <w:rPr>
          <w:rFonts w:asciiTheme="majorBidi" w:hAnsiTheme="majorBidi"/>
          <w:i/>
          <w:color w:val="4F81BD" w:themeColor="accent1"/>
        </w:rPr>
      </w:pPr>
      <w:r w:rsidRPr="006A6E55">
        <w:rPr>
          <w:rFonts w:asciiTheme="majorBidi" w:hAnsiTheme="majorBidi"/>
          <w:i/>
          <w:color w:val="4F81BD" w:themeColor="accent1"/>
        </w:rPr>
        <w:t>Source : HCP.</w:t>
      </w:r>
    </w:p>
    <w:p w:rsidR="006B2FBA" w:rsidRDefault="006B2FBA" w:rsidP="007E29B6">
      <w:pPr>
        <w:spacing w:before="240" w:after="240" w:line="240" w:lineRule="auto"/>
        <w:jc w:val="both"/>
        <w:rPr>
          <w:rFonts w:asciiTheme="majorBidi" w:hAnsiTheme="majorBidi" w:cstheme="majorBidi"/>
          <w:sz w:val="24"/>
          <w:szCs w:val="24"/>
        </w:rPr>
      </w:pPr>
      <w:r w:rsidRPr="009C15D0">
        <w:rPr>
          <w:rFonts w:asciiTheme="majorBidi" w:hAnsiTheme="majorBidi" w:cstheme="majorBidi"/>
          <w:sz w:val="24"/>
          <w:szCs w:val="24"/>
        </w:rPr>
        <w:t xml:space="preserve">En termes d’inflation générale, </w:t>
      </w:r>
      <w:r w:rsidR="007156BC">
        <w:rPr>
          <w:rFonts w:asciiTheme="majorBidi" w:hAnsiTheme="majorBidi" w:cstheme="majorBidi"/>
          <w:sz w:val="24"/>
          <w:szCs w:val="24"/>
        </w:rPr>
        <w:t xml:space="preserve">la ville de </w:t>
      </w:r>
      <w:r w:rsidR="00A9472A">
        <w:rPr>
          <w:rFonts w:asciiTheme="majorBidi" w:hAnsiTheme="majorBidi" w:cstheme="majorBidi"/>
          <w:sz w:val="24"/>
          <w:szCs w:val="24"/>
        </w:rPr>
        <w:t>Guelmim</w:t>
      </w:r>
      <w:r w:rsidR="0065655F">
        <w:rPr>
          <w:rFonts w:asciiTheme="majorBidi" w:hAnsiTheme="majorBidi" w:cstheme="majorBidi"/>
          <w:sz w:val="24"/>
          <w:szCs w:val="24"/>
        </w:rPr>
        <w:t xml:space="preserve"> </w:t>
      </w:r>
      <w:r w:rsidR="007156BC">
        <w:rPr>
          <w:rFonts w:asciiTheme="majorBidi" w:hAnsiTheme="majorBidi" w:cstheme="majorBidi"/>
          <w:sz w:val="24"/>
          <w:szCs w:val="24"/>
        </w:rPr>
        <w:t xml:space="preserve">a enregistré le taux d’inflation le plus élevé au Maroc avec </w:t>
      </w:r>
      <w:r w:rsidR="00DE4E35">
        <w:rPr>
          <w:rFonts w:asciiTheme="majorBidi" w:hAnsiTheme="majorBidi" w:cstheme="majorBidi"/>
          <w:sz w:val="24"/>
          <w:szCs w:val="24"/>
        </w:rPr>
        <w:t>2</w:t>
      </w:r>
      <w:r w:rsidR="0065655F">
        <w:rPr>
          <w:rFonts w:asciiTheme="majorBidi" w:hAnsiTheme="majorBidi" w:cstheme="majorBidi"/>
          <w:sz w:val="24"/>
          <w:szCs w:val="24"/>
        </w:rPr>
        <w:t>,</w:t>
      </w:r>
      <w:r w:rsidR="00DE4E35">
        <w:rPr>
          <w:rFonts w:asciiTheme="majorBidi" w:hAnsiTheme="majorBidi" w:cstheme="majorBidi"/>
          <w:sz w:val="24"/>
          <w:szCs w:val="24"/>
        </w:rPr>
        <w:t>1</w:t>
      </w:r>
      <w:r w:rsidR="007156BC">
        <w:rPr>
          <w:rFonts w:asciiTheme="majorBidi" w:hAnsiTheme="majorBidi" w:cstheme="majorBidi"/>
          <w:sz w:val="24"/>
          <w:szCs w:val="24"/>
        </w:rPr>
        <w:t>%</w:t>
      </w:r>
      <w:r w:rsidR="00F52873">
        <w:rPr>
          <w:rFonts w:asciiTheme="majorBidi" w:hAnsiTheme="majorBidi" w:cstheme="majorBidi"/>
          <w:sz w:val="24"/>
          <w:szCs w:val="24"/>
        </w:rPr>
        <w:t xml:space="preserve"> entre</w:t>
      </w:r>
      <w:r w:rsidR="007156BC">
        <w:rPr>
          <w:rFonts w:asciiTheme="majorBidi" w:hAnsiTheme="majorBidi" w:cstheme="majorBidi"/>
          <w:sz w:val="24"/>
          <w:szCs w:val="24"/>
        </w:rPr>
        <w:t xml:space="preserve"> </w:t>
      </w:r>
      <w:r w:rsidR="0065655F">
        <w:rPr>
          <w:rFonts w:asciiTheme="majorBidi" w:hAnsiTheme="majorBidi" w:cstheme="majorBidi"/>
          <w:sz w:val="24"/>
          <w:szCs w:val="24"/>
        </w:rPr>
        <w:t>201</w:t>
      </w:r>
      <w:r w:rsidR="00DE4E35">
        <w:rPr>
          <w:rFonts w:asciiTheme="majorBidi" w:hAnsiTheme="majorBidi" w:cstheme="majorBidi"/>
          <w:sz w:val="24"/>
          <w:szCs w:val="24"/>
        </w:rPr>
        <w:t>9</w:t>
      </w:r>
      <w:r w:rsidR="00F52873">
        <w:rPr>
          <w:rFonts w:asciiTheme="majorBidi" w:hAnsiTheme="majorBidi" w:cstheme="majorBidi"/>
          <w:sz w:val="24"/>
          <w:szCs w:val="24"/>
        </w:rPr>
        <w:t xml:space="preserve"> et 20</w:t>
      </w:r>
      <w:r w:rsidR="00DE4E35">
        <w:rPr>
          <w:rFonts w:asciiTheme="majorBidi" w:hAnsiTheme="majorBidi" w:cstheme="majorBidi"/>
          <w:sz w:val="24"/>
          <w:szCs w:val="24"/>
        </w:rPr>
        <w:t>20</w:t>
      </w:r>
      <w:r w:rsidR="00F52873">
        <w:rPr>
          <w:rFonts w:asciiTheme="majorBidi" w:hAnsiTheme="majorBidi" w:cstheme="majorBidi"/>
          <w:sz w:val="24"/>
          <w:szCs w:val="24"/>
        </w:rPr>
        <w:t>. Cependant,</w:t>
      </w:r>
      <w:r w:rsidR="00DE4E35">
        <w:rPr>
          <w:rFonts w:asciiTheme="majorBidi" w:hAnsiTheme="majorBidi" w:cstheme="majorBidi"/>
          <w:sz w:val="24"/>
          <w:szCs w:val="24"/>
        </w:rPr>
        <w:t xml:space="preserve"> les villes de Fès et de</w:t>
      </w:r>
      <w:r w:rsidR="00F52873">
        <w:rPr>
          <w:rFonts w:asciiTheme="majorBidi" w:hAnsiTheme="majorBidi" w:cstheme="majorBidi"/>
          <w:sz w:val="24"/>
          <w:szCs w:val="24"/>
        </w:rPr>
        <w:t xml:space="preserve"> </w:t>
      </w:r>
      <w:r w:rsidRPr="009C15D0">
        <w:rPr>
          <w:rFonts w:asciiTheme="majorBidi" w:hAnsiTheme="majorBidi" w:cstheme="majorBidi"/>
          <w:sz w:val="24"/>
          <w:szCs w:val="24"/>
        </w:rPr>
        <w:t xml:space="preserve">Kenitra </w:t>
      </w:r>
      <w:r w:rsidR="00DE4E35">
        <w:rPr>
          <w:rFonts w:asciiTheme="majorBidi" w:hAnsiTheme="majorBidi" w:cstheme="majorBidi"/>
          <w:sz w:val="24"/>
          <w:szCs w:val="24"/>
        </w:rPr>
        <w:t>sont consi</w:t>
      </w:r>
      <w:r w:rsidR="004A49D7">
        <w:rPr>
          <w:rFonts w:asciiTheme="majorBidi" w:hAnsiTheme="majorBidi" w:cstheme="majorBidi"/>
          <w:sz w:val="24"/>
          <w:szCs w:val="24"/>
        </w:rPr>
        <w:t xml:space="preserve">dérées comme </w:t>
      </w:r>
      <w:r w:rsidR="007156BC">
        <w:rPr>
          <w:rFonts w:asciiTheme="majorBidi" w:hAnsiTheme="majorBidi" w:cstheme="majorBidi"/>
          <w:sz w:val="24"/>
          <w:szCs w:val="24"/>
        </w:rPr>
        <w:t xml:space="preserve">les villes </w:t>
      </w:r>
      <w:r w:rsidR="004A49D7">
        <w:rPr>
          <w:rFonts w:asciiTheme="majorBidi" w:hAnsiTheme="majorBidi" w:cstheme="majorBidi"/>
          <w:sz w:val="24"/>
          <w:szCs w:val="24"/>
        </w:rPr>
        <w:t>les plus faibles en variation de leur niveau général des prix</w:t>
      </w:r>
      <w:r w:rsidR="007156BC">
        <w:rPr>
          <w:rFonts w:asciiTheme="majorBidi" w:hAnsiTheme="majorBidi" w:cstheme="majorBidi"/>
          <w:sz w:val="24"/>
          <w:szCs w:val="24"/>
        </w:rPr>
        <w:t>,</w:t>
      </w:r>
      <w:r w:rsidR="004A49D7">
        <w:rPr>
          <w:rFonts w:asciiTheme="majorBidi" w:hAnsiTheme="majorBidi" w:cstheme="majorBidi"/>
          <w:sz w:val="24"/>
          <w:szCs w:val="24"/>
        </w:rPr>
        <w:t xml:space="preserve"> </w:t>
      </w:r>
      <w:r w:rsidR="007156BC">
        <w:rPr>
          <w:rFonts w:asciiTheme="majorBidi" w:hAnsiTheme="majorBidi" w:cstheme="majorBidi"/>
          <w:sz w:val="24"/>
          <w:szCs w:val="24"/>
        </w:rPr>
        <w:t xml:space="preserve"> soit </w:t>
      </w:r>
      <w:r w:rsidR="004A49D7">
        <w:rPr>
          <w:rFonts w:asciiTheme="majorBidi" w:hAnsiTheme="majorBidi" w:cstheme="majorBidi"/>
          <w:sz w:val="24"/>
          <w:szCs w:val="24"/>
        </w:rPr>
        <w:t>presque une inflation nulle</w:t>
      </w:r>
      <w:r w:rsidR="0065655F">
        <w:rPr>
          <w:rFonts w:asciiTheme="majorBidi" w:hAnsiTheme="majorBidi" w:cstheme="majorBidi"/>
          <w:sz w:val="24"/>
          <w:szCs w:val="24"/>
        </w:rPr>
        <w:t xml:space="preserve"> contre 0,</w:t>
      </w:r>
      <w:r w:rsidR="004A49D7">
        <w:rPr>
          <w:rFonts w:asciiTheme="majorBidi" w:hAnsiTheme="majorBidi" w:cstheme="majorBidi"/>
          <w:sz w:val="24"/>
          <w:szCs w:val="24"/>
        </w:rPr>
        <w:t>7</w:t>
      </w:r>
      <w:r w:rsidR="007156BC">
        <w:rPr>
          <w:rFonts w:asciiTheme="majorBidi" w:hAnsiTheme="majorBidi" w:cstheme="majorBidi"/>
          <w:sz w:val="24"/>
          <w:szCs w:val="24"/>
        </w:rPr>
        <w:t xml:space="preserve">% </w:t>
      </w:r>
      <w:r>
        <w:rPr>
          <w:rFonts w:asciiTheme="majorBidi" w:hAnsiTheme="majorBidi" w:cstheme="majorBidi"/>
          <w:sz w:val="24"/>
          <w:szCs w:val="24"/>
        </w:rPr>
        <w:t>au niveau national.</w:t>
      </w:r>
    </w:p>
    <w:p w:rsidR="006B2FBA" w:rsidRDefault="006B2FBA" w:rsidP="005F4314">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Il est à souligner que l’inflation </w:t>
      </w:r>
      <w:r w:rsidR="007156BC">
        <w:rPr>
          <w:rFonts w:asciiTheme="majorBidi" w:hAnsiTheme="majorBidi" w:cstheme="majorBidi"/>
          <w:sz w:val="24"/>
          <w:szCs w:val="24"/>
        </w:rPr>
        <w:t>dépasse</w:t>
      </w:r>
      <w:r>
        <w:rPr>
          <w:rFonts w:asciiTheme="majorBidi" w:hAnsiTheme="majorBidi" w:cstheme="majorBidi"/>
          <w:sz w:val="24"/>
          <w:szCs w:val="24"/>
        </w:rPr>
        <w:t xml:space="preserve"> la moyenne nationale dans </w:t>
      </w:r>
      <w:r w:rsidR="004A49D7">
        <w:rPr>
          <w:rFonts w:asciiTheme="majorBidi" w:hAnsiTheme="majorBidi" w:cstheme="majorBidi"/>
          <w:sz w:val="24"/>
          <w:szCs w:val="24"/>
        </w:rPr>
        <w:t>onze</w:t>
      </w:r>
      <w:r>
        <w:rPr>
          <w:rFonts w:asciiTheme="majorBidi" w:hAnsiTheme="majorBidi" w:cstheme="majorBidi"/>
          <w:sz w:val="24"/>
          <w:szCs w:val="24"/>
        </w:rPr>
        <w:t xml:space="preserve"> villes tandis qu</w:t>
      </w:r>
      <w:r w:rsidR="00AF6D2F">
        <w:rPr>
          <w:rFonts w:asciiTheme="majorBidi" w:hAnsiTheme="majorBidi" w:cstheme="majorBidi"/>
          <w:sz w:val="24"/>
          <w:szCs w:val="24"/>
        </w:rPr>
        <w:t xml:space="preserve">’elle </w:t>
      </w:r>
      <w:r>
        <w:rPr>
          <w:rFonts w:asciiTheme="majorBidi" w:hAnsiTheme="majorBidi" w:cstheme="majorBidi"/>
          <w:sz w:val="24"/>
          <w:szCs w:val="24"/>
        </w:rPr>
        <w:t xml:space="preserve"> </w:t>
      </w:r>
      <w:r w:rsidR="007156BC">
        <w:rPr>
          <w:rFonts w:asciiTheme="majorBidi" w:hAnsiTheme="majorBidi" w:cstheme="majorBidi"/>
          <w:sz w:val="24"/>
          <w:szCs w:val="24"/>
        </w:rPr>
        <w:t>est</w:t>
      </w:r>
      <w:r>
        <w:rPr>
          <w:rFonts w:asciiTheme="majorBidi" w:hAnsiTheme="majorBidi" w:cstheme="majorBidi"/>
          <w:sz w:val="24"/>
          <w:szCs w:val="24"/>
        </w:rPr>
        <w:t xml:space="preserve"> comprise entre </w:t>
      </w:r>
      <w:r w:rsidR="004A49D7">
        <w:rPr>
          <w:rFonts w:asciiTheme="majorBidi" w:hAnsiTheme="majorBidi" w:cstheme="majorBidi"/>
          <w:sz w:val="24"/>
          <w:szCs w:val="24"/>
        </w:rPr>
        <w:t xml:space="preserve">0 </w:t>
      </w:r>
      <w:r>
        <w:rPr>
          <w:rFonts w:asciiTheme="majorBidi" w:hAnsiTheme="majorBidi" w:cstheme="majorBidi"/>
          <w:sz w:val="24"/>
          <w:szCs w:val="24"/>
        </w:rPr>
        <w:t>et 0,</w:t>
      </w:r>
      <w:r w:rsidR="004A49D7">
        <w:rPr>
          <w:rFonts w:asciiTheme="majorBidi" w:hAnsiTheme="majorBidi" w:cstheme="majorBidi"/>
          <w:sz w:val="24"/>
          <w:szCs w:val="24"/>
        </w:rPr>
        <w:t>6</w:t>
      </w:r>
      <w:r>
        <w:rPr>
          <w:rFonts w:asciiTheme="majorBidi" w:hAnsiTheme="majorBidi" w:cstheme="majorBidi"/>
          <w:sz w:val="24"/>
          <w:szCs w:val="24"/>
        </w:rPr>
        <w:t>%</w:t>
      </w:r>
      <w:r w:rsidR="00AF6D2F">
        <w:rPr>
          <w:rFonts w:asciiTheme="majorBidi" w:hAnsiTheme="majorBidi" w:cstheme="majorBidi"/>
          <w:sz w:val="24"/>
          <w:szCs w:val="24"/>
        </w:rPr>
        <w:t xml:space="preserve"> dans les autres villes</w:t>
      </w:r>
      <w:r>
        <w:rPr>
          <w:rFonts w:asciiTheme="majorBidi" w:hAnsiTheme="majorBidi" w:cstheme="majorBidi"/>
          <w:sz w:val="24"/>
          <w:szCs w:val="24"/>
        </w:rPr>
        <w:t>.</w:t>
      </w:r>
    </w:p>
    <w:p w:rsidR="000536BF" w:rsidRPr="000536BF" w:rsidRDefault="00002361" w:rsidP="006A6E55">
      <w:pPr>
        <w:pStyle w:val="Lgende"/>
        <w:rPr>
          <w:lang w:eastAsia="fr-FR"/>
        </w:rPr>
      </w:pPr>
      <w:bookmarkStart w:id="22" w:name="_Toc68436336"/>
      <w:r w:rsidRPr="009755AE">
        <w:rPr>
          <w:rFonts w:asciiTheme="majorBidi" w:hAnsiTheme="majorBidi" w:cstheme="majorBidi"/>
          <w:sz w:val="22"/>
          <w:szCs w:val="22"/>
        </w:rPr>
        <w:lastRenderedPageBreak/>
        <w:t xml:space="preserve">Graphique </w:t>
      </w:r>
      <w:r w:rsidR="002966E3" w:rsidRPr="009755AE">
        <w:rPr>
          <w:rFonts w:asciiTheme="majorBidi" w:hAnsiTheme="majorBidi" w:cstheme="majorBidi"/>
          <w:sz w:val="22"/>
          <w:szCs w:val="22"/>
        </w:rPr>
        <w:fldChar w:fldCharType="begin"/>
      </w:r>
      <w:r w:rsidR="00414E1F" w:rsidRPr="009755AE">
        <w:rPr>
          <w:rFonts w:asciiTheme="majorBidi" w:hAnsiTheme="majorBidi" w:cstheme="majorBidi"/>
          <w:sz w:val="22"/>
          <w:szCs w:val="22"/>
        </w:rPr>
        <w:instrText xml:space="preserve"> SEQ Graphique \* ARABIC </w:instrText>
      </w:r>
      <w:r w:rsidR="002966E3" w:rsidRPr="009755AE">
        <w:rPr>
          <w:rFonts w:asciiTheme="majorBidi" w:hAnsiTheme="majorBidi" w:cstheme="majorBidi"/>
          <w:sz w:val="22"/>
          <w:szCs w:val="22"/>
        </w:rPr>
        <w:fldChar w:fldCharType="separate"/>
      </w:r>
      <w:r w:rsidR="00794CED">
        <w:rPr>
          <w:rFonts w:asciiTheme="majorBidi" w:hAnsiTheme="majorBidi" w:cstheme="majorBidi"/>
          <w:noProof/>
          <w:sz w:val="22"/>
          <w:szCs w:val="22"/>
        </w:rPr>
        <w:t>2</w:t>
      </w:r>
      <w:r w:rsidR="002966E3" w:rsidRPr="009755AE">
        <w:rPr>
          <w:rFonts w:asciiTheme="majorBidi" w:hAnsiTheme="majorBidi" w:cstheme="majorBidi"/>
          <w:sz w:val="22"/>
          <w:szCs w:val="22"/>
        </w:rPr>
        <w:fldChar w:fldCharType="end"/>
      </w:r>
      <w:r w:rsidRPr="00DF65E2">
        <w:rPr>
          <w:rFonts w:ascii="Times New Roman" w:hAnsi="Times New Roman"/>
          <w:sz w:val="22"/>
        </w:rPr>
        <w:t xml:space="preserve"> : </w:t>
      </w:r>
      <w:r w:rsidRPr="00DF65E2">
        <w:rPr>
          <w:rFonts w:ascii="Times New Roman" w:hAnsi="Times New Roman" w:cstheme="majorBidi"/>
          <w:bCs w:val="0"/>
          <w:color w:val="548DD4" w:themeColor="text2" w:themeTint="99"/>
          <w:sz w:val="22"/>
          <w:szCs w:val="24"/>
        </w:rPr>
        <w:t>Inflation générale par ville (en %) -Année 20</w:t>
      </w:r>
      <w:r w:rsidR="00DE657D">
        <w:rPr>
          <w:rFonts w:ascii="Times New Roman" w:hAnsi="Times New Roman" w:cstheme="majorBidi"/>
          <w:bCs w:val="0"/>
          <w:color w:val="548DD4" w:themeColor="text2" w:themeTint="99"/>
          <w:sz w:val="22"/>
          <w:szCs w:val="24"/>
        </w:rPr>
        <w:t>20</w:t>
      </w:r>
      <w:r w:rsidRPr="00DF65E2">
        <w:rPr>
          <w:rFonts w:ascii="Times New Roman" w:hAnsi="Times New Roman" w:cstheme="majorBidi"/>
          <w:bCs w:val="0"/>
          <w:color w:val="548DD4" w:themeColor="text2" w:themeTint="99"/>
          <w:sz w:val="22"/>
          <w:szCs w:val="24"/>
        </w:rPr>
        <w:t>-</w:t>
      </w:r>
      <w:bookmarkEnd w:id="22"/>
      <w:r w:rsidR="000536BF" w:rsidRPr="000536BF">
        <w:rPr>
          <w:noProof/>
          <w:lang w:eastAsia="fr-FR"/>
        </w:rPr>
        <w:drawing>
          <wp:inline distT="0" distB="0" distL="0" distR="0">
            <wp:extent cx="5632450" cy="2832100"/>
            <wp:effectExtent l="19050" t="0" r="25400" b="6350"/>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6CAA" w:rsidRPr="006A6E55" w:rsidRDefault="00E26CAA" w:rsidP="00BA0527">
      <w:pPr>
        <w:rPr>
          <w:rFonts w:asciiTheme="majorBidi" w:hAnsiTheme="majorBidi"/>
          <w:i/>
          <w:color w:val="4F81BD" w:themeColor="accent1"/>
        </w:rPr>
      </w:pPr>
      <w:r w:rsidRPr="006A6E55">
        <w:rPr>
          <w:rFonts w:asciiTheme="majorBidi" w:hAnsiTheme="majorBidi"/>
          <w:i/>
          <w:color w:val="4F81BD" w:themeColor="accent1"/>
        </w:rPr>
        <w:t>Source : HCP.</w:t>
      </w:r>
    </w:p>
    <w:p w:rsidR="00E26CAA" w:rsidRPr="00E26CAA" w:rsidRDefault="00E26CAA" w:rsidP="00E26CAA"/>
    <w:p w:rsidR="00754C35" w:rsidRPr="000665DB" w:rsidRDefault="00754C35" w:rsidP="00B03C01">
      <w:pPr>
        <w:pStyle w:val="Titre2"/>
        <w:rPr>
          <w:rFonts w:asciiTheme="majorBidi" w:hAnsiTheme="majorBidi"/>
          <w:color w:val="0070C0"/>
        </w:rPr>
      </w:pPr>
      <w:bookmarkStart w:id="23" w:name="_Toc68443130"/>
      <w:r w:rsidRPr="000665DB">
        <w:rPr>
          <w:rFonts w:asciiTheme="majorBidi" w:hAnsiTheme="majorBidi"/>
          <w:color w:val="0070C0"/>
        </w:rPr>
        <w:t>II</w:t>
      </w:r>
      <w:r w:rsidR="00586B08" w:rsidRPr="000665DB">
        <w:rPr>
          <w:rFonts w:asciiTheme="majorBidi" w:hAnsiTheme="majorBidi"/>
          <w:color w:val="0070C0"/>
        </w:rPr>
        <w:t>I</w:t>
      </w:r>
      <w:r w:rsidRPr="000665DB">
        <w:rPr>
          <w:rFonts w:asciiTheme="majorBidi" w:hAnsiTheme="majorBidi"/>
          <w:color w:val="0070C0"/>
        </w:rPr>
        <w:t>-2 Evolution mensuelle de l’IPC (base100:</w:t>
      </w:r>
      <w:r w:rsidR="00060240">
        <w:rPr>
          <w:rFonts w:asciiTheme="majorBidi" w:hAnsiTheme="majorBidi"/>
          <w:color w:val="0070C0"/>
        </w:rPr>
        <w:t xml:space="preserve"> </w:t>
      </w:r>
      <w:r w:rsidRPr="000665DB">
        <w:rPr>
          <w:rFonts w:asciiTheme="majorBidi" w:hAnsiTheme="majorBidi"/>
          <w:color w:val="0070C0"/>
        </w:rPr>
        <w:t>20</w:t>
      </w:r>
      <w:r w:rsidR="00B03C01">
        <w:rPr>
          <w:rFonts w:asciiTheme="majorBidi" w:hAnsiTheme="majorBidi"/>
          <w:color w:val="0070C0"/>
        </w:rPr>
        <w:t>17</w:t>
      </w:r>
      <w:r w:rsidRPr="000665DB">
        <w:rPr>
          <w:rFonts w:asciiTheme="majorBidi" w:hAnsiTheme="majorBidi"/>
          <w:color w:val="0070C0"/>
        </w:rPr>
        <w:t>) en 20</w:t>
      </w:r>
      <w:r w:rsidR="00B03C01">
        <w:rPr>
          <w:rFonts w:asciiTheme="majorBidi" w:hAnsiTheme="majorBidi"/>
          <w:color w:val="0070C0"/>
        </w:rPr>
        <w:t>20</w:t>
      </w:r>
      <w:bookmarkEnd w:id="23"/>
    </w:p>
    <w:p w:rsidR="00754C35" w:rsidRPr="000665DB" w:rsidRDefault="00754C35" w:rsidP="00C34D70">
      <w:pPr>
        <w:pStyle w:val="Titre3"/>
        <w:rPr>
          <w:rFonts w:asciiTheme="majorBidi" w:hAnsiTheme="majorBidi"/>
          <w:color w:val="0070C0"/>
          <w:sz w:val="24"/>
          <w:szCs w:val="24"/>
        </w:rPr>
      </w:pPr>
      <w:bookmarkStart w:id="24" w:name="_Toc68443131"/>
      <w:r w:rsidRPr="000665DB">
        <w:rPr>
          <w:rFonts w:asciiTheme="majorBidi" w:hAnsiTheme="majorBidi"/>
          <w:color w:val="0070C0"/>
          <w:sz w:val="24"/>
          <w:szCs w:val="24"/>
        </w:rPr>
        <w:t>II</w:t>
      </w:r>
      <w:r w:rsidR="00586B08" w:rsidRPr="000665DB">
        <w:rPr>
          <w:rFonts w:asciiTheme="majorBidi" w:hAnsiTheme="majorBidi"/>
          <w:color w:val="0070C0"/>
          <w:sz w:val="24"/>
          <w:szCs w:val="24"/>
        </w:rPr>
        <w:t>I</w:t>
      </w:r>
      <w:r w:rsidRPr="000665DB">
        <w:rPr>
          <w:rFonts w:asciiTheme="majorBidi" w:hAnsiTheme="majorBidi"/>
          <w:color w:val="0070C0"/>
          <w:sz w:val="24"/>
          <w:szCs w:val="24"/>
        </w:rPr>
        <w:t>-2-</w:t>
      </w:r>
      <w:r w:rsidR="006536C2" w:rsidRPr="000665DB">
        <w:rPr>
          <w:rFonts w:asciiTheme="majorBidi" w:hAnsiTheme="majorBidi"/>
          <w:color w:val="0070C0"/>
          <w:sz w:val="24"/>
          <w:szCs w:val="24"/>
        </w:rPr>
        <w:t>1</w:t>
      </w:r>
      <w:r w:rsidRPr="000665DB">
        <w:rPr>
          <w:rFonts w:asciiTheme="majorBidi" w:hAnsiTheme="majorBidi"/>
          <w:color w:val="0070C0"/>
          <w:sz w:val="24"/>
          <w:szCs w:val="24"/>
        </w:rPr>
        <w:t xml:space="preserve"> Comparaison entre l’IPC général de Kenitra et celui du Maroc en 20</w:t>
      </w:r>
      <w:r w:rsidR="00B03C01">
        <w:rPr>
          <w:rFonts w:asciiTheme="majorBidi" w:hAnsiTheme="majorBidi"/>
          <w:color w:val="0070C0"/>
          <w:sz w:val="24"/>
          <w:szCs w:val="24"/>
        </w:rPr>
        <w:t>20</w:t>
      </w:r>
      <w:bookmarkEnd w:id="24"/>
    </w:p>
    <w:p w:rsidR="00E15ABD" w:rsidRDefault="00754C35" w:rsidP="00060240">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Au cours de l’année 20</w:t>
      </w:r>
      <w:r w:rsidR="00060240">
        <w:rPr>
          <w:rFonts w:asciiTheme="majorBidi" w:hAnsiTheme="majorBidi" w:cstheme="majorBidi"/>
          <w:sz w:val="24"/>
          <w:szCs w:val="24"/>
        </w:rPr>
        <w:t>20</w:t>
      </w:r>
      <w:r>
        <w:rPr>
          <w:rFonts w:asciiTheme="majorBidi" w:hAnsiTheme="majorBidi" w:cstheme="majorBidi"/>
          <w:sz w:val="24"/>
          <w:szCs w:val="24"/>
        </w:rPr>
        <w:t>, l’IPC général du Maroc a atteint des niveaux supérieurs à ceux enre</w:t>
      </w:r>
      <w:r w:rsidR="00964184">
        <w:rPr>
          <w:rFonts w:asciiTheme="majorBidi" w:hAnsiTheme="majorBidi" w:cstheme="majorBidi"/>
          <w:sz w:val="24"/>
          <w:szCs w:val="24"/>
        </w:rPr>
        <w:t xml:space="preserve">gistrés </w:t>
      </w:r>
      <w:r w:rsidR="00F079F4">
        <w:rPr>
          <w:rFonts w:asciiTheme="majorBidi" w:hAnsiTheme="majorBidi" w:cstheme="majorBidi"/>
          <w:sz w:val="24"/>
          <w:szCs w:val="24"/>
        </w:rPr>
        <w:t>dans</w:t>
      </w:r>
      <w:r w:rsidR="00964184">
        <w:rPr>
          <w:rFonts w:asciiTheme="majorBidi" w:hAnsiTheme="majorBidi" w:cstheme="majorBidi"/>
          <w:sz w:val="24"/>
          <w:szCs w:val="24"/>
        </w:rPr>
        <w:t xml:space="preserve"> la ville de Kenitra, soit, en moyenne</w:t>
      </w:r>
      <w:r w:rsidR="00E15ABD">
        <w:rPr>
          <w:rFonts w:asciiTheme="majorBidi" w:hAnsiTheme="majorBidi" w:cstheme="majorBidi"/>
          <w:sz w:val="24"/>
          <w:szCs w:val="24"/>
        </w:rPr>
        <w:t xml:space="preserve"> 1</w:t>
      </w:r>
      <w:r w:rsidR="00060240">
        <w:rPr>
          <w:rFonts w:asciiTheme="majorBidi" w:hAnsiTheme="majorBidi" w:cstheme="majorBidi"/>
          <w:sz w:val="24"/>
          <w:szCs w:val="24"/>
        </w:rPr>
        <w:t>02</w:t>
      </w:r>
      <w:r w:rsidR="00E15ABD">
        <w:rPr>
          <w:rFonts w:asciiTheme="majorBidi" w:hAnsiTheme="majorBidi" w:cstheme="majorBidi"/>
          <w:sz w:val="24"/>
          <w:szCs w:val="24"/>
        </w:rPr>
        <w:t>,</w:t>
      </w:r>
      <w:r w:rsidR="00060240">
        <w:rPr>
          <w:rFonts w:asciiTheme="majorBidi" w:hAnsiTheme="majorBidi" w:cstheme="majorBidi"/>
          <w:sz w:val="24"/>
          <w:szCs w:val="24"/>
        </w:rPr>
        <w:t>5</w:t>
      </w:r>
      <w:r w:rsidR="00E15ABD">
        <w:rPr>
          <w:rFonts w:asciiTheme="majorBidi" w:hAnsiTheme="majorBidi" w:cstheme="majorBidi"/>
          <w:sz w:val="24"/>
          <w:szCs w:val="24"/>
        </w:rPr>
        <w:t xml:space="preserve"> contre 1</w:t>
      </w:r>
      <w:r w:rsidR="00060240">
        <w:rPr>
          <w:rFonts w:asciiTheme="majorBidi" w:hAnsiTheme="majorBidi" w:cstheme="majorBidi"/>
          <w:sz w:val="24"/>
          <w:szCs w:val="24"/>
        </w:rPr>
        <w:t>01</w:t>
      </w:r>
      <w:r w:rsidR="00E15ABD">
        <w:rPr>
          <w:rFonts w:asciiTheme="majorBidi" w:hAnsiTheme="majorBidi" w:cstheme="majorBidi"/>
          <w:sz w:val="24"/>
          <w:szCs w:val="24"/>
        </w:rPr>
        <w:t>,</w:t>
      </w:r>
      <w:r w:rsidR="00060240">
        <w:rPr>
          <w:rFonts w:asciiTheme="majorBidi" w:hAnsiTheme="majorBidi" w:cstheme="majorBidi"/>
          <w:sz w:val="24"/>
          <w:szCs w:val="24"/>
        </w:rPr>
        <w:t>6</w:t>
      </w:r>
      <w:r w:rsidR="00E15ABD">
        <w:rPr>
          <w:rFonts w:asciiTheme="majorBidi" w:hAnsiTheme="majorBidi" w:cstheme="majorBidi"/>
          <w:sz w:val="24"/>
          <w:szCs w:val="24"/>
        </w:rPr>
        <w:t xml:space="preserve"> respectivement. Cependant, les deux indices </w:t>
      </w:r>
      <w:r w:rsidR="00F079F4">
        <w:rPr>
          <w:rFonts w:asciiTheme="majorBidi" w:hAnsiTheme="majorBidi" w:cstheme="majorBidi"/>
          <w:sz w:val="24"/>
          <w:szCs w:val="24"/>
        </w:rPr>
        <w:t xml:space="preserve">ont </w:t>
      </w:r>
      <w:r w:rsidR="00E15ABD">
        <w:rPr>
          <w:rFonts w:asciiTheme="majorBidi" w:hAnsiTheme="majorBidi" w:cstheme="majorBidi"/>
          <w:sz w:val="24"/>
          <w:szCs w:val="24"/>
        </w:rPr>
        <w:t>affich</w:t>
      </w:r>
      <w:r w:rsidR="00F079F4">
        <w:rPr>
          <w:rFonts w:asciiTheme="majorBidi" w:hAnsiTheme="majorBidi" w:cstheme="majorBidi"/>
          <w:sz w:val="24"/>
          <w:szCs w:val="24"/>
        </w:rPr>
        <w:t>é</w:t>
      </w:r>
      <w:r w:rsidR="00E15ABD">
        <w:rPr>
          <w:rFonts w:asciiTheme="majorBidi" w:hAnsiTheme="majorBidi" w:cstheme="majorBidi"/>
          <w:sz w:val="24"/>
          <w:szCs w:val="24"/>
        </w:rPr>
        <w:t xml:space="preserve"> la même tendance, au cours de l’année</w:t>
      </w:r>
      <w:r w:rsidR="00F079F4">
        <w:rPr>
          <w:rFonts w:asciiTheme="majorBidi" w:hAnsiTheme="majorBidi" w:cstheme="majorBidi"/>
          <w:sz w:val="24"/>
          <w:szCs w:val="24"/>
        </w:rPr>
        <w:t xml:space="preserve"> 20</w:t>
      </w:r>
      <w:r w:rsidR="00060240">
        <w:rPr>
          <w:rFonts w:asciiTheme="majorBidi" w:hAnsiTheme="majorBidi" w:cstheme="majorBidi"/>
          <w:sz w:val="24"/>
          <w:szCs w:val="24"/>
        </w:rPr>
        <w:t>20.</w:t>
      </w:r>
      <w:r w:rsidR="00E15ABD">
        <w:rPr>
          <w:rFonts w:asciiTheme="majorBidi" w:hAnsiTheme="majorBidi" w:cstheme="majorBidi"/>
          <w:sz w:val="24"/>
          <w:szCs w:val="24"/>
        </w:rPr>
        <w:t xml:space="preserve"> </w:t>
      </w:r>
      <w:r w:rsidR="00060240">
        <w:rPr>
          <w:rFonts w:asciiTheme="majorBidi" w:hAnsiTheme="majorBidi" w:cstheme="majorBidi"/>
          <w:sz w:val="24"/>
          <w:szCs w:val="24"/>
        </w:rPr>
        <w:t>En effet, le niveau général des prix, aussi bien dans l’ensemble du pays que dans la ville de Kénitra a connu deux trimestres de hausses, à savoir le 1</w:t>
      </w:r>
      <w:r w:rsidR="00060240" w:rsidRPr="00060240">
        <w:rPr>
          <w:rFonts w:asciiTheme="majorBidi" w:hAnsiTheme="majorBidi" w:cstheme="majorBidi"/>
          <w:sz w:val="24"/>
          <w:szCs w:val="24"/>
          <w:vertAlign w:val="superscript"/>
        </w:rPr>
        <w:t>er</w:t>
      </w:r>
      <w:r w:rsidR="00060240">
        <w:rPr>
          <w:rFonts w:asciiTheme="majorBidi" w:hAnsiTheme="majorBidi" w:cstheme="majorBidi"/>
          <w:sz w:val="24"/>
          <w:szCs w:val="24"/>
        </w:rPr>
        <w:t xml:space="preserve"> et le 3</w:t>
      </w:r>
      <w:r w:rsidR="00060240" w:rsidRPr="00060240">
        <w:rPr>
          <w:rFonts w:asciiTheme="majorBidi" w:hAnsiTheme="majorBidi" w:cstheme="majorBidi"/>
          <w:sz w:val="24"/>
          <w:szCs w:val="24"/>
          <w:vertAlign w:val="superscript"/>
        </w:rPr>
        <w:t>ème</w:t>
      </w:r>
      <w:r w:rsidR="00060240">
        <w:rPr>
          <w:rFonts w:asciiTheme="majorBidi" w:hAnsiTheme="majorBidi" w:cstheme="majorBidi"/>
          <w:sz w:val="24"/>
          <w:szCs w:val="24"/>
        </w:rPr>
        <w:t xml:space="preserve"> contre deux phases de baisse au cours des trimestres paires. Notant que le niveau le plus élevé de toute l’année 2020 a été enregistré au mois de septembre pour la ville de Kénitra</w:t>
      </w:r>
      <w:r w:rsidR="00FD620E">
        <w:rPr>
          <w:rFonts w:asciiTheme="majorBidi" w:hAnsiTheme="majorBidi" w:cstheme="majorBidi"/>
          <w:sz w:val="24"/>
          <w:szCs w:val="24"/>
        </w:rPr>
        <w:t xml:space="preserve"> avec 103,3 et au mois d’octobre pour l’ensemble national avec 103,4.</w:t>
      </w:r>
    </w:p>
    <w:p w:rsidR="00DF65E2" w:rsidRPr="00DF65E2" w:rsidRDefault="00DF65E2" w:rsidP="00A24939">
      <w:pPr>
        <w:pStyle w:val="Lgende"/>
        <w:rPr>
          <w:rFonts w:asciiTheme="majorBidi" w:hAnsiTheme="majorBidi" w:cstheme="majorBidi"/>
          <w:sz w:val="22"/>
          <w:szCs w:val="22"/>
        </w:rPr>
      </w:pPr>
      <w:bookmarkStart w:id="25" w:name="_Toc68436330"/>
      <w:r w:rsidRPr="00DF65E2">
        <w:rPr>
          <w:rFonts w:asciiTheme="majorBidi" w:hAnsiTheme="majorBidi" w:cstheme="majorBidi"/>
          <w:sz w:val="22"/>
          <w:szCs w:val="22"/>
        </w:rPr>
        <w:t xml:space="preserve">Tableau </w:t>
      </w:r>
      <w:r w:rsidR="002966E3" w:rsidRPr="00DF65E2">
        <w:rPr>
          <w:rFonts w:asciiTheme="majorBidi" w:hAnsiTheme="majorBidi" w:cstheme="majorBidi"/>
          <w:sz w:val="22"/>
          <w:szCs w:val="22"/>
        </w:rPr>
        <w:fldChar w:fldCharType="begin"/>
      </w:r>
      <w:r w:rsidRPr="00DF65E2">
        <w:rPr>
          <w:rFonts w:asciiTheme="majorBidi" w:hAnsiTheme="majorBidi" w:cstheme="majorBidi"/>
          <w:sz w:val="22"/>
          <w:szCs w:val="22"/>
        </w:rPr>
        <w:instrText xml:space="preserve"> SEQ Tableau \* ARABIC </w:instrText>
      </w:r>
      <w:r w:rsidR="002966E3" w:rsidRPr="00DF65E2">
        <w:rPr>
          <w:rFonts w:asciiTheme="majorBidi" w:hAnsiTheme="majorBidi" w:cstheme="majorBidi"/>
          <w:sz w:val="22"/>
          <w:szCs w:val="22"/>
        </w:rPr>
        <w:fldChar w:fldCharType="separate"/>
      </w:r>
      <w:r w:rsidR="00794CED">
        <w:rPr>
          <w:rFonts w:asciiTheme="majorBidi" w:hAnsiTheme="majorBidi" w:cstheme="majorBidi"/>
          <w:noProof/>
          <w:sz w:val="22"/>
          <w:szCs w:val="22"/>
        </w:rPr>
        <w:t>4</w:t>
      </w:r>
      <w:r w:rsidR="002966E3" w:rsidRPr="00DF65E2">
        <w:rPr>
          <w:rFonts w:asciiTheme="majorBidi" w:hAnsiTheme="majorBidi" w:cstheme="majorBidi"/>
          <w:sz w:val="22"/>
          <w:szCs w:val="22"/>
        </w:rPr>
        <w:fldChar w:fldCharType="end"/>
      </w:r>
      <w:r w:rsidRPr="00DF65E2">
        <w:rPr>
          <w:rFonts w:asciiTheme="majorBidi" w:hAnsiTheme="majorBidi" w:cstheme="majorBidi"/>
          <w:sz w:val="22"/>
          <w:szCs w:val="22"/>
        </w:rPr>
        <w:t xml:space="preserve"> : IPC général </w:t>
      </w:r>
      <w:r w:rsidR="006A6E55">
        <w:rPr>
          <w:rFonts w:asciiTheme="majorBidi" w:hAnsiTheme="majorBidi" w:cstheme="majorBidi"/>
          <w:sz w:val="22"/>
          <w:szCs w:val="22"/>
        </w:rPr>
        <w:t xml:space="preserve">(base 100 : 2017) </w:t>
      </w:r>
      <w:r w:rsidRPr="00DF65E2">
        <w:rPr>
          <w:rFonts w:asciiTheme="majorBidi" w:hAnsiTheme="majorBidi" w:cstheme="majorBidi"/>
          <w:sz w:val="22"/>
          <w:szCs w:val="22"/>
        </w:rPr>
        <w:t xml:space="preserve">par mois </w:t>
      </w:r>
      <w:r>
        <w:rPr>
          <w:rFonts w:asciiTheme="majorBidi" w:hAnsiTheme="majorBidi" w:cstheme="majorBidi"/>
          <w:sz w:val="22"/>
          <w:szCs w:val="22"/>
        </w:rPr>
        <w:t>-</w:t>
      </w:r>
      <w:r w:rsidRPr="00DF65E2">
        <w:rPr>
          <w:rFonts w:asciiTheme="majorBidi" w:hAnsiTheme="majorBidi" w:cstheme="majorBidi"/>
          <w:sz w:val="22"/>
          <w:szCs w:val="22"/>
        </w:rPr>
        <w:t xml:space="preserve"> Année 20</w:t>
      </w:r>
      <w:r w:rsidR="00A24939">
        <w:rPr>
          <w:rFonts w:asciiTheme="majorBidi" w:hAnsiTheme="majorBidi" w:cstheme="majorBidi"/>
          <w:sz w:val="22"/>
          <w:szCs w:val="22"/>
        </w:rPr>
        <w:t>20</w:t>
      </w:r>
      <w:r w:rsidRPr="00DF65E2">
        <w:rPr>
          <w:rFonts w:asciiTheme="majorBidi" w:hAnsiTheme="majorBidi" w:cstheme="majorBidi"/>
          <w:sz w:val="22"/>
          <w:szCs w:val="22"/>
        </w:rPr>
        <w:t>-</w:t>
      </w:r>
      <w:bookmarkEnd w:id="25"/>
    </w:p>
    <w:tbl>
      <w:tblPr>
        <w:tblW w:w="4963" w:type="pct"/>
        <w:tblLayout w:type="fixed"/>
        <w:tblCellMar>
          <w:left w:w="70" w:type="dxa"/>
          <w:right w:w="70" w:type="dxa"/>
        </w:tblCellMar>
        <w:tblLook w:val="04A0"/>
      </w:tblPr>
      <w:tblGrid>
        <w:gridCol w:w="1074"/>
        <w:gridCol w:w="787"/>
        <w:gridCol w:w="585"/>
        <w:gridCol w:w="592"/>
        <w:gridCol w:w="587"/>
        <w:gridCol w:w="587"/>
        <w:gridCol w:w="587"/>
        <w:gridCol w:w="587"/>
        <w:gridCol w:w="587"/>
        <w:gridCol w:w="587"/>
        <w:gridCol w:w="587"/>
        <w:gridCol w:w="587"/>
        <w:gridCol w:w="587"/>
        <w:gridCol w:w="964"/>
      </w:tblGrid>
      <w:tr w:rsidR="000F66F0" w:rsidRPr="00761596" w:rsidTr="00DF65E2">
        <w:trPr>
          <w:trHeight w:val="525"/>
        </w:trPr>
        <w:tc>
          <w:tcPr>
            <w:tcW w:w="578" w:type="pct"/>
            <w:tcBorders>
              <w:left w:val="nil"/>
              <w:bottom w:val="single" w:sz="12" w:space="0" w:color="000000" w:themeColor="text1"/>
            </w:tcBorders>
            <w:shd w:val="clear" w:color="auto" w:fill="auto"/>
            <w:noWrap/>
            <w:vAlign w:val="center"/>
            <w:hideMark/>
          </w:tcPr>
          <w:p w:rsidR="000F66F0" w:rsidRPr="000F66F0" w:rsidRDefault="000F66F0">
            <w:pPr>
              <w:jc w:val="center"/>
              <w:rPr>
                <w:rFonts w:asciiTheme="majorBidi" w:hAnsiTheme="majorBidi" w:cstheme="majorBidi"/>
                <w:b/>
                <w:bCs/>
                <w:sz w:val="18"/>
                <w:szCs w:val="18"/>
              </w:rPr>
            </w:pPr>
            <w:r w:rsidRPr="000F66F0">
              <w:rPr>
                <w:rFonts w:asciiTheme="majorBidi" w:hAnsiTheme="majorBidi" w:cstheme="majorBidi"/>
                <w:b/>
                <w:bCs/>
                <w:sz w:val="18"/>
                <w:szCs w:val="18"/>
              </w:rPr>
              <w:t> </w:t>
            </w:r>
          </w:p>
        </w:tc>
        <w:tc>
          <w:tcPr>
            <w:tcW w:w="424" w:type="pct"/>
            <w:tcBorders>
              <w:top w:val="single" w:sz="12" w:space="0" w:color="000000" w:themeColor="text1"/>
              <w:bottom w:val="single" w:sz="12" w:space="0" w:color="000000" w:themeColor="text1"/>
            </w:tcBorders>
            <w:shd w:val="clear" w:color="000000" w:fill="C0C0C0"/>
            <w:noWrap/>
            <w:vAlign w:val="center"/>
            <w:hideMark/>
          </w:tcPr>
          <w:p w:rsidR="000F66F0" w:rsidRPr="000F66F0" w:rsidRDefault="000F66F0">
            <w:pPr>
              <w:jc w:val="center"/>
              <w:rPr>
                <w:rFonts w:asciiTheme="majorBidi" w:hAnsiTheme="majorBidi" w:cstheme="majorBidi"/>
                <w:b/>
                <w:bCs/>
                <w:sz w:val="18"/>
                <w:szCs w:val="18"/>
              </w:rPr>
            </w:pPr>
            <w:r w:rsidRPr="000F66F0">
              <w:rPr>
                <w:rFonts w:asciiTheme="majorBidi" w:hAnsiTheme="majorBidi" w:cstheme="majorBidi"/>
                <w:b/>
                <w:bCs/>
                <w:sz w:val="18"/>
                <w:szCs w:val="18"/>
              </w:rPr>
              <w:t>Jan</w:t>
            </w:r>
          </w:p>
        </w:tc>
        <w:tc>
          <w:tcPr>
            <w:tcW w:w="315" w:type="pct"/>
            <w:tcBorders>
              <w:top w:val="single" w:sz="12" w:space="0" w:color="000000" w:themeColor="text1"/>
              <w:bottom w:val="single" w:sz="12" w:space="0" w:color="000000" w:themeColor="text1"/>
            </w:tcBorders>
            <w:shd w:val="clear" w:color="000000" w:fill="C0C0C0"/>
            <w:noWrap/>
            <w:vAlign w:val="center"/>
            <w:hideMark/>
          </w:tcPr>
          <w:p w:rsidR="000F66F0" w:rsidRPr="000F66F0" w:rsidRDefault="000F66F0">
            <w:pPr>
              <w:jc w:val="center"/>
              <w:rPr>
                <w:rFonts w:asciiTheme="majorBidi" w:hAnsiTheme="majorBidi" w:cstheme="majorBidi"/>
                <w:b/>
                <w:bCs/>
                <w:sz w:val="18"/>
                <w:szCs w:val="18"/>
              </w:rPr>
            </w:pPr>
            <w:r w:rsidRPr="000F66F0">
              <w:rPr>
                <w:rFonts w:asciiTheme="majorBidi" w:hAnsiTheme="majorBidi" w:cstheme="majorBidi"/>
                <w:b/>
                <w:bCs/>
                <w:sz w:val="18"/>
                <w:szCs w:val="18"/>
              </w:rPr>
              <w:t>Fev</w:t>
            </w:r>
          </w:p>
        </w:tc>
        <w:tc>
          <w:tcPr>
            <w:tcW w:w="319" w:type="pct"/>
            <w:tcBorders>
              <w:top w:val="single" w:sz="12" w:space="0" w:color="000000" w:themeColor="text1"/>
              <w:bottom w:val="single" w:sz="12" w:space="0" w:color="000000" w:themeColor="text1"/>
            </w:tcBorders>
            <w:shd w:val="clear" w:color="000000" w:fill="C0C0C0"/>
            <w:noWrap/>
            <w:vAlign w:val="center"/>
            <w:hideMark/>
          </w:tcPr>
          <w:p w:rsidR="000F66F0" w:rsidRPr="000F66F0" w:rsidRDefault="000F66F0">
            <w:pPr>
              <w:jc w:val="center"/>
              <w:rPr>
                <w:rFonts w:asciiTheme="majorBidi" w:hAnsiTheme="majorBidi" w:cstheme="majorBidi"/>
                <w:b/>
                <w:bCs/>
                <w:sz w:val="18"/>
                <w:szCs w:val="18"/>
              </w:rPr>
            </w:pPr>
            <w:r w:rsidRPr="000F66F0">
              <w:rPr>
                <w:rFonts w:asciiTheme="majorBidi" w:hAnsiTheme="majorBidi" w:cstheme="majorBidi"/>
                <w:b/>
                <w:bCs/>
                <w:sz w:val="18"/>
                <w:szCs w:val="18"/>
              </w:rPr>
              <w:t>Mars</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0F66F0" w:rsidRPr="000F66F0" w:rsidRDefault="000F66F0">
            <w:pPr>
              <w:jc w:val="center"/>
              <w:rPr>
                <w:rFonts w:asciiTheme="majorBidi" w:hAnsiTheme="majorBidi" w:cstheme="majorBidi"/>
                <w:b/>
                <w:bCs/>
                <w:sz w:val="18"/>
                <w:szCs w:val="18"/>
              </w:rPr>
            </w:pPr>
            <w:r w:rsidRPr="000F66F0">
              <w:rPr>
                <w:rFonts w:asciiTheme="majorBidi" w:hAnsiTheme="majorBidi" w:cstheme="majorBidi"/>
                <w:b/>
                <w:bCs/>
                <w:sz w:val="18"/>
                <w:szCs w:val="18"/>
              </w:rPr>
              <w:t>Avr</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0F66F0" w:rsidRPr="000F66F0" w:rsidRDefault="000F66F0">
            <w:pPr>
              <w:jc w:val="center"/>
              <w:rPr>
                <w:rFonts w:asciiTheme="majorBidi" w:hAnsiTheme="majorBidi" w:cstheme="majorBidi"/>
                <w:b/>
                <w:bCs/>
                <w:sz w:val="18"/>
                <w:szCs w:val="18"/>
              </w:rPr>
            </w:pPr>
            <w:r w:rsidRPr="000F66F0">
              <w:rPr>
                <w:rFonts w:asciiTheme="majorBidi" w:hAnsiTheme="majorBidi" w:cstheme="majorBidi"/>
                <w:b/>
                <w:bCs/>
                <w:sz w:val="18"/>
                <w:szCs w:val="18"/>
              </w:rPr>
              <w:t>Mai</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0F66F0" w:rsidRPr="000F66F0" w:rsidRDefault="000F66F0">
            <w:pPr>
              <w:jc w:val="center"/>
              <w:rPr>
                <w:rFonts w:asciiTheme="majorBidi" w:hAnsiTheme="majorBidi" w:cstheme="majorBidi"/>
                <w:b/>
                <w:bCs/>
                <w:sz w:val="18"/>
                <w:szCs w:val="18"/>
              </w:rPr>
            </w:pPr>
            <w:r w:rsidRPr="000F66F0">
              <w:rPr>
                <w:rFonts w:asciiTheme="majorBidi" w:hAnsiTheme="majorBidi" w:cstheme="majorBidi"/>
                <w:b/>
                <w:bCs/>
                <w:sz w:val="18"/>
                <w:szCs w:val="18"/>
              </w:rPr>
              <w:t>Juin</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0F66F0" w:rsidRPr="000F66F0" w:rsidRDefault="000F66F0">
            <w:pPr>
              <w:jc w:val="center"/>
              <w:rPr>
                <w:rFonts w:asciiTheme="majorBidi" w:hAnsiTheme="majorBidi" w:cstheme="majorBidi"/>
                <w:b/>
                <w:bCs/>
                <w:sz w:val="18"/>
                <w:szCs w:val="18"/>
              </w:rPr>
            </w:pPr>
            <w:r w:rsidRPr="000F66F0">
              <w:rPr>
                <w:rFonts w:asciiTheme="majorBidi" w:hAnsiTheme="majorBidi" w:cstheme="majorBidi"/>
                <w:b/>
                <w:bCs/>
                <w:sz w:val="18"/>
                <w:szCs w:val="18"/>
              </w:rPr>
              <w:t>Jul</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0F66F0" w:rsidRPr="000F66F0" w:rsidRDefault="000F66F0">
            <w:pPr>
              <w:jc w:val="center"/>
              <w:rPr>
                <w:rFonts w:asciiTheme="majorBidi" w:hAnsiTheme="majorBidi" w:cstheme="majorBidi"/>
                <w:b/>
                <w:bCs/>
                <w:sz w:val="18"/>
                <w:szCs w:val="18"/>
              </w:rPr>
            </w:pPr>
            <w:r w:rsidRPr="000F66F0">
              <w:rPr>
                <w:rFonts w:asciiTheme="majorBidi" w:hAnsiTheme="majorBidi" w:cstheme="majorBidi"/>
                <w:b/>
                <w:bCs/>
                <w:sz w:val="18"/>
                <w:szCs w:val="18"/>
              </w:rPr>
              <w:t>Août</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0F66F0" w:rsidRPr="000F66F0" w:rsidRDefault="000F66F0">
            <w:pPr>
              <w:jc w:val="center"/>
              <w:rPr>
                <w:rFonts w:asciiTheme="majorBidi" w:hAnsiTheme="majorBidi" w:cstheme="majorBidi"/>
                <w:b/>
                <w:bCs/>
                <w:sz w:val="18"/>
                <w:szCs w:val="18"/>
              </w:rPr>
            </w:pPr>
            <w:r w:rsidRPr="000F66F0">
              <w:rPr>
                <w:rFonts w:asciiTheme="majorBidi" w:hAnsiTheme="majorBidi" w:cstheme="majorBidi"/>
                <w:b/>
                <w:bCs/>
                <w:sz w:val="18"/>
                <w:szCs w:val="18"/>
              </w:rPr>
              <w:t>Sep</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0F66F0" w:rsidRPr="000F66F0" w:rsidRDefault="000F66F0">
            <w:pPr>
              <w:jc w:val="center"/>
              <w:rPr>
                <w:rFonts w:asciiTheme="majorBidi" w:hAnsiTheme="majorBidi" w:cstheme="majorBidi"/>
                <w:b/>
                <w:bCs/>
                <w:sz w:val="18"/>
                <w:szCs w:val="18"/>
              </w:rPr>
            </w:pPr>
            <w:r w:rsidRPr="000F66F0">
              <w:rPr>
                <w:rFonts w:asciiTheme="majorBidi" w:hAnsiTheme="majorBidi" w:cstheme="majorBidi"/>
                <w:b/>
                <w:bCs/>
                <w:sz w:val="18"/>
                <w:szCs w:val="18"/>
              </w:rPr>
              <w:t>Oct</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0F66F0" w:rsidRPr="000F66F0" w:rsidRDefault="000F66F0">
            <w:pPr>
              <w:jc w:val="center"/>
              <w:rPr>
                <w:rFonts w:asciiTheme="majorBidi" w:hAnsiTheme="majorBidi" w:cstheme="majorBidi"/>
                <w:b/>
                <w:bCs/>
                <w:sz w:val="18"/>
                <w:szCs w:val="18"/>
              </w:rPr>
            </w:pPr>
            <w:r w:rsidRPr="000F66F0">
              <w:rPr>
                <w:rFonts w:asciiTheme="majorBidi" w:hAnsiTheme="majorBidi" w:cstheme="majorBidi"/>
                <w:b/>
                <w:bCs/>
                <w:sz w:val="18"/>
                <w:szCs w:val="18"/>
              </w:rPr>
              <w:t>Nov</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0F66F0" w:rsidRPr="000F66F0" w:rsidRDefault="000F66F0">
            <w:pPr>
              <w:jc w:val="center"/>
              <w:rPr>
                <w:rFonts w:asciiTheme="majorBidi" w:hAnsiTheme="majorBidi" w:cstheme="majorBidi"/>
                <w:b/>
                <w:bCs/>
                <w:sz w:val="18"/>
                <w:szCs w:val="18"/>
              </w:rPr>
            </w:pPr>
            <w:r w:rsidRPr="000F66F0">
              <w:rPr>
                <w:rFonts w:asciiTheme="majorBidi" w:hAnsiTheme="majorBidi" w:cstheme="majorBidi"/>
                <w:b/>
                <w:bCs/>
                <w:sz w:val="18"/>
                <w:szCs w:val="18"/>
              </w:rPr>
              <w:t>Dec</w:t>
            </w:r>
          </w:p>
        </w:tc>
        <w:tc>
          <w:tcPr>
            <w:tcW w:w="519" w:type="pct"/>
            <w:tcBorders>
              <w:top w:val="single" w:sz="12" w:space="0" w:color="000000" w:themeColor="text1"/>
              <w:bottom w:val="single" w:sz="12" w:space="0" w:color="000000" w:themeColor="text1"/>
            </w:tcBorders>
            <w:shd w:val="clear" w:color="000000" w:fill="C0C0C0"/>
            <w:noWrap/>
            <w:vAlign w:val="center"/>
            <w:hideMark/>
          </w:tcPr>
          <w:p w:rsidR="000F66F0" w:rsidRPr="000F66F0" w:rsidRDefault="000F66F0">
            <w:pPr>
              <w:jc w:val="center"/>
              <w:rPr>
                <w:rFonts w:asciiTheme="majorBidi" w:hAnsiTheme="majorBidi" w:cstheme="majorBidi"/>
                <w:b/>
                <w:bCs/>
                <w:sz w:val="18"/>
                <w:szCs w:val="18"/>
              </w:rPr>
            </w:pPr>
            <w:r w:rsidRPr="000F66F0">
              <w:rPr>
                <w:rFonts w:asciiTheme="majorBidi" w:hAnsiTheme="majorBidi" w:cstheme="majorBidi"/>
                <w:b/>
                <w:bCs/>
                <w:sz w:val="18"/>
                <w:szCs w:val="18"/>
              </w:rPr>
              <w:t>Moyenne</w:t>
            </w:r>
          </w:p>
        </w:tc>
      </w:tr>
      <w:tr w:rsidR="00A24939" w:rsidRPr="00761596" w:rsidTr="00F51D94">
        <w:trPr>
          <w:trHeight w:val="630"/>
        </w:trPr>
        <w:tc>
          <w:tcPr>
            <w:tcW w:w="578" w:type="pct"/>
            <w:tcBorders>
              <w:top w:val="single" w:sz="12" w:space="0" w:color="000000" w:themeColor="text1"/>
            </w:tcBorders>
            <w:shd w:val="clear" w:color="auto" w:fill="auto"/>
            <w:noWrap/>
            <w:vAlign w:val="center"/>
            <w:hideMark/>
          </w:tcPr>
          <w:p w:rsidR="00A24939" w:rsidRPr="000F66F0" w:rsidRDefault="00A24939">
            <w:pPr>
              <w:rPr>
                <w:rFonts w:asciiTheme="majorBidi" w:hAnsiTheme="majorBidi" w:cstheme="majorBidi"/>
                <w:b/>
                <w:bCs/>
                <w:sz w:val="16"/>
                <w:szCs w:val="16"/>
              </w:rPr>
            </w:pPr>
            <w:r w:rsidRPr="000F66F0">
              <w:rPr>
                <w:rFonts w:asciiTheme="majorBidi" w:hAnsiTheme="majorBidi" w:cstheme="majorBidi"/>
                <w:b/>
                <w:bCs/>
                <w:sz w:val="16"/>
                <w:szCs w:val="16"/>
              </w:rPr>
              <w:t>KENITRA</w:t>
            </w:r>
          </w:p>
        </w:tc>
        <w:tc>
          <w:tcPr>
            <w:tcW w:w="424" w:type="pct"/>
            <w:tcBorders>
              <w:top w:val="single" w:sz="12" w:space="0" w:color="000000" w:themeColor="text1"/>
            </w:tcBorders>
            <w:shd w:val="clear" w:color="auto" w:fill="auto"/>
            <w:noWrap/>
            <w:vAlign w:val="bottom"/>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101,6</w:t>
            </w:r>
          </w:p>
        </w:tc>
        <w:tc>
          <w:tcPr>
            <w:tcW w:w="315" w:type="pct"/>
            <w:tcBorders>
              <w:top w:val="single" w:sz="12" w:space="0" w:color="000000" w:themeColor="text1"/>
            </w:tcBorders>
            <w:shd w:val="clear" w:color="auto" w:fill="auto"/>
            <w:noWrap/>
            <w:vAlign w:val="bottom"/>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101,6</w:t>
            </w:r>
          </w:p>
        </w:tc>
        <w:tc>
          <w:tcPr>
            <w:tcW w:w="319" w:type="pct"/>
            <w:tcBorders>
              <w:top w:val="single" w:sz="12" w:space="0" w:color="000000" w:themeColor="text1"/>
            </w:tcBorders>
            <w:shd w:val="clear" w:color="auto" w:fill="auto"/>
            <w:noWrap/>
            <w:vAlign w:val="bottom"/>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101,8</w:t>
            </w:r>
          </w:p>
        </w:tc>
        <w:tc>
          <w:tcPr>
            <w:tcW w:w="316" w:type="pct"/>
            <w:tcBorders>
              <w:top w:val="single" w:sz="12" w:space="0" w:color="000000" w:themeColor="text1"/>
            </w:tcBorders>
            <w:shd w:val="clear" w:color="auto" w:fill="auto"/>
            <w:noWrap/>
            <w:vAlign w:val="bottom"/>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101,8</w:t>
            </w:r>
          </w:p>
        </w:tc>
        <w:tc>
          <w:tcPr>
            <w:tcW w:w="316" w:type="pct"/>
            <w:tcBorders>
              <w:top w:val="single" w:sz="12" w:space="0" w:color="000000" w:themeColor="text1"/>
            </w:tcBorders>
            <w:shd w:val="clear" w:color="auto" w:fill="auto"/>
            <w:noWrap/>
            <w:vAlign w:val="bottom"/>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101,0</w:t>
            </w:r>
          </w:p>
        </w:tc>
        <w:tc>
          <w:tcPr>
            <w:tcW w:w="316" w:type="pct"/>
            <w:tcBorders>
              <w:top w:val="single" w:sz="12" w:space="0" w:color="000000" w:themeColor="text1"/>
            </w:tcBorders>
            <w:shd w:val="clear" w:color="auto" w:fill="auto"/>
            <w:noWrap/>
            <w:vAlign w:val="bottom"/>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101,0</w:t>
            </w:r>
          </w:p>
        </w:tc>
        <w:tc>
          <w:tcPr>
            <w:tcW w:w="316" w:type="pct"/>
            <w:tcBorders>
              <w:top w:val="single" w:sz="12" w:space="0" w:color="000000" w:themeColor="text1"/>
            </w:tcBorders>
            <w:shd w:val="clear" w:color="auto" w:fill="auto"/>
            <w:noWrap/>
            <w:vAlign w:val="bottom"/>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100,7</w:t>
            </w:r>
          </w:p>
        </w:tc>
        <w:tc>
          <w:tcPr>
            <w:tcW w:w="316" w:type="pct"/>
            <w:tcBorders>
              <w:top w:val="single" w:sz="12" w:space="0" w:color="000000" w:themeColor="text1"/>
            </w:tcBorders>
            <w:shd w:val="clear" w:color="auto" w:fill="auto"/>
            <w:noWrap/>
            <w:vAlign w:val="bottom"/>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102,4</w:t>
            </w:r>
          </w:p>
        </w:tc>
        <w:tc>
          <w:tcPr>
            <w:tcW w:w="316" w:type="pct"/>
            <w:tcBorders>
              <w:top w:val="single" w:sz="12" w:space="0" w:color="000000" w:themeColor="text1"/>
            </w:tcBorders>
            <w:shd w:val="clear" w:color="auto" w:fill="auto"/>
            <w:noWrap/>
            <w:vAlign w:val="bottom"/>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103,3</w:t>
            </w:r>
          </w:p>
        </w:tc>
        <w:tc>
          <w:tcPr>
            <w:tcW w:w="316" w:type="pct"/>
            <w:tcBorders>
              <w:top w:val="single" w:sz="12" w:space="0" w:color="000000" w:themeColor="text1"/>
            </w:tcBorders>
            <w:shd w:val="clear" w:color="auto" w:fill="auto"/>
            <w:noWrap/>
            <w:vAlign w:val="bottom"/>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102,5</w:t>
            </w:r>
          </w:p>
        </w:tc>
        <w:tc>
          <w:tcPr>
            <w:tcW w:w="316" w:type="pct"/>
            <w:tcBorders>
              <w:top w:val="single" w:sz="12" w:space="0" w:color="000000" w:themeColor="text1"/>
            </w:tcBorders>
            <w:shd w:val="clear" w:color="auto" w:fill="auto"/>
            <w:noWrap/>
            <w:vAlign w:val="bottom"/>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101,3</w:t>
            </w:r>
          </w:p>
        </w:tc>
        <w:tc>
          <w:tcPr>
            <w:tcW w:w="316" w:type="pct"/>
            <w:tcBorders>
              <w:top w:val="single" w:sz="12" w:space="0" w:color="000000" w:themeColor="text1"/>
            </w:tcBorders>
            <w:shd w:val="clear" w:color="auto" w:fill="auto"/>
            <w:noWrap/>
            <w:vAlign w:val="bottom"/>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100,7</w:t>
            </w:r>
          </w:p>
        </w:tc>
        <w:tc>
          <w:tcPr>
            <w:tcW w:w="519" w:type="pct"/>
            <w:tcBorders>
              <w:top w:val="single" w:sz="12" w:space="0" w:color="000000" w:themeColor="text1"/>
            </w:tcBorders>
            <w:shd w:val="clear" w:color="auto" w:fill="auto"/>
            <w:noWrap/>
            <w:vAlign w:val="bottom"/>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101,6</w:t>
            </w:r>
          </w:p>
        </w:tc>
      </w:tr>
      <w:tr w:rsidR="00A24939" w:rsidRPr="00761596" w:rsidTr="00DF65E2">
        <w:trPr>
          <w:trHeight w:val="405"/>
        </w:trPr>
        <w:tc>
          <w:tcPr>
            <w:tcW w:w="578" w:type="pct"/>
            <w:tcBorders>
              <w:top w:val="nil"/>
              <w:bottom w:val="single" w:sz="12" w:space="0" w:color="000000" w:themeColor="text1"/>
            </w:tcBorders>
            <w:shd w:val="clear" w:color="auto" w:fill="auto"/>
            <w:noWrap/>
            <w:vAlign w:val="center"/>
            <w:hideMark/>
          </w:tcPr>
          <w:p w:rsidR="00A24939" w:rsidRPr="000F66F0" w:rsidRDefault="00A24939">
            <w:pPr>
              <w:rPr>
                <w:rFonts w:asciiTheme="majorBidi" w:hAnsiTheme="majorBidi" w:cstheme="majorBidi"/>
                <w:b/>
                <w:bCs/>
                <w:sz w:val="16"/>
                <w:szCs w:val="16"/>
              </w:rPr>
            </w:pPr>
            <w:r w:rsidRPr="000F66F0">
              <w:rPr>
                <w:rFonts w:asciiTheme="majorBidi" w:hAnsiTheme="majorBidi" w:cstheme="majorBidi"/>
                <w:b/>
                <w:bCs/>
                <w:sz w:val="16"/>
                <w:szCs w:val="16"/>
              </w:rPr>
              <w:t>NATIONAL</w:t>
            </w:r>
          </w:p>
        </w:tc>
        <w:tc>
          <w:tcPr>
            <w:tcW w:w="424" w:type="pct"/>
            <w:tcBorders>
              <w:top w:val="nil"/>
              <w:bottom w:val="single" w:sz="12" w:space="0" w:color="000000" w:themeColor="text1"/>
            </w:tcBorders>
            <w:shd w:val="clear" w:color="auto" w:fill="auto"/>
            <w:noWrap/>
            <w:vAlign w:val="center"/>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102,3</w:t>
            </w:r>
          </w:p>
        </w:tc>
        <w:tc>
          <w:tcPr>
            <w:tcW w:w="315" w:type="pct"/>
            <w:tcBorders>
              <w:top w:val="nil"/>
              <w:bottom w:val="single" w:sz="12" w:space="0" w:color="000000" w:themeColor="text1"/>
            </w:tcBorders>
            <w:shd w:val="clear" w:color="auto" w:fill="auto"/>
            <w:noWrap/>
            <w:vAlign w:val="center"/>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102,1</w:t>
            </w:r>
          </w:p>
        </w:tc>
        <w:tc>
          <w:tcPr>
            <w:tcW w:w="319" w:type="pct"/>
            <w:tcBorders>
              <w:top w:val="nil"/>
              <w:bottom w:val="single" w:sz="12" w:space="0" w:color="000000" w:themeColor="text1"/>
            </w:tcBorders>
            <w:shd w:val="clear" w:color="auto" w:fill="auto"/>
            <w:noWrap/>
            <w:vAlign w:val="center"/>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102,5</w:t>
            </w:r>
          </w:p>
        </w:tc>
        <w:tc>
          <w:tcPr>
            <w:tcW w:w="316" w:type="pct"/>
            <w:tcBorders>
              <w:top w:val="nil"/>
              <w:bottom w:val="single" w:sz="12" w:space="0" w:color="000000" w:themeColor="text1"/>
            </w:tcBorders>
            <w:shd w:val="clear" w:color="auto" w:fill="auto"/>
            <w:noWrap/>
            <w:vAlign w:val="center"/>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102,4</w:t>
            </w:r>
          </w:p>
        </w:tc>
        <w:tc>
          <w:tcPr>
            <w:tcW w:w="316" w:type="pct"/>
            <w:tcBorders>
              <w:top w:val="nil"/>
              <w:bottom w:val="single" w:sz="12" w:space="0" w:color="000000" w:themeColor="text1"/>
            </w:tcBorders>
            <w:shd w:val="clear" w:color="auto" w:fill="auto"/>
            <w:noWrap/>
            <w:vAlign w:val="center"/>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102,2</w:t>
            </w:r>
          </w:p>
        </w:tc>
        <w:tc>
          <w:tcPr>
            <w:tcW w:w="316" w:type="pct"/>
            <w:tcBorders>
              <w:top w:val="nil"/>
              <w:bottom w:val="single" w:sz="12" w:space="0" w:color="000000" w:themeColor="text1"/>
            </w:tcBorders>
            <w:shd w:val="clear" w:color="auto" w:fill="auto"/>
            <w:noWrap/>
            <w:vAlign w:val="center"/>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101,9</w:t>
            </w:r>
          </w:p>
        </w:tc>
        <w:tc>
          <w:tcPr>
            <w:tcW w:w="316" w:type="pct"/>
            <w:tcBorders>
              <w:top w:val="nil"/>
              <w:bottom w:val="single" w:sz="12" w:space="0" w:color="000000" w:themeColor="text1"/>
            </w:tcBorders>
            <w:shd w:val="clear" w:color="auto" w:fill="auto"/>
            <w:noWrap/>
            <w:vAlign w:val="center"/>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101,6</w:t>
            </w:r>
          </w:p>
        </w:tc>
        <w:tc>
          <w:tcPr>
            <w:tcW w:w="316" w:type="pct"/>
            <w:tcBorders>
              <w:top w:val="nil"/>
              <w:bottom w:val="single" w:sz="12" w:space="0" w:color="000000" w:themeColor="text1"/>
            </w:tcBorders>
            <w:shd w:val="clear" w:color="auto" w:fill="auto"/>
            <w:noWrap/>
            <w:vAlign w:val="center"/>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103,0</w:t>
            </w:r>
          </w:p>
        </w:tc>
        <w:tc>
          <w:tcPr>
            <w:tcW w:w="316" w:type="pct"/>
            <w:tcBorders>
              <w:top w:val="nil"/>
              <w:bottom w:val="single" w:sz="12" w:space="0" w:color="000000" w:themeColor="text1"/>
            </w:tcBorders>
            <w:shd w:val="clear" w:color="auto" w:fill="auto"/>
            <w:noWrap/>
            <w:vAlign w:val="center"/>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103,3</w:t>
            </w:r>
          </w:p>
        </w:tc>
        <w:tc>
          <w:tcPr>
            <w:tcW w:w="316" w:type="pct"/>
            <w:tcBorders>
              <w:top w:val="nil"/>
              <w:bottom w:val="single" w:sz="12" w:space="0" w:color="000000" w:themeColor="text1"/>
            </w:tcBorders>
            <w:shd w:val="clear" w:color="auto" w:fill="auto"/>
            <w:noWrap/>
            <w:vAlign w:val="center"/>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103,4</w:t>
            </w:r>
          </w:p>
        </w:tc>
        <w:tc>
          <w:tcPr>
            <w:tcW w:w="316" w:type="pct"/>
            <w:tcBorders>
              <w:top w:val="nil"/>
              <w:bottom w:val="single" w:sz="12" w:space="0" w:color="000000" w:themeColor="text1"/>
            </w:tcBorders>
            <w:shd w:val="clear" w:color="auto" w:fill="auto"/>
            <w:noWrap/>
            <w:vAlign w:val="center"/>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102,7</w:t>
            </w:r>
          </w:p>
        </w:tc>
        <w:tc>
          <w:tcPr>
            <w:tcW w:w="316" w:type="pct"/>
            <w:tcBorders>
              <w:top w:val="nil"/>
              <w:bottom w:val="single" w:sz="12" w:space="0" w:color="000000" w:themeColor="text1"/>
            </w:tcBorders>
            <w:shd w:val="clear" w:color="auto" w:fill="auto"/>
            <w:noWrap/>
            <w:vAlign w:val="center"/>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102,2</w:t>
            </w:r>
          </w:p>
        </w:tc>
        <w:tc>
          <w:tcPr>
            <w:tcW w:w="519" w:type="pct"/>
            <w:tcBorders>
              <w:top w:val="nil"/>
              <w:bottom w:val="single" w:sz="12" w:space="0" w:color="000000" w:themeColor="text1"/>
            </w:tcBorders>
            <w:shd w:val="clear" w:color="auto" w:fill="auto"/>
            <w:noWrap/>
            <w:vAlign w:val="center"/>
            <w:hideMark/>
          </w:tcPr>
          <w:p w:rsidR="00A24939" w:rsidRPr="00A24939" w:rsidRDefault="00A24939" w:rsidP="00A24939">
            <w:pPr>
              <w:jc w:val="center"/>
              <w:rPr>
                <w:rFonts w:asciiTheme="majorBidi" w:hAnsiTheme="majorBidi" w:cstheme="majorBidi"/>
                <w:b/>
                <w:bCs/>
                <w:sz w:val="18"/>
                <w:szCs w:val="18"/>
              </w:rPr>
            </w:pPr>
            <w:r w:rsidRPr="00A24939">
              <w:rPr>
                <w:rFonts w:asciiTheme="majorBidi" w:hAnsiTheme="majorBidi" w:cstheme="majorBidi"/>
                <w:b/>
                <w:bCs/>
                <w:sz w:val="18"/>
                <w:szCs w:val="18"/>
              </w:rPr>
              <w:t>102,5</w:t>
            </w:r>
          </w:p>
        </w:tc>
      </w:tr>
    </w:tbl>
    <w:p w:rsidR="00483003" w:rsidRPr="00483003" w:rsidRDefault="00483003" w:rsidP="000F66F0">
      <w:pPr>
        <w:pStyle w:val="Lgende"/>
        <w:rPr>
          <w:rFonts w:ascii="Times New Roman" w:hAnsi="Times New Roman"/>
          <w:i/>
          <w:iCs/>
          <w:sz w:val="22"/>
        </w:rPr>
      </w:pPr>
      <w:r w:rsidRPr="00483003">
        <w:rPr>
          <w:rFonts w:ascii="Times New Roman" w:hAnsi="Times New Roman"/>
          <w:i/>
          <w:iCs/>
          <w:sz w:val="22"/>
        </w:rPr>
        <w:t>Source : HCP</w:t>
      </w:r>
    </w:p>
    <w:p w:rsidR="006A6E55" w:rsidRDefault="006A6E55" w:rsidP="00BF3B56">
      <w:pPr>
        <w:pStyle w:val="Lgende"/>
        <w:rPr>
          <w:rFonts w:ascii="Times New Roman" w:hAnsi="Times New Roman"/>
          <w:sz w:val="22"/>
        </w:rPr>
      </w:pPr>
    </w:p>
    <w:p w:rsidR="006A6E55" w:rsidRDefault="006A6E55" w:rsidP="00BF3B56">
      <w:pPr>
        <w:pStyle w:val="Lgende"/>
        <w:rPr>
          <w:rFonts w:ascii="Times New Roman" w:hAnsi="Times New Roman"/>
          <w:sz w:val="22"/>
        </w:rPr>
      </w:pPr>
    </w:p>
    <w:p w:rsidR="006A6E55" w:rsidRDefault="006A6E55" w:rsidP="00BF3B56">
      <w:pPr>
        <w:pStyle w:val="Lgende"/>
        <w:rPr>
          <w:rFonts w:ascii="Times New Roman" w:hAnsi="Times New Roman"/>
          <w:sz w:val="22"/>
        </w:rPr>
      </w:pPr>
    </w:p>
    <w:p w:rsidR="00754C35" w:rsidRPr="00DF65E2" w:rsidRDefault="00DF65E2" w:rsidP="00BF3B56">
      <w:pPr>
        <w:pStyle w:val="Lgende"/>
        <w:rPr>
          <w:rFonts w:ascii="Times New Roman" w:hAnsi="Times New Roman" w:cstheme="majorBidi"/>
          <w:sz w:val="22"/>
          <w:szCs w:val="24"/>
        </w:rPr>
      </w:pPr>
      <w:r>
        <w:rPr>
          <w:rFonts w:ascii="Times New Roman" w:hAnsi="Times New Roman"/>
          <w:sz w:val="22"/>
        </w:rPr>
        <w:lastRenderedPageBreak/>
        <w:t xml:space="preserve"> </w:t>
      </w:r>
      <w:bookmarkStart w:id="26" w:name="_Toc68436337"/>
      <w:r w:rsidRPr="00DF65E2">
        <w:rPr>
          <w:rFonts w:ascii="Times New Roman" w:hAnsi="Times New Roman"/>
          <w:sz w:val="22"/>
        </w:rPr>
        <w:t xml:space="preserve">Graphique </w:t>
      </w:r>
      <w:r w:rsidR="002966E3" w:rsidRPr="00DF65E2">
        <w:rPr>
          <w:rFonts w:ascii="Times New Roman" w:hAnsi="Times New Roman"/>
          <w:sz w:val="22"/>
        </w:rPr>
        <w:fldChar w:fldCharType="begin"/>
      </w:r>
      <w:r w:rsidRPr="00DF65E2">
        <w:rPr>
          <w:rFonts w:ascii="Times New Roman" w:hAnsi="Times New Roman"/>
          <w:sz w:val="22"/>
        </w:rPr>
        <w:instrText xml:space="preserve"> SEQ Graphique \* ARABIC </w:instrText>
      </w:r>
      <w:r w:rsidR="002966E3" w:rsidRPr="00DF65E2">
        <w:rPr>
          <w:rFonts w:ascii="Times New Roman" w:hAnsi="Times New Roman"/>
          <w:sz w:val="22"/>
        </w:rPr>
        <w:fldChar w:fldCharType="separate"/>
      </w:r>
      <w:r w:rsidR="00794CED">
        <w:rPr>
          <w:rFonts w:ascii="Times New Roman" w:hAnsi="Times New Roman"/>
          <w:noProof/>
          <w:sz w:val="22"/>
        </w:rPr>
        <w:t>3</w:t>
      </w:r>
      <w:r w:rsidR="002966E3" w:rsidRPr="00DF65E2">
        <w:rPr>
          <w:rFonts w:ascii="Times New Roman" w:hAnsi="Times New Roman"/>
          <w:sz w:val="22"/>
        </w:rPr>
        <w:fldChar w:fldCharType="end"/>
      </w:r>
      <w:r w:rsidRPr="00DF65E2">
        <w:rPr>
          <w:rFonts w:ascii="Times New Roman" w:hAnsi="Times New Roman"/>
          <w:sz w:val="22"/>
        </w:rPr>
        <w:t xml:space="preserve"> : </w:t>
      </w:r>
      <w:r w:rsidR="004F39E8" w:rsidRPr="00DF65E2">
        <w:rPr>
          <w:rFonts w:ascii="Times New Roman" w:hAnsi="Times New Roman" w:cstheme="majorBidi"/>
          <w:bCs w:val="0"/>
          <w:color w:val="548DD4" w:themeColor="text2" w:themeTint="99"/>
          <w:sz w:val="22"/>
          <w:szCs w:val="24"/>
        </w:rPr>
        <w:t>IPC général</w:t>
      </w:r>
      <w:r w:rsidR="006A6E55">
        <w:rPr>
          <w:rFonts w:ascii="Times New Roman" w:hAnsi="Times New Roman" w:cstheme="majorBidi"/>
          <w:bCs w:val="0"/>
          <w:color w:val="548DD4" w:themeColor="text2" w:themeTint="99"/>
          <w:sz w:val="22"/>
          <w:szCs w:val="24"/>
        </w:rPr>
        <w:t xml:space="preserve"> </w:t>
      </w:r>
      <w:r w:rsidR="006A6E55">
        <w:rPr>
          <w:rFonts w:asciiTheme="majorBidi" w:hAnsiTheme="majorBidi" w:cstheme="majorBidi"/>
          <w:sz w:val="22"/>
          <w:szCs w:val="22"/>
        </w:rPr>
        <w:t>(base 100 : 2017)</w:t>
      </w:r>
      <w:r w:rsidR="004F39E8" w:rsidRPr="00DF65E2">
        <w:rPr>
          <w:rFonts w:ascii="Times New Roman" w:hAnsi="Times New Roman" w:cstheme="majorBidi"/>
          <w:bCs w:val="0"/>
          <w:color w:val="548DD4" w:themeColor="text2" w:themeTint="99"/>
          <w:sz w:val="22"/>
          <w:szCs w:val="24"/>
        </w:rPr>
        <w:t xml:space="preserve"> de la ville de </w:t>
      </w:r>
      <w:r w:rsidR="004B1065">
        <w:rPr>
          <w:rFonts w:ascii="Times New Roman" w:hAnsi="Times New Roman" w:cstheme="majorBidi"/>
          <w:bCs w:val="0"/>
          <w:color w:val="548DD4" w:themeColor="text2" w:themeTint="99"/>
          <w:sz w:val="22"/>
          <w:szCs w:val="24"/>
        </w:rPr>
        <w:t>K</w:t>
      </w:r>
      <w:r w:rsidR="004F39E8" w:rsidRPr="00DF65E2">
        <w:rPr>
          <w:rFonts w:ascii="Times New Roman" w:hAnsi="Times New Roman" w:cstheme="majorBidi"/>
          <w:bCs w:val="0"/>
          <w:color w:val="548DD4" w:themeColor="text2" w:themeTint="99"/>
          <w:sz w:val="22"/>
          <w:szCs w:val="24"/>
        </w:rPr>
        <w:t>énitra et du Maroc -Année 20</w:t>
      </w:r>
      <w:r w:rsidR="00BF3B56">
        <w:rPr>
          <w:rFonts w:ascii="Times New Roman" w:hAnsi="Times New Roman" w:cstheme="majorBidi"/>
          <w:bCs w:val="0"/>
          <w:color w:val="548DD4" w:themeColor="text2" w:themeTint="99"/>
          <w:sz w:val="22"/>
          <w:szCs w:val="24"/>
        </w:rPr>
        <w:t>20</w:t>
      </w:r>
      <w:r w:rsidR="004F39E8" w:rsidRPr="00DF65E2">
        <w:rPr>
          <w:rFonts w:ascii="Times New Roman" w:hAnsi="Times New Roman" w:cstheme="majorBidi"/>
          <w:bCs w:val="0"/>
          <w:color w:val="548DD4" w:themeColor="text2" w:themeTint="99"/>
          <w:sz w:val="22"/>
          <w:szCs w:val="24"/>
        </w:rPr>
        <w:t>-</w:t>
      </w:r>
      <w:bookmarkEnd w:id="26"/>
      <w:r w:rsidR="004F39E8" w:rsidRPr="00DF65E2">
        <w:rPr>
          <w:rFonts w:ascii="Times New Roman" w:hAnsi="Times New Roman" w:cstheme="majorBidi"/>
          <w:bCs w:val="0"/>
          <w:color w:val="548DD4" w:themeColor="text2" w:themeTint="99"/>
          <w:sz w:val="22"/>
          <w:szCs w:val="24"/>
        </w:rPr>
        <w:t xml:space="preserve"> </w:t>
      </w:r>
    </w:p>
    <w:p w:rsidR="005117CA" w:rsidRDefault="00FD620E" w:rsidP="007E29B6">
      <w:pPr>
        <w:spacing w:before="240" w:after="0" w:line="240" w:lineRule="auto"/>
        <w:jc w:val="both"/>
        <w:rPr>
          <w:rFonts w:asciiTheme="majorBidi" w:hAnsiTheme="majorBidi" w:cstheme="majorBidi"/>
          <w:sz w:val="24"/>
          <w:szCs w:val="24"/>
        </w:rPr>
      </w:pPr>
      <w:r w:rsidRPr="00FD620E">
        <w:rPr>
          <w:rFonts w:asciiTheme="majorBidi" w:hAnsiTheme="majorBidi" w:cstheme="majorBidi"/>
          <w:noProof/>
          <w:sz w:val="24"/>
          <w:szCs w:val="24"/>
          <w:lang w:eastAsia="fr-FR"/>
        </w:rPr>
        <w:drawing>
          <wp:inline distT="0" distB="0" distL="0" distR="0">
            <wp:extent cx="5880100" cy="2489200"/>
            <wp:effectExtent l="19050" t="0" r="25400" b="635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3003" w:rsidRPr="00483003" w:rsidRDefault="00483003" w:rsidP="00483003">
      <w:pPr>
        <w:pStyle w:val="Lgende"/>
        <w:rPr>
          <w:rFonts w:ascii="Times New Roman" w:hAnsi="Times New Roman"/>
          <w:i/>
          <w:iCs/>
          <w:sz w:val="22"/>
        </w:rPr>
      </w:pPr>
      <w:r w:rsidRPr="00483003">
        <w:rPr>
          <w:rFonts w:ascii="Times New Roman" w:hAnsi="Times New Roman"/>
          <w:i/>
          <w:iCs/>
          <w:sz w:val="22"/>
        </w:rPr>
        <w:t>Source : HCP</w:t>
      </w:r>
    </w:p>
    <w:p w:rsidR="00483003" w:rsidRDefault="00483003" w:rsidP="00FE1193">
      <w:pPr>
        <w:pStyle w:val="Titre3"/>
        <w:rPr>
          <w:rFonts w:asciiTheme="majorBidi" w:hAnsiTheme="majorBidi"/>
          <w:color w:val="0070C0"/>
          <w:sz w:val="24"/>
          <w:szCs w:val="24"/>
        </w:rPr>
      </w:pPr>
    </w:p>
    <w:p w:rsidR="006536C2" w:rsidRPr="004F39E8" w:rsidRDefault="006536C2" w:rsidP="00601279">
      <w:pPr>
        <w:pStyle w:val="Titre3"/>
        <w:rPr>
          <w:rFonts w:asciiTheme="majorBidi" w:hAnsiTheme="majorBidi"/>
          <w:color w:val="0070C0"/>
          <w:sz w:val="24"/>
          <w:szCs w:val="24"/>
        </w:rPr>
      </w:pPr>
      <w:bookmarkStart w:id="27" w:name="_Toc68443132"/>
      <w:r w:rsidRPr="004F39E8">
        <w:rPr>
          <w:rFonts w:asciiTheme="majorBidi" w:hAnsiTheme="majorBidi"/>
          <w:color w:val="0070C0"/>
          <w:sz w:val="24"/>
          <w:szCs w:val="24"/>
        </w:rPr>
        <w:t>II</w:t>
      </w:r>
      <w:r w:rsidR="00586B08" w:rsidRPr="004F39E8">
        <w:rPr>
          <w:rFonts w:asciiTheme="majorBidi" w:hAnsiTheme="majorBidi"/>
          <w:color w:val="0070C0"/>
          <w:sz w:val="24"/>
          <w:szCs w:val="24"/>
        </w:rPr>
        <w:t>I</w:t>
      </w:r>
      <w:r w:rsidRPr="004F39E8">
        <w:rPr>
          <w:rFonts w:asciiTheme="majorBidi" w:hAnsiTheme="majorBidi"/>
          <w:color w:val="0070C0"/>
          <w:sz w:val="24"/>
          <w:szCs w:val="24"/>
        </w:rPr>
        <w:t>-2-2 Comparaison entre les indices</w:t>
      </w:r>
      <w:r w:rsidR="004B1065">
        <w:rPr>
          <w:rFonts w:asciiTheme="majorBidi" w:hAnsiTheme="majorBidi"/>
          <w:color w:val="0070C0"/>
          <w:sz w:val="24"/>
          <w:szCs w:val="24"/>
        </w:rPr>
        <w:t> :</w:t>
      </w:r>
      <w:r w:rsidRPr="004F39E8">
        <w:rPr>
          <w:rFonts w:asciiTheme="majorBidi" w:hAnsiTheme="majorBidi"/>
          <w:color w:val="0070C0"/>
          <w:sz w:val="24"/>
          <w:szCs w:val="24"/>
        </w:rPr>
        <w:t xml:space="preserve"> </w:t>
      </w:r>
      <w:r w:rsidR="004B1065">
        <w:rPr>
          <w:rFonts w:asciiTheme="majorBidi" w:hAnsiTheme="majorBidi"/>
          <w:color w:val="0070C0"/>
          <w:sz w:val="24"/>
          <w:szCs w:val="24"/>
        </w:rPr>
        <w:t>g</w:t>
      </w:r>
      <w:r w:rsidRPr="004F39E8">
        <w:rPr>
          <w:rFonts w:asciiTheme="majorBidi" w:hAnsiTheme="majorBidi"/>
          <w:color w:val="0070C0"/>
          <w:sz w:val="24"/>
          <w:szCs w:val="24"/>
        </w:rPr>
        <w:t xml:space="preserve">énéral, </w:t>
      </w:r>
      <w:r w:rsidR="004B1065">
        <w:rPr>
          <w:rFonts w:asciiTheme="majorBidi" w:hAnsiTheme="majorBidi"/>
          <w:color w:val="0070C0"/>
          <w:sz w:val="24"/>
          <w:szCs w:val="24"/>
        </w:rPr>
        <w:t>a</w:t>
      </w:r>
      <w:r w:rsidRPr="004F39E8">
        <w:rPr>
          <w:rFonts w:asciiTheme="majorBidi" w:hAnsiTheme="majorBidi"/>
          <w:color w:val="0070C0"/>
          <w:sz w:val="24"/>
          <w:szCs w:val="24"/>
        </w:rPr>
        <w:t xml:space="preserve">limentaire et </w:t>
      </w:r>
      <w:r w:rsidR="004B1065">
        <w:rPr>
          <w:rFonts w:asciiTheme="majorBidi" w:hAnsiTheme="majorBidi"/>
          <w:color w:val="0070C0"/>
          <w:sz w:val="24"/>
          <w:szCs w:val="24"/>
        </w:rPr>
        <w:t>n</w:t>
      </w:r>
      <w:r w:rsidRPr="004F39E8">
        <w:rPr>
          <w:rFonts w:asciiTheme="majorBidi" w:hAnsiTheme="majorBidi"/>
          <w:color w:val="0070C0"/>
          <w:sz w:val="24"/>
          <w:szCs w:val="24"/>
        </w:rPr>
        <w:t xml:space="preserve">on </w:t>
      </w:r>
      <w:r w:rsidR="004B1065">
        <w:rPr>
          <w:rFonts w:asciiTheme="majorBidi" w:hAnsiTheme="majorBidi"/>
          <w:color w:val="0070C0"/>
          <w:sz w:val="24"/>
          <w:szCs w:val="24"/>
        </w:rPr>
        <w:t>a</w:t>
      </w:r>
      <w:r w:rsidRPr="004F39E8">
        <w:rPr>
          <w:rFonts w:asciiTheme="majorBidi" w:hAnsiTheme="majorBidi"/>
          <w:color w:val="0070C0"/>
          <w:sz w:val="24"/>
          <w:szCs w:val="24"/>
        </w:rPr>
        <w:t>limentaire de la ville de K</w:t>
      </w:r>
      <w:r w:rsidR="00AF6D2F">
        <w:rPr>
          <w:rFonts w:asciiTheme="majorBidi" w:hAnsiTheme="majorBidi"/>
          <w:color w:val="0070C0"/>
          <w:sz w:val="24"/>
          <w:szCs w:val="24"/>
        </w:rPr>
        <w:t>é</w:t>
      </w:r>
      <w:r w:rsidRPr="004F39E8">
        <w:rPr>
          <w:rFonts w:asciiTheme="majorBidi" w:hAnsiTheme="majorBidi"/>
          <w:color w:val="0070C0"/>
          <w:sz w:val="24"/>
          <w:szCs w:val="24"/>
        </w:rPr>
        <w:t>nitra</w:t>
      </w:r>
      <w:r w:rsidR="005B044B" w:rsidRPr="004F39E8">
        <w:rPr>
          <w:rFonts w:asciiTheme="majorBidi" w:hAnsiTheme="majorBidi"/>
          <w:color w:val="0070C0"/>
          <w:sz w:val="24"/>
          <w:szCs w:val="24"/>
        </w:rPr>
        <w:t xml:space="preserve"> en 20</w:t>
      </w:r>
      <w:r w:rsidR="00601279">
        <w:rPr>
          <w:rFonts w:asciiTheme="majorBidi" w:hAnsiTheme="majorBidi"/>
          <w:color w:val="0070C0"/>
          <w:sz w:val="24"/>
          <w:szCs w:val="24"/>
        </w:rPr>
        <w:t>20</w:t>
      </w:r>
      <w:bookmarkEnd w:id="27"/>
    </w:p>
    <w:p w:rsidR="006536C2" w:rsidRDefault="00FE1193" w:rsidP="00F84A22">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Etant donné la nature fluctuante des prix des biens et services, l’indice général des prix à la consommation subit des variations cycliques au cours de l’année. Celles-ci </w:t>
      </w:r>
      <w:r w:rsidR="00F84A22">
        <w:rPr>
          <w:rFonts w:asciiTheme="majorBidi" w:hAnsiTheme="majorBidi" w:cstheme="majorBidi"/>
          <w:sz w:val="24"/>
          <w:szCs w:val="24"/>
        </w:rPr>
        <w:t>son</w:t>
      </w:r>
      <w:r>
        <w:rPr>
          <w:rFonts w:asciiTheme="majorBidi" w:hAnsiTheme="majorBidi" w:cstheme="majorBidi"/>
          <w:sz w:val="24"/>
          <w:szCs w:val="24"/>
        </w:rPr>
        <w:t>t tributaires de la conjoncture nationale et mondiale.</w:t>
      </w:r>
    </w:p>
    <w:p w:rsidR="0052758D" w:rsidRDefault="0052758D" w:rsidP="00FE1193">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Il y a lieu de noter que l’évolution de l’Indice Général est essentiellement impactée par l’Indice Alimentaire</w:t>
      </w:r>
      <w:r w:rsidR="00F84A22">
        <w:rPr>
          <w:rFonts w:asciiTheme="majorBidi" w:hAnsiTheme="majorBidi" w:cstheme="majorBidi"/>
          <w:sz w:val="24"/>
          <w:szCs w:val="24"/>
        </w:rPr>
        <w:t xml:space="preserve"> (IA) </w:t>
      </w:r>
      <w:r>
        <w:rPr>
          <w:rFonts w:asciiTheme="majorBidi" w:hAnsiTheme="majorBidi" w:cstheme="majorBidi"/>
          <w:sz w:val="24"/>
          <w:szCs w:val="24"/>
        </w:rPr>
        <w:t xml:space="preserve"> dont les niveaux sont affectés </w:t>
      </w:r>
      <w:r w:rsidR="00BF48B4">
        <w:rPr>
          <w:rFonts w:asciiTheme="majorBidi" w:hAnsiTheme="majorBidi" w:cstheme="majorBidi"/>
          <w:sz w:val="24"/>
          <w:szCs w:val="24"/>
        </w:rPr>
        <w:t xml:space="preserve">notamment </w:t>
      </w:r>
      <w:r>
        <w:rPr>
          <w:rFonts w:asciiTheme="majorBidi" w:hAnsiTheme="majorBidi" w:cstheme="majorBidi"/>
          <w:sz w:val="24"/>
          <w:szCs w:val="24"/>
        </w:rPr>
        <w:t xml:space="preserve">par </w:t>
      </w:r>
      <w:r w:rsidR="00BF48B4">
        <w:rPr>
          <w:rFonts w:asciiTheme="majorBidi" w:hAnsiTheme="majorBidi" w:cstheme="majorBidi"/>
          <w:sz w:val="24"/>
          <w:szCs w:val="24"/>
        </w:rPr>
        <w:t>le phénomène de saisonnalité et des événements religieux.</w:t>
      </w:r>
    </w:p>
    <w:p w:rsidR="00BF48B4" w:rsidRDefault="00BF48B4" w:rsidP="00FE1193">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Toutefois, en examinant la courbe de l’indice général, on constate que cette dernière est beaucoup plus tirée vers celle de l’Indice Non Alimentaire</w:t>
      </w:r>
      <w:r w:rsidR="00F84A22">
        <w:rPr>
          <w:rFonts w:asciiTheme="majorBidi" w:hAnsiTheme="majorBidi" w:cstheme="majorBidi"/>
          <w:sz w:val="24"/>
          <w:szCs w:val="24"/>
        </w:rPr>
        <w:t xml:space="preserve"> (INA)</w:t>
      </w:r>
      <w:r>
        <w:rPr>
          <w:rFonts w:asciiTheme="majorBidi" w:hAnsiTheme="majorBidi" w:cstheme="majorBidi"/>
          <w:sz w:val="24"/>
          <w:szCs w:val="24"/>
        </w:rPr>
        <w:t>. Ceci peut être expliqué par l’effet de pondération des produits non ali</w:t>
      </w:r>
      <w:r w:rsidR="00E1172F">
        <w:rPr>
          <w:rFonts w:asciiTheme="majorBidi" w:hAnsiTheme="majorBidi" w:cstheme="majorBidi"/>
          <w:sz w:val="24"/>
          <w:szCs w:val="24"/>
        </w:rPr>
        <w:t>mentaires qui constituaient 57,3</w:t>
      </w:r>
      <w:r>
        <w:rPr>
          <w:rFonts w:asciiTheme="majorBidi" w:hAnsiTheme="majorBidi" w:cstheme="majorBidi"/>
          <w:sz w:val="24"/>
          <w:szCs w:val="24"/>
        </w:rPr>
        <w:t xml:space="preserve">% des dépenses des ménages </w:t>
      </w:r>
      <w:r w:rsidR="00E1172F">
        <w:rPr>
          <w:rFonts w:asciiTheme="majorBidi" w:hAnsiTheme="majorBidi" w:cstheme="majorBidi"/>
          <w:sz w:val="24"/>
          <w:szCs w:val="24"/>
        </w:rPr>
        <w:t xml:space="preserve">de la ville de Kénitra </w:t>
      </w:r>
      <w:r>
        <w:rPr>
          <w:rFonts w:asciiTheme="majorBidi" w:hAnsiTheme="majorBidi" w:cstheme="majorBidi"/>
          <w:sz w:val="24"/>
          <w:szCs w:val="24"/>
        </w:rPr>
        <w:t xml:space="preserve"> en 2014.</w:t>
      </w:r>
    </w:p>
    <w:p w:rsidR="00BF48B4" w:rsidRDefault="00BF48B4" w:rsidP="00FE1193">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 A noter,</w:t>
      </w:r>
      <w:r w:rsidR="00E1172F">
        <w:rPr>
          <w:rFonts w:asciiTheme="majorBidi" w:hAnsiTheme="majorBidi" w:cstheme="majorBidi"/>
          <w:sz w:val="24"/>
          <w:szCs w:val="24"/>
        </w:rPr>
        <w:t xml:space="preserve"> cependant, que l’INA a enregistré une tendance moins fluctuante que celle de l’IA </w:t>
      </w:r>
      <w:r>
        <w:rPr>
          <w:rFonts w:asciiTheme="majorBidi" w:hAnsiTheme="majorBidi" w:cstheme="majorBidi"/>
          <w:sz w:val="24"/>
          <w:szCs w:val="24"/>
        </w:rPr>
        <w:t>au cours de l’année</w:t>
      </w:r>
      <w:r w:rsidR="00E1172F">
        <w:rPr>
          <w:rFonts w:asciiTheme="majorBidi" w:hAnsiTheme="majorBidi" w:cstheme="majorBidi"/>
          <w:sz w:val="24"/>
          <w:szCs w:val="24"/>
        </w:rPr>
        <w:t xml:space="preserve"> 2020</w:t>
      </w:r>
      <w:r>
        <w:rPr>
          <w:rFonts w:asciiTheme="majorBidi" w:hAnsiTheme="majorBidi" w:cstheme="majorBidi"/>
          <w:sz w:val="24"/>
          <w:szCs w:val="24"/>
        </w:rPr>
        <w:t xml:space="preserve">, caractérisée par </w:t>
      </w:r>
      <w:r w:rsidR="00E1172F">
        <w:rPr>
          <w:rFonts w:asciiTheme="majorBidi" w:hAnsiTheme="majorBidi" w:cstheme="majorBidi"/>
          <w:sz w:val="24"/>
          <w:szCs w:val="24"/>
        </w:rPr>
        <w:t>un écart absolu</w:t>
      </w:r>
      <w:r w:rsidR="002E6062">
        <w:rPr>
          <w:rFonts w:asciiTheme="majorBidi" w:hAnsiTheme="majorBidi" w:cstheme="majorBidi"/>
          <w:sz w:val="24"/>
          <w:szCs w:val="24"/>
        </w:rPr>
        <w:t xml:space="preserve">  de 1,6 point contre 6,4 </w:t>
      </w:r>
      <w:r w:rsidR="00FB6DAC">
        <w:rPr>
          <w:rFonts w:asciiTheme="majorBidi" w:hAnsiTheme="majorBidi" w:cstheme="majorBidi"/>
          <w:sz w:val="24"/>
          <w:szCs w:val="24"/>
        </w:rPr>
        <w:t>respectivement.</w:t>
      </w:r>
    </w:p>
    <w:p w:rsidR="00FB6DAC" w:rsidRDefault="00FB6DAC" w:rsidP="007E29B6">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Quant à l’IA, les oscillations qu’ont connues les prix au cours de l’année</w:t>
      </w:r>
      <w:r w:rsidR="008A219D">
        <w:rPr>
          <w:rFonts w:asciiTheme="majorBidi" w:hAnsiTheme="majorBidi" w:cstheme="majorBidi"/>
          <w:sz w:val="24"/>
          <w:szCs w:val="24"/>
        </w:rPr>
        <w:t xml:space="preserve"> 2020</w:t>
      </w:r>
      <w:r>
        <w:rPr>
          <w:rFonts w:asciiTheme="majorBidi" w:hAnsiTheme="majorBidi" w:cstheme="majorBidi"/>
          <w:sz w:val="24"/>
          <w:szCs w:val="24"/>
        </w:rPr>
        <w:t>, sont beaucoup plus importantes</w:t>
      </w:r>
      <w:r w:rsidR="008A219D">
        <w:rPr>
          <w:rFonts w:asciiTheme="majorBidi" w:hAnsiTheme="majorBidi" w:cstheme="majorBidi"/>
          <w:sz w:val="24"/>
          <w:szCs w:val="24"/>
        </w:rPr>
        <w:t xml:space="preserve"> et ce à cause des répercussions de la crise sanitaire sur l’offre et la demande des produits alimentaires</w:t>
      </w:r>
      <w:r>
        <w:rPr>
          <w:rFonts w:asciiTheme="majorBidi" w:hAnsiTheme="majorBidi" w:cstheme="majorBidi"/>
          <w:sz w:val="24"/>
          <w:szCs w:val="24"/>
        </w:rPr>
        <w:t>.</w:t>
      </w:r>
    </w:p>
    <w:p w:rsidR="006A6E55" w:rsidRDefault="006A6E55" w:rsidP="007E29B6">
      <w:pPr>
        <w:spacing w:before="240" w:after="240" w:line="240" w:lineRule="auto"/>
        <w:jc w:val="both"/>
        <w:rPr>
          <w:rFonts w:asciiTheme="majorBidi" w:hAnsiTheme="majorBidi" w:cstheme="majorBidi"/>
          <w:sz w:val="24"/>
          <w:szCs w:val="24"/>
        </w:rPr>
      </w:pPr>
    </w:p>
    <w:p w:rsidR="006A6E55" w:rsidRDefault="006A6E55" w:rsidP="007E29B6">
      <w:pPr>
        <w:spacing w:before="240" w:after="240" w:line="240" w:lineRule="auto"/>
        <w:jc w:val="both"/>
        <w:rPr>
          <w:rFonts w:asciiTheme="majorBidi" w:hAnsiTheme="majorBidi" w:cstheme="majorBidi"/>
          <w:sz w:val="24"/>
          <w:szCs w:val="24"/>
        </w:rPr>
      </w:pPr>
    </w:p>
    <w:p w:rsidR="006A6E55" w:rsidRDefault="006A6E55" w:rsidP="007E29B6">
      <w:pPr>
        <w:spacing w:before="240" w:after="240" w:line="240" w:lineRule="auto"/>
        <w:jc w:val="both"/>
        <w:rPr>
          <w:rFonts w:asciiTheme="majorBidi" w:hAnsiTheme="majorBidi" w:cstheme="majorBidi"/>
          <w:sz w:val="24"/>
          <w:szCs w:val="24"/>
        </w:rPr>
      </w:pPr>
    </w:p>
    <w:tbl>
      <w:tblPr>
        <w:tblW w:w="5000" w:type="pct"/>
        <w:tblCellMar>
          <w:left w:w="70" w:type="dxa"/>
          <w:right w:w="70" w:type="dxa"/>
        </w:tblCellMar>
        <w:tblLook w:val="04A0"/>
      </w:tblPr>
      <w:tblGrid>
        <w:gridCol w:w="2788"/>
        <w:gridCol w:w="545"/>
        <w:gridCol w:w="545"/>
        <w:gridCol w:w="550"/>
        <w:gridCol w:w="545"/>
        <w:gridCol w:w="545"/>
        <w:gridCol w:w="545"/>
        <w:gridCol w:w="545"/>
        <w:gridCol w:w="545"/>
        <w:gridCol w:w="545"/>
        <w:gridCol w:w="545"/>
        <w:gridCol w:w="545"/>
        <w:gridCol w:w="566"/>
      </w:tblGrid>
      <w:tr w:rsidR="00635FC5" w:rsidRPr="00635FC5" w:rsidTr="00635FC5">
        <w:trPr>
          <w:trHeight w:val="330"/>
        </w:trPr>
        <w:tc>
          <w:tcPr>
            <w:tcW w:w="5000" w:type="pct"/>
            <w:gridSpan w:val="13"/>
            <w:tcBorders>
              <w:top w:val="nil"/>
              <w:left w:val="nil"/>
              <w:bottom w:val="single" w:sz="12" w:space="0" w:color="000000" w:themeColor="text1"/>
              <w:right w:val="nil"/>
            </w:tcBorders>
            <w:shd w:val="clear" w:color="auto" w:fill="auto"/>
            <w:noWrap/>
            <w:vAlign w:val="center"/>
            <w:hideMark/>
          </w:tcPr>
          <w:p w:rsidR="00DF65E2" w:rsidRDefault="00DF65E2" w:rsidP="004B1065">
            <w:pPr>
              <w:spacing w:after="0" w:line="240" w:lineRule="auto"/>
              <w:rPr>
                <w:rFonts w:asciiTheme="majorBidi" w:eastAsia="Times New Roman" w:hAnsiTheme="majorBidi" w:cstheme="majorBidi"/>
                <w:b/>
                <w:bCs/>
                <w:color w:val="4F81BD" w:themeColor="accent1"/>
                <w:sz w:val="24"/>
                <w:szCs w:val="24"/>
                <w:lang w:eastAsia="fr-FR"/>
              </w:rPr>
            </w:pPr>
            <w:bookmarkStart w:id="28" w:name="_Toc68436331"/>
            <w:r w:rsidRPr="00DF65E2">
              <w:rPr>
                <w:rFonts w:asciiTheme="majorBidi" w:hAnsiTheme="majorBidi" w:cstheme="majorBidi"/>
                <w:b/>
                <w:bCs/>
                <w:color w:val="4F81BD" w:themeColor="accent1"/>
              </w:rPr>
              <w:lastRenderedPageBreak/>
              <w:t xml:space="preserve">Tableau </w:t>
            </w:r>
            <w:r w:rsidR="002966E3" w:rsidRPr="00DF65E2">
              <w:rPr>
                <w:rFonts w:asciiTheme="majorBidi" w:hAnsiTheme="majorBidi" w:cstheme="majorBidi"/>
                <w:b/>
                <w:bCs/>
                <w:color w:val="4F81BD" w:themeColor="accent1"/>
              </w:rPr>
              <w:fldChar w:fldCharType="begin"/>
            </w:r>
            <w:r w:rsidRPr="00DF65E2">
              <w:rPr>
                <w:rFonts w:asciiTheme="majorBidi" w:hAnsiTheme="majorBidi" w:cstheme="majorBidi"/>
                <w:b/>
                <w:bCs/>
                <w:color w:val="4F81BD" w:themeColor="accent1"/>
              </w:rPr>
              <w:instrText xml:space="preserve"> SEQ Tableau \* ARABIC </w:instrText>
            </w:r>
            <w:r w:rsidR="002966E3" w:rsidRPr="00DF65E2">
              <w:rPr>
                <w:rFonts w:asciiTheme="majorBidi" w:hAnsiTheme="majorBidi" w:cstheme="majorBidi"/>
                <w:b/>
                <w:bCs/>
                <w:color w:val="4F81BD" w:themeColor="accent1"/>
              </w:rPr>
              <w:fldChar w:fldCharType="separate"/>
            </w:r>
            <w:r w:rsidR="00794CED">
              <w:rPr>
                <w:rFonts w:asciiTheme="majorBidi" w:hAnsiTheme="majorBidi" w:cstheme="majorBidi"/>
                <w:b/>
                <w:bCs/>
                <w:noProof/>
                <w:color w:val="4F81BD" w:themeColor="accent1"/>
              </w:rPr>
              <w:t>5</w:t>
            </w:r>
            <w:r w:rsidR="002966E3" w:rsidRPr="00DF65E2">
              <w:rPr>
                <w:rFonts w:asciiTheme="majorBidi" w:hAnsiTheme="majorBidi" w:cstheme="majorBidi"/>
                <w:b/>
                <w:bCs/>
                <w:color w:val="4F81BD" w:themeColor="accent1"/>
              </w:rPr>
              <w:fldChar w:fldCharType="end"/>
            </w:r>
            <w:r w:rsidRPr="00DF65E2">
              <w:rPr>
                <w:rFonts w:asciiTheme="majorBidi" w:hAnsiTheme="majorBidi" w:cstheme="majorBidi"/>
                <w:b/>
                <w:bCs/>
                <w:color w:val="4F81BD" w:themeColor="accent1"/>
              </w:rPr>
              <w:t xml:space="preserve"> : </w:t>
            </w:r>
            <w:r w:rsidR="00635FC5" w:rsidRPr="00DF65E2">
              <w:rPr>
                <w:rFonts w:asciiTheme="majorBidi" w:eastAsia="Times New Roman" w:hAnsiTheme="majorBidi" w:cstheme="majorBidi"/>
                <w:b/>
                <w:bCs/>
                <w:color w:val="4F81BD" w:themeColor="accent1"/>
                <w:sz w:val="24"/>
                <w:szCs w:val="24"/>
                <w:lang w:eastAsia="fr-FR"/>
              </w:rPr>
              <w:t>Indices</w:t>
            </w:r>
            <w:r w:rsidR="004B1065">
              <w:rPr>
                <w:rFonts w:asciiTheme="majorBidi" w:eastAsia="Times New Roman" w:hAnsiTheme="majorBidi" w:cstheme="majorBidi"/>
                <w:b/>
                <w:bCs/>
                <w:color w:val="4F81BD" w:themeColor="accent1"/>
                <w:sz w:val="24"/>
                <w:szCs w:val="24"/>
                <w:lang w:eastAsia="fr-FR"/>
              </w:rPr>
              <w:t> :</w:t>
            </w:r>
            <w:r w:rsidR="00635FC5" w:rsidRPr="00DF65E2">
              <w:rPr>
                <w:rFonts w:asciiTheme="majorBidi" w:eastAsia="Times New Roman" w:hAnsiTheme="majorBidi" w:cstheme="majorBidi"/>
                <w:b/>
                <w:bCs/>
                <w:color w:val="4F81BD" w:themeColor="accent1"/>
                <w:sz w:val="24"/>
                <w:szCs w:val="24"/>
                <w:lang w:eastAsia="fr-FR"/>
              </w:rPr>
              <w:t xml:space="preserve"> </w:t>
            </w:r>
            <w:r w:rsidR="004B1065">
              <w:rPr>
                <w:rFonts w:asciiTheme="majorBidi" w:eastAsia="Times New Roman" w:hAnsiTheme="majorBidi" w:cstheme="majorBidi"/>
                <w:b/>
                <w:bCs/>
                <w:color w:val="4F81BD" w:themeColor="accent1"/>
                <w:sz w:val="24"/>
                <w:szCs w:val="24"/>
                <w:lang w:eastAsia="fr-FR"/>
              </w:rPr>
              <w:t>g</w:t>
            </w:r>
            <w:r w:rsidR="00635FC5" w:rsidRPr="00DF65E2">
              <w:rPr>
                <w:rFonts w:asciiTheme="majorBidi" w:eastAsia="Times New Roman" w:hAnsiTheme="majorBidi" w:cstheme="majorBidi"/>
                <w:b/>
                <w:bCs/>
                <w:color w:val="4F81BD" w:themeColor="accent1"/>
                <w:sz w:val="24"/>
                <w:szCs w:val="24"/>
                <w:lang w:eastAsia="fr-FR"/>
              </w:rPr>
              <w:t>énéral, alimentaire et non alimentaire de la ville de Kénitra</w:t>
            </w:r>
            <w:bookmarkEnd w:id="28"/>
          </w:p>
          <w:p w:rsidR="00635FC5" w:rsidRPr="00DF65E2" w:rsidRDefault="00DF65E2" w:rsidP="00601279">
            <w:pPr>
              <w:spacing w:after="0" w:line="240" w:lineRule="auto"/>
              <w:rPr>
                <w:rFonts w:asciiTheme="majorBidi" w:eastAsia="Times New Roman" w:hAnsiTheme="majorBidi" w:cstheme="majorBidi"/>
                <w:b/>
                <w:bCs/>
                <w:color w:val="4F81BD" w:themeColor="accent1"/>
                <w:sz w:val="24"/>
                <w:szCs w:val="24"/>
                <w:lang w:eastAsia="fr-FR"/>
              </w:rPr>
            </w:pPr>
            <w:r>
              <w:rPr>
                <w:rFonts w:asciiTheme="majorBidi" w:eastAsia="Times New Roman" w:hAnsiTheme="majorBidi" w:cstheme="majorBidi"/>
                <w:b/>
                <w:bCs/>
                <w:color w:val="4F81BD" w:themeColor="accent1"/>
                <w:sz w:val="24"/>
                <w:szCs w:val="24"/>
                <w:lang w:eastAsia="fr-FR"/>
              </w:rPr>
              <w:t xml:space="preserve">                 </w:t>
            </w:r>
            <w:r w:rsidR="00635FC5" w:rsidRPr="00DF65E2">
              <w:rPr>
                <w:rFonts w:asciiTheme="majorBidi" w:eastAsia="Times New Roman" w:hAnsiTheme="majorBidi" w:cstheme="majorBidi"/>
                <w:b/>
                <w:bCs/>
                <w:color w:val="4F81BD" w:themeColor="accent1"/>
                <w:sz w:val="24"/>
                <w:szCs w:val="24"/>
                <w:lang w:eastAsia="fr-FR"/>
              </w:rPr>
              <w:t xml:space="preserve"> - Année 20</w:t>
            </w:r>
            <w:r w:rsidR="00601279">
              <w:rPr>
                <w:rFonts w:asciiTheme="majorBidi" w:eastAsia="Times New Roman" w:hAnsiTheme="majorBidi" w:cstheme="majorBidi"/>
                <w:b/>
                <w:bCs/>
                <w:color w:val="4F81BD" w:themeColor="accent1"/>
                <w:sz w:val="24"/>
                <w:szCs w:val="24"/>
                <w:lang w:eastAsia="fr-FR"/>
              </w:rPr>
              <w:t>20</w:t>
            </w:r>
            <w:r w:rsidR="00635FC5" w:rsidRPr="00DF65E2">
              <w:rPr>
                <w:rFonts w:asciiTheme="majorBidi" w:eastAsia="Times New Roman" w:hAnsiTheme="majorBidi" w:cstheme="majorBidi"/>
                <w:b/>
                <w:bCs/>
                <w:color w:val="4F81BD" w:themeColor="accent1"/>
                <w:sz w:val="24"/>
                <w:szCs w:val="24"/>
                <w:lang w:eastAsia="fr-FR"/>
              </w:rPr>
              <w:t xml:space="preserve"> -</w:t>
            </w:r>
          </w:p>
        </w:tc>
      </w:tr>
      <w:tr w:rsidR="00635FC5" w:rsidRPr="00635FC5" w:rsidTr="008A219D">
        <w:trPr>
          <w:trHeight w:val="463"/>
        </w:trPr>
        <w:tc>
          <w:tcPr>
            <w:tcW w:w="1492" w:type="pct"/>
            <w:tcBorders>
              <w:top w:val="single" w:sz="12" w:space="0" w:color="000000" w:themeColor="text1"/>
              <w:bottom w:val="single" w:sz="12" w:space="0" w:color="000000" w:themeColor="text1"/>
            </w:tcBorders>
            <w:shd w:val="clear" w:color="000000" w:fill="C0C0C0"/>
            <w:noWrap/>
            <w:vAlign w:val="center"/>
            <w:hideMark/>
          </w:tcPr>
          <w:p w:rsidR="00635FC5" w:rsidRPr="00635FC5" w:rsidRDefault="00635FC5" w:rsidP="00635FC5">
            <w:pPr>
              <w:spacing w:after="0" w:line="240" w:lineRule="auto"/>
              <w:rPr>
                <w:rFonts w:ascii="Times New Roman" w:eastAsia="Times New Roman" w:hAnsi="Times New Roman" w:cs="Times New Roman"/>
                <w:b/>
                <w:bCs/>
                <w:sz w:val="20"/>
                <w:szCs w:val="20"/>
                <w:lang w:eastAsia="fr-FR"/>
              </w:rPr>
            </w:pPr>
            <w:r w:rsidRPr="00635FC5">
              <w:rPr>
                <w:rFonts w:ascii="Times New Roman" w:eastAsia="Times New Roman" w:hAnsi="Times New Roman" w:cs="Times New Roman"/>
                <w:b/>
                <w:bCs/>
                <w:sz w:val="20"/>
                <w:szCs w:val="20"/>
                <w:lang w:eastAsia="fr-FR"/>
              </w:rPr>
              <w:t>GRANDES DIVISIONS</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Jan</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Fev</w:t>
            </w:r>
          </w:p>
        </w:tc>
        <w:tc>
          <w:tcPr>
            <w:tcW w:w="294"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Mars</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Avr</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Mai</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Juin</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Jul</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Août</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Sep</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Oct</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Nov</w:t>
            </w:r>
          </w:p>
        </w:tc>
        <w:tc>
          <w:tcPr>
            <w:tcW w:w="301" w:type="pct"/>
            <w:tcBorders>
              <w:top w:val="single" w:sz="12" w:space="0" w:color="000000" w:themeColor="text1"/>
              <w:bottom w:val="single" w:sz="12" w:space="0" w:color="000000" w:themeColor="text1"/>
              <w:right w:val="nil"/>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Dec</w:t>
            </w:r>
          </w:p>
        </w:tc>
      </w:tr>
      <w:tr w:rsidR="00601279" w:rsidRPr="00635FC5" w:rsidTr="008A219D">
        <w:trPr>
          <w:trHeight w:val="465"/>
        </w:trPr>
        <w:tc>
          <w:tcPr>
            <w:tcW w:w="1492" w:type="pct"/>
            <w:tcBorders>
              <w:top w:val="single" w:sz="12" w:space="0" w:color="000000" w:themeColor="text1"/>
            </w:tcBorders>
            <w:shd w:val="clear" w:color="000000" w:fill="FFFFFF"/>
            <w:noWrap/>
            <w:hideMark/>
          </w:tcPr>
          <w:p w:rsidR="00601279" w:rsidRPr="00635FC5" w:rsidRDefault="00601279" w:rsidP="008D20A3">
            <w:pPr>
              <w:spacing w:after="0" w:line="240" w:lineRule="auto"/>
              <w:rPr>
                <w:rFonts w:ascii="Times New Roman" w:eastAsia="Times New Roman" w:hAnsi="Times New Roman" w:cs="Times New Roman"/>
                <w:b/>
                <w:bCs/>
                <w:sz w:val="20"/>
                <w:szCs w:val="20"/>
                <w:lang w:eastAsia="fr-FR"/>
              </w:rPr>
            </w:pPr>
            <w:r w:rsidRPr="00635FC5">
              <w:rPr>
                <w:rFonts w:ascii="Times New Roman" w:eastAsia="Times New Roman" w:hAnsi="Times New Roman" w:cs="Times New Roman"/>
                <w:b/>
                <w:bCs/>
                <w:sz w:val="20"/>
                <w:szCs w:val="20"/>
                <w:lang w:eastAsia="fr-FR"/>
              </w:rPr>
              <w:t>I. Produits alimentaires</w:t>
            </w:r>
          </w:p>
        </w:tc>
        <w:tc>
          <w:tcPr>
            <w:tcW w:w="291" w:type="pct"/>
            <w:tcBorders>
              <w:top w:val="single" w:sz="12" w:space="0" w:color="000000" w:themeColor="text1"/>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99,3</w:t>
            </w:r>
          </w:p>
        </w:tc>
        <w:tc>
          <w:tcPr>
            <w:tcW w:w="291" w:type="pct"/>
            <w:tcBorders>
              <w:top w:val="single" w:sz="12" w:space="0" w:color="000000" w:themeColor="text1"/>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99,6</w:t>
            </w:r>
          </w:p>
        </w:tc>
        <w:tc>
          <w:tcPr>
            <w:tcW w:w="294" w:type="pct"/>
            <w:tcBorders>
              <w:top w:val="single" w:sz="12" w:space="0" w:color="000000" w:themeColor="text1"/>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100,5</w:t>
            </w:r>
          </w:p>
        </w:tc>
        <w:tc>
          <w:tcPr>
            <w:tcW w:w="291" w:type="pct"/>
            <w:tcBorders>
              <w:top w:val="single" w:sz="12" w:space="0" w:color="000000" w:themeColor="text1"/>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101,4</w:t>
            </w:r>
          </w:p>
        </w:tc>
        <w:tc>
          <w:tcPr>
            <w:tcW w:w="291" w:type="pct"/>
            <w:tcBorders>
              <w:top w:val="single" w:sz="12" w:space="0" w:color="000000" w:themeColor="text1"/>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99,3</w:t>
            </w:r>
          </w:p>
        </w:tc>
        <w:tc>
          <w:tcPr>
            <w:tcW w:w="291" w:type="pct"/>
            <w:tcBorders>
              <w:top w:val="single" w:sz="12" w:space="0" w:color="000000" w:themeColor="text1"/>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99,1</w:t>
            </w:r>
          </w:p>
        </w:tc>
        <w:tc>
          <w:tcPr>
            <w:tcW w:w="291" w:type="pct"/>
            <w:tcBorders>
              <w:top w:val="single" w:sz="12" w:space="0" w:color="000000" w:themeColor="text1"/>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97,9</w:t>
            </w:r>
          </w:p>
        </w:tc>
        <w:tc>
          <w:tcPr>
            <w:tcW w:w="291" w:type="pct"/>
            <w:tcBorders>
              <w:top w:val="single" w:sz="12" w:space="0" w:color="000000" w:themeColor="text1"/>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101,7</w:t>
            </w:r>
          </w:p>
        </w:tc>
        <w:tc>
          <w:tcPr>
            <w:tcW w:w="291" w:type="pct"/>
            <w:tcBorders>
              <w:top w:val="single" w:sz="12" w:space="0" w:color="000000" w:themeColor="text1"/>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103,1</w:t>
            </w:r>
          </w:p>
        </w:tc>
        <w:tc>
          <w:tcPr>
            <w:tcW w:w="291" w:type="pct"/>
            <w:tcBorders>
              <w:top w:val="single" w:sz="12" w:space="0" w:color="000000" w:themeColor="text1"/>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101,4</w:t>
            </w:r>
          </w:p>
        </w:tc>
        <w:tc>
          <w:tcPr>
            <w:tcW w:w="291" w:type="pct"/>
            <w:tcBorders>
              <w:top w:val="single" w:sz="12" w:space="0" w:color="000000" w:themeColor="text1"/>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98,6</w:t>
            </w:r>
          </w:p>
        </w:tc>
        <w:tc>
          <w:tcPr>
            <w:tcW w:w="301" w:type="pct"/>
            <w:tcBorders>
              <w:top w:val="single" w:sz="12" w:space="0" w:color="000000" w:themeColor="text1"/>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96,7</w:t>
            </w:r>
          </w:p>
        </w:tc>
      </w:tr>
      <w:tr w:rsidR="00601279" w:rsidRPr="00635FC5" w:rsidTr="008A219D">
        <w:trPr>
          <w:trHeight w:val="600"/>
        </w:trPr>
        <w:tc>
          <w:tcPr>
            <w:tcW w:w="1492" w:type="pct"/>
            <w:tcBorders>
              <w:top w:val="nil"/>
              <w:bottom w:val="single" w:sz="12" w:space="0" w:color="auto"/>
            </w:tcBorders>
            <w:shd w:val="clear" w:color="000000" w:fill="FFFFFF"/>
            <w:noWrap/>
            <w:vAlign w:val="center"/>
            <w:hideMark/>
          </w:tcPr>
          <w:p w:rsidR="00601279" w:rsidRPr="00635FC5" w:rsidRDefault="00601279" w:rsidP="008D20A3">
            <w:pPr>
              <w:spacing w:after="0" w:line="240" w:lineRule="auto"/>
              <w:rPr>
                <w:rFonts w:ascii="Times New Roman" w:eastAsia="Times New Roman" w:hAnsi="Times New Roman" w:cs="Times New Roman"/>
                <w:b/>
                <w:bCs/>
                <w:sz w:val="20"/>
                <w:szCs w:val="20"/>
                <w:lang w:eastAsia="fr-FR"/>
              </w:rPr>
            </w:pPr>
            <w:r w:rsidRPr="00635FC5">
              <w:rPr>
                <w:rFonts w:ascii="Times New Roman" w:eastAsia="Times New Roman" w:hAnsi="Times New Roman" w:cs="Times New Roman"/>
                <w:b/>
                <w:bCs/>
                <w:sz w:val="20"/>
                <w:szCs w:val="20"/>
                <w:lang w:eastAsia="fr-FR"/>
              </w:rPr>
              <w:t>I. Produits non alimentaires</w:t>
            </w:r>
          </w:p>
        </w:tc>
        <w:tc>
          <w:tcPr>
            <w:tcW w:w="291" w:type="pct"/>
            <w:tcBorders>
              <w:top w:val="nil"/>
              <w:bottom w:val="single" w:sz="12" w:space="0" w:color="auto"/>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103,3</w:t>
            </w:r>
          </w:p>
        </w:tc>
        <w:tc>
          <w:tcPr>
            <w:tcW w:w="291" w:type="pct"/>
            <w:tcBorders>
              <w:top w:val="nil"/>
              <w:bottom w:val="single" w:sz="12" w:space="0" w:color="auto"/>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103,1</w:t>
            </w:r>
          </w:p>
        </w:tc>
        <w:tc>
          <w:tcPr>
            <w:tcW w:w="294" w:type="pct"/>
            <w:tcBorders>
              <w:top w:val="nil"/>
              <w:bottom w:val="single" w:sz="12" w:space="0" w:color="auto"/>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102,8</w:t>
            </w:r>
          </w:p>
        </w:tc>
        <w:tc>
          <w:tcPr>
            <w:tcW w:w="291" w:type="pct"/>
            <w:tcBorders>
              <w:top w:val="nil"/>
              <w:bottom w:val="single" w:sz="12" w:space="0" w:color="auto"/>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102,1</w:t>
            </w:r>
          </w:p>
        </w:tc>
        <w:tc>
          <w:tcPr>
            <w:tcW w:w="291" w:type="pct"/>
            <w:tcBorders>
              <w:top w:val="nil"/>
              <w:bottom w:val="single" w:sz="12" w:space="0" w:color="auto"/>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102,2</w:t>
            </w:r>
          </w:p>
        </w:tc>
        <w:tc>
          <w:tcPr>
            <w:tcW w:w="291" w:type="pct"/>
            <w:tcBorders>
              <w:top w:val="nil"/>
              <w:bottom w:val="single" w:sz="12" w:space="0" w:color="auto"/>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102,4</w:t>
            </w:r>
          </w:p>
        </w:tc>
        <w:tc>
          <w:tcPr>
            <w:tcW w:w="291" w:type="pct"/>
            <w:tcBorders>
              <w:top w:val="nil"/>
              <w:bottom w:val="single" w:sz="12" w:space="0" w:color="auto"/>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102,8</w:t>
            </w:r>
          </w:p>
        </w:tc>
        <w:tc>
          <w:tcPr>
            <w:tcW w:w="291" w:type="pct"/>
            <w:tcBorders>
              <w:top w:val="nil"/>
              <w:bottom w:val="single" w:sz="12" w:space="0" w:color="auto"/>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102,9</w:t>
            </w:r>
          </w:p>
        </w:tc>
        <w:tc>
          <w:tcPr>
            <w:tcW w:w="291" w:type="pct"/>
            <w:tcBorders>
              <w:top w:val="nil"/>
              <w:bottom w:val="single" w:sz="12" w:space="0" w:color="auto"/>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103,5</w:t>
            </w:r>
          </w:p>
        </w:tc>
        <w:tc>
          <w:tcPr>
            <w:tcW w:w="291" w:type="pct"/>
            <w:tcBorders>
              <w:top w:val="nil"/>
              <w:bottom w:val="single" w:sz="12" w:space="0" w:color="auto"/>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103,4</w:t>
            </w:r>
          </w:p>
        </w:tc>
        <w:tc>
          <w:tcPr>
            <w:tcW w:w="291" w:type="pct"/>
            <w:tcBorders>
              <w:top w:val="nil"/>
              <w:bottom w:val="single" w:sz="12" w:space="0" w:color="auto"/>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103,3</w:t>
            </w:r>
          </w:p>
        </w:tc>
        <w:tc>
          <w:tcPr>
            <w:tcW w:w="301" w:type="pct"/>
            <w:tcBorders>
              <w:top w:val="nil"/>
              <w:bottom w:val="single" w:sz="12" w:space="0" w:color="auto"/>
            </w:tcBorders>
            <w:shd w:val="clear" w:color="auto" w:fill="auto"/>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103,7</w:t>
            </w:r>
          </w:p>
        </w:tc>
      </w:tr>
      <w:tr w:rsidR="00601279" w:rsidRPr="00635FC5" w:rsidTr="008A219D">
        <w:trPr>
          <w:trHeight w:val="525"/>
        </w:trPr>
        <w:tc>
          <w:tcPr>
            <w:tcW w:w="1492" w:type="pct"/>
            <w:tcBorders>
              <w:top w:val="single" w:sz="12" w:space="0" w:color="auto"/>
              <w:bottom w:val="single" w:sz="12" w:space="0" w:color="000000" w:themeColor="text1"/>
            </w:tcBorders>
            <w:shd w:val="clear" w:color="000000" w:fill="C0C0C0"/>
            <w:noWrap/>
            <w:vAlign w:val="center"/>
            <w:hideMark/>
          </w:tcPr>
          <w:p w:rsidR="00601279" w:rsidRPr="00635FC5" w:rsidRDefault="00601279" w:rsidP="00635FC5">
            <w:pPr>
              <w:spacing w:after="0" w:line="240" w:lineRule="auto"/>
              <w:rPr>
                <w:rFonts w:ascii="Times New Roman" w:eastAsia="Times New Roman" w:hAnsi="Times New Roman" w:cs="Times New Roman"/>
                <w:b/>
                <w:bCs/>
                <w:sz w:val="20"/>
                <w:szCs w:val="20"/>
                <w:lang w:eastAsia="fr-FR"/>
              </w:rPr>
            </w:pPr>
            <w:r w:rsidRPr="00635FC5">
              <w:rPr>
                <w:rFonts w:ascii="Times New Roman" w:eastAsia="Times New Roman" w:hAnsi="Times New Roman" w:cs="Times New Roman"/>
                <w:b/>
                <w:bCs/>
                <w:sz w:val="20"/>
                <w:szCs w:val="20"/>
                <w:lang w:eastAsia="fr-FR"/>
              </w:rPr>
              <w:t>INDICE  GENERAL</w:t>
            </w:r>
          </w:p>
        </w:tc>
        <w:tc>
          <w:tcPr>
            <w:tcW w:w="291" w:type="pct"/>
            <w:tcBorders>
              <w:top w:val="single" w:sz="12" w:space="0" w:color="auto"/>
              <w:bottom w:val="single" w:sz="12" w:space="0" w:color="000000" w:themeColor="text1"/>
            </w:tcBorders>
            <w:shd w:val="clear" w:color="000000" w:fill="C0C0C0"/>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101,6</w:t>
            </w:r>
          </w:p>
        </w:tc>
        <w:tc>
          <w:tcPr>
            <w:tcW w:w="291" w:type="pct"/>
            <w:tcBorders>
              <w:top w:val="single" w:sz="12" w:space="0" w:color="auto"/>
              <w:bottom w:val="single" w:sz="12" w:space="0" w:color="000000" w:themeColor="text1"/>
            </w:tcBorders>
            <w:shd w:val="clear" w:color="000000" w:fill="C0C0C0"/>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101,6</w:t>
            </w:r>
          </w:p>
        </w:tc>
        <w:tc>
          <w:tcPr>
            <w:tcW w:w="294" w:type="pct"/>
            <w:tcBorders>
              <w:top w:val="single" w:sz="12" w:space="0" w:color="auto"/>
              <w:bottom w:val="single" w:sz="12" w:space="0" w:color="000000" w:themeColor="text1"/>
            </w:tcBorders>
            <w:shd w:val="clear" w:color="000000" w:fill="C0C0C0"/>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101,8</w:t>
            </w:r>
          </w:p>
        </w:tc>
        <w:tc>
          <w:tcPr>
            <w:tcW w:w="291" w:type="pct"/>
            <w:tcBorders>
              <w:top w:val="single" w:sz="12" w:space="0" w:color="auto"/>
              <w:bottom w:val="single" w:sz="12" w:space="0" w:color="000000" w:themeColor="text1"/>
            </w:tcBorders>
            <w:shd w:val="clear" w:color="000000" w:fill="C0C0C0"/>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101,8</w:t>
            </w:r>
          </w:p>
        </w:tc>
        <w:tc>
          <w:tcPr>
            <w:tcW w:w="291" w:type="pct"/>
            <w:tcBorders>
              <w:top w:val="single" w:sz="12" w:space="0" w:color="auto"/>
              <w:bottom w:val="single" w:sz="12" w:space="0" w:color="000000" w:themeColor="text1"/>
            </w:tcBorders>
            <w:shd w:val="clear" w:color="000000" w:fill="C0C0C0"/>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101,0</w:t>
            </w:r>
          </w:p>
        </w:tc>
        <w:tc>
          <w:tcPr>
            <w:tcW w:w="291" w:type="pct"/>
            <w:tcBorders>
              <w:top w:val="single" w:sz="12" w:space="0" w:color="auto"/>
              <w:bottom w:val="single" w:sz="12" w:space="0" w:color="000000" w:themeColor="text1"/>
            </w:tcBorders>
            <w:shd w:val="clear" w:color="000000" w:fill="C0C0C0"/>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101,0</w:t>
            </w:r>
          </w:p>
        </w:tc>
        <w:tc>
          <w:tcPr>
            <w:tcW w:w="291" w:type="pct"/>
            <w:tcBorders>
              <w:top w:val="single" w:sz="12" w:space="0" w:color="auto"/>
              <w:bottom w:val="single" w:sz="12" w:space="0" w:color="000000" w:themeColor="text1"/>
            </w:tcBorders>
            <w:shd w:val="clear" w:color="000000" w:fill="C0C0C0"/>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100,7</w:t>
            </w:r>
          </w:p>
        </w:tc>
        <w:tc>
          <w:tcPr>
            <w:tcW w:w="291" w:type="pct"/>
            <w:tcBorders>
              <w:top w:val="single" w:sz="12" w:space="0" w:color="auto"/>
              <w:bottom w:val="single" w:sz="12" w:space="0" w:color="000000" w:themeColor="text1"/>
            </w:tcBorders>
            <w:shd w:val="clear" w:color="000000" w:fill="C0C0C0"/>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102,4</w:t>
            </w:r>
          </w:p>
        </w:tc>
        <w:tc>
          <w:tcPr>
            <w:tcW w:w="291" w:type="pct"/>
            <w:tcBorders>
              <w:top w:val="single" w:sz="12" w:space="0" w:color="auto"/>
              <w:bottom w:val="single" w:sz="12" w:space="0" w:color="000000" w:themeColor="text1"/>
            </w:tcBorders>
            <w:shd w:val="clear" w:color="000000" w:fill="C0C0C0"/>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103,3</w:t>
            </w:r>
          </w:p>
        </w:tc>
        <w:tc>
          <w:tcPr>
            <w:tcW w:w="291" w:type="pct"/>
            <w:tcBorders>
              <w:top w:val="single" w:sz="12" w:space="0" w:color="auto"/>
              <w:bottom w:val="single" w:sz="12" w:space="0" w:color="000000" w:themeColor="text1"/>
            </w:tcBorders>
            <w:shd w:val="clear" w:color="000000" w:fill="C0C0C0"/>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102,5</w:t>
            </w:r>
          </w:p>
        </w:tc>
        <w:tc>
          <w:tcPr>
            <w:tcW w:w="291" w:type="pct"/>
            <w:tcBorders>
              <w:top w:val="single" w:sz="12" w:space="0" w:color="auto"/>
              <w:bottom w:val="single" w:sz="12" w:space="0" w:color="000000" w:themeColor="text1"/>
            </w:tcBorders>
            <w:shd w:val="clear" w:color="000000" w:fill="C0C0C0"/>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101,3</w:t>
            </w:r>
          </w:p>
        </w:tc>
        <w:tc>
          <w:tcPr>
            <w:tcW w:w="301" w:type="pct"/>
            <w:tcBorders>
              <w:top w:val="single" w:sz="12" w:space="0" w:color="auto"/>
              <w:bottom w:val="single" w:sz="12" w:space="0" w:color="000000" w:themeColor="text1"/>
            </w:tcBorders>
            <w:shd w:val="clear" w:color="000000" w:fill="C0C0C0"/>
            <w:noWrap/>
            <w:vAlign w:val="bottom"/>
            <w:hideMark/>
          </w:tcPr>
          <w:p w:rsidR="00601279" w:rsidRPr="00601279" w:rsidRDefault="00601279">
            <w:pPr>
              <w:jc w:val="right"/>
              <w:rPr>
                <w:rFonts w:asciiTheme="majorBidi" w:hAnsiTheme="majorBidi" w:cstheme="majorBidi"/>
                <w:b/>
                <w:bCs/>
                <w:sz w:val="18"/>
                <w:szCs w:val="18"/>
              </w:rPr>
            </w:pPr>
            <w:r w:rsidRPr="00601279">
              <w:rPr>
                <w:rFonts w:asciiTheme="majorBidi" w:hAnsiTheme="majorBidi" w:cstheme="majorBidi"/>
                <w:b/>
                <w:bCs/>
                <w:sz w:val="18"/>
                <w:szCs w:val="18"/>
              </w:rPr>
              <w:t>100,7</w:t>
            </w:r>
          </w:p>
        </w:tc>
      </w:tr>
    </w:tbl>
    <w:p w:rsidR="004A7CCA" w:rsidRPr="00483003" w:rsidRDefault="004A7CCA" w:rsidP="004A7CCA">
      <w:pPr>
        <w:pStyle w:val="Lgende"/>
        <w:rPr>
          <w:rFonts w:ascii="Times New Roman" w:hAnsi="Times New Roman"/>
          <w:i/>
          <w:iCs/>
          <w:sz w:val="22"/>
        </w:rPr>
      </w:pPr>
      <w:r w:rsidRPr="00483003">
        <w:rPr>
          <w:rFonts w:ascii="Times New Roman" w:hAnsi="Times New Roman"/>
          <w:i/>
          <w:iCs/>
          <w:sz w:val="22"/>
        </w:rPr>
        <w:t>Source : HCP</w:t>
      </w:r>
    </w:p>
    <w:p w:rsidR="00635FC5" w:rsidRPr="00DF65E2" w:rsidRDefault="00DF65E2" w:rsidP="00601279">
      <w:pPr>
        <w:pStyle w:val="Lgende"/>
        <w:rPr>
          <w:rFonts w:ascii="Times New Roman" w:hAnsi="Times New Roman" w:cstheme="majorBidi"/>
          <w:color w:val="548DD4" w:themeColor="text2" w:themeTint="99"/>
          <w:sz w:val="22"/>
          <w:szCs w:val="24"/>
        </w:rPr>
      </w:pPr>
      <w:bookmarkStart w:id="29" w:name="_Toc68436338"/>
      <w:r w:rsidRPr="00DF65E2">
        <w:rPr>
          <w:rFonts w:ascii="Times New Roman" w:hAnsi="Times New Roman"/>
          <w:sz w:val="22"/>
        </w:rPr>
        <w:t xml:space="preserve">Graphique </w:t>
      </w:r>
      <w:r w:rsidR="002966E3" w:rsidRPr="00DF65E2">
        <w:rPr>
          <w:rFonts w:ascii="Times New Roman" w:hAnsi="Times New Roman"/>
          <w:sz w:val="22"/>
        </w:rPr>
        <w:fldChar w:fldCharType="begin"/>
      </w:r>
      <w:r w:rsidRPr="00DF65E2">
        <w:rPr>
          <w:rFonts w:ascii="Times New Roman" w:hAnsi="Times New Roman"/>
          <w:sz w:val="22"/>
        </w:rPr>
        <w:instrText xml:space="preserve"> SEQ Graphique \* ARABIC </w:instrText>
      </w:r>
      <w:r w:rsidR="002966E3" w:rsidRPr="00DF65E2">
        <w:rPr>
          <w:rFonts w:ascii="Times New Roman" w:hAnsi="Times New Roman"/>
          <w:sz w:val="22"/>
        </w:rPr>
        <w:fldChar w:fldCharType="separate"/>
      </w:r>
      <w:r w:rsidR="00794CED">
        <w:rPr>
          <w:rFonts w:ascii="Times New Roman" w:hAnsi="Times New Roman"/>
          <w:noProof/>
          <w:sz w:val="22"/>
        </w:rPr>
        <w:t>4</w:t>
      </w:r>
      <w:r w:rsidR="002966E3" w:rsidRPr="00DF65E2">
        <w:rPr>
          <w:rFonts w:ascii="Times New Roman" w:hAnsi="Times New Roman"/>
          <w:sz w:val="22"/>
        </w:rPr>
        <w:fldChar w:fldCharType="end"/>
      </w:r>
      <w:r>
        <w:rPr>
          <w:rFonts w:ascii="Times New Roman" w:hAnsi="Times New Roman"/>
          <w:sz w:val="22"/>
        </w:rPr>
        <w:t xml:space="preserve">: </w:t>
      </w:r>
      <w:r w:rsidR="004F39E8" w:rsidRPr="00DF65E2">
        <w:rPr>
          <w:rFonts w:ascii="Times New Roman" w:hAnsi="Times New Roman" w:cstheme="majorBidi"/>
          <w:bCs w:val="0"/>
          <w:color w:val="548DD4" w:themeColor="text2" w:themeTint="99"/>
          <w:sz w:val="22"/>
          <w:szCs w:val="24"/>
        </w:rPr>
        <w:t>Indices</w:t>
      </w:r>
      <w:r w:rsidR="004B1065">
        <w:rPr>
          <w:rFonts w:ascii="Times New Roman" w:hAnsi="Times New Roman" w:cstheme="majorBidi"/>
          <w:bCs w:val="0"/>
          <w:color w:val="548DD4" w:themeColor="text2" w:themeTint="99"/>
          <w:sz w:val="22"/>
          <w:szCs w:val="24"/>
        </w:rPr>
        <w:t> </w:t>
      </w:r>
      <w:r w:rsidR="009755AE">
        <w:rPr>
          <w:rFonts w:ascii="Times New Roman" w:hAnsi="Times New Roman" w:cstheme="majorBidi"/>
          <w:bCs w:val="0"/>
          <w:color w:val="548DD4" w:themeColor="text2" w:themeTint="99"/>
          <w:sz w:val="22"/>
          <w:szCs w:val="24"/>
        </w:rPr>
        <w:t xml:space="preserve"> G</w:t>
      </w:r>
      <w:r w:rsidR="004F39E8" w:rsidRPr="00DF65E2">
        <w:rPr>
          <w:rFonts w:ascii="Times New Roman" w:hAnsi="Times New Roman" w:cstheme="majorBidi"/>
          <w:bCs w:val="0"/>
          <w:color w:val="548DD4" w:themeColor="text2" w:themeTint="99"/>
          <w:sz w:val="22"/>
          <w:szCs w:val="24"/>
        </w:rPr>
        <w:t xml:space="preserve">énéral, </w:t>
      </w:r>
      <w:r w:rsidR="004B1065">
        <w:rPr>
          <w:rFonts w:ascii="Times New Roman" w:hAnsi="Times New Roman" w:cstheme="majorBidi"/>
          <w:bCs w:val="0"/>
          <w:color w:val="548DD4" w:themeColor="text2" w:themeTint="99"/>
          <w:sz w:val="22"/>
          <w:szCs w:val="24"/>
        </w:rPr>
        <w:t>a</w:t>
      </w:r>
      <w:r w:rsidR="004F39E8" w:rsidRPr="00DF65E2">
        <w:rPr>
          <w:rFonts w:ascii="Times New Roman" w:hAnsi="Times New Roman" w:cstheme="majorBidi"/>
          <w:bCs w:val="0"/>
          <w:color w:val="548DD4" w:themeColor="text2" w:themeTint="99"/>
          <w:sz w:val="22"/>
          <w:szCs w:val="24"/>
        </w:rPr>
        <w:t xml:space="preserve">limentaire et </w:t>
      </w:r>
      <w:r w:rsidR="004B1065">
        <w:rPr>
          <w:rFonts w:ascii="Times New Roman" w:hAnsi="Times New Roman" w:cstheme="majorBidi"/>
          <w:bCs w:val="0"/>
          <w:color w:val="548DD4" w:themeColor="text2" w:themeTint="99"/>
          <w:sz w:val="22"/>
          <w:szCs w:val="24"/>
        </w:rPr>
        <w:t>n</w:t>
      </w:r>
      <w:r w:rsidR="004F39E8" w:rsidRPr="00DF65E2">
        <w:rPr>
          <w:rFonts w:ascii="Times New Roman" w:hAnsi="Times New Roman" w:cstheme="majorBidi"/>
          <w:bCs w:val="0"/>
          <w:color w:val="548DD4" w:themeColor="text2" w:themeTint="99"/>
          <w:sz w:val="22"/>
          <w:szCs w:val="24"/>
        </w:rPr>
        <w:t xml:space="preserve">on alimentaire de la ville de </w:t>
      </w:r>
      <w:r w:rsidR="004B1065">
        <w:rPr>
          <w:rFonts w:ascii="Times New Roman" w:hAnsi="Times New Roman" w:cstheme="majorBidi"/>
          <w:bCs w:val="0"/>
          <w:color w:val="548DD4" w:themeColor="text2" w:themeTint="99"/>
          <w:sz w:val="22"/>
          <w:szCs w:val="24"/>
        </w:rPr>
        <w:t>K</w:t>
      </w:r>
      <w:r w:rsidR="004F39E8" w:rsidRPr="00DF65E2">
        <w:rPr>
          <w:rFonts w:ascii="Times New Roman" w:hAnsi="Times New Roman" w:cstheme="majorBidi"/>
          <w:bCs w:val="0"/>
          <w:color w:val="548DD4" w:themeColor="text2" w:themeTint="99"/>
          <w:sz w:val="22"/>
          <w:szCs w:val="24"/>
        </w:rPr>
        <w:t>énitra - Année 20</w:t>
      </w:r>
      <w:r w:rsidR="00601279">
        <w:rPr>
          <w:rFonts w:ascii="Times New Roman" w:hAnsi="Times New Roman" w:cstheme="majorBidi"/>
          <w:bCs w:val="0"/>
          <w:color w:val="548DD4" w:themeColor="text2" w:themeTint="99"/>
          <w:sz w:val="22"/>
          <w:szCs w:val="24"/>
        </w:rPr>
        <w:t>20</w:t>
      </w:r>
      <w:r w:rsidR="004F39E8" w:rsidRPr="00DF65E2">
        <w:rPr>
          <w:rFonts w:ascii="Times New Roman" w:hAnsi="Times New Roman" w:cstheme="majorBidi"/>
          <w:bCs w:val="0"/>
          <w:color w:val="548DD4" w:themeColor="text2" w:themeTint="99"/>
          <w:sz w:val="22"/>
          <w:szCs w:val="24"/>
        </w:rPr>
        <w:t>-</w:t>
      </w:r>
      <w:bookmarkEnd w:id="29"/>
    </w:p>
    <w:p w:rsidR="006536C2" w:rsidRPr="007E04CF" w:rsidRDefault="00601279" w:rsidP="007E29B6">
      <w:pPr>
        <w:spacing w:before="240" w:after="0" w:line="240" w:lineRule="auto"/>
        <w:jc w:val="both"/>
        <w:rPr>
          <w:rFonts w:asciiTheme="majorBidi" w:hAnsiTheme="majorBidi" w:cstheme="majorBidi"/>
          <w:sz w:val="24"/>
          <w:szCs w:val="24"/>
        </w:rPr>
      </w:pPr>
      <w:r w:rsidRPr="00601279">
        <w:rPr>
          <w:rFonts w:asciiTheme="majorBidi" w:hAnsiTheme="majorBidi" w:cstheme="majorBidi"/>
          <w:noProof/>
          <w:sz w:val="24"/>
          <w:szCs w:val="24"/>
          <w:lang w:eastAsia="fr-FR"/>
        </w:rPr>
        <w:drawing>
          <wp:inline distT="0" distB="0" distL="0" distR="0">
            <wp:extent cx="5458460" cy="3314700"/>
            <wp:effectExtent l="19050" t="0" r="27940" b="0"/>
            <wp:docPr id="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3003" w:rsidRPr="00483003" w:rsidRDefault="00483003" w:rsidP="00483003">
      <w:pPr>
        <w:pStyle w:val="Lgende"/>
        <w:rPr>
          <w:rFonts w:ascii="Times New Roman" w:hAnsi="Times New Roman"/>
          <w:i/>
          <w:iCs/>
          <w:sz w:val="22"/>
        </w:rPr>
      </w:pPr>
      <w:r w:rsidRPr="00483003">
        <w:rPr>
          <w:rFonts w:ascii="Times New Roman" w:hAnsi="Times New Roman"/>
          <w:i/>
          <w:iCs/>
          <w:sz w:val="22"/>
        </w:rPr>
        <w:t>Source : HCP</w:t>
      </w:r>
    </w:p>
    <w:p w:rsidR="006F61F8" w:rsidRPr="004F39E8" w:rsidRDefault="006536C2" w:rsidP="00FA6CEF">
      <w:pPr>
        <w:pStyle w:val="Titre2"/>
        <w:rPr>
          <w:rFonts w:asciiTheme="majorBidi" w:hAnsiTheme="majorBidi"/>
          <w:color w:val="0070C0"/>
          <w:sz w:val="24"/>
          <w:szCs w:val="24"/>
        </w:rPr>
      </w:pPr>
      <w:bookmarkStart w:id="30" w:name="_Toc68443133"/>
      <w:r w:rsidRPr="004F39E8">
        <w:rPr>
          <w:rFonts w:asciiTheme="majorBidi" w:hAnsiTheme="majorBidi"/>
          <w:color w:val="0070C0"/>
        </w:rPr>
        <w:t>II</w:t>
      </w:r>
      <w:r w:rsidR="00586B08" w:rsidRPr="004F39E8">
        <w:rPr>
          <w:rFonts w:asciiTheme="majorBidi" w:hAnsiTheme="majorBidi"/>
          <w:color w:val="0070C0"/>
        </w:rPr>
        <w:t>I</w:t>
      </w:r>
      <w:r w:rsidR="006F61F8" w:rsidRPr="004F39E8">
        <w:rPr>
          <w:rFonts w:asciiTheme="majorBidi" w:hAnsiTheme="majorBidi"/>
          <w:color w:val="0070C0"/>
        </w:rPr>
        <w:t>-</w:t>
      </w:r>
      <w:r w:rsidRPr="004F39E8">
        <w:rPr>
          <w:rFonts w:asciiTheme="majorBidi" w:hAnsiTheme="majorBidi"/>
          <w:color w:val="0070C0"/>
        </w:rPr>
        <w:t>3</w:t>
      </w:r>
      <w:r w:rsidR="006F61F8" w:rsidRPr="004F39E8">
        <w:rPr>
          <w:rFonts w:asciiTheme="majorBidi" w:hAnsiTheme="majorBidi"/>
          <w:color w:val="0070C0"/>
        </w:rPr>
        <w:t xml:space="preserve"> Evolution de l’IPC par division, groupe et classe entre 201</w:t>
      </w:r>
      <w:r w:rsidR="00FA6CEF">
        <w:rPr>
          <w:rFonts w:asciiTheme="majorBidi" w:hAnsiTheme="majorBidi"/>
          <w:color w:val="0070C0"/>
        </w:rPr>
        <w:t>9</w:t>
      </w:r>
      <w:r w:rsidR="006F61F8" w:rsidRPr="004F39E8">
        <w:rPr>
          <w:rFonts w:asciiTheme="majorBidi" w:hAnsiTheme="majorBidi"/>
          <w:color w:val="0070C0"/>
        </w:rPr>
        <w:t xml:space="preserve"> et 20</w:t>
      </w:r>
      <w:r w:rsidR="00FA6CEF">
        <w:rPr>
          <w:rFonts w:asciiTheme="majorBidi" w:hAnsiTheme="majorBidi"/>
          <w:color w:val="0070C0"/>
        </w:rPr>
        <w:t>20</w:t>
      </w:r>
      <w:bookmarkEnd w:id="30"/>
    </w:p>
    <w:p w:rsidR="00364F79" w:rsidRDefault="00793797" w:rsidP="00BB36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Au terme de l’année 20</w:t>
      </w:r>
      <w:r w:rsidR="00B43C18">
        <w:rPr>
          <w:rFonts w:asciiTheme="majorBidi" w:hAnsiTheme="majorBidi" w:cstheme="majorBidi"/>
          <w:sz w:val="24"/>
          <w:szCs w:val="24"/>
        </w:rPr>
        <w:t>20</w:t>
      </w:r>
      <w:r>
        <w:rPr>
          <w:rFonts w:asciiTheme="majorBidi" w:hAnsiTheme="majorBidi" w:cstheme="majorBidi"/>
          <w:sz w:val="24"/>
          <w:szCs w:val="24"/>
        </w:rPr>
        <w:t>,</w:t>
      </w:r>
      <w:r w:rsidR="007E29B6">
        <w:rPr>
          <w:rFonts w:asciiTheme="majorBidi" w:hAnsiTheme="majorBidi" w:cstheme="majorBidi"/>
          <w:sz w:val="24"/>
          <w:szCs w:val="24"/>
        </w:rPr>
        <w:t xml:space="preserve"> l’IPC général de la ville de Ké</w:t>
      </w:r>
      <w:r>
        <w:rPr>
          <w:rFonts w:asciiTheme="majorBidi" w:hAnsiTheme="majorBidi" w:cstheme="majorBidi"/>
          <w:sz w:val="24"/>
          <w:szCs w:val="24"/>
        </w:rPr>
        <w:t>nitra a atteint le niveau</w:t>
      </w:r>
      <w:r w:rsidR="006C0B65">
        <w:rPr>
          <w:rFonts w:asciiTheme="majorBidi" w:hAnsiTheme="majorBidi" w:cstheme="majorBidi"/>
          <w:sz w:val="24"/>
          <w:szCs w:val="24"/>
        </w:rPr>
        <w:t xml:space="preserve"> moyen de </w:t>
      </w:r>
      <w:r>
        <w:rPr>
          <w:rFonts w:asciiTheme="majorBidi" w:hAnsiTheme="majorBidi" w:cstheme="majorBidi"/>
          <w:sz w:val="24"/>
          <w:szCs w:val="24"/>
        </w:rPr>
        <w:t xml:space="preserve"> 1</w:t>
      </w:r>
      <w:r w:rsidR="00B43C18">
        <w:rPr>
          <w:rFonts w:asciiTheme="majorBidi" w:hAnsiTheme="majorBidi" w:cstheme="majorBidi"/>
          <w:sz w:val="24"/>
          <w:szCs w:val="24"/>
        </w:rPr>
        <w:t>01</w:t>
      </w:r>
      <w:r w:rsidR="00BB3687">
        <w:rPr>
          <w:rFonts w:asciiTheme="majorBidi" w:hAnsiTheme="majorBidi" w:cstheme="majorBidi"/>
          <w:sz w:val="24"/>
          <w:szCs w:val="24"/>
        </w:rPr>
        <w:t>,</w:t>
      </w:r>
      <w:r w:rsidR="00B43C18">
        <w:rPr>
          <w:rFonts w:asciiTheme="majorBidi" w:hAnsiTheme="majorBidi" w:cstheme="majorBidi"/>
          <w:sz w:val="24"/>
          <w:szCs w:val="24"/>
        </w:rPr>
        <w:t>6</w:t>
      </w:r>
      <w:r>
        <w:rPr>
          <w:rFonts w:asciiTheme="majorBidi" w:hAnsiTheme="majorBidi" w:cstheme="majorBidi"/>
          <w:sz w:val="24"/>
          <w:szCs w:val="24"/>
        </w:rPr>
        <w:t>, soit une hausse</w:t>
      </w:r>
      <w:r w:rsidR="0042286B">
        <w:rPr>
          <w:rFonts w:asciiTheme="majorBidi" w:hAnsiTheme="majorBidi" w:cstheme="majorBidi"/>
          <w:sz w:val="24"/>
          <w:szCs w:val="24"/>
        </w:rPr>
        <w:t xml:space="preserve"> </w:t>
      </w:r>
      <w:r w:rsidR="0072565D">
        <w:rPr>
          <w:rFonts w:asciiTheme="majorBidi" w:hAnsiTheme="majorBidi" w:cstheme="majorBidi"/>
          <w:sz w:val="24"/>
          <w:szCs w:val="24"/>
        </w:rPr>
        <w:t xml:space="preserve">de </w:t>
      </w:r>
      <w:r w:rsidR="005131BA">
        <w:rPr>
          <w:rFonts w:asciiTheme="majorBidi" w:hAnsiTheme="majorBidi" w:cstheme="majorBidi"/>
          <w:sz w:val="24"/>
          <w:szCs w:val="24"/>
        </w:rPr>
        <w:t>0</w:t>
      </w:r>
      <w:r>
        <w:rPr>
          <w:rFonts w:asciiTheme="majorBidi" w:hAnsiTheme="majorBidi" w:cstheme="majorBidi"/>
          <w:sz w:val="24"/>
          <w:szCs w:val="24"/>
        </w:rPr>
        <w:t>,</w:t>
      </w:r>
      <w:r w:rsidR="0042286B">
        <w:rPr>
          <w:rFonts w:asciiTheme="majorBidi" w:hAnsiTheme="majorBidi" w:cstheme="majorBidi"/>
          <w:sz w:val="24"/>
          <w:szCs w:val="24"/>
        </w:rPr>
        <w:t>1</w:t>
      </w:r>
      <w:r>
        <w:rPr>
          <w:rFonts w:asciiTheme="majorBidi" w:hAnsiTheme="majorBidi" w:cstheme="majorBidi"/>
          <w:sz w:val="24"/>
          <w:szCs w:val="24"/>
        </w:rPr>
        <w:t>%</w:t>
      </w:r>
      <w:r w:rsidR="00695CE7">
        <w:rPr>
          <w:rFonts w:asciiTheme="majorBidi" w:hAnsiTheme="majorBidi" w:cstheme="majorBidi"/>
          <w:sz w:val="24"/>
          <w:szCs w:val="24"/>
        </w:rPr>
        <w:t xml:space="preserve"> par rapport à l’année 2019,</w:t>
      </w:r>
      <w:r>
        <w:rPr>
          <w:rFonts w:asciiTheme="majorBidi" w:hAnsiTheme="majorBidi" w:cstheme="majorBidi"/>
          <w:sz w:val="24"/>
          <w:szCs w:val="24"/>
        </w:rPr>
        <w:t xml:space="preserve"> </w:t>
      </w:r>
      <w:r w:rsidR="00B77F31">
        <w:rPr>
          <w:rFonts w:asciiTheme="majorBidi" w:hAnsiTheme="majorBidi" w:cstheme="majorBidi"/>
          <w:sz w:val="24"/>
          <w:szCs w:val="24"/>
        </w:rPr>
        <w:t>contre</w:t>
      </w:r>
      <w:r w:rsidR="005131BA">
        <w:rPr>
          <w:rFonts w:asciiTheme="majorBidi" w:hAnsiTheme="majorBidi" w:cstheme="majorBidi"/>
          <w:sz w:val="24"/>
          <w:szCs w:val="24"/>
        </w:rPr>
        <w:t xml:space="preserve"> </w:t>
      </w:r>
      <w:r>
        <w:rPr>
          <w:rFonts w:asciiTheme="majorBidi" w:hAnsiTheme="majorBidi" w:cstheme="majorBidi"/>
          <w:sz w:val="24"/>
          <w:szCs w:val="24"/>
        </w:rPr>
        <w:t>0,</w:t>
      </w:r>
      <w:r w:rsidR="00B43C18">
        <w:rPr>
          <w:rFonts w:asciiTheme="majorBidi" w:hAnsiTheme="majorBidi" w:cstheme="majorBidi"/>
          <w:sz w:val="24"/>
          <w:szCs w:val="24"/>
        </w:rPr>
        <w:t>6</w:t>
      </w:r>
      <w:r w:rsidR="00B77F31">
        <w:rPr>
          <w:rFonts w:asciiTheme="majorBidi" w:hAnsiTheme="majorBidi" w:cstheme="majorBidi"/>
          <w:sz w:val="24"/>
          <w:szCs w:val="24"/>
        </w:rPr>
        <w:t>% pour  l’indice  national</w:t>
      </w:r>
      <w:r>
        <w:rPr>
          <w:rFonts w:asciiTheme="majorBidi" w:hAnsiTheme="majorBidi" w:cstheme="majorBidi"/>
          <w:sz w:val="24"/>
          <w:szCs w:val="24"/>
        </w:rPr>
        <w:t>.</w:t>
      </w:r>
    </w:p>
    <w:p w:rsidR="00731117" w:rsidRDefault="00731117" w:rsidP="00BB36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Ce </w:t>
      </w:r>
      <w:r w:rsidR="00FC2599">
        <w:rPr>
          <w:rFonts w:asciiTheme="majorBidi" w:hAnsiTheme="majorBidi" w:cstheme="majorBidi"/>
          <w:sz w:val="24"/>
          <w:szCs w:val="24"/>
        </w:rPr>
        <w:t xml:space="preserve">léger </w:t>
      </w:r>
      <w:r>
        <w:rPr>
          <w:rFonts w:asciiTheme="majorBidi" w:hAnsiTheme="majorBidi" w:cstheme="majorBidi"/>
          <w:sz w:val="24"/>
          <w:szCs w:val="24"/>
        </w:rPr>
        <w:t>nivea</w:t>
      </w:r>
      <w:r w:rsidR="0042286B">
        <w:rPr>
          <w:rFonts w:asciiTheme="majorBidi" w:hAnsiTheme="majorBidi" w:cstheme="majorBidi"/>
          <w:sz w:val="24"/>
          <w:szCs w:val="24"/>
        </w:rPr>
        <w:t>u d’inflation se traduit par une hauss</w:t>
      </w:r>
      <w:r>
        <w:rPr>
          <w:rFonts w:asciiTheme="majorBidi" w:hAnsiTheme="majorBidi" w:cstheme="majorBidi"/>
          <w:sz w:val="24"/>
          <w:szCs w:val="24"/>
        </w:rPr>
        <w:t xml:space="preserve">e de </w:t>
      </w:r>
      <w:r w:rsidR="0042286B">
        <w:rPr>
          <w:rFonts w:asciiTheme="majorBidi" w:hAnsiTheme="majorBidi" w:cstheme="majorBidi"/>
          <w:sz w:val="24"/>
          <w:szCs w:val="24"/>
        </w:rPr>
        <w:t xml:space="preserve">près de 0,1% aussi bien de </w:t>
      </w:r>
      <w:r>
        <w:rPr>
          <w:rFonts w:asciiTheme="majorBidi" w:hAnsiTheme="majorBidi" w:cstheme="majorBidi"/>
          <w:sz w:val="24"/>
          <w:szCs w:val="24"/>
        </w:rPr>
        <w:t>l’indice des produits alimentaire</w:t>
      </w:r>
      <w:r w:rsidR="00304496">
        <w:rPr>
          <w:rFonts w:asciiTheme="majorBidi" w:hAnsiTheme="majorBidi" w:cstheme="majorBidi"/>
          <w:sz w:val="24"/>
          <w:szCs w:val="24"/>
        </w:rPr>
        <w:t>s</w:t>
      </w:r>
      <w:r>
        <w:rPr>
          <w:rFonts w:asciiTheme="majorBidi" w:hAnsiTheme="majorBidi" w:cstheme="majorBidi"/>
          <w:sz w:val="24"/>
          <w:szCs w:val="24"/>
        </w:rPr>
        <w:t xml:space="preserve"> </w:t>
      </w:r>
      <w:r w:rsidR="0042286B">
        <w:rPr>
          <w:rFonts w:asciiTheme="majorBidi" w:hAnsiTheme="majorBidi" w:cstheme="majorBidi"/>
          <w:sz w:val="24"/>
          <w:szCs w:val="24"/>
        </w:rPr>
        <w:t>que</w:t>
      </w:r>
      <w:r w:rsidR="005131BA">
        <w:rPr>
          <w:rFonts w:asciiTheme="majorBidi" w:hAnsiTheme="majorBidi" w:cstheme="majorBidi"/>
          <w:sz w:val="24"/>
          <w:szCs w:val="24"/>
        </w:rPr>
        <w:t xml:space="preserve"> </w:t>
      </w:r>
      <w:r>
        <w:rPr>
          <w:rFonts w:asciiTheme="majorBidi" w:hAnsiTheme="majorBidi" w:cstheme="majorBidi"/>
          <w:sz w:val="24"/>
          <w:szCs w:val="24"/>
        </w:rPr>
        <w:t>celui des produits non alimentaires.</w:t>
      </w:r>
    </w:p>
    <w:p w:rsidR="0083379B" w:rsidRDefault="00BB3687" w:rsidP="007E29B6">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Parmi les douze divisions de l’indice</w:t>
      </w:r>
      <w:r w:rsidR="0072565D">
        <w:rPr>
          <w:rFonts w:asciiTheme="majorBidi" w:hAnsiTheme="majorBidi" w:cstheme="majorBidi"/>
          <w:sz w:val="24"/>
          <w:szCs w:val="24"/>
        </w:rPr>
        <w:t xml:space="preserve"> de la ville de Kénitra</w:t>
      </w:r>
      <w:r>
        <w:rPr>
          <w:rFonts w:asciiTheme="majorBidi" w:hAnsiTheme="majorBidi" w:cstheme="majorBidi"/>
          <w:sz w:val="24"/>
          <w:szCs w:val="24"/>
        </w:rPr>
        <w:t xml:space="preserve">, </w:t>
      </w:r>
      <w:r w:rsidR="0072565D">
        <w:rPr>
          <w:rFonts w:asciiTheme="majorBidi" w:hAnsiTheme="majorBidi" w:cstheme="majorBidi"/>
          <w:sz w:val="24"/>
          <w:szCs w:val="24"/>
        </w:rPr>
        <w:t>sep</w:t>
      </w:r>
      <w:r>
        <w:rPr>
          <w:rFonts w:asciiTheme="majorBidi" w:hAnsiTheme="majorBidi" w:cstheme="majorBidi"/>
          <w:sz w:val="24"/>
          <w:szCs w:val="24"/>
        </w:rPr>
        <w:t>t d’entre elles ont connu des hausses de prix entre 201</w:t>
      </w:r>
      <w:r w:rsidR="0072565D">
        <w:rPr>
          <w:rFonts w:asciiTheme="majorBidi" w:hAnsiTheme="majorBidi" w:cstheme="majorBidi"/>
          <w:sz w:val="24"/>
          <w:szCs w:val="24"/>
        </w:rPr>
        <w:t>9</w:t>
      </w:r>
      <w:r>
        <w:rPr>
          <w:rFonts w:asciiTheme="majorBidi" w:hAnsiTheme="majorBidi" w:cstheme="majorBidi"/>
          <w:sz w:val="24"/>
          <w:szCs w:val="24"/>
        </w:rPr>
        <w:t xml:space="preserve"> et 20</w:t>
      </w:r>
      <w:r w:rsidR="0072565D">
        <w:rPr>
          <w:rFonts w:asciiTheme="majorBidi" w:hAnsiTheme="majorBidi" w:cstheme="majorBidi"/>
          <w:sz w:val="24"/>
          <w:szCs w:val="24"/>
        </w:rPr>
        <w:t>20</w:t>
      </w:r>
      <w:r>
        <w:rPr>
          <w:rFonts w:asciiTheme="majorBidi" w:hAnsiTheme="majorBidi" w:cstheme="majorBidi"/>
          <w:sz w:val="24"/>
          <w:szCs w:val="24"/>
        </w:rPr>
        <w:t>,</w:t>
      </w:r>
      <w:r w:rsidR="0072565D">
        <w:rPr>
          <w:rFonts w:asciiTheme="majorBidi" w:hAnsiTheme="majorBidi" w:cstheme="majorBidi"/>
          <w:sz w:val="24"/>
          <w:szCs w:val="24"/>
        </w:rPr>
        <w:t xml:space="preserve"> allant de 0,04% pour</w:t>
      </w:r>
      <w:r>
        <w:rPr>
          <w:rFonts w:asciiTheme="majorBidi" w:hAnsiTheme="majorBidi" w:cstheme="majorBidi"/>
          <w:sz w:val="24"/>
          <w:szCs w:val="24"/>
        </w:rPr>
        <w:t xml:space="preserve"> les </w:t>
      </w:r>
      <w:r w:rsidR="00764ECF">
        <w:rPr>
          <w:rFonts w:asciiTheme="majorBidi" w:hAnsiTheme="majorBidi" w:cstheme="majorBidi"/>
          <w:sz w:val="24"/>
          <w:szCs w:val="24"/>
        </w:rPr>
        <w:t>"</w:t>
      </w:r>
      <w:r w:rsidR="0072565D">
        <w:rPr>
          <w:rFonts w:asciiTheme="majorBidi" w:hAnsiTheme="majorBidi" w:cstheme="majorBidi"/>
          <w:sz w:val="24"/>
          <w:szCs w:val="24"/>
        </w:rPr>
        <w:t xml:space="preserve">Produits alimentaires et </w:t>
      </w:r>
      <w:r w:rsidR="00764ECF">
        <w:rPr>
          <w:rFonts w:asciiTheme="majorBidi" w:hAnsiTheme="majorBidi" w:cstheme="majorBidi"/>
          <w:sz w:val="24"/>
          <w:szCs w:val="24"/>
        </w:rPr>
        <w:t>B</w:t>
      </w:r>
      <w:r>
        <w:rPr>
          <w:rFonts w:asciiTheme="majorBidi" w:hAnsiTheme="majorBidi" w:cstheme="majorBidi"/>
          <w:sz w:val="24"/>
          <w:szCs w:val="24"/>
        </w:rPr>
        <w:t xml:space="preserve">oissons </w:t>
      </w:r>
      <w:r w:rsidR="0072565D">
        <w:rPr>
          <w:rFonts w:asciiTheme="majorBidi" w:hAnsiTheme="majorBidi" w:cstheme="majorBidi"/>
          <w:sz w:val="24"/>
          <w:szCs w:val="24"/>
        </w:rPr>
        <w:t xml:space="preserve">non </w:t>
      </w:r>
      <w:r w:rsidR="007E29B6">
        <w:rPr>
          <w:rFonts w:asciiTheme="majorBidi" w:hAnsiTheme="majorBidi" w:cstheme="majorBidi"/>
          <w:sz w:val="24"/>
          <w:szCs w:val="24"/>
        </w:rPr>
        <w:t>A</w:t>
      </w:r>
      <w:r>
        <w:rPr>
          <w:rFonts w:asciiTheme="majorBidi" w:hAnsiTheme="majorBidi" w:cstheme="majorBidi"/>
          <w:sz w:val="24"/>
          <w:szCs w:val="24"/>
        </w:rPr>
        <w:t>lcoolisées</w:t>
      </w:r>
      <w:r w:rsidR="00764ECF">
        <w:rPr>
          <w:rFonts w:asciiTheme="majorBidi" w:hAnsiTheme="majorBidi" w:cstheme="majorBidi"/>
          <w:sz w:val="24"/>
          <w:szCs w:val="24"/>
        </w:rPr>
        <w:t>"</w:t>
      </w:r>
      <w:r>
        <w:rPr>
          <w:rFonts w:asciiTheme="majorBidi" w:hAnsiTheme="majorBidi" w:cstheme="majorBidi"/>
          <w:sz w:val="24"/>
          <w:szCs w:val="24"/>
        </w:rPr>
        <w:t xml:space="preserve"> </w:t>
      </w:r>
      <w:r w:rsidR="0072565D">
        <w:rPr>
          <w:rFonts w:asciiTheme="majorBidi" w:hAnsiTheme="majorBidi" w:cstheme="majorBidi"/>
          <w:sz w:val="24"/>
          <w:szCs w:val="24"/>
        </w:rPr>
        <w:t xml:space="preserve">à 1,5% pour les </w:t>
      </w:r>
      <w:r w:rsidR="0083379B">
        <w:rPr>
          <w:rFonts w:asciiTheme="majorBidi" w:hAnsiTheme="majorBidi" w:cstheme="majorBidi"/>
          <w:sz w:val="24"/>
          <w:szCs w:val="24"/>
        </w:rPr>
        <w:t>"</w:t>
      </w:r>
      <w:r w:rsidR="0072565D">
        <w:rPr>
          <w:rFonts w:asciiTheme="majorBidi" w:hAnsiTheme="majorBidi" w:cstheme="majorBidi"/>
          <w:sz w:val="24"/>
          <w:szCs w:val="24"/>
        </w:rPr>
        <w:t>Biens et Services divers</w:t>
      </w:r>
      <w:r w:rsidR="0083379B">
        <w:rPr>
          <w:rFonts w:asciiTheme="majorBidi" w:hAnsiTheme="majorBidi" w:cstheme="majorBidi"/>
          <w:sz w:val="24"/>
          <w:szCs w:val="24"/>
        </w:rPr>
        <w:t xml:space="preserve">", tandis que les divisions concernées par la baisse sont : la </w:t>
      </w:r>
      <w:r w:rsidR="003834F1">
        <w:rPr>
          <w:rFonts w:asciiTheme="majorBidi" w:hAnsiTheme="majorBidi" w:cstheme="majorBidi"/>
          <w:sz w:val="24"/>
          <w:szCs w:val="24"/>
        </w:rPr>
        <w:t>"</w:t>
      </w:r>
      <w:r w:rsidR="0083379B">
        <w:rPr>
          <w:rFonts w:asciiTheme="majorBidi" w:hAnsiTheme="majorBidi" w:cstheme="majorBidi"/>
          <w:sz w:val="24"/>
          <w:szCs w:val="24"/>
        </w:rPr>
        <w:t>Santé</w:t>
      </w:r>
      <w:r w:rsidR="003834F1">
        <w:rPr>
          <w:rFonts w:asciiTheme="majorBidi" w:hAnsiTheme="majorBidi" w:cstheme="majorBidi"/>
          <w:sz w:val="24"/>
          <w:szCs w:val="24"/>
        </w:rPr>
        <w:t>"</w:t>
      </w:r>
      <w:r w:rsidR="0083379B">
        <w:rPr>
          <w:rFonts w:asciiTheme="majorBidi" w:hAnsiTheme="majorBidi" w:cstheme="majorBidi"/>
          <w:sz w:val="24"/>
          <w:szCs w:val="24"/>
        </w:rPr>
        <w:t xml:space="preserve"> avec (-0,3%), les </w:t>
      </w:r>
      <w:r w:rsidR="003834F1">
        <w:rPr>
          <w:rFonts w:asciiTheme="majorBidi" w:hAnsiTheme="majorBidi" w:cstheme="majorBidi"/>
          <w:sz w:val="24"/>
          <w:szCs w:val="24"/>
        </w:rPr>
        <w:t>"</w:t>
      </w:r>
      <w:r w:rsidR="0083379B">
        <w:rPr>
          <w:rFonts w:asciiTheme="majorBidi" w:hAnsiTheme="majorBidi" w:cstheme="majorBidi"/>
          <w:sz w:val="24"/>
          <w:szCs w:val="24"/>
        </w:rPr>
        <w:t>Transports</w:t>
      </w:r>
      <w:r w:rsidR="003834F1">
        <w:rPr>
          <w:rFonts w:asciiTheme="majorBidi" w:hAnsiTheme="majorBidi" w:cstheme="majorBidi"/>
          <w:sz w:val="24"/>
          <w:szCs w:val="24"/>
        </w:rPr>
        <w:t>"</w:t>
      </w:r>
      <w:r w:rsidR="0083379B">
        <w:rPr>
          <w:rFonts w:asciiTheme="majorBidi" w:hAnsiTheme="majorBidi" w:cstheme="majorBidi"/>
          <w:sz w:val="24"/>
          <w:szCs w:val="24"/>
        </w:rPr>
        <w:t xml:space="preserve"> avec (-1,8%), les </w:t>
      </w:r>
      <w:r w:rsidR="003834F1">
        <w:rPr>
          <w:rFonts w:asciiTheme="majorBidi" w:hAnsiTheme="majorBidi" w:cstheme="majorBidi"/>
          <w:sz w:val="24"/>
          <w:szCs w:val="24"/>
        </w:rPr>
        <w:t>"</w:t>
      </w:r>
      <w:r w:rsidR="0083379B">
        <w:rPr>
          <w:rFonts w:asciiTheme="majorBidi" w:hAnsiTheme="majorBidi" w:cstheme="majorBidi"/>
          <w:sz w:val="24"/>
          <w:szCs w:val="24"/>
        </w:rPr>
        <w:t>Communications</w:t>
      </w:r>
      <w:r w:rsidR="003834F1">
        <w:rPr>
          <w:rFonts w:asciiTheme="majorBidi" w:hAnsiTheme="majorBidi" w:cstheme="majorBidi"/>
          <w:sz w:val="24"/>
          <w:szCs w:val="24"/>
        </w:rPr>
        <w:t>"</w:t>
      </w:r>
      <w:r w:rsidR="0083379B">
        <w:rPr>
          <w:rFonts w:asciiTheme="majorBidi" w:hAnsiTheme="majorBidi" w:cstheme="majorBidi"/>
          <w:sz w:val="24"/>
          <w:szCs w:val="24"/>
        </w:rPr>
        <w:t xml:space="preserve"> avec (-0,8%), </w:t>
      </w:r>
      <w:r w:rsidR="003834F1">
        <w:rPr>
          <w:rFonts w:asciiTheme="majorBidi" w:hAnsiTheme="majorBidi" w:cstheme="majorBidi"/>
          <w:sz w:val="24"/>
          <w:szCs w:val="24"/>
        </w:rPr>
        <w:t>"</w:t>
      </w:r>
      <w:r w:rsidR="0083379B">
        <w:rPr>
          <w:rFonts w:asciiTheme="majorBidi" w:hAnsiTheme="majorBidi" w:cstheme="majorBidi"/>
          <w:sz w:val="24"/>
          <w:szCs w:val="24"/>
        </w:rPr>
        <w:t>Loisirs et Cultures</w:t>
      </w:r>
      <w:r w:rsidR="003834F1">
        <w:rPr>
          <w:rFonts w:asciiTheme="majorBidi" w:hAnsiTheme="majorBidi" w:cstheme="majorBidi"/>
          <w:sz w:val="24"/>
          <w:szCs w:val="24"/>
        </w:rPr>
        <w:t>"</w:t>
      </w:r>
      <w:r w:rsidR="0083379B">
        <w:rPr>
          <w:rFonts w:asciiTheme="majorBidi" w:hAnsiTheme="majorBidi" w:cstheme="majorBidi"/>
          <w:sz w:val="24"/>
          <w:szCs w:val="24"/>
        </w:rPr>
        <w:t xml:space="preserve"> avec (-3,8%) et </w:t>
      </w:r>
      <w:r w:rsidR="003834F1">
        <w:rPr>
          <w:rFonts w:asciiTheme="majorBidi" w:hAnsiTheme="majorBidi" w:cstheme="majorBidi"/>
          <w:sz w:val="24"/>
          <w:szCs w:val="24"/>
        </w:rPr>
        <w:t>"</w:t>
      </w:r>
      <w:r w:rsidR="0083379B">
        <w:rPr>
          <w:rFonts w:asciiTheme="majorBidi" w:hAnsiTheme="majorBidi" w:cstheme="majorBidi"/>
          <w:sz w:val="24"/>
          <w:szCs w:val="24"/>
        </w:rPr>
        <w:t>l’Enseignement</w:t>
      </w:r>
      <w:r w:rsidR="003834F1">
        <w:rPr>
          <w:rFonts w:asciiTheme="majorBidi" w:hAnsiTheme="majorBidi" w:cstheme="majorBidi"/>
          <w:sz w:val="24"/>
          <w:szCs w:val="24"/>
        </w:rPr>
        <w:t>"</w:t>
      </w:r>
      <w:r w:rsidR="0083379B">
        <w:rPr>
          <w:rFonts w:asciiTheme="majorBidi" w:hAnsiTheme="majorBidi" w:cstheme="majorBidi"/>
          <w:sz w:val="24"/>
          <w:szCs w:val="24"/>
        </w:rPr>
        <w:t xml:space="preserve"> avec (-0,1%).</w:t>
      </w:r>
    </w:p>
    <w:p w:rsidR="00BB3687" w:rsidRDefault="0083379B" w:rsidP="007E29B6">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Pour l’ensemble des dix-huit villes, seules trois divisions ont connu une décélération des prix entre 2019 et 2020. Il s’agit des </w:t>
      </w:r>
      <w:r w:rsidR="003834F1">
        <w:rPr>
          <w:rFonts w:asciiTheme="majorBidi" w:hAnsiTheme="majorBidi" w:cstheme="majorBidi"/>
          <w:sz w:val="24"/>
          <w:szCs w:val="24"/>
        </w:rPr>
        <w:t>"</w:t>
      </w:r>
      <w:r>
        <w:rPr>
          <w:rFonts w:asciiTheme="majorBidi" w:hAnsiTheme="majorBidi" w:cstheme="majorBidi"/>
          <w:sz w:val="24"/>
          <w:szCs w:val="24"/>
        </w:rPr>
        <w:t>Transports</w:t>
      </w:r>
      <w:r w:rsidR="003834F1">
        <w:rPr>
          <w:rFonts w:asciiTheme="majorBidi" w:hAnsiTheme="majorBidi" w:cstheme="majorBidi"/>
          <w:sz w:val="24"/>
          <w:szCs w:val="24"/>
        </w:rPr>
        <w:t>"</w:t>
      </w:r>
      <w:r>
        <w:rPr>
          <w:rFonts w:asciiTheme="majorBidi" w:hAnsiTheme="majorBidi" w:cstheme="majorBidi"/>
          <w:sz w:val="24"/>
          <w:szCs w:val="24"/>
        </w:rPr>
        <w:t xml:space="preserve"> avec (-1,5%), des </w:t>
      </w:r>
      <w:r w:rsidR="003834F1">
        <w:rPr>
          <w:rFonts w:asciiTheme="majorBidi" w:hAnsiTheme="majorBidi" w:cstheme="majorBidi"/>
          <w:sz w:val="24"/>
          <w:szCs w:val="24"/>
        </w:rPr>
        <w:t>"</w:t>
      </w:r>
      <w:r>
        <w:rPr>
          <w:rFonts w:asciiTheme="majorBidi" w:hAnsiTheme="majorBidi" w:cstheme="majorBidi"/>
          <w:sz w:val="24"/>
          <w:szCs w:val="24"/>
        </w:rPr>
        <w:t>Communications</w:t>
      </w:r>
      <w:r w:rsidR="003834F1">
        <w:rPr>
          <w:rFonts w:asciiTheme="majorBidi" w:hAnsiTheme="majorBidi" w:cstheme="majorBidi"/>
          <w:sz w:val="24"/>
          <w:szCs w:val="24"/>
        </w:rPr>
        <w:t>"</w:t>
      </w:r>
      <w:r>
        <w:rPr>
          <w:rFonts w:asciiTheme="majorBidi" w:hAnsiTheme="majorBidi" w:cstheme="majorBidi"/>
          <w:sz w:val="24"/>
          <w:szCs w:val="24"/>
        </w:rPr>
        <w:t xml:space="preserve"> avec (-0,3%)</w:t>
      </w:r>
      <w:r w:rsidR="003834F1">
        <w:rPr>
          <w:rFonts w:asciiTheme="majorBidi" w:hAnsiTheme="majorBidi" w:cstheme="majorBidi"/>
          <w:sz w:val="24"/>
          <w:szCs w:val="24"/>
        </w:rPr>
        <w:t xml:space="preserve"> et des "Loisirs et Cultures" avec (-0,9%).</w:t>
      </w:r>
    </w:p>
    <w:p w:rsidR="007E2973" w:rsidRDefault="00DF65E2" w:rsidP="00FA6CEF">
      <w:pPr>
        <w:pStyle w:val="Lgende"/>
        <w:rPr>
          <w:rFonts w:asciiTheme="majorBidi" w:eastAsia="Times New Roman" w:hAnsiTheme="majorBidi" w:cstheme="majorBidi"/>
          <w:sz w:val="22"/>
          <w:szCs w:val="22"/>
          <w:lang w:eastAsia="fr-FR"/>
        </w:rPr>
      </w:pPr>
      <w:bookmarkStart w:id="31" w:name="_Toc68436332"/>
      <w:r w:rsidRPr="00181E8D">
        <w:rPr>
          <w:rFonts w:asciiTheme="majorBidi" w:hAnsiTheme="majorBidi" w:cstheme="majorBidi"/>
          <w:sz w:val="22"/>
          <w:szCs w:val="22"/>
        </w:rPr>
        <w:t xml:space="preserve">Tableau </w:t>
      </w:r>
      <w:r w:rsidR="002966E3" w:rsidRPr="00181E8D">
        <w:rPr>
          <w:rFonts w:asciiTheme="majorBidi" w:hAnsiTheme="majorBidi" w:cstheme="majorBidi"/>
          <w:sz w:val="22"/>
          <w:szCs w:val="22"/>
        </w:rPr>
        <w:fldChar w:fldCharType="begin"/>
      </w:r>
      <w:r w:rsidRPr="00181E8D">
        <w:rPr>
          <w:rFonts w:asciiTheme="majorBidi" w:hAnsiTheme="majorBidi" w:cstheme="majorBidi"/>
          <w:sz w:val="22"/>
          <w:szCs w:val="22"/>
        </w:rPr>
        <w:instrText xml:space="preserve"> SEQ Tableau \* ARABIC </w:instrText>
      </w:r>
      <w:r w:rsidR="002966E3" w:rsidRPr="00181E8D">
        <w:rPr>
          <w:rFonts w:asciiTheme="majorBidi" w:hAnsiTheme="majorBidi" w:cstheme="majorBidi"/>
          <w:sz w:val="22"/>
          <w:szCs w:val="22"/>
        </w:rPr>
        <w:fldChar w:fldCharType="separate"/>
      </w:r>
      <w:r w:rsidR="00794CED">
        <w:rPr>
          <w:rFonts w:asciiTheme="majorBidi" w:hAnsiTheme="majorBidi" w:cstheme="majorBidi"/>
          <w:noProof/>
          <w:sz w:val="22"/>
          <w:szCs w:val="22"/>
        </w:rPr>
        <w:t>6</w:t>
      </w:r>
      <w:r w:rsidR="002966E3" w:rsidRPr="00181E8D">
        <w:rPr>
          <w:rFonts w:asciiTheme="majorBidi" w:hAnsiTheme="majorBidi" w:cstheme="majorBidi"/>
          <w:sz w:val="22"/>
          <w:szCs w:val="22"/>
        </w:rPr>
        <w:fldChar w:fldCharType="end"/>
      </w:r>
      <w:r w:rsidRPr="00181E8D">
        <w:rPr>
          <w:rFonts w:asciiTheme="majorBidi" w:hAnsiTheme="majorBidi" w:cstheme="majorBidi"/>
          <w:sz w:val="22"/>
          <w:szCs w:val="22"/>
        </w:rPr>
        <w:t xml:space="preserve"> : </w:t>
      </w:r>
      <w:r w:rsidR="007E2973" w:rsidRPr="00181E8D">
        <w:rPr>
          <w:rFonts w:asciiTheme="majorBidi" w:eastAsia="Times New Roman" w:hAnsiTheme="majorBidi" w:cstheme="majorBidi"/>
          <w:sz w:val="22"/>
          <w:szCs w:val="22"/>
          <w:lang w:eastAsia="fr-FR"/>
        </w:rPr>
        <w:t>Evolution de l'IPC (Base 100: 20</w:t>
      </w:r>
      <w:r w:rsidR="00FA6CEF">
        <w:rPr>
          <w:rFonts w:asciiTheme="majorBidi" w:eastAsia="Times New Roman" w:hAnsiTheme="majorBidi" w:cstheme="majorBidi"/>
          <w:sz w:val="22"/>
          <w:szCs w:val="22"/>
          <w:lang w:eastAsia="fr-FR"/>
        </w:rPr>
        <w:t>17</w:t>
      </w:r>
      <w:r w:rsidR="007E2973" w:rsidRPr="00181E8D">
        <w:rPr>
          <w:rFonts w:asciiTheme="majorBidi" w:eastAsia="Times New Roman" w:hAnsiTheme="majorBidi" w:cstheme="majorBidi"/>
          <w:sz w:val="22"/>
          <w:szCs w:val="22"/>
          <w:lang w:eastAsia="fr-FR"/>
        </w:rPr>
        <w:t>) par division entre 201</w:t>
      </w:r>
      <w:r w:rsidR="00FA6CEF">
        <w:rPr>
          <w:rFonts w:asciiTheme="majorBidi" w:eastAsia="Times New Roman" w:hAnsiTheme="majorBidi" w:cstheme="majorBidi"/>
          <w:sz w:val="22"/>
          <w:szCs w:val="22"/>
          <w:lang w:eastAsia="fr-FR"/>
        </w:rPr>
        <w:t>9</w:t>
      </w:r>
      <w:r w:rsidR="007E2973" w:rsidRPr="00181E8D">
        <w:rPr>
          <w:rFonts w:asciiTheme="majorBidi" w:eastAsia="Times New Roman" w:hAnsiTheme="majorBidi" w:cstheme="majorBidi"/>
          <w:sz w:val="22"/>
          <w:szCs w:val="22"/>
          <w:lang w:eastAsia="fr-FR"/>
        </w:rPr>
        <w:t xml:space="preserve"> et 20</w:t>
      </w:r>
      <w:r w:rsidR="00FA6CEF">
        <w:rPr>
          <w:rFonts w:asciiTheme="majorBidi" w:eastAsia="Times New Roman" w:hAnsiTheme="majorBidi" w:cstheme="majorBidi"/>
          <w:sz w:val="22"/>
          <w:szCs w:val="22"/>
          <w:lang w:eastAsia="fr-FR"/>
        </w:rPr>
        <w:t>20</w:t>
      </w:r>
      <w:bookmarkEnd w:id="31"/>
    </w:p>
    <w:tbl>
      <w:tblPr>
        <w:tblW w:w="5000" w:type="pct"/>
        <w:tblCellMar>
          <w:left w:w="70" w:type="dxa"/>
          <w:right w:w="70" w:type="dxa"/>
        </w:tblCellMar>
        <w:tblLook w:val="04A0"/>
      </w:tblPr>
      <w:tblGrid>
        <w:gridCol w:w="4300"/>
        <w:gridCol w:w="831"/>
        <w:gridCol w:w="831"/>
        <w:gridCol w:w="986"/>
        <w:gridCol w:w="752"/>
        <w:gridCol w:w="752"/>
        <w:gridCol w:w="902"/>
      </w:tblGrid>
      <w:tr w:rsidR="00F432AB" w:rsidRPr="00F432AB" w:rsidTr="00F432AB">
        <w:trPr>
          <w:trHeight w:val="300"/>
        </w:trPr>
        <w:tc>
          <w:tcPr>
            <w:tcW w:w="2299" w:type="pct"/>
            <w:vMerge w:val="restart"/>
            <w:tcBorders>
              <w:top w:val="single" w:sz="8" w:space="0" w:color="auto"/>
              <w:left w:val="nil"/>
              <w:bottom w:val="single" w:sz="8" w:space="0" w:color="000000"/>
              <w:right w:val="nil"/>
            </w:tcBorders>
            <w:shd w:val="clear" w:color="000000" w:fill="A5A5A5"/>
            <w:noWrap/>
            <w:vAlign w:val="center"/>
            <w:hideMark/>
          </w:tcPr>
          <w:p w:rsidR="00F432AB" w:rsidRPr="00F432AB" w:rsidRDefault="00F432AB" w:rsidP="00F432AB">
            <w:pPr>
              <w:spacing w:after="0" w:line="240" w:lineRule="auto"/>
              <w:jc w:val="center"/>
              <w:rPr>
                <w:rFonts w:ascii="Times New Roman" w:eastAsia="Times New Roman" w:hAnsi="Times New Roman" w:cs="Times New Roman"/>
                <w:b/>
                <w:bCs/>
                <w:lang w:eastAsia="fr-FR"/>
              </w:rPr>
            </w:pPr>
            <w:r w:rsidRPr="00F432AB">
              <w:rPr>
                <w:rFonts w:ascii="Times New Roman" w:eastAsia="Times New Roman" w:hAnsi="Times New Roman" w:cs="Times New Roman"/>
                <w:b/>
                <w:bCs/>
                <w:lang w:eastAsia="fr-FR"/>
              </w:rPr>
              <w:t>INDICE PAR DIVISION</w:t>
            </w:r>
          </w:p>
        </w:tc>
        <w:tc>
          <w:tcPr>
            <w:tcW w:w="1415" w:type="pct"/>
            <w:gridSpan w:val="3"/>
            <w:tcBorders>
              <w:top w:val="single" w:sz="8" w:space="0" w:color="auto"/>
              <w:left w:val="nil"/>
              <w:bottom w:val="single" w:sz="8" w:space="0" w:color="auto"/>
              <w:right w:val="nil"/>
            </w:tcBorders>
            <w:shd w:val="clear" w:color="000000" w:fill="A5A5A5"/>
            <w:noWrap/>
            <w:vAlign w:val="bottom"/>
            <w:hideMark/>
          </w:tcPr>
          <w:p w:rsidR="00F432AB" w:rsidRPr="00F432AB" w:rsidRDefault="00F432AB" w:rsidP="00F432AB">
            <w:pPr>
              <w:spacing w:after="0" w:line="240" w:lineRule="auto"/>
              <w:jc w:val="center"/>
              <w:rPr>
                <w:rFonts w:ascii="Times New Roman" w:eastAsia="Times New Roman" w:hAnsi="Times New Roman" w:cs="Times New Roman"/>
                <w:b/>
                <w:bCs/>
                <w:color w:val="000000"/>
                <w:lang w:eastAsia="fr-FR"/>
              </w:rPr>
            </w:pPr>
            <w:r w:rsidRPr="00F432AB">
              <w:rPr>
                <w:rFonts w:ascii="Times New Roman" w:eastAsia="Times New Roman" w:hAnsi="Times New Roman" w:cs="Times New Roman"/>
                <w:b/>
                <w:bCs/>
                <w:color w:val="000000"/>
                <w:lang w:eastAsia="fr-FR"/>
              </w:rPr>
              <w:t>KENITRA</w:t>
            </w:r>
          </w:p>
        </w:tc>
        <w:tc>
          <w:tcPr>
            <w:tcW w:w="1287" w:type="pct"/>
            <w:gridSpan w:val="3"/>
            <w:tcBorders>
              <w:top w:val="single" w:sz="8" w:space="0" w:color="auto"/>
              <w:left w:val="nil"/>
              <w:bottom w:val="single" w:sz="8" w:space="0" w:color="auto"/>
              <w:right w:val="nil"/>
            </w:tcBorders>
            <w:shd w:val="clear" w:color="000000" w:fill="A5A5A5"/>
            <w:noWrap/>
            <w:vAlign w:val="bottom"/>
            <w:hideMark/>
          </w:tcPr>
          <w:p w:rsidR="00F432AB" w:rsidRPr="00F432AB" w:rsidRDefault="00F432AB" w:rsidP="00F432AB">
            <w:pPr>
              <w:spacing w:after="0" w:line="240" w:lineRule="auto"/>
              <w:jc w:val="center"/>
              <w:rPr>
                <w:rFonts w:ascii="Times New Roman" w:eastAsia="Times New Roman" w:hAnsi="Times New Roman" w:cs="Times New Roman"/>
                <w:b/>
                <w:bCs/>
                <w:color w:val="000000"/>
                <w:lang w:eastAsia="fr-FR"/>
              </w:rPr>
            </w:pPr>
            <w:r w:rsidRPr="00F432AB">
              <w:rPr>
                <w:rFonts w:ascii="Times New Roman" w:eastAsia="Times New Roman" w:hAnsi="Times New Roman" w:cs="Times New Roman"/>
                <w:b/>
                <w:bCs/>
                <w:color w:val="000000"/>
                <w:lang w:eastAsia="fr-FR"/>
              </w:rPr>
              <w:t>MAROC</w:t>
            </w:r>
          </w:p>
        </w:tc>
      </w:tr>
      <w:tr w:rsidR="00F432AB" w:rsidRPr="00F432AB" w:rsidTr="00F432AB">
        <w:trPr>
          <w:trHeight w:val="570"/>
        </w:trPr>
        <w:tc>
          <w:tcPr>
            <w:tcW w:w="2299" w:type="pct"/>
            <w:vMerge/>
            <w:tcBorders>
              <w:top w:val="single" w:sz="8" w:space="0" w:color="auto"/>
              <w:left w:val="nil"/>
              <w:bottom w:val="single" w:sz="8" w:space="0" w:color="000000"/>
              <w:right w:val="nil"/>
            </w:tcBorders>
            <w:vAlign w:val="center"/>
            <w:hideMark/>
          </w:tcPr>
          <w:p w:rsidR="00F432AB" w:rsidRPr="00F432AB" w:rsidRDefault="00F432AB" w:rsidP="00F432AB">
            <w:pPr>
              <w:spacing w:after="0" w:line="240" w:lineRule="auto"/>
              <w:rPr>
                <w:rFonts w:ascii="Times New Roman" w:eastAsia="Times New Roman" w:hAnsi="Times New Roman" w:cs="Times New Roman"/>
                <w:b/>
                <w:bCs/>
                <w:lang w:eastAsia="fr-FR"/>
              </w:rPr>
            </w:pPr>
          </w:p>
        </w:tc>
        <w:tc>
          <w:tcPr>
            <w:tcW w:w="444" w:type="pct"/>
            <w:tcBorders>
              <w:top w:val="nil"/>
              <w:left w:val="nil"/>
              <w:bottom w:val="single" w:sz="8" w:space="0" w:color="auto"/>
              <w:right w:val="nil"/>
            </w:tcBorders>
            <w:shd w:val="clear" w:color="000000" w:fill="A5A5A5"/>
            <w:noWrap/>
            <w:vAlign w:val="center"/>
            <w:hideMark/>
          </w:tcPr>
          <w:p w:rsidR="00F432AB" w:rsidRPr="00F432AB" w:rsidRDefault="00F432AB" w:rsidP="00F432AB">
            <w:pPr>
              <w:spacing w:after="0" w:line="240" w:lineRule="auto"/>
              <w:jc w:val="center"/>
              <w:rPr>
                <w:rFonts w:ascii="Times New Roman" w:eastAsia="Times New Roman" w:hAnsi="Times New Roman" w:cs="Times New Roman"/>
                <w:b/>
                <w:bCs/>
                <w:lang w:eastAsia="fr-FR"/>
              </w:rPr>
            </w:pPr>
            <w:r w:rsidRPr="00F432AB">
              <w:rPr>
                <w:rFonts w:ascii="Times New Roman" w:eastAsia="Times New Roman" w:hAnsi="Times New Roman" w:cs="Times New Roman"/>
                <w:b/>
                <w:bCs/>
                <w:lang w:eastAsia="fr-FR"/>
              </w:rPr>
              <w:t>2019</w:t>
            </w:r>
          </w:p>
        </w:tc>
        <w:tc>
          <w:tcPr>
            <w:tcW w:w="444" w:type="pct"/>
            <w:tcBorders>
              <w:top w:val="nil"/>
              <w:left w:val="nil"/>
              <w:bottom w:val="single" w:sz="8" w:space="0" w:color="auto"/>
              <w:right w:val="nil"/>
            </w:tcBorders>
            <w:shd w:val="clear" w:color="000000" w:fill="A5A5A5"/>
            <w:noWrap/>
            <w:vAlign w:val="center"/>
            <w:hideMark/>
          </w:tcPr>
          <w:p w:rsidR="00F432AB" w:rsidRPr="00F432AB" w:rsidRDefault="00F432AB" w:rsidP="00F432AB">
            <w:pPr>
              <w:spacing w:after="0" w:line="240" w:lineRule="auto"/>
              <w:jc w:val="center"/>
              <w:rPr>
                <w:rFonts w:ascii="Times New Roman" w:eastAsia="Times New Roman" w:hAnsi="Times New Roman" w:cs="Times New Roman"/>
                <w:b/>
                <w:bCs/>
                <w:lang w:eastAsia="fr-FR"/>
              </w:rPr>
            </w:pPr>
            <w:r w:rsidRPr="00F432AB">
              <w:rPr>
                <w:rFonts w:ascii="Times New Roman" w:eastAsia="Times New Roman" w:hAnsi="Times New Roman" w:cs="Times New Roman"/>
                <w:b/>
                <w:bCs/>
                <w:lang w:eastAsia="fr-FR"/>
              </w:rPr>
              <w:t>2020</w:t>
            </w:r>
          </w:p>
        </w:tc>
        <w:tc>
          <w:tcPr>
            <w:tcW w:w="526" w:type="pct"/>
            <w:tcBorders>
              <w:top w:val="nil"/>
              <w:left w:val="nil"/>
              <w:bottom w:val="single" w:sz="8" w:space="0" w:color="auto"/>
              <w:right w:val="nil"/>
            </w:tcBorders>
            <w:shd w:val="clear" w:color="000000" w:fill="A5A5A5"/>
            <w:vAlign w:val="center"/>
            <w:hideMark/>
          </w:tcPr>
          <w:p w:rsidR="00F432AB" w:rsidRPr="00F432AB" w:rsidRDefault="00F432AB" w:rsidP="00F432AB">
            <w:pPr>
              <w:spacing w:after="0" w:line="240" w:lineRule="auto"/>
              <w:jc w:val="center"/>
              <w:rPr>
                <w:rFonts w:ascii="Times New Roman" w:eastAsia="Times New Roman" w:hAnsi="Times New Roman" w:cs="Times New Roman"/>
                <w:b/>
                <w:bCs/>
                <w:lang w:eastAsia="fr-FR"/>
              </w:rPr>
            </w:pPr>
            <w:r w:rsidRPr="00F432AB">
              <w:rPr>
                <w:rFonts w:ascii="Times New Roman" w:eastAsia="Times New Roman" w:hAnsi="Times New Roman" w:cs="Times New Roman"/>
                <w:b/>
                <w:bCs/>
                <w:lang w:eastAsia="fr-FR"/>
              </w:rPr>
              <w:t xml:space="preserve">   var (%)                                                                                   </w:t>
            </w:r>
          </w:p>
        </w:tc>
        <w:tc>
          <w:tcPr>
            <w:tcW w:w="402" w:type="pct"/>
            <w:tcBorders>
              <w:top w:val="nil"/>
              <w:left w:val="nil"/>
              <w:bottom w:val="single" w:sz="8" w:space="0" w:color="auto"/>
              <w:right w:val="nil"/>
            </w:tcBorders>
            <w:shd w:val="clear" w:color="000000" w:fill="A5A5A5"/>
            <w:noWrap/>
            <w:vAlign w:val="center"/>
            <w:hideMark/>
          </w:tcPr>
          <w:p w:rsidR="00F432AB" w:rsidRPr="00F432AB" w:rsidRDefault="00F432AB" w:rsidP="00F432AB">
            <w:pPr>
              <w:spacing w:after="0" w:line="240" w:lineRule="auto"/>
              <w:jc w:val="center"/>
              <w:rPr>
                <w:rFonts w:ascii="Times New Roman" w:eastAsia="Times New Roman" w:hAnsi="Times New Roman" w:cs="Times New Roman"/>
                <w:b/>
                <w:bCs/>
                <w:lang w:eastAsia="fr-FR"/>
              </w:rPr>
            </w:pPr>
            <w:r w:rsidRPr="00F432AB">
              <w:rPr>
                <w:rFonts w:ascii="Times New Roman" w:eastAsia="Times New Roman" w:hAnsi="Times New Roman" w:cs="Times New Roman"/>
                <w:b/>
                <w:bCs/>
                <w:lang w:eastAsia="fr-FR"/>
              </w:rPr>
              <w:t>2019</w:t>
            </w:r>
          </w:p>
        </w:tc>
        <w:tc>
          <w:tcPr>
            <w:tcW w:w="402" w:type="pct"/>
            <w:tcBorders>
              <w:top w:val="nil"/>
              <w:left w:val="nil"/>
              <w:bottom w:val="single" w:sz="8" w:space="0" w:color="auto"/>
              <w:right w:val="nil"/>
            </w:tcBorders>
            <w:shd w:val="clear" w:color="000000" w:fill="A5A5A5"/>
            <w:noWrap/>
            <w:vAlign w:val="center"/>
            <w:hideMark/>
          </w:tcPr>
          <w:p w:rsidR="00F432AB" w:rsidRPr="00F432AB" w:rsidRDefault="00F432AB" w:rsidP="00F432AB">
            <w:pPr>
              <w:spacing w:after="0" w:line="240" w:lineRule="auto"/>
              <w:jc w:val="center"/>
              <w:rPr>
                <w:rFonts w:ascii="Times New Roman" w:eastAsia="Times New Roman" w:hAnsi="Times New Roman" w:cs="Times New Roman"/>
                <w:b/>
                <w:bCs/>
                <w:lang w:eastAsia="fr-FR"/>
              </w:rPr>
            </w:pPr>
            <w:r w:rsidRPr="00F432AB">
              <w:rPr>
                <w:rFonts w:ascii="Times New Roman" w:eastAsia="Times New Roman" w:hAnsi="Times New Roman" w:cs="Times New Roman"/>
                <w:b/>
                <w:bCs/>
                <w:lang w:eastAsia="fr-FR"/>
              </w:rPr>
              <w:t>2020</w:t>
            </w:r>
          </w:p>
        </w:tc>
        <w:tc>
          <w:tcPr>
            <w:tcW w:w="483" w:type="pct"/>
            <w:tcBorders>
              <w:top w:val="nil"/>
              <w:left w:val="nil"/>
              <w:bottom w:val="single" w:sz="8" w:space="0" w:color="auto"/>
              <w:right w:val="nil"/>
            </w:tcBorders>
            <w:shd w:val="clear" w:color="000000" w:fill="A5A5A5"/>
            <w:vAlign w:val="center"/>
            <w:hideMark/>
          </w:tcPr>
          <w:p w:rsidR="00F432AB" w:rsidRPr="00F432AB" w:rsidRDefault="00F432AB" w:rsidP="00F432AB">
            <w:pPr>
              <w:spacing w:after="0" w:line="240" w:lineRule="auto"/>
              <w:jc w:val="center"/>
              <w:rPr>
                <w:rFonts w:ascii="Times New Roman" w:eastAsia="Times New Roman" w:hAnsi="Times New Roman" w:cs="Times New Roman"/>
                <w:b/>
                <w:bCs/>
                <w:lang w:eastAsia="fr-FR"/>
              </w:rPr>
            </w:pPr>
            <w:r w:rsidRPr="00F432AB">
              <w:rPr>
                <w:rFonts w:ascii="Times New Roman" w:eastAsia="Times New Roman" w:hAnsi="Times New Roman" w:cs="Times New Roman"/>
                <w:b/>
                <w:bCs/>
                <w:lang w:eastAsia="fr-FR"/>
              </w:rPr>
              <w:t xml:space="preserve">   var (%)                                                                                   </w:t>
            </w:r>
          </w:p>
        </w:tc>
      </w:tr>
      <w:tr w:rsidR="00F432AB" w:rsidRPr="00F432AB" w:rsidTr="00F432AB">
        <w:trPr>
          <w:trHeight w:val="440"/>
        </w:trPr>
        <w:tc>
          <w:tcPr>
            <w:tcW w:w="2299" w:type="pct"/>
            <w:tcBorders>
              <w:top w:val="nil"/>
              <w:left w:val="nil"/>
              <w:bottom w:val="nil"/>
              <w:right w:val="nil"/>
            </w:tcBorders>
            <w:shd w:val="clear" w:color="auto" w:fill="auto"/>
            <w:vAlign w:val="bottom"/>
            <w:hideMark/>
          </w:tcPr>
          <w:p w:rsidR="00F432AB" w:rsidRPr="00F432AB" w:rsidRDefault="00F432AB" w:rsidP="00F432AB">
            <w:pPr>
              <w:spacing w:after="0" w:line="240" w:lineRule="auto"/>
              <w:rPr>
                <w:rFonts w:ascii="Times New Roman" w:eastAsia="Times New Roman" w:hAnsi="Times New Roman" w:cs="Times New Roman"/>
                <w:sz w:val="16"/>
                <w:szCs w:val="16"/>
                <w:lang w:eastAsia="fr-FR"/>
              </w:rPr>
            </w:pPr>
            <w:r w:rsidRPr="00F432AB">
              <w:rPr>
                <w:rFonts w:ascii="Times New Roman" w:eastAsia="Times New Roman" w:hAnsi="Times New Roman" w:cs="Times New Roman"/>
                <w:sz w:val="16"/>
                <w:szCs w:val="16"/>
                <w:lang w:eastAsia="fr-FR"/>
              </w:rPr>
              <w:t>01. PRODUITS ALIMENTAIRES ET BOISSONS NON ALCOOLISÉES</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sz w:val="20"/>
                <w:szCs w:val="20"/>
                <w:lang w:eastAsia="fr-FR"/>
              </w:rPr>
            </w:pPr>
            <w:r w:rsidRPr="00F432AB">
              <w:rPr>
                <w:rFonts w:ascii="Times New Roman" w:eastAsia="Times New Roman" w:hAnsi="Times New Roman" w:cs="Times New Roman"/>
                <w:sz w:val="20"/>
                <w:szCs w:val="20"/>
                <w:lang w:eastAsia="fr-FR"/>
              </w:rPr>
              <w:t>99,1</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sz w:val="20"/>
                <w:szCs w:val="20"/>
                <w:lang w:eastAsia="fr-FR"/>
              </w:rPr>
            </w:pPr>
            <w:r w:rsidRPr="00F432AB">
              <w:rPr>
                <w:rFonts w:ascii="Times New Roman" w:eastAsia="Times New Roman" w:hAnsi="Times New Roman" w:cs="Times New Roman"/>
                <w:sz w:val="20"/>
                <w:szCs w:val="20"/>
                <w:lang w:eastAsia="fr-FR"/>
              </w:rPr>
              <w:t>99,1</w:t>
            </w:r>
          </w:p>
        </w:tc>
        <w:tc>
          <w:tcPr>
            <w:tcW w:w="526"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sz w:val="20"/>
                <w:szCs w:val="20"/>
                <w:lang w:eastAsia="fr-FR"/>
              </w:rPr>
            </w:pPr>
            <w:r w:rsidRPr="00F432AB">
              <w:rPr>
                <w:rFonts w:ascii="Times New Roman" w:eastAsia="Times New Roman" w:hAnsi="Times New Roman" w:cs="Times New Roman"/>
                <w:sz w:val="20"/>
                <w:szCs w:val="20"/>
                <w:lang w:eastAsia="fr-FR"/>
              </w:rPr>
              <w:t>0,0</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sz w:val="20"/>
                <w:szCs w:val="20"/>
                <w:lang w:eastAsia="fr-FR"/>
              </w:rPr>
            </w:pPr>
            <w:r w:rsidRPr="00F432AB">
              <w:rPr>
                <w:rFonts w:ascii="Times New Roman" w:eastAsia="Times New Roman" w:hAnsi="Times New Roman" w:cs="Times New Roman"/>
                <w:sz w:val="20"/>
                <w:szCs w:val="20"/>
                <w:lang w:eastAsia="fr-FR"/>
              </w:rPr>
              <w:t>100,6</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sz w:val="20"/>
                <w:szCs w:val="20"/>
                <w:lang w:eastAsia="fr-FR"/>
              </w:rPr>
            </w:pPr>
            <w:r w:rsidRPr="00F432AB">
              <w:rPr>
                <w:rFonts w:ascii="Times New Roman" w:eastAsia="Times New Roman" w:hAnsi="Times New Roman" w:cs="Times New Roman"/>
                <w:sz w:val="20"/>
                <w:szCs w:val="20"/>
                <w:lang w:eastAsia="fr-FR"/>
              </w:rPr>
              <w:t>101,6</w:t>
            </w:r>
          </w:p>
        </w:tc>
        <w:tc>
          <w:tcPr>
            <w:tcW w:w="483"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sz w:val="20"/>
                <w:szCs w:val="20"/>
                <w:lang w:eastAsia="fr-FR"/>
              </w:rPr>
            </w:pPr>
            <w:r w:rsidRPr="00F432AB">
              <w:rPr>
                <w:rFonts w:ascii="Times New Roman" w:eastAsia="Times New Roman" w:hAnsi="Times New Roman" w:cs="Times New Roman"/>
                <w:sz w:val="20"/>
                <w:szCs w:val="20"/>
                <w:lang w:eastAsia="fr-FR"/>
              </w:rPr>
              <w:t>0,9</w:t>
            </w:r>
          </w:p>
        </w:tc>
      </w:tr>
      <w:tr w:rsidR="00F432AB" w:rsidRPr="00F432AB" w:rsidTr="00F432AB">
        <w:trPr>
          <w:trHeight w:val="320"/>
        </w:trPr>
        <w:tc>
          <w:tcPr>
            <w:tcW w:w="2299" w:type="pct"/>
            <w:tcBorders>
              <w:top w:val="nil"/>
              <w:left w:val="nil"/>
              <w:bottom w:val="single" w:sz="12" w:space="0" w:color="auto"/>
              <w:right w:val="nil"/>
            </w:tcBorders>
            <w:shd w:val="clear" w:color="auto" w:fill="auto"/>
            <w:vAlign w:val="bottom"/>
            <w:hideMark/>
          </w:tcPr>
          <w:p w:rsidR="00F432AB" w:rsidRPr="00F432AB" w:rsidRDefault="00F432AB" w:rsidP="00F432AB">
            <w:pPr>
              <w:spacing w:after="0" w:line="240" w:lineRule="auto"/>
              <w:rPr>
                <w:rFonts w:ascii="Times New Roman" w:eastAsia="Times New Roman" w:hAnsi="Times New Roman" w:cs="Times New Roman"/>
                <w:sz w:val="16"/>
                <w:szCs w:val="16"/>
                <w:lang w:eastAsia="fr-FR"/>
              </w:rPr>
            </w:pPr>
            <w:r w:rsidRPr="00F432AB">
              <w:rPr>
                <w:rFonts w:ascii="Times New Roman" w:eastAsia="Times New Roman" w:hAnsi="Times New Roman" w:cs="Times New Roman"/>
                <w:sz w:val="16"/>
                <w:szCs w:val="16"/>
                <w:lang w:eastAsia="fr-FR"/>
              </w:rPr>
              <w:t>02. BOISSONS ALCOOLISÉES, TABAC ET STUPÉFIANTS</w:t>
            </w:r>
          </w:p>
        </w:tc>
        <w:tc>
          <w:tcPr>
            <w:tcW w:w="444" w:type="pct"/>
            <w:tcBorders>
              <w:top w:val="nil"/>
              <w:left w:val="nil"/>
              <w:bottom w:val="single" w:sz="12"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119,9</w:t>
            </w:r>
          </w:p>
        </w:tc>
        <w:tc>
          <w:tcPr>
            <w:tcW w:w="444" w:type="pct"/>
            <w:tcBorders>
              <w:top w:val="nil"/>
              <w:left w:val="nil"/>
              <w:bottom w:val="single" w:sz="12"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120,9</w:t>
            </w:r>
          </w:p>
        </w:tc>
        <w:tc>
          <w:tcPr>
            <w:tcW w:w="526" w:type="pct"/>
            <w:tcBorders>
              <w:top w:val="nil"/>
              <w:left w:val="nil"/>
              <w:bottom w:val="single" w:sz="12"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0,8</w:t>
            </w:r>
          </w:p>
        </w:tc>
        <w:tc>
          <w:tcPr>
            <w:tcW w:w="402" w:type="pct"/>
            <w:tcBorders>
              <w:top w:val="nil"/>
              <w:left w:val="nil"/>
              <w:bottom w:val="single" w:sz="12"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120,2</w:t>
            </w:r>
          </w:p>
        </w:tc>
        <w:tc>
          <w:tcPr>
            <w:tcW w:w="402" w:type="pct"/>
            <w:tcBorders>
              <w:top w:val="nil"/>
              <w:left w:val="nil"/>
              <w:bottom w:val="single" w:sz="12"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121,2</w:t>
            </w:r>
          </w:p>
        </w:tc>
        <w:tc>
          <w:tcPr>
            <w:tcW w:w="483" w:type="pct"/>
            <w:tcBorders>
              <w:top w:val="nil"/>
              <w:left w:val="nil"/>
              <w:bottom w:val="single" w:sz="12"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0,8</w:t>
            </w:r>
          </w:p>
        </w:tc>
      </w:tr>
      <w:tr w:rsidR="00F432AB" w:rsidRPr="00F432AB" w:rsidTr="00F432AB">
        <w:trPr>
          <w:trHeight w:val="320"/>
        </w:trPr>
        <w:tc>
          <w:tcPr>
            <w:tcW w:w="2299" w:type="pct"/>
            <w:tcBorders>
              <w:top w:val="single" w:sz="12" w:space="0" w:color="auto"/>
              <w:bottom w:val="single" w:sz="12" w:space="0" w:color="auto"/>
              <w:right w:val="nil"/>
            </w:tcBorders>
            <w:shd w:val="clear" w:color="000000" w:fill="FFFFFF"/>
            <w:vAlign w:val="bottom"/>
            <w:hideMark/>
          </w:tcPr>
          <w:p w:rsidR="00F432AB" w:rsidRPr="00F432AB" w:rsidRDefault="00F432AB" w:rsidP="00F432AB">
            <w:pPr>
              <w:spacing w:after="0" w:line="240" w:lineRule="auto"/>
              <w:rPr>
                <w:rFonts w:ascii="Times New Roman" w:eastAsia="Times New Roman" w:hAnsi="Times New Roman" w:cs="Times New Roman"/>
                <w:b/>
                <w:bCs/>
                <w:sz w:val="24"/>
                <w:szCs w:val="24"/>
                <w:lang w:eastAsia="fr-FR"/>
              </w:rPr>
            </w:pPr>
            <w:r w:rsidRPr="00F432AB">
              <w:rPr>
                <w:rFonts w:ascii="Times New Roman" w:eastAsia="Times New Roman" w:hAnsi="Times New Roman" w:cs="Times New Roman"/>
                <w:b/>
                <w:bCs/>
                <w:sz w:val="24"/>
                <w:szCs w:val="24"/>
                <w:lang w:eastAsia="fr-FR"/>
              </w:rPr>
              <w:t>Indices des Produits alimentaires</w:t>
            </w:r>
          </w:p>
        </w:tc>
        <w:tc>
          <w:tcPr>
            <w:tcW w:w="444" w:type="pct"/>
            <w:tcBorders>
              <w:top w:val="single" w:sz="12" w:space="0" w:color="auto"/>
              <w:left w:val="nil"/>
              <w:bottom w:val="single" w:sz="12"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color w:val="000000"/>
                <w:lang w:eastAsia="fr-FR"/>
              </w:rPr>
            </w:pPr>
            <w:r w:rsidRPr="00F432AB">
              <w:rPr>
                <w:rFonts w:ascii="Times New Roman" w:eastAsia="Times New Roman" w:hAnsi="Times New Roman" w:cs="Times New Roman"/>
                <w:b/>
                <w:bCs/>
                <w:color w:val="000000"/>
                <w:lang w:eastAsia="fr-FR"/>
              </w:rPr>
              <w:t>99,8</w:t>
            </w:r>
          </w:p>
        </w:tc>
        <w:tc>
          <w:tcPr>
            <w:tcW w:w="444" w:type="pct"/>
            <w:tcBorders>
              <w:top w:val="single" w:sz="12" w:space="0" w:color="auto"/>
              <w:left w:val="nil"/>
              <w:bottom w:val="single" w:sz="12"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color w:val="000000"/>
                <w:lang w:eastAsia="fr-FR"/>
              </w:rPr>
            </w:pPr>
            <w:r w:rsidRPr="00F432AB">
              <w:rPr>
                <w:rFonts w:ascii="Times New Roman" w:eastAsia="Times New Roman" w:hAnsi="Times New Roman" w:cs="Times New Roman"/>
                <w:b/>
                <w:bCs/>
                <w:color w:val="000000"/>
                <w:lang w:eastAsia="fr-FR"/>
              </w:rPr>
              <w:t>99,9</w:t>
            </w:r>
          </w:p>
        </w:tc>
        <w:tc>
          <w:tcPr>
            <w:tcW w:w="526" w:type="pct"/>
            <w:tcBorders>
              <w:top w:val="single" w:sz="12" w:space="0" w:color="auto"/>
              <w:left w:val="nil"/>
              <w:bottom w:val="single" w:sz="12"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color w:val="000000"/>
                <w:lang w:eastAsia="fr-FR"/>
              </w:rPr>
            </w:pPr>
            <w:r w:rsidRPr="00F432AB">
              <w:rPr>
                <w:rFonts w:ascii="Times New Roman" w:eastAsia="Times New Roman" w:hAnsi="Times New Roman" w:cs="Times New Roman"/>
                <w:b/>
                <w:bCs/>
                <w:color w:val="000000"/>
                <w:lang w:eastAsia="fr-FR"/>
              </w:rPr>
              <w:t>0,1</w:t>
            </w:r>
          </w:p>
        </w:tc>
        <w:tc>
          <w:tcPr>
            <w:tcW w:w="402" w:type="pct"/>
            <w:tcBorders>
              <w:top w:val="single" w:sz="12" w:space="0" w:color="auto"/>
              <w:left w:val="nil"/>
              <w:bottom w:val="single" w:sz="12"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color w:val="000000"/>
                <w:lang w:eastAsia="fr-FR"/>
              </w:rPr>
            </w:pPr>
            <w:r w:rsidRPr="00F432AB">
              <w:rPr>
                <w:rFonts w:ascii="Times New Roman" w:eastAsia="Times New Roman" w:hAnsi="Times New Roman" w:cs="Times New Roman"/>
                <w:b/>
                <w:bCs/>
                <w:color w:val="000000"/>
                <w:lang w:eastAsia="fr-FR"/>
              </w:rPr>
              <w:t>101,4</w:t>
            </w:r>
          </w:p>
        </w:tc>
        <w:tc>
          <w:tcPr>
            <w:tcW w:w="402" w:type="pct"/>
            <w:tcBorders>
              <w:top w:val="single" w:sz="12" w:space="0" w:color="auto"/>
              <w:left w:val="nil"/>
              <w:bottom w:val="single" w:sz="12"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color w:val="000000"/>
                <w:lang w:eastAsia="fr-FR"/>
              </w:rPr>
            </w:pPr>
            <w:r w:rsidRPr="00F432AB">
              <w:rPr>
                <w:rFonts w:ascii="Times New Roman" w:eastAsia="Times New Roman" w:hAnsi="Times New Roman" w:cs="Times New Roman"/>
                <w:b/>
                <w:bCs/>
                <w:color w:val="000000"/>
                <w:lang w:eastAsia="fr-FR"/>
              </w:rPr>
              <w:t>102,3</w:t>
            </w:r>
          </w:p>
        </w:tc>
        <w:tc>
          <w:tcPr>
            <w:tcW w:w="483" w:type="pct"/>
            <w:tcBorders>
              <w:top w:val="single" w:sz="12" w:space="0" w:color="auto"/>
              <w:left w:val="nil"/>
              <w:bottom w:val="single" w:sz="12"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color w:val="000000"/>
                <w:lang w:eastAsia="fr-FR"/>
              </w:rPr>
            </w:pPr>
            <w:r w:rsidRPr="00F432AB">
              <w:rPr>
                <w:rFonts w:ascii="Times New Roman" w:eastAsia="Times New Roman" w:hAnsi="Times New Roman" w:cs="Times New Roman"/>
                <w:b/>
                <w:bCs/>
                <w:color w:val="000000"/>
                <w:lang w:eastAsia="fr-FR"/>
              </w:rPr>
              <w:t>0,9</w:t>
            </w:r>
          </w:p>
        </w:tc>
      </w:tr>
      <w:tr w:rsidR="00F432AB" w:rsidRPr="00F432AB" w:rsidTr="00F432AB">
        <w:trPr>
          <w:trHeight w:val="310"/>
        </w:trPr>
        <w:tc>
          <w:tcPr>
            <w:tcW w:w="2299" w:type="pct"/>
            <w:tcBorders>
              <w:top w:val="single" w:sz="12" w:space="0" w:color="auto"/>
              <w:left w:val="nil"/>
              <w:bottom w:val="nil"/>
              <w:right w:val="nil"/>
            </w:tcBorders>
            <w:shd w:val="clear" w:color="auto" w:fill="auto"/>
            <w:vAlign w:val="bottom"/>
            <w:hideMark/>
          </w:tcPr>
          <w:p w:rsidR="00F432AB" w:rsidRPr="00F432AB" w:rsidRDefault="00F432AB" w:rsidP="00F432AB">
            <w:pPr>
              <w:spacing w:after="0" w:line="240" w:lineRule="auto"/>
              <w:rPr>
                <w:rFonts w:ascii="Times New Roman" w:eastAsia="Times New Roman" w:hAnsi="Times New Roman" w:cs="Times New Roman"/>
                <w:sz w:val="16"/>
                <w:szCs w:val="16"/>
                <w:lang w:eastAsia="fr-FR"/>
              </w:rPr>
            </w:pPr>
            <w:r w:rsidRPr="00F432AB">
              <w:rPr>
                <w:rFonts w:ascii="Times New Roman" w:eastAsia="Times New Roman" w:hAnsi="Times New Roman" w:cs="Times New Roman"/>
                <w:sz w:val="16"/>
                <w:szCs w:val="16"/>
                <w:lang w:eastAsia="fr-FR"/>
              </w:rPr>
              <w:t>03. ARTICLES D'HABILLEMENT ET CHAUSSURES</w:t>
            </w:r>
          </w:p>
        </w:tc>
        <w:tc>
          <w:tcPr>
            <w:tcW w:w="444" w:type="pct"/>
            <w:tcBorders>
              <w:top w:val="single" w:sz="12" w:space="0" w:color="auto"/>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103,6</w:t>
            </w:r>
          </w:p>
        </w:tc>
        <w:tc>
          <w:tcPr>
            <w:tcW w:w="444" w:type="pct"/>
            <w:tcBorders>
              <w:top w:val="single" w:sz="12" w:space="0" w:color="auto"/>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104,7</w:t>
            </w:r>
          </w:p>
        </w:tc>
        <w:tc>
          <w:tcPr>
            <w:tcW w:w="526" w:type="pct"/>
            <w:tcBorders>
              <w:top w:val="single" w:sz="12" w:space="0" w:color="auto"/>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1,1</w:t>
            </w:r>
          </w:p>
        </w:tc>
        <w:tc>
          <w:tcPr>
            <w:tcW w:w="402" w:type="pct"/>
            <w:tcBorders>
              <w:top w:val="single" w:sz="12" w:space="0" w:color="auto"/>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102,4</w:t>
            </w:r>
          </w:p>
        </w:tc>
        <w:tc>
          <w:tcPr>
            <w:tcW w:w="402" w:type="pct"/>
            <w:tcBorders>
              <w:top w:val="single" w:sz="12" w:space="0" w:color="auto"/>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102,7</w:t>
            </w:r>
          </w:p>
        </w:tc>
        <w:tc>
          <w:tcPr>
            <w:tcW w:w="483" w:type="pct"/>
            <w:tcBorders>
              <w:top w:val="single" w:sz="12" w:space="0" w:color="auto"/>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0,3</w:t>
            </w:r>
          </w:p>
        </w:tc>
      </w:tr>
      <w:tr w:rsidR="00F432AB" w:rsidRPr="00F432AB" w:rsidTr="00F432AB">
        <w:trPr>
          <w:trHeight w:val="440"/>
        </w:trPr>
        <w:tc>
          <w:tcPr>
            <w:tcW w:w="2299" w:type="pct"/>
            <w:tcBorders>
              <w:top w:val="nil"/>
              <w:left w:val="nil"/>
              <w:bottom w:val="nil"/>
              <w:right w:val="nil"/>
            </w:tcBorders>
            <w:shd w:val="clear" w:color="auto" w:fill="auto"/>
            <w:vAlign w:val="bottom"/>
            <w:hideMark/>
          </w:tcPr>
          <w:p w:rsidR="00F432AB" w:rsidRPr="00F432AB" w:rsidRDefault="00F432AB" w:rsidP="00F432AB">
            <w:pPr>
              <w:spacing w:after="0" w:line="240" w:lineRule="auto"/>
              <w:rPr>
                <w:rFonts w:ascii="Times New Roman" w:eastAsia="Times New Roman" w:hAnsi="Times New Roman" w:cs="Times New Roman"/>
                <w:sz w:val="16"/>
                <w:szCs w:val="16"/>
                <w:lang w:eastAsia="fr-FR"/>
              </w:rPr>
            </w:pPr>
            <w:r w:rsidRPr="00F432AB">
              <w:rPr>
                <w:rFonts w:ascii="Times New Roman" w:eastAsia="Times New Roman" w:hAnsi="Times New Roman" w:cs="Times New Roman"/>
                <w:sz w:val="16"/>
                <w:szCs w:val="16"/>
                <w:lang w:eastAsia="fr-FR"/>
              </w:rPr>
              <w:t>04. LOGEMENT, EAU, GAZ, ELECTRICITE ET AUTRES COMBUSTIBLES</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101,7</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102,6</w:t>
            </w:r>
          </w:p>
        </w:tc>
        <w:tc>
          <w:tcPr>
            <w:tcW w:w="526"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0,9</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101,2</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101,8</w:t>
            </w:r>
          </w:p>
        </w:tc>
        <w:tc>
          <w:tcPr>
            <w:tcW w:w="483"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0,6</w:t>
            </w:r>
          </w:p>
        </w:tc>
      </w:tr>
      <w:tr w:rsidR="00F432AB" w:rsidRPr="00F432AB" w:rsidTr="00F432AB">
        <w:trPr>
          <w:trHeight w:val="440"/>
        </w:trPr>
        <w:tc>
          <w:tcPr>
            <w:tcW w:w="2299" w:type="pct"/>
            <w:tcBorders>
              <w:top w:val="nil"/>
              <w:left w:val="nil"/>
              <w:bottom w:val="nil"/>
              <w:right w:val="nil"/>
            </w:tcBorders>
            <w:shd w:val="clear" w:color="auto" w:fill="auto"/>
            <w:vAlign w:val="bottom"/>
            <w:hideMark/>
          </w:tcPr>
          <w:p w:rsidR="00F432AB" w:rsidRPr="00F432AB" w:rsidRDefault="00F432AB" w:rsidP="00F432AB">
            <w:pPr>
              <w:spacing w:after="0" w:line="240" w:lineRule="auto"/>
              <w:rPr>
                <w:rFonts w:ascii="Times New Roman" w:eastAsia="Times New Roman" w:hAnsi="Times New Roman" w:cs="Times New Roman"/>
                <w:sz w:val="16"/>
                <w:szCs w:val="16"/>
                <w:lang w:eastAsia="fr-FR"/>
              </w:rPr>
            </w:pPr>
            <w:r w:rsidRPr="00F432AB">
              <w:rPr>
                <w:rFonts w:ascii="Times New Roman" w:eastAsia="Times New Roman" w:hAnsi="Times New Roman" w:cs="Times New Roman"/>
                <w:sz w:val="16"/>
                <w:szCs w:val="16"/>
                <w:lang w:eastAsia="fr-FR"/>
              </w:rPr>
              <w:t>05. MEUBLES, ARTICLES DE MENAGE ET ENTRETIEN COURANT DU FOYER</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100,8</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101,7</w:t>
            </w:r>
          </w:p>
        </w:tc>
        <w:tc>
          <w:tcPr>
            <w:tcW w:w="526"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0,9</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100,6</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100,8</w:t>
            </w:r>
          </w:p>
        </w:tc>
        <w:tc>
          <w:tcPr>
            <w:tcW w:w="483"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0,2</w:t>
            </w:r>
          </w:p>
        </w:tc>
      </w:tr>
      <w:tr w:rsidR="00F432AB" w:rsidRPr="00F432AB" w:rsidTr="00F432AB">
        <w:trPr>
          <w:trHeight w:val="310"/>
        </w:trPr>
        <w:tc>
          <w:tcPr>
            <w:tcW w:w="2299" w:type="pct"/>
            <w:tcBorders>
              <w:top w:val="nil"/>
              <w:left w:val="nil"/>
              <w:bottom w:val="nil"/>
              <w:right w:val="nil"/>
            </w:tcBorders>
            <w:shd w:val="clear" w:color="auto" w:fill="auto"/>
            <w:vAlign w:val="bottom"/>
            <w:hideMark/>
          </w:tcPr>
          <w:p w:rsidR="00F432AB" w:rsidRPr="00F432AB" w:rsidRDefault="00F432AB" w:rsidP="00F432AB">
            <w:pPr>
              <w:spacing w:after="0" w:line="240" w:lineRule="auto"/>
              <w:rPr>
                <w:rFonts w:ascii="Times New Roman" w:eastAsia="Times New Roman" w:hAnsi="Times New Roman" w:cs="Times New Roman"/>
                <w:sz w:val="16"/>
                <w:szCs w:val="16"/>
                <w:lang w:eastAsia="fr-FR"/>
              </w:rPr>
            </w:pPr>
            <w:r w:rsidRPr="00F432AB">
              <w:rPr>
                <w:rFonts w:ascii="Times New Roman" w:eastAsia="Times New Roman" w:hAnsi="Times New Roman" w:cs="Times New Roman"/>
                <w:sz w:val="16"/>
                <w:szCs w:val="16"/>
                <w:lang w:eastAsia="fr-FR"/>
              </w:rPr>
              <w:t>06. SANTÉ</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99,9</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99,6</w:t>
            </w:r>
          </w:p>
        </w:tc>
        <w:tc>
          <w:tcPr>
            <w:tcW w:w="526"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-0,3</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100,7</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101,6</w:t>
            </w:r>
          </w:p>
        </w:tc>
        <w:tc>
          <w:tcPr>
            <w:tcW w:w="483"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0,9</w:t>
            </w:r>
          </w:p>
        </w:tc>
      </w:tr>
      <w:tr w:rsidR="00F432AB" w:rsidRPr="00F432AB" w:rsidTr="00F432AB">
        <w:trPr>
          <w:trHeight w:val="310"/>
        </w:trPr>
        <w:tc>
          <w:tcPr>
            <w:tcW w:w="2299" w:type="pct"/>
            <w:tcBorders>
              <w:top w:val="nil"/>
              <w:left w:val="nil"/>
              <w:bottom w:val="nil"/>
              <w:right w:val="nil"/>
            </w:tcBorders>
            <w:shd w:val="clear" w:color="auto" w:fill="auto"/>
            <w:vAlign w:val="bottom"/>
            <w:hideMark/>
          </w:tcPr>
          <w:p w:rsidR="00F432AB" w:rsidRPr="00F432AB" w:rsidRDefault="00F432AB" w:rsidP="00F432AB">
            <w:pPr>
              <w:spacing w:after="0" w:line="240" w:lineRule="auto"/>
              <w:rPr>
                <w:rFonts w:ascii="Times New Roman" w:eastAsia="Times New Roman" w:hAnsi="Times New Roman" w:cs="Times New Roman"/>
                <w:sz w:val="16"/>
                <w:szCs w:val="16"/>
                <w:lang w:eastAsia="fr-FR"/>
              </w:rPr>
            </w:pPr>
            <w:r w:rsidRPr="00F432AB">
              <w:rPr>
                <w:rFonts w:ascii="Times New Roman" w:eastAsia="Times New Roman" w:hAnsi="Times New Roman" w:cs="Times New Roman"/>
                <w:sz w:val="16"/>
                <w:szCs w:val="16"/>
                <w:lang w:eastAsia="fr-FR"/>
              </w:rPr>
              <w:t>07. TRANSPORTS</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103,0</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101,1</w:t>
            </w:r>
          </w:p>
        </w:tc>
        <w:tc>
          <w:tcPr>
            <w:tcW w:w="526"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-1,8</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102,4</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100,8</w:t>
            </w:r>
          </w:p>
        </w:tc>
        <w:tc>
          <w:tcPr>
            <w:tcW w:w="483"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-1,5</w:t>
            </w:r>
          </w:p>
        </w:tc>
      </w:tr>
      <w:tr w:rsidR="00F432AB" w:rsidRPr="00F432AB" w:rsidTr="00F432AB">
        <w:trPr>
          <w:trHeight w:val="310"/>
        </w:trPr>
        <w:tc>
          <w:tcPr>
            <w:tcW w:w="2299" w:type="pct"/>
            <w:tcBorders>
              <w:top w:val="nil"/>
              <w:left w:val="nil"/>
              <w:bottom w:val="nil"/>
              <w:right w:val="nil"/>
            </w:tcBorders>
            <w:shd w:val="clear" w:color="auto" w:fill="auto"/>
            <w:vAlign w:val="bottom"/>
            <w:hideMark/>
          </w:tcPr>
          <w:p w:rsidR="00F432AB" w:rsidRPr="00F432AB" w:rsidRDefault="00F432AB" w:rsidP="00F432AB">
            <w:pPr>
              <w:spacing w:after="0" w:line="240" w:lineRule="auto"/>
              <w:rPr>
                <w:rFonts w:ascii="Times New Roman" w:eastAsia="Times New Roman" w:hAnsi="Times New Roman" w:cs="Times New Roman"/>
                <w:sz w:val="16"/>
                <w:szCs w:val="16"/>
                <w:lang w:eastAsia="fr-FR"/>
              </w:rPr>
            </w:pPr>
            <w:r w:rsidRPr="00F432AB">
              <w:rPr>
                <w:rFonts w:ascii="Times New Roman" w:eastAsia="Times New Roman" w:hAnsi="Times New Roman" w:cs="Times New Roman"/>
                <w:sz w:val="16"/>
                <w:szCs w:val="16"/>
                <w:lang w:eastAsia="fr-FR"/>
              </w:rPr>
              <w:t>08. COMMUNICATIONS</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106,8</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106,5</w:t>
            </w:r>
          </w:p>
        </w:tc>
        <w:tc>
          <w:tcPr>
            <w:tcW w:w="526"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-0,3</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104,3</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103,9</w:t>
            </w:r>
          </w:p>
        </w:tc>
        <w:tc>
          <w:tcPr>
            <w:tcW w:w="483"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-0,3</w:t>
            </w:r>
          </w:p>
        </w:tc>
      </w:tr>
      <w:tr w:rsidR="00F432AB" w:rsidRPr="00F432AB" w:rsidTr="00F432AB">
        <w:trPr>
          <w:trHeight w:val="310"/>
        </w:trPr>
        <w:tc>
          <w:tcPr>
            <w:tcW w:w="2299" w:type="pct"/>
            <w:tcBorders>
              <w:top w:val="nil"/>
              <w:left w:val="nil"/>
              <w:bottom w:val="nil"/>
              <w:right w:val="nil"/>
            </w:tcBorders>
            <w:shd w:val="clear" w:color="auto" w:fill="auto"/>
            <w:vAlign w:val="bottom"/>
            <w:hideMark/>
          </w:tcPr>
          <w:p w:rsidR="00F432AB" w:rsidRPr="00F432AB" w:rsidRDefault="00F432AB" w:rsidP="00F432AB">
            <w:pPr>
              <w:spacing w:after="0" w:line="240" w:lineRule="auto"/>
              <w:rPr>
                <w:rFonts w:ascii="Times New Roman" w:eastAsia="Times New Roman" w:hAnsi="Times New Roman" w:cs="Times New Roman"/>
                <w:sz w:val="16"/>
                <w:szCs w:val="16"/>
                <w:lang w:eastAsia="fr-FR"/>
              </w:rPr>
            </w:pPr>
            <w:r w:rsidRPr="00F432AB">
              <w:rPr>
                <w:rFonts w:ascii="Times New Roman" w:eastAsia="Times New Roman" w:hAnsi="Times New Roman" w:cs="Times New Roman"/>
                <w:sz w:val="16"/>
                <w:szCs w:val="16"/>
                <w:lang w:eastAsia="fr-FR"/>
              </w:rPr>
              <w:t>09. LOISIRS ET CULTURE</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103,3</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99,4</w:t>
            </w:r>
          </w:p>
        </w:tc>
        <w:tc>
          <w:tcPr>
            <w:tcW w:w="526"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-3,8</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100,3</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99,4</w:t>
            </w:r>
          </w:p>
        </w:tc>
        <w:tc>
          <w:tcPr>
            <w:tcW w:w="483"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-0,9</w:t>
            </w:r>
          </w:p>
        </w:tc>
      </w:tr>
      <w:tr w:rsidR="00F432AB" w:rsidRPr="00F432AB" w:rsidTr="00F432AB">
        <w:trPr>
          <w:trHeight w:val="310"/>
        </w:trPr>
        <w:tc>
          <w:tcPr>
            <w:tcW w:w="2299" w:type="pct"/>
            <w:tcBorders>
              <w:top w:val="nil"/>
              <w:left w:val="nil"/>
              <w:bottom w:val="nil"/>
              <w:right w:val="nil"/>
            </w:tcBorders>
            <w:shd w:val="clear" w:color="auto" w:fill="auto"/>
            <w:vAlign w:val="bottom"/>
            <w:hideMark/>
          </w:tcPr>
          <w:p w:rsidR="00F432AB" w:rsidRPr="00F432AB" w:rsidRDefault="00F432AB" w:rsidP="00F432AB">
            <w:pPr>
              <w:spacing w:after="0" w:line="240" w:lineRule="auto"/>
              <w:rPr>
                <w:rFonts w:ascii="Times New Roman" w:eastAsia="Times New Roman" w:hAnsi="Times New Roman" w:cs="Times New Roman"/>
                <w:sz w:val="16"/>
                <w:szCs w:val="16"/>
                <w:lang w:eastAsia="fr-FR"/>
              </w:rPr>
            </w:pPr>
            <w:r w:rsidRPr="00F432AB">
              <w:rPr>
                <w:rFonts w:ascii="Times New Roman" w:eastAsia="Times New Roman" w:hAnsi="Times New Roman" w:cs="Times New Roman"/>
                <w:sz w:val="16"/>
                <w:szCs w:val="16"/>
                <w:lang w:eastAsia="fr-FR"/>
              </w:rPr>
              <w:t>10. ENSEIGNEMENT</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111,1</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111,0</w:t>
            </w:r>
          </w:p>
        </w:tc>
        <w:tc>
          <w:tcPr>
            <w:tcW w:w="526"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-0,1</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106,2</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109,1</w:t>
            </w:r>
          </w:p>
        </w:tc>
        <w:tc>
          <w:tcPr>
            <w:tcW w:w="483"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2,7</w:t>
            </w:r>
          </w:p>
        </w:tc>
      </w:tr>
      <w:tr w:rsidR="00F432AB" w:rsidRPr="00F432AB" w:rsidTr="00F432AB">
        <w:trPr>
          <w:trHeight w:val="310"/>
        </w:trPr>
        <w:tc>
          <w:tcPr>
            <w:tcW w:w="2299" w:type="pct"/>
            <w:tcBorders>
              <w:top w:val="nil"/>
              <w:left w:val="nil"/>
              <w:bottom w:val="nil"/>
              <w:right w:val="nil"/>
            </w:tcBorders>
            <w:shd w:val="clear" w:color="auto" w:fill="auto"/>
            <w:vAlign w:val="bottom"/>
            <w:hideMark/>
          </w:tcPr>
          <w:p w:rsidR="00F432AB" w:rsidRPr="00F432AB" w:rsidRDefault="00F432AB" w:rsidP="00F432AB">
            <w:pPr>
              <w:spacing w:after="0" w:line="240" w:lineRule="auto"/>
              <w:rPr>
                <w:rFonts w:ascii="Times New Roman" w:eastAsia="Times New Roman" w:hAnsi="Times New Roman" w:cs="Times New Roman"/>
                <w:sz w:val="16"/>
                <w:szCs w:val="16"/>
                <w:lang w:eastAsia="fr-FR"/>
              </w:rPr>
            </w:pPr>
            <w:r w:rsidRPr="00F432AB">
              <w:rPr>
                <w:rFonts w:ascii="Times New Roman" w:eastAsia="Times New Roman" w:hAnsi="Times New Roman" w:cs="Times New Roman"/>
                <w:sz w:val="16"/>
                <w:szCs w:val="16"/>
                <w:lang w:eastAsia="fr-FR"/>
              </w:rPr>
              <w:t>11. RESTAURANTS ET HÔTELS</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104,0</w:t>
            </w:r>
          </w:p>
        </w:tc>
        <w:tc>
          <w:tcPr>
            <w:tcW w:w="444"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105,0</w:t>
            </w:r>
          </w:p>
        </w:tc>
        <w:tc>
          <w:tcPr>
            <w:tcW w:w="526"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102,5</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103,6</w:t>
            </w:r>
          </w:p>
        </w:tc>
        <w:tc>
          <w:tcPr>
            <w:tcW w:w="483"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w:t>
            </w:r>
          </w:p>
        </w:tc>
      </w:tr>
      <w:tr w:rsidR="00F432AB" w:rsidRPr="00F432AB" w:rsidTr="00F432AB">
        <w:trPr>
          <w:trHeight w:val="320"/>
        </w:trPr>
        <w:tc>
          <w:tcPr>
            <w:tcW w:w="2299" w:type="pct"/>
            <w:tcBorders>
              <w:top w:val="nil"/>
              <w:left w:val="nil"/>
              <w:bottom w:val="single" w:sz="8" w:space="0" w:color="auto"/>
              <w:right w:val="nil"/>
            </w:tcBorders>
            <w:shd w:val="clear" w:color="auto" w:fill="auto"/>
            <w:vAlign w:val="bottom"/>
            <w:hideMark/>
          </w:tcPr>
          <w:p w:rsidR="00F432AB" w:rsidRPr="00F432AB" w:rsidRDefault="00F432AB" w:rsidP="00F432AB">
            <w:pPr>
              <w:spacing w:after="0" w:line="240" w:lineRule="auto"/>
              <w:rPr>
                <w:rFonts w:ascii="Times New Roman" w:eastAsia="Times New Roman" w:hAnsi="Times New Roman" w:cs="Times New Roman"/>
                <w:sz w:val="16"/>
                <w:szCs w:val="16"/>
                <w:lang w:eastAsia="fr-FR"/>
              </w:rPr>
            </w:pPr>
            <w:r w:rsidRPr="00F432AB">
              <w:rPr>
                <w:rFonts w:ascii="Times New Roman" w:eastAsia="Times New Roman" w:hAnsi="Times New Roman" w:cs="Times New Roman"/>
                <w:sz w:val="16"/>
                <w:szCs w:val="16"/>
                <w:lang w:eastAsia="fr-FR"/>
              </w:rPr>
              <w:t>12. BIENS ET SERVICES DIVERS</w:t>
            </w:r>
          </w:p>
        </w:tc>
        <w:tc>
          <w:tcPr>
            <w:tcW w:w="444" w:type="pct"/>
            <w:tcBorders>
              <w:top w:val="nil"/>
              <w:left w:val="nil"/>
              <w:bottom w:val="single" w:sz="8"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101,7</w:t>
            </w:r>
          </w:p>
        </w:tc>
        <w:tc>
          <w:tcPr>
            <w:tcW w:w="444" w:type="pct"/>
            <w:tcBorders>
              <w:top w:val="nil"/>
              <w:left w:val="nil"/>
              <w:bottom w:val="single" w:sz="8"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103,2</w:t>
            </w:r>
          </w:p>
        </w:tc>
        <w:tc>
          <w:tcPr>
            <w:tcW w:w="526" w:type="pct"/>
            <w:tcBorders>
              <w:top w:val="nil"/>
              <w:left w:val="nil"/>
              <w:bottom w:val="single" w:sz="8"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1,5</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102,6</w:t>
            </w:r>
          </w:p>
        </w:tc>
        <w:tc>
          <w:tcPr>
            <w:tcW w:w="402"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104,0</w:t>
            </w:r>
          </w:p>
        </w:tc>
        <w:tc>
          <w:tcPr>
            <w:tcW w:w="483" w:type="pct"/>
            <w:tcBorders>
              <w:top w:val="nil"/>
              <w:left w:val="nil"/>
              <w:bottom w:val="nil"/>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color w:val="000000"/>
                <w:sz w:val="20"/>
                <w:szCs w:val="20"/>
                <w:lang w:eastAsia="fr-FR"/>
              </w:rPr>
            </w:pPr>
            <w:r w:rsidRPr="00F432AB">
              <w:rPr>
                <w:rFonts w:ascii="Times New Roman" w:eastAsia="Times New Roman" w:hAnsi="Times New Roman" w:cs="Times New Roman"/>
                <w:color w:val="000000"/>
                <w:sz w:val="20"/>
                <w:szCs w:val="20"/>
                <w:lang w:eastAsia="fr-FR"/>
              </w:rPr>
              <w:t>1,3</w:t>
            </w:r>
          </w:p>
        </w:tc>
      </w:tr>
      <w:tr w:rsidR="00F432AB" w:rsidRPr="00F432AB" w:rsidTr="00F432AB">
        <w:trPr>
          <w:trHeight w:val="320"/>
        </w:trPr>
        <w:tc>
          <w:tcPr>
            <w:tcW w:w="2299" w:type="pct"/>
            <w:tcBorders>
              <w:top w:val="nil"/>
              <w:left w:val="single" w:sz="4" w:space="0" w:color="auto"/>
              <w:bottom w:val="single" w:sz="8" w:space="0" w:color="auto"/>
              <w:right w:val="nil"/>
            </w:tcBorders>
            <w:shd w:val="clear" w:color="000000" w:fill="FFFFFF"/>
            <w:vAlign w:val="bottom"/>
            <w:hideMark/>
          </w:tcPr>
          <w:p w:rsidR="00F432AB" w:rsidRPr="00F432AB" w:rsidRDefault="00F432AB" w:rsidP="00F432AB">
            <w:pPr>
              <w:spacing w:after="0" w:line="240" w:lineRule="auto"/>
              <w:rPr>
                <w:rFonts w:ascii="Times New Roman" w:eastAsia="Times New Roman" w:hAnsi="Times New Roman" w:cs="Times New Roman"/>
                <w:b/>
                <w:bCs/>
                <w:sz w:val="24"/>
                <w:szCs w:val="24"/>
                <w:lang w:eastAsia="fr-FR"/>
              </w:rPr>
            </w:pPr>
            <w:r w:rsidRPr="00F432AB">
              <w:rPr>
                <w:rFonts w:ascii="Times New Roman" w:eastAsia="Times New Roman" w:hAnsi="Times New Roman" w:cs="Times New Roman"/>
                <w:b/>
                <w:bCs/>
                <w:sz w:val="24"/>
                <w:szCs w:val="24"/>
                <w:lang w:eastAsia="fr-FR"/>
              </w:rPr>
              <w:t>Indices des Produits non alimentaires</w:t>
            </w:r>
          </w:p>
        </w:tc>
        <w:tc>
          <w:tcPr>
            <w:tcW w:w="444" w:type="pct"/>
            <w:tcBorders>
              <w:top w:val="single" w:sz="8" w:space="0" w:color="auto"/>
              <w:left w:val="nil"/>
              <w:bottom w:val="single" w:sz="8"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color w:val="000000"/>
                <w:lang w:eastAsia="fr-FR"/>
              </w:rPr>
            </w:pPr>
            <w:r w:rsidRPr="00F432AB">
              <w:rPr>
                <w:rFonts w:ascii="Times New Roman" w:eastAsia="Times New Roman" w:hAnsi="Times New Roman" w:cs="Times New Roman"/>
                <w:b/>
                <w:bCs/>
                <w:color w:val="000000"/>
                <w:lang w:eastAsia="fr-FR"/>
              </w:rPr>
              <w:t>102,9</w:t>
            </w:r>
          </w:p>
        </w:tc>
        <w:tc>
          <w:tcPr>
            <w:tcW w:w="444" w:type="pct"/>
            <w:tcBorders>
              <w:top w:val="single" w:sz="8" w:space="0" w:color="auto"/>
              <w:left w:val="nil"/>
              <w:bottom w:val="single" w:sz="8"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color w:val="000000"/>
                <w:lang w:eastAsia="fr-FR"/>
              </w:rPr>
            </w:pPr>
            <w:r w:rsidRPr="00F432AB">
              <w:rPr>
                <w:rFonts w:ascii="Times New Roman" w:eastAsia="Times New Roman" w:hAnsi="Times New Roman" w:cs="Times New Roman"/>
                <w:b/>
                <w:bCs/>
                <w:color w:val="000000"/>
                <w:lang w:eastAsia="fr-FR"/>
              </w:rPr>
              <w:t>102,9</w:t>
            </w:r>
          </w:p>
        </w:tc>
        <w:tc>
          <w:tcPr>
            <w:tcW w:w="526" w:type="pct"/>
            <w:tcBorders>
              <w:top w:val="single" w:sz="8" w:space="0" w:color="auto"/>
              <w:left w:val="nil"/>
              <w:bottom w:val="single" w:sz="8"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color w:val="000000"/>
                <w:lang w:eastAsia="fr-FR"/>
              </w:rPr>
            </w:pPr>
            <w:r w:rsidRPr="00F432AB">
              <w:rPr>
                <w:rFonts w:ascii="Times New Roman" w:eastAsia="Times New Roman" w:hAnsi="Times New Roman" w:cs="Times New Roman"/>
                <w:b/>
                <w:bCs/>
                <w:color w:val="000000"/>
                <w:lang w:eastAsia="fr-FR"/>
              </w:rPr>
              <w:t>0,1</w:t>
            </w:r>
          </w:p>
        </w:tc>
        <w:tc>
          <w:tcPr>
            <w:tcW w:w="402" w:type="pct"/>
            <w:tcBorders>
              <w:top w:val="single" w:sz="8" w:space="0" w:color="auto"/>
              <w:left w:val="nil"/>
              <w:bottom w:val="single" w:sz="8"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color w:val="000000"/>
                <w:lang w:eastAsia="fr-FR"/>
              </w:rPr>
            </w:pPr>
            <w:r w:rsidRPr="00F432AB">
              <w:rPr>
                <w:rFonts w:ascii="Times New Roman" w:eastAsia="Times New Roman" w:hAnsi="Times New Roman" w:cs="Times New Roman"/>
                <w:b/>
                <w:bCs/>
                <w:color w:val="000000"/>
                <w:lang w:eastAsia="fr-FR"/>
              </w:rPr>
              <w:t>102,1</w:t>
            </w:r>
          </w:p>
        </w:tc>
        <w:tc>
          <w:tcPr>
            <w:tcW w:w="402" w:type="pct"/>
            <w:tcBorders>
              <w:top w:val="single" w:sz="8" w:space="0" w:color="auto"/>
              <w:left w:val="nil"/>
              <w:bottom w:val="single" w:sz="8"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color w:val="000000"/>
                <w:lang w:eastAsia="fr-FR"/>
              </w:rPr>
            </w:pPr>
            <w:r w:rsidRPr="00F432AB">
              <w:rPr>
                <w:rFonts w:ascii="Times New Roman" w:eastAsia="Times New Roman" w:hAnsi="Times New Roman" w:cs="Times New Roman"/>
                <w:b/>
                <w:bCs/>
                <w:color w:val="000000"/>
                <w:lang w:eastAsia="fr-FR"/>
              </w:rPr>
              <w:t>102,6</w:t>
            </w:r>
          </w:p>
        </w:tc>
        <w:tc>
          <w:tcPr>
            <w:tcW w:w="483" w:type="pct"/>
            <w:tcBorders>
              <w:top w:val="single" w:sz="8" w:space="0" w:color="auto"/>
              <w:left w:val="nil"/>
              <w:bottom w:val="single" w:sz="8" w:space="0" w:color="auto"/>
              <w:right w:val="nil"/>
            </w:tcBorders>
            <w:shd w:val="clear" w:color="auto" w:fill="auto"/>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color w:val="000000"/>
                <w:lang w:eastAsia="fr-FR"/>
              </w:rPr>
            </w:pPr>
            <w:r w:rsidRPr="00F432AB">
              <w:rPr>
                <w:rFonts w:ascii="Times New Roman" w:eastAsia="Times New Roman" w:hAnsi="Times New Roman" w:cs="Times New Roman"/>
                <w:b/>
                <w:bCs/>
                <w:color w:val="000000"/>
                <w:lang w:eastAsia="fr-FR"/>
              </w:rPr>
              <w:t>0,4</w:t>
            </w:r>
          </w:p>
        </w:tc>
      </w:tr>
      <w:tr w:rsidR="00F432AB" w:rsidRPr="00F432AB" w:rsidTr="00F432AB">
        <w:trPr>
          <w:trHeight w:val="320"/>
        </w:trPr>
        <w:tc>
          <w:tcPr>
            <w:tcW w:w="2299" w:type="pct"/>
            <w:tcBorders>
              <w:top w:val="nil"/>
              <w:left w:val="nil"/>
              <w:bottom w:val="single" w:sz="8" w:space="0" w:color="auto"/>
              <w:right w:val="nil"/>
            </w:tcBorders>
            <w:shd w:val="clear" w:color="000000" w:fill="A5A5A5"/>
            <w:noWrap/>
            <w:vAlign w:val="center"/>
            <w:hideMark/>
          </w:tcPr>
          <w:p w:rsidR="00F432AB" w:rsidRPr="00F432AB" w:rsidRDefault="00F432AB" w:rsidP="00F432AB">
            <w:pPr>
              <w:spacing w:after="0" w:line="240" w:lineRule="auto"/>
              <w:jc w:val="center"/>
              <w:rPr>
                <w:rFonts w:ascii="Times New Roman" w:eastAsia="Times New Roman" w:hAnsi="Times New Roman" w:cs="Times New Roman"/>
                <w:b/>
                <w:bCs/>
                <w:lang w:eastAsia="fr-FR"/>
              </w:rPr>
            </w:pPr>
            <w:r w:rsidRPr="00F432AB">
              <w:rPr>
                <w:rFonts w:ascii="Times New Roman" w:eastAsia="Times New Roman" w:hAnsi="Times New Roman" w:cs="Times New Roman"/>
                <w:b/>
                <w:bCs/>
                <w:lang w:eastAsia="fr-FR"/>
              </w:rPr>
              <w:t xml:space="preserve">  INDICE  GENERAL    </w:t>
            </w:r>
          </w:p>
        </w:tc>
        <w:tc>
          <w:tcPr>
            <w:tcW w:w="444" w:type="pct"/>
            <w:tcBorders>
              <w:top w:val="nil"/>
              <w:left w:val="nil"/>
              <w:bottom w:val="single" w:sz="8" w:space="0" w:color="auto"/>
              <w:right w:val="nil"/>
            </w:tcBorders>
            <w:shd w:val="clear" w:color="000000" w:fill="A5A5A5"/>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sz w:val="24"/>
                <w:szCs w:val="24"/>
                <w:lang w:eastAsia="fr-FR"/>
              </w:rPr>
            </w:pPr>
            <w:r w:rsidRPr="00F432AB">
              <w:rPr>
                <w:rFonts w:ascii="Times New Roman" w:eastAsia="Times New Roman" w:hAnsi="Times New Roman" w:cs="Times New Roman"/>
                <w:b/>
                <w:bCs/>
                <w:sz w:val="24"/>
                <w:szCs w:val="24"/>
                <w:lang w:eastAsia="fr-FR"/>
              </w:rPr>
              <w:t>101,</w:t>
            </w:r>
            <w:r>
              <w:rPr>
                <w:rFonts w:ascii="Times New Roman" w:eastAsia="Times New Roman" w:hAnsi="Times New Roman" w:cs="Times New Roman"/>
                <w:b/>
                <w:bCs/>
                <w:sz w:val="24"/>
                <w:szCs w:val="24"/>
                <w:lang w:eastAsia="fr-FR"/>
              </w:rPr>
              <w:t>5</w:t>
            </w:r>
          </w:p>
        </w:tc>
        <w:tc>
          <w:tcPr>
            <w:tcW w:w="444" w:type="pct"/>
            <w:tcBorders>
              <w:top w:val="nil"/>
              <w:left w:val="nil"/>
              <w:bottom w:val="single" w:sz="8" w:space="0" w:color="auto"/>
              <w:right w:val="nil"/>
            </w:tcBorders>
            <w:shd w:val="clear" w:color="000000" w:fill="A5A5A5"/>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sz w:val="24"/>
                <w:szCs w:val="24"/>
                <w:lang w:eastAsia="fr-FR"/>
              </w:rPr>
            </w:pPr>
            <w:r w:rsidRPr="00F432AB">
              <w:rPr>
                <w:rFonts w:ascii="Times New Roman" w:eastAsia="Times New Roman" w:hAnsi="Times New Roman" w:cs="Times New Roman"/>
                <w:b/>
                <w:bCs/>
                <w:sz w:val="24"/>
                <w:szCs w:val="24"/>
                <w:lang w:eastAsia="fr-FR"/>
              </w:rPr>
              <w:t>101,6</w:t>
            </w:r>
          </w:p>
        </w:tc>
        <w:tc>
          <w:tcPr>
            <w:tcW w:w="526" w:type="pct"/>
            <w:tcBorders>
              <w:top w:val="nil"/>
              <w:left w:val="nil"/>
              <w:bottom w:val="single" w:sz="8" w:space="0" w:color="auto"/>
              <w:right w:val="nil"/>
            </w:tcBorders>
            <w:shd w:val="clear" w:color="000000" w:fill="A5A5A5"/>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sz w:val="24"/>
                <w:szCs w:val="24"/>
                <w:lang w:eastAsia="fr-FR"/>
              </w:rPr>
            </w:pPr>
            <w:r w:rsidRPr="00F432AB">
              <w:rPr>
                <w:rFonts w:ascii="Times New Roman" w:eastAsia="Times New Roman" w:hAnsi="Times New Roman" w:cs="Times New Roman"/>
                <w:b/>
                <w:bCs/>
                <w:sz w:val="24"/>
                <w:szCs w:val="24"/>
                <w:lang w:eastAsia="fr-FR"/>
              </w:rPr>
              <w:t>0,1</w:t>
            </w:r>
          </w:p>
        </w:tc>
        <w:tc>
          <w:tcPr>
            <w:tcW w:w="402" w:type="pct"/>
            <w:tcBorders>
              <w:top w:val="nil"/>
              <w:left w:val="nil"/>
              <w:bottom w:val="single" w:sz="8" w:space="0" w:color="auto"/>
              <w:right w:val="nil"/>
            </w:tcBorders>
            <w:shd w:val="clear" w:color="000000" w:fill="A5A5A5"/>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sz w:val="24"/>
                <w:szCs w:val="24"/>
                <w:lang w:eastAsia="fr-FR"/>
              </w:rPr>
            </w:pPr>
            <w:r w:rsidRPr="00F432AB">
              <w:rPr>
                <w:rFonts w:ascii="Times New Roman" w:eastAsia="Times New Roman" w:hAnsi="Times New Roman" w:cs="Times New Roman"/>
                <w:b/>
                <w:bCs/>
                <w:sz w:val="24"/>
                <w:szCs w:val="24"/>
                <w:lang w:eastAsia="fr-FR"/>
              </w:rPr>
              <w:t>101,8</w:t>
            </w:r>
          </w:p>
        </w:tc>
        <w:tc>
          <w:tcPr>
            <w:tcW w:w="402" w:type="pct"/>
            <w:tcBorders>
              <w:top w:val="nil"/>
              <w:left w:val="nil"/>
              <w:bottom w:val="single" w:sz="8" w:space="0" w:color="auto"/>
              <w:right w:val="nil"/>
            </w:tcBorders>
            <w:shd w:val="clear" w:color="000000" w:fill="A5A5A5"/>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sz w:val="24"/>
                <w:szCs w:val="24"/>
                <w:lang w:eastAsia="fr-FR"/>
              </w:rPr>
            </w:pPr>
            <w:r w:rsidRPr="00F432AB">
              <w:rPr>
                <w:rFonts w:ascii="Times New Roman" w:eastAsia="Times New Roman" w:hAnsi="Times New Roman" w:cs="Times New Roman"/>
                <w:b/>
                <w:bCs/>
                <w:sz w:val="24"/>
                <w:szCs w:val="24"/>
                <w:lang w:eastAsia="fr-FR"/>
              </w:rPr>
              <w:t>102,5</w:t>
            </w:r>
          </w:p>
        </w:tc>
        <w:tc>
          <w:tcPr>
            <w:tcW w:w="483" w:type="pct"/>
            <w:tcBorders>
              <w:top w:val="nil"/>
              <w:left w:val="nil"/>
              <w:bottom w:val="single" w:sz="8" w:space="0" w:color="auto"/>
              <w:right w:val="nil"/>
            </w:tcBorders>
            <w:shd w:val="clear" w:color="000000" w:fill="A5A5A5"/>
            <w:noWrap/>
            <w:vAlign w:val="center"/>
            <w:hideMark/>
          </w:tcPr>
          <w:p w:rsidR="00F432AB" w:rsidRPr="00F432AB" w:rsidRDefault="00F432AB" w:rsidP="00F432AB">
            <w:pPr>
              <w:spacing w:after="0" w:line="240" w:lineRule="auto"/>
              <w:jc w:val="right"/>
              <w:rPr>
                <w:rFonts w:ascii="Times New Roman" w:eastAsia="Times New Roman" w:hAnsi="Times New Roman" w:cs="Times New Roman"/>
                <w:b/>
                <w:bCs/>
                <w:sz w:val="24"/>
                <w:szCs w:val="24"/>
                <w:lang w:eastAsia="fr-FR"/>
              </w:rPr>
            </w:pPr>
            <w:r w:rsidRPr="00F432AB">
              <w:rPr>
                <w:rFonts w:ascii="Times New Roman" w:eastAsia="Times New Roman" w:hAnsi="Times New Roman" w:cs="Times New Roman"/>
                <w:b/>
                <w:bCs/>
                <w:sz w:val="24"/>
                <w:szCs w:val="24"/>
                <w:lang w:eastAsia="fr-FR"/>
              </w:rPr>
              <w:t>0,6</w:t>
            </w:r>
          </w:p>
        </w:tc>
      </w:tr>
    </w:tbl>
    <w:p w:rsidR="00801A7A"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412C5F" w:rsidRDefault="00412C5F" w:rsidP="007F58C6">
      <w:pPr>
        <w:jc w:val="both"/>
        <w:rPr>
          <w:rFonts w:ascii="Times New Roman" w:hAnsi="Times New Roman" w:cs="Times New Roman"/>
          <w:sz w:val="24"/>
          <w:szCs w:val="24"/>
        </w:rPr>
      </w:pPr>
      <w:r w:rsidRPr="00412C5F">
        <w:rPr>
          <w:rFonts w:ascii="Times New Roman" w:hAnsi="Times New Roman" w:cs="Times New Roman"/>
          <w:sz w:val="24"/>
          <w:szCs w:val="24"/>
        </w:rPr>
        <w:t>L’analyse</w:t>
      </w:r>
      <w:r>
        <w:rPr>
          <w:rFonts w:ascii="Times New Roman" w:hAnsi="Times New Roman" w:cs="Times New Roman"/>
          <w:sz w:val="24"/>
          <w:szCs w:val="24"/>
        </w:rPr>
        <w:t xml:space="preserve"> par groupe et classe dont les pondérations pèsent dans le panier de consommation des ménages, fait ressortir les principales variations suivantes :</w:t>
      </w:r>
    </w:p>
    <w:p w:rsidR="00412C5F" w:rsidRDefault="00412C5F" w:rsidP="007F58C6">
      <w:pPr>
        <w:pStyle w:val="Paragraphedeliste"/>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Les </w:t>
      </w:r>
      <w:r w:rsidR="00B63F14">
        <w:rPr>
          <w:rFonts w:ascii="Times New Roman" w:hAnsi="Times New Roman" w:cs="Times New Roman"/>
          <w:sz w:val="24"/>
          <w:szCs w:val="24"/>
        </w:rPr>
        <w:t>"P</w:t>
      </w:r>
      <w:r>
        <w:rPr>
          <w:rFonts w:ascii="Times New Roman" w:hAnsi="Times New Roman" w:cs="Times New Roman"/>
          <w:sz w:val="24"/>
          <w:szCs w:val="24"/>
        </w:rPr>
        <w:t>roduits alimentaires</w:t>
      </w:r>
      <w:r w:rsidR="00B63F14">
        <w:rPr>
          <w:rFonts w:ascii="Times New Roman" w:hAnsi="Times New Roman" w:cs="Times New Roman"/>
          <w:sz w:val="24"/>
          <w:szCs w:val="24"/>
        </w:rPr>
        <w:t>"</w:t>
      </w:r>
      <w:r>
        <w:rPr>
          <w:rFonts w:ascii="Times New Roman" w:hAnsi="Times New Roman" w:cs="Times New Roman"/>
          <w:sz w:val="24"/>
          <w:szCs w:val="24"/>
        </w:rPr>
        <w:t xml:space="preserve"> ont progressé de </w:t>
      </w:r>
      <w:r w:rsidR="00B63F14">
        <w:rPr>
          <w:rFonts w:ascii="Times New Roman" w:hAnsi="Times New Roman" w:cs="Times New Roman"/>
          <w:sz w:val="24"/>
          <w:szCs w:val="24"/>
        </w:rPr>
        <w:t>0,1% suite à la hausse des indices du "Pain et céréales" de 1,2%, des "Fruits" de 20,1%, des "Légumes" de 3,5% et de la baisse de la "Viande" de 9%, des "Poissons et fruits de mer" de 2,2% et des "Huiles et Graisses" de 4,5%.</w:t>
      </w:r>
    </w:p>
    <w:p w:rsidR="00B63F14" w:rsidRDefault="00B63F14" w:rsidP="007F58C6">
      <w:pPr>
        <w:pStyle w:val="Paragraphedeliste"/>
        <w:numPr>
          <w:ilvl w:val="0"/>
          <w:numId w:val="38"/>
        </w:numPr>
        <w:jc w:val="both"/>
        <w:rPr>
          <w:rFonts w:ascii="Times New Roman" w:hAnsi="Times New Roman" w:cs="Times New Roman"/>
          <w:sz w:val="24"/>
          <w:szCs w:val="24"/>
        </w:rPr>
      </w:pPr>
      <w:r>
        <w:rPr>
          <w:rFonts w:ascii="Times New Roman" w:hAnsi="Times New Roman" w:cs="Times New Roman"/>
          <w:sz w:val="24"/>
          <w:szCs w:val="24"/>
        </w:rPr>
        <w:t xml:space="preserve">Pour les "Boissons non alcoolisées", la variation de l’indice du groupe dérive </w:t>
      </w:r>
      <w:r w:rsidR="007F58C6">
        <w:rPr>
          <w:rFonts w:ascii="Times New Roman" w:hAnsi="Times New Roman" w:cs="Times New Roman"/>
          <w:sz w:val="24"/>
          <w:szCs w:val="24"/>
        </w:rPr>
        <w:t xml:space="preserve">principalement </w:t>
      </w:r>
      <w:r>
        <w:rPr>
          <w:rFonts w:ascii="Times New Roman" w:hAnsi="Times New Roman" w:cs="Times New Roman"/>
          <w:sz w:val="24"/>
          <w:szCs w:val="24"/>
        </w:rPr>
        <w:t>de la diminution des prix du "Café, thé et cacao" de 1,7%.</w:t>
      </w:r>
    </w:p>
    <w:p w:rsidR="00B63F14" w:rsidRPr="00412C5F" w:rsidRDefault="00B63F14" w:rsidP="007F58C6">
      <w:pPr>
        <w:pStyle w:val="Paragraphedeliste"/>
        <w:numPr>
          <w:ilvl w:val="0"/>
          <w:numId w:val="38"/>
        </w:numPr>
        <w:jc w:val="both"/>
        <w:rPr>
          <w:rFonts w:ascii="Times New Roman" w:hAnsi="Times New Roman" w:cs="Times New Roman"/>
          <w:sz w:val="24"/>
          <w:szCs w:val="24"/>
        </w:rPr>
      </w:pPr>
      <w:r>
        <w:rPr>
          <w:rFonts w:ascii="Times New Roman" w:hAnsi="Times New Roman" w:cs="Times New Roman"/>
          <w:sz w:val="24"/>
          <w:szCs w:val="24"/>
        </w:rPr>
        <w:t>Les prix des "Transports" ont baissé de 1,8% sous l’effet essentiellement de la régression des prix des carburants de 12,5% et de la hausse des prix des services de Transport de 4,4%.</w:t>
      </w:r>
    </w:p>
    <w:p w:rsidR="00412C5F" w:rsidRPr="00412C5F" w:rsidRDefault="00412C5F" w:rsidP="00412C5F"/>
    <w:p w:rsidR="00252B2A" w:rsidRPr="004F39E8" w:rsidRDefault="004D65AF" w:rsidP="00FA6CEF">
      <w:pPr>
        <w:pStyle w:val="Titre2"/>
        <w:rPr>
          <w:rFonts w:asciiTheme="majorBidi" w:hAnsiTheme="majorBidi"/>
        </w:rPr>
      </w:pPr>
      <w:bookmarkStart w:id="32" w:name="_Toc68443134"/>
      <w:r w:rsidRPr="004F39E8">
        <w:rPr>
          <w:rFonts w:asciiTheme="majorBidi" w:hAnsiTheme="majorBidi"/>
        </w:rPr>
        <w:lastRenderedPageBreak/>
        <w:t>II</w:t>
      </w:r>
      <w:r w:rsidR="00586B08" w:rsidRPr="004F39E8">
        <w:rPr>
          <w:rFonts w:asciiTheme="majorBidi" w:hAnsiTheme="majorBidi"/>
        </w:rPr>
        <w:t>I</w:t>
      </w:r>
      <w:r w:rsidRPr="004F39E8">
        <w:rPr>
          <w:rFonts w:asciiTheme="majorBidi" w:hAnsiTheme="majorBidi"/>
        </w:rPr>
        <w:t>-</w:t>
      </w:r>
      <w:r w:rsidR="0096274A" w:rsidRPr="004F39E8">
        <w:rPr>
          <w:rFonts w:asciiTheme="majorBidi" w:hAnsiTheme="majorBidi"/>
        </w:rPr>
        <w:t>4</w:t>
      </w:r>
      <w:r w:rsidRPr="004F39E8">
        <w:rPr>
          <w:rFonts w:asciiTheme="majorBidi" w:hAnsiTheme="majorBidi"/>
        </w:rPr>
        <w:t xml:space="preserve"> Evolution de l’IPC général de la ville de K</w:t>
      </w:r>
      <w:r w:rsidR="00F853F1">
        <w:rPr>
          <w:rFonts w:asciiTheme="majorBidi" w:hAnsiTheme="majorBidi"/>
        </w:rPr>
        <w:t>é</w:t>
      </w:r>
      <w:r w:rsidRPr="004F39E8">
        <w:rPr>
          <w:rFonts w:asciiTheme="majorBidi" w:hAnsiTheme="majorBidi"/>
        </w:rPr>
        <w:t>nitra entre 20</w:t>
      </w:r>
      <w:r w:rsidR="00FA6CEF">
        <w:rPr>
          <w:rFonts w:asciiTheme="majorBidi" w:hAnsiTheme="majorBidi"/>
        </w:rPr>
        <w:t>1</w:t>
      </w:r>
      <w:r w:rsidRPr="004F39E8">
        <w:rPr>
          <w:rFonts w:asciiTheme="majorBidi" w:hAnsiTheme="majorBidi"/>
        </w:rPr>
        <w:t>7 et 20</w:t>
      </w:r>
      <w:r w:rsidR="00FA6CEF">
        <w:rPr>
          <w:rFonts w:asciiTheme="majorBidi" w:hAnsiTheme="majorBidi"/>
        </w:rPr>
        <w:t>20</w:t>
      </w:r>
      <w:bookmarkEnd w:id="32"/>
    </w:p>
    <w:p w:rsidR="00342BBE" w:rsidRPr="004F39E8" w:rsidRDefault="00412C5F" w:rsidP="003D21FB">
      <w:pPr>
        <w:pStyle w:val="Titre3"/>
        <w:rPr>
          <w:rFonts w:asciiTheme="majorBidi" w:hAnsiTheme="majorBidi"/>
          <w:sz w:val="24"/>
          <w:szCs w:val="24"/>
        </w:rPr>
      </w:pPr>
      <w:r>
        <w:rPr>
          <w:rFonts w:asciiTheme="majorBidi" w:hAnsiTheme="majorBidi"/>
          <w:sz w:val="24"/>
          <w:szCs w:val="24"/>
        </w:rPr>
        <w:tab/>
      </w:r>
      <w:bookmarkStart w:id="33" w:name="_Toc68443135"/>
      <w:r w:rsidR="00002361">
        <w:rPr>
          <w:rFonts w:asciiTheme="majorBidi" w:hAnsiTheme="majorBidi"/>
          <w:sz w:val="24"/>
          <w:szCs w:val="24"/>
        </w:rPr>
        <w:t>I</w:t>
      </w:r>
      <w:r w:rsidR="00342BBE" w:rsidRPr="004F39E8">
        <w:rPr>
          <w:rFonts w:asciiTheme="majorBidi" w:hAnsiTheme="majorBidi"/>
          <w:sz w:val="24"/>
          <w:szCs w:val="24"/>
        </w:rPr>
        <w:t>II-</w:t>
      </w:r>
      <w:r w:rsidR="0096274A" w:rsidRPr="004F39E8">
        <w:rPr>
          <w:rFonts w:asciiTheme="majorBidi" w:hAnsiTheme="majorBidi"/>
          <w:sz w:val="24"/>
          <w:szCs w:val="24"/>
        </w:rPr>
        <w:t>4</w:t>
      </w:r>
      <w:r w:rsidR="00342BBE" w:rsidRPr="004F39E8">
        <w:rPr>
          <w:rFonts w:asciiTheme="majorBidi" w:hAnsiTheme="majorBidi"/>
          <w:sz w:val="24"/>
          <w:szCs w:val="24"/>
        </w:rPr>
        <w:t>-1 Evolution mensuelle de l’IPC</w:t>
      </w:r>
      <w:bookmarkEnd w:id="33"/>
      <w:r w:rsidR="00342BBE" w:rsidRPr="004F39E8">
        <w:rPr>
          <w:rFonts w:asciiTheme="majorBidi" w:hAnsiTheme="majorBidi"/>
          <w:sz w:val="24"/>
          <w:szCs w:val="24"/>
        </w:rPr>
        <w:t xml:space="preserve"> </w:t>
      </w:r>
    </w:p>
    <w:p w:rsidR="00D172E5" w:rsidRDefault="003834F1" w:rsidP="00D172E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Au c</w:t>
      </w:r>
      <w:r w:rsidR="009E6687">
        <w:rPr>
          <w:rFonts w:asciiTheme="majorBidi" w:hAnsiTheme="majorBidi" w:cstheme="majorBidi"/>
          <w:sz w:val="24"/>
          <w:szCs w:val="24"/>
        </w:rPr>
        <w:t xml:space="preserve">ours </w:t>
      </w:r>
      <w:r>
        <w:rPr>
          <w:rFonts w:asciiTheme="majorBidi" w:hAnsiTheme="majorBidi" w:cstheme="majorBidi"/>
          <w:sz w:val="24"/>
          <w:szCs w:val="24"/>
        </w:rPr>
        <w:t>de l’année 2017, le niveau général des prix a affiché une tendance baissière</w:t>
      </w:r>
      <w:r w:rsidR="000A4CFE">
        <w:rPr>
          <w:rFonts w:asciiTheme="majorBidi" w:hAnsiTheme="majorBidi" w:cstheme="majorBidi"/>
          <w:sz w:val="24"/>
          <w:szCs w:val="24"/>
        </w:rPr>
        <w:t xml:space="preserve"> avec des niveaux inférieurs à 100 durant les huit premiers mois, exception faite du mois de juin. Cependant, à partir du mois de septembre, les prix à la consommation ont adopté une allure ascendante suite à l’impact de la maladie ayant touché la viande ovine.</w:t>
      </w:r>
    </w:p>
    <w:p w:rsidR="000A4CFE" w:rsidRDefault="000A4CFE" w:rsidP="00D172E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2018, les prix ont continué leur ascension au cours du 1</w:t>
      </w:r>
      <w:r w:rsidRPr="000A4CFE">
        <w:rPr>
          <w:rFonts w:asciiTheme="majorBidi" w:hAnsiTheme="majorBidi" w:cstheme="majorBidi"/>
          <w:sz w:val="24"/>
          <w:szCs w:val="24"/>
          <w:vertAlign w:val="superscript"/>
        </w:rPr>
        <w:t>er</w:t>
      </w:r>
      <w:r>
        <w:rPr>
          <w:rFonts w:asciiTheme="majorBidi" w:hAnsiTheme="majorBidi" w:cstheme="majorBidi"/>
          <w:sz w:val="24"/>
          <w:szCs w:val="24"/>
        </w:rPr>
        <w:t xml:space="preserve"> semestre enregistrant, ainsi, une hausse de 1,7% en glissement annuel contre seulement 0,6% pour le 2</w:t>
      </w:r>
      <w:r w:rsidRPr="000A4CFE">
        <w:rPr>
          <w:rFonts w:asciiTheme="majorBidi" w:hAnsiTheme="majorBidi" w:cstheme="majorBidi"/>
          <w:sz w:val="24"/>
          <w:szCs w:val="24"/>
          <w:vertAlign w:val="superscript"/>
        </w:rPr>
        <w:t>ème</w:t>
      </w:r>
      <w:r>
        <w:rPr>
          <w:rFonts w:asciiTheme="majorBidi" w:hAnsiTheme="majorBidi" w:cstheme="majorBidi"/>
          <w:sz w:val="24"/>
          <w:szCs w:val="24"/>
        </w:rPr>
        <w:t xml:space="preserve"> semestre.</w:t>
      </w:r>
    </w:p>
    <w:p w:rsidR="000A4CFE" w:rsidRDefault="000A4CFE" w:rsidP="00D172E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Concernant les prix en 2019, ils n’ont augmenté que de 0,2% au cours du 1</w:t>
      </w:r>
      <w:r w:rsidRPr="000A4CFE">
        <w:rPr>
          <w:rFonts w:asciiTheme="majorBidi" w:hAnsiTheme="majorBidi" w:cstheme="majorBidi"/>
          <w:sz w:val="24"/>
          <w:szCs w:val="24"/>
          <w:vertAlign w:val="superscript"/>
        </w:rPr>
        <w:t>er</w:t>
      </w:r>
      <w:r>
        <w:rPr>
          <w:rFonts w:asciiTheme="majorBidi" w:hAnsiTheme="majorBidi" w:cstheme="majorBidi"/>
          <w:sz w:val="24"/>
          <w:szCs w:val="24"/>
        </w:rPr>
        <w:t xml:space="preserve"> semestre</w:t>
      </w:r>
      <w:r w:rsidR="00DF46E3">
        <w:rPr>
          <w:rFonts w:asciiTheme="majorBidi" w:hAnsiTheme="majorBidi" w:cstheme="majorBidi"/>
          <w:sz w:val="24"/>
          <w:szCs w:val="24"/>
        </w:rPr>
        <w:t xml:space="preserve"> et de 0,7% dans la 2</w:t>
      </w:r>
      <w:r w:rsidR="00DF46E3" w:rsidRPr="00DF46E3">
        <w:rPr>
          <w:rFonts w:asciiTheme="majorBidi" w:hAnsiTheme="majorBidi" w:cstheme="majorBidi"/>
          <w:sz w:val="24"/>
          <w:szCs w:val="24"/>
          <w:vertAlign w:val="superscript"/>
        </w:rPr>
        <w:t>ème</w:t>
      </w:r>
      <w:r w:rsidR="00DF46E3">
        <w:rPr>
          <w:rFonts w:asciiTheme="majorBidi" w:hAnsiTheme="majorBidi" w:cstheme="majorBidi"/>
          <w:sz w:val="24"/>
          <w:szCs w:val="24"/>
        </w:rPr>
        <w:t xml:space="preserve"> moitié de l’année.</w:t>
      </w:r>
    </w:p>
    <w:p w:rsidR="00DF46E3" w:rsidRDefault="00DF46E3" w:rsidP="00D172E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Marquée par la </w:t>
      </w:r>
      <w:r w:rsidR="00E871A3">
        <w:rPr>
          <w:rFonts w:asciiTheme="majorBidi" w:hAnsiTheme="majorBidi" w:cstheme="majorBidi"/>
          <w:sz w:val="24"/>
          <w:szCs w:val="24"/>
        </w:rPr>
        <w:t>crise sanitaire</w:t>
      </w:r>
      <w:r>
        <w:rPr>
          <w:rFonts w:asciiTheme="majorBidi" w:hAnsiTheme="majorBidi" w:cstheme="majorBidi"/>
          <w:sz w:val="24"/>
          <w:szCs w:val="24"/>
        </w:rPr>
        <w:t xml:space="preserve"> COVID-19, l’année 2020 a connu l’entrée en </w:t>
      </w:r>
      <w:r w:rsidR="00E871A3">
        <w:rPr>
          <w:rFonts w:asciiTheme="majorBidi" w:hAnsiTheme="majorBidi" w:cstheme="majorBidi"/>
          <w:sz w:val="24"/>
          <w:szCs w:val="24"/>
        </w:rPr>
        <w:t>vigueur du confinement le 20 Mars pour lutter contre la propagation de la pandémie. Ainsi, les prix ont varié de 0,8% au 1</w:t>
      </w:r>
      <w:r w:rsidR="00E871A3" w:rsidRPr="00E871A3">
        <w:rPr>
          <w:rFonts w:asciiTheme="majorBidi" w:hAnsiTheme="majorBidi" w:cstheme="majorBidi"/>
          <w:sz w:val="24"/>
          <w:szCs w:val="24"/>
          <w:vertAlign w:val="superscript"/>
        </w:rPr>
        <w:t>er</w:t>
      </w:r>
      <w:r w:rsidR="00E871A3">
        <w:rPr>
          <w:rFonts w:asciiTheme="majorBidi" w:hAnsiTheme="majorBidi" w:cstheme="majorBidi"/>
          <w:sz w:val="24"/>
          <w:szCs w:val="24"/>
        </w:rPr>
        <w:t xml:space="preserve"> trimestre par rapport à son analogue de l’année dernière.</w:t>
      </w:r>
      <w:r w:rsidR="005B73EA">
        <w:rPr>
          <w:rFonts w:asciiTheme="majorBidi" w:hAnsiTheme="majorBidi" w:cstheme="majorBidi"/>
          <w:sz w:val="24"/>
          <w:szCs w:val="24"/>
        </w:rPr>
        <w:t xml:space="preserve"> Toutefois, cette tendance est passée à la baisse au cours du 2</w:t>
      </w:r>
      <w:r w:rsidR="005B73EA" w:rsidRPr="005B73EA">
        <w:rPr>
          <w:rFonts w:asciiTheme="majorBidi" w:hAnsiTheme="majorBidi" w:cstheme="majorBidi"/>
          <w:sz w:val="24"/>
          <w:szCs w:val="24"/>
          <w:vertAlign w:val="superscript"/>
        </w:rPr>
        <w:t>ème</w:t>
      </w:r>
      <w:r w:rsidR="005B73EA">
        <w:rPr>
          <w:rFonts w:asciiTheme="majorBidi" w:hAnsiTheme="majorBidi" w:cstheme="majorBidi"/>
          <w:sz w:val="24"/>
          <w:szCs w:val="24"/>
        </w:rPr>
        <w:t xml:space="preserve"> trimestre suite au repli de la consommation des ménages, notamment les dépenses liées à l’énergie, au transport, à la</w:t>
      </w:r>
      <w:r w:rsidR="008A01ED">
        <w:rPr>
          <w:rFonts w:asciiTheme="majorBidi" w:hAnsiTheme="majorBidi" w:cstheme="majorBidi"/>
          <w:sz w:val="24"/>
          <w:szCs w:val="24"/>
        </w:rPr>
        <w:t xml:space="preserve"> restauration et aux loisirs.</w:t>
      </w:r>
    </w:p>
    <w:p w:rsidR="008A01ED" w:rsidRPr="006F4290" w:rsidRDefault="008A01ED" w:rsidP="00D172E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Au 3</w:t>
      </w:r>
      <w:r w:rsidRPr="008A01ED">
        <w:rPr>
          <w:rFonts w:asciiTheme="majorBidi" w:hAnsiTheme="majorBidi" w:cstheme="majorBidi"/>
          <w:sz w:val="24"/>
          <w:szCs w:val="24"/>
          <w:vertAlign w:val="superscript"/>
        </w:rPr>
        <w:t>ème</w:t>
      </w:r>
      <w:r>
        <w:rPr>
          <w:rFonts w:asciiTheme="majorBidi" w:hAnsiTheme="majorBidi" w:cstheme="majorBidi"/>
          <w:sz w:val="24"/>
          <w:szCs w:val="24"/>
        </w:rPr>
        <w:t xml:space="preserve"> trimestre 2020, les prix à la consommation se sont redressés de 0,6% en variation annuelle. Cette évolution est particulièrement attribuable à la levée progressive des restrictions sanitaires qui a contribué à booster la demande des ménages. Enfin, le dernier trimestre 2020 a été marqué par une décélération des prix à la consommation due essentiellement à la baisse des prix des produits alimentaires.</w:t>
      </w:r>
    </w:p>
    <w:p w:rsidR="00E40488" w:rsidRDefault="003042FE" w:rsidP="00220C72">
      <w:pPr>
        <w:spacing w:before="240" w:after="0"/>
        <w:jc w:val="both"/>
        <w:rPr>
          <w:rFonts w:ascii="Times New Roman" w:hAnsi="Times New Roman" w:cstheme="majorBidi"/>
          <w:b/>
          <w:bCs/>
          <w:color w:val="548DD4" w:themeColor="text2" w:themeTint="99"/>
        </w:rPr>
      </w:pPr>
      <w:r w:rsidRPr="001A6800">
        <w:rPr>
          <w:rFonts w:asciiTheme="majorBidi" w:hAnsiTheme="majorBidi" w:cstheme="majorBidi"/>
          <w:b/>
          <w:bCs/>
          <w:color w:val="548DD4" w:themeColor="text2" w:themeTint="99"/>
          <w:sz w:val="24"/>
          <w:szCs w:val="24"/>
        </w:rPr>
        <w:t xml:space="preserve"> </w:t>
      </w:r>
      <w:bookmarkStart w:id="34" w:name="_Toc68436339"/>
      <w:r w:rsidR="00462F63" w:rsidRPr="006B511C">
        <w:rPr>
          <w:rFonts w:ascii="Times New Roman" w:hAnsi="Times New Roman"/>
          <w:b/>
          <w:bCs/>
          <w:color w:val="4F81BD" w:themeColor="accent1"/>
        </w:rPr>
        <w:t xml:space="preserve">Graphique </w:t>
      </w:r>
      <w:r w:rsidR="002966E3" w:rsidRPr="006B511C">
        <w:rPr>
          <w:rFonts w:ascii="Times New Roman" w:hAnsi="Times New Roman"/>
          <w:b/>
          <w:bCs/>
          <w:color w:val="4F81BD" w:themeColor="accent1"/>
        </w:rPr>
        <w:fldChar w:fldCharType="begin"/>
      </w:r>
      <w:r w:rsidR="00462F63" w:rsidRPr="006B511C">
        <w:rPr>
          <w:rFonts w:ascii="Times New Roman" w:hAnsi="Times New Roman"/>
          <w:b/>
          <w:bCs/>
          <w:color w:val="4F81BD" w:themeColor="accent1"/>
        </w:rPr>
        <w:instrText xml:space="preserve"> SEQ Graphique \* ARABIC </w:instrText>
      </w:r>
      <w:r w:rsidR="002966E3" w:rsidRPr="006B511C">
        <w:rPr>
          <w:rFonts w:ascii="Times New Roman" w:hAnsi="Times New Roman"/>
          <w:b/>
          <w:bCs/>
          <w:color w:val="4F81BD" w:themeColor="accent1"/>
        </w:rPr>
        <w:fldChar w:fldCharType="separate"/>
      </w:r>
      <w:r w:rsidR="00794CED" w:rsidRPr="006B511C">
        <w:rPr>
          <w:rFonts w:ascii="Times New Roman" w:hAnsi="Times New Roman"/>
          <w:b/>
          <w:bCs/>
          <w:noProof/>
          <w:color w:val="4F81BD" w:themeColor="accent1"/>
        </w:rPr>
        <w:t>5</w:t>
      </w:r>
      <w:r w:rsidR="002966E3" w:rsidRPr="006B511C">
        <w:rPr>
          <w:rFonts w:ascii="Times New Roman" w:hAnsi="Times New Roman"/>
          <w:b/>
          <w:bCs/>
          <w:color w:val="4F81BD" w:themeColor="accent1"/>
        </w:rPr>
        <w:fldChar w:fldCharType="end"/>
      </w:r>
      <w:r w:rsidR="00462F63" w:rsidRPr="001A6800">
        <w:rPr>
          <w:rFonts w:ascii="Times New Roman" w:hAnsi="Times New Roman"/>
          <w:b/>
          <w:bCs/>
        </w:rPr>
        <w:t xml:space="preserve"> : </w:t>
      </w:r>
      <w:r w:rsidR="004F39E8" w:rsidRPr="001A6800">
        <w:rPr>
          <w:rFonts w:ascii="Times New Roman" w:hAnsi="Times New Roman" w:cstheme="majorBidi"/>
          <w:b/>
          <w:bCs/>
          <w:color w:val="548DD4" w:themeColor="text2" w:themeTint="99"/>
        </w:rPr>
        <w:t>Evolution de l'IPC de la ville de Kenitra entre 20</w:t>
      </w:r>
      <w:r w:rsidR="00220C72">
        <w:rPr>
          <w:rFonts w:ascii="Times New Roman" w:hAnsi="Times New Roman" w:cstheme="majorBidi"/>
          <w:b/>
          <w:bCs/>
          <w:color w:val="548DD4" w:themeColor="text2" w:themeTint="99"/>
        </w:rPr>
        <w:t>1</w:t>
      </w:r>
      <w:r w:rsidR="004F39E8" w:rsidRPr="001A6800">
        <w:rPr>
          <w:rFonts w:ascii="Times New Roman" w:hAnsi="Times New Roman" w:cstheme="majorBidi"/>
          <w:b/>
          <w:bCs/>
          <w:color w:val="548DD4" w:themeColor="text2" w:themeTint="99"/>
        </w:rPr>
        <w:t>7 et 20</w:t>
      </w:r>
      <w:r w:rsidR="00220C72">
        <w:rPr>
          <w:rFonts w:ascii="Times New Roman" w:hAnsi="Times New Roman" w:cstheme="majorBidi"/>
          <w:b/>
          <w:bCs/>
          <w:color w:val="548DD4" w:themeColor="text2" w:themeTint="99"/>
        </w:rPr>
        <w:t>20</w:t>
      </w:r>
      <w:bookmarkEnd w:id="34"/>
      <w:r w:rsidR="00FE6A9B" w:rsidRPr="00FE6A9B">
        <w:rPr>
          <w:rFonts w:ascii="Times New Roman" w:hAnsi="Times New Roman" w:cstheme="majorBidi"/>
          <w:b/>
          <w:bCs/>
          <w:noProof/>
          <w:color w:val="548DD4" w:themeColor="text2" w:themeTint="99"/>
          <w:lang w:eastAsia="fr-FR"/>
        </w:rPr>
        <w:drawing>
          <wp:inline distT="0" distB="0" distL="0" distR="0">
            <wp:extent cx="5822950" cy="3505200"/>
            <wp:effectExtent l="19050" t="0" r="2540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A7A" w:rsidRPr="00483003"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4D65AF" w:rsidRPr="004F39E8" w:rsidRDefault="00342BBE" w:rsidP="003D21FB">
      <w:pPr>
        <w:pStyle w:val="Titre3"/>
        <w:rPr>
          <w:rFonts w:asciiTheme="majorBidi" w:hAnsiTheme="majorBidi"/>
          <w:sz w:val="24"/>
          <w:szCs w:val="24"/>
        </w:rPr>
      </w:pPr>
      <w:bookmarkStart w:id="35" w:name="_Toc68443136"/>
      <w:r w:rsidRPr="004F39E8">
        <w:rPr>
          <w:rFonts w:asciiTheme="majorBidi" w:hAnsiTheme="majorBidi"/>
          <w:sz w:val="24"/>
          <w:szCs w:val="24"/>
        </w:rPr>
        <w:lastRenderedPageBreak/>
        <w:t>II</w:t>
      </w:r>
      <w:r w:rsidR="00586B08" w:rsidRPr="004F39E8">
        <w:rPr>
          <w:rFonts w:asciiTheme="majorBidi" w:hAnsiTheme="majorBidi"/>
          <w:sz w:val="24"/>
          <w:szCs w:val="24"/>
        </w:rPr>
        <w:t>I</w:t>
      </w:r>
      <w:r w:rsidRPr="004F39E8">
        <w:rPr>
          <w:rFonts w:asciiTheme="majorBidi" w:hAnsiTheme="majorBidi"/>
          <w:sz w:val="24"/>
          <w:szCs w:val="24"/>
        </w:rPr>
        <w:t>-</w:t>
      </w:r>
      <w:r w:rsidR="0096274A" w:rsidRPr="004F39E8">
        <w:rPr>
          <w:rFonts w:asciiTheme="majorBidi" w:hAnsiTheme="majorBidi"/>
          <w:sz w:val="24"/>
          <w:szCs w:val="24"/>
        </w:rPr>
        <w:t>4</w:t>
      </w:r>
      <w:r w:rsidRPr="004F39E8">
        <w:rPr>
          <w:rFonts w:asciiTheme="majorBidi" w:hAnsiTheme="majorBidi"/>
          <w:sz w:val="24"/>
          <w:szCs w:val="24"/>
        </w:rPr>
        <w:t xml:space="preserve">-2 Evolution annuelle </w:t>
      </w:r>
      <w:r w:rsidR="003D21FB" w:rsidRPr="004F39E8">
        <w:rPr>
          <w:rFonts w:asciiTheme="majorBidi" w:hAnsiTheme="majorBidi"/>
          <w:sz w:val="24"/>
          <w:szCs w:val="24"/>
        </w:rPr>
        <w:t>de l’IPC</w:t>
      </w:r>
      <w:bookmarkEnd w:id="35"/>
    </w:p>
    <w:p w:rsidR="00662B97" w:rsidRPr="004F39E8" w:rsidRDefault="00662B97" w:rsidP="004F39E8">
      <w:pPr>
        <w:pStyle w:val="Titre4"/>
        <w:spacing w:before="100" w:beforeAutospacing="1"/>
        <w:rPr>
          <w:rFonts w:asciiTheme="majorBidi" w:hAnsiTheme="majorBidi"/>
          <w:sz w:val="24"/>
          <w:szCs w:val="24"/>
        </w:rPr>
      </w:pPr>
      <w:bookmarkStart w:id="36" w:name="_Toc68443137"/>
      <w:r w:rsidRPr="004F39E8">
        <w:rPr>
          <w:rFonts w:asciiTheme="majorBidi" w:hAnsiTheme="majorBidi"/>
          <w:sz w:val="24"/>
          <w:szCs w:val="24"/>
        </w:rPr>
        <w:t>II</w:t>
      </w:r>
      <w:r w:rsidR="00586B08" w:rsidRPr="004F39E8">
        <w:rPr>
          <w:rFonts w:asciiTheme="majorBidi" w:hAnsiTheme="majorBidi"/>
          <w:sz w:val="24"/>
          <w:szCs w:val="24"/>
        </w:rPr>
        <w:t>I</w:t>
      </w:r>
      <w:r w:rsidRPr="004F39E8">
        <w:rPr>
          <w:rFonts w:asciiTheme="majorBidi" w:hAnsiTheme="majorBidi"/>
          <w:sz w:val="24"/>
          <w:szCs w:val="24"/>
        </w:rPr>
        <w:t xml:space="preserve">-4-2-1  Evolution annuelle </w:t>
      </w:r>
      <w:r w:rsidR="003D21FB" w:rsidRPr="004F39E8">
        <w:rPr>
          <w:rFonts w:asciiTheme="majorBidi" w:hAnsiTheme="majorBidi"/>
          <w:sz w:val="24"/>
          <w:szCs w:val="24"/>
        </w:rPr>
        <w:t>des indices généraux de Kénitra et du Maroc</w:t>
      </w:r>
      <w:bookmarkEnd w:id="36"/>
    </w:p>
    <w:p w:rsidR="00626DB8" w:rsidRDefault="00FE6453" w:rsidP="005A6C4D">
      <w:pPr>
        <w:spacing w:before="100" w:beforeAutospacing="1"/>
        <w:jc w:val="both"/>
        <w:rPr>
          <w:rFonts w:asciiTheme="majorBidi" w:hAnsiTheme="majorBidi" w:cstheme="majorBidi"/>
          <w:sz w:val="24"/>
          <w:szCs w:val="24"/>
        </w:rPr>
      </w:pPr>
      <w:r>
        <w:rPr>
          <w:rFonts w:asciiTheme="majorBidi" w:hAnsiTheme="majorBidi" w:cstheme="majorBidi"/>
          <w:sz w:val="24"/>
          <w:szCs w:val="24"/>
        </w:rPr>
        <w:t>L</w:t>
      </w:r>
      <w:r w:rsidR="004119FD">
        <w:rPr>
          <w:rFonts w:asciiTheme="majorBidi" w:hAnsiTheme="majorBidi" w:cstheme="majorBidi"/>
          <w:sz w:val="24"/>
          <w:szCs w:val="24"/>
        </w:rPr>
        <w:t xml:space="preserve">’évolution de </w:t>
      </w:r>
      <w:r w:rsidR="00626DB8">
        <w:rPr>
          <w:rFonts w:asciiTheme="majorBidi" w:hAnsiTheme="majorBidi" w:cstheme="majorBidi"/>
          <w:sz w:val="24"/>
          <w:szCs w:val="24"/>
        </w:rPr>
        <w:t>l’IPC général</w:t>
      </w:r>
      <w:r w:rsidR="004119FD">
        <w:rPr>
          <w:rFonts w:asciiTheme="majorBidi" w:hAnsiTheme="majorBidi" w:cstheme="majorBidi"/>
          <w:sz w:val="24"/>
          <w:szCs w:val="24"/>
        </w:rPr>
        <w:t xml:space="preserve">, </w:t>
      </w:r>
      <w:r w:rsidR="00176713">
        <w:rPr>
          <w:rFonts w:asciiTheme="majorBidi" w:hAnsiTheme="majorBidi" w:cstheme="majorBidi"/>
          <w:sz w:val="24"/>
          <w:szCs w:val="24"/>
        </w:rPr>
        <w:t>aussi bien de la ville de K</w:t>
      </w:r>
      <w:r w:rsidR="00626DB8">
        <w:rPr>
          <w:rFonts w:asciiTheme="majorBidi" w:hAnsiTheme="majorBidi" w:cstheme="majorBidi"/>
          <w:sz w:val="24"/>
          <w:szCs w:val="24"/>
        </w:rPr>
        <w:t xml:space="preserve">énitra que celui </w:t>
      </w:r>
      <w:r>
        <w:rPr>
          <w:rFonts w:asciiTheme="majorBidi" w:hAnsiTheme="majorBidi" w:cstheme="majorBidi"/>
          <w:sz w:val="24"/>
          <w:szCs w:val="24"/>
        </w:rPr>
        <w:t xml:space="preserve">de l’ensemble des dix-huit </w:t>
      </w:r>
      <w:r w:rsidR="00626DB8">
        <w:rPr>
          <w:rFonts w:asciiTheme="majorBidi" w:hAnsiTheme="majorBidi" w:cstheme="majorBidi"/>
          <w:sz w:val="24"/>
          <w:szCs w:val="24"/>
        </w:rPr>
        <w:t>entre 20</w:t>
      </w:r>
      <w:r>
        <w:rPr>
          <w:rFonts w:asciiTheme="majorBidi" w:hAnsiTheme="majorBidi" w:cstheme="majorBidi"/>
          <w:sz w:val="24"/>
          <w:szCs w:val="24"/>
        </w:rPr>
        <w:t>1</w:t>
      </w:r>
      <w:r w:rsidR="00626DB8">
        <w:rPr>
          <w:rFonts w:asciiTheme="majorBidi" w:hAnsiTheme="majorBidi" w:cstheme="majorBidi"/>
          <w:sz w:val="24"/>
          <w:szCs w:val="24"/>
        </w:rPr>
        <w:t>7 et 20</w:t>
      </w:r>
      <w:r>
        <w:rPr>
          <w:rFonts w:asciiTheme="majorBidi" w:hAnsiTheme="majorBidi" w:cstheme="majorBidi"/>
          <w:sz w:val="24"/>
          <w:szCs w:val="24"/>
        </w:rPr>
        <w:t>20</w:t>
      </w:r>
      <w:r w:rsidR="00626DB8">
        <w:rPr>
          <w:rFonts w:asciiTheme="majorBidi" w:hAnsiTheme="majorBidi" w:cstheme="majorBidi"/>
          <w:sz w:val="24"/>
          <w:szCs w:val="24"/>
        </w:rPr>
        <w:t xml:space="preserve">, </w:t>
      </w:r>
      <w:r>
        <w:rPr>
          <w:rFonts w:asciiTheme="majorBidi" w:hAnsiTheme="majorBidi" w:cstheme="majorBidi"/>
          <w:sz w:val="24"/>
          <w:szCs w:val="24"/>
        </w:rPr>
        <w:t>montre clairement</w:t>
      </w:r>
      <w:r w:rsidR="00626DB8">
        <w:rPr>
          <w:rFonts w:asciiTheme="majorBidi" w:hAnsiTheme="majorBidi" w:cstheme="majorBidi"/>
          <w:sz w:val="24"/>
          <w:szCs w:val="24"/>
        </w:rPr>
        <w:t xml:space="preserve"> la tendance haussière des </w:t>
      </w:r>
      <w:r>
        <w:rPr>
          <w:rFonts w:asciiTheme="majorBidi" w:hAnsiTheme="majorBidi" w:cstheme="majorBidi"/>
          <w:sz w:val="24"/>
          <w:szCs w:val="24"/>
        </w:rPr>
        <w:t xml:space="preserve">prix à la consommation durant ces quatre </w:t>
      </w:r>
      <w:r w:rsidR="00626DB8">
        <w:rPr>
          <w:rFonts w:asciiTheme="majorBidi" w:hAnsiTheme="majorBidi" w:cstheme="majorBidi"/>
          <w:sz w:val="24"/>
          <w:szCs w:val="24"/>
        </w:rPr>
        <w:t>dernières années.</w:t>
      </w:r>
    </w:p>
    <w:p w:rsidR="00F46CAF" w:rsidRDefault="00626DB8" w:rsidP="00626DB8">
      <w:pPr>
        <w:spacing w:before="100" w:beforeAutospacing="1"/>
        <w:jc w:val="both"/>
        <w:rPr>
          <w:rFonts w:asciiTheme="majorBidi" w:hAnsiTheme="majorBidi" w:cstheme="majorBidi"/>
          <w:sz w:val="24"/>
          <w:szCs w:val="24"/>
        </w:rPr>
      </w:pPr>
      <w:r>
        <w:rPr>
          <w:rFonts w:asciiTheme="majorBidi" w:hAnsiTheme="majorBidi" w:cstheme="majorBidi"/>
          <w:sz w:val="24"/>
          <w:szCs w:val="24"/>
        </w:rPr>
        <w:t>Malgré leurs allures très rapprochées, les deux courbes de l’IPC général, représentées dans le graphique ci-dessous, montre</w:t>
      </w:r>
      <w:r w:rsidR="00035FE6">
        <w:rPr>
          <w:rFonts w:asciiTheme="majorBidi" w:hAnsiTheme="majorBidi" w:cstheme="majorBidi"/>
          <w:sz w:val="24"/>
          <w:szCs w:val="24"/>
        </w:rPr>
        <w:t>nt</w:t>
      </w:r>
      <w:r>
        <w:rPr>
          <w:rFonts w:asciiTheme="majorBidi" w:hAnsiTheme="majorBidi" w:cstheme="majorBidi"/>
          <w:sz w:val="24"/>
          <w:szCs w:val="24"/>
        </w:rPr>
        <w:t xml:space="preserve"> que le</w:t>
      </w:r>
      <w:r w:rsidR="00CA6B51">
        <w:rPr>
          <w:rFonts w:asciiTheme="majorBidi" w:hAnsiTheme="majorBidi" w:cstheme="majorBidi"/>
          <w:sz w:val="24"/>
          <w:szCs w:val="24"/>
        </w:rPr>
        <w:t xml:space="preserve"> niveau général des prix</w:t>
      </w:r>
      <w:r w:rsidR="004119FD">
        <w:rPr>
          <w:rFonts w:asciiTheme="majorBidi" w:hAnsiTheme="majorBidi" w:cstheme="majorBidi"/>
          <w:sz w:val="24"/>
          <w:szCs w:val="24"/>
        </w:rPr>
        <w:t xml:space="preserve"> </w:t>
      </w:r>
      <w:r>
        <w:rPr>
          <w:rFonts w:asciiTheme="majorBidi" w:hAnsiTheme="majorBidi" w:cstheme="majorBidi"/>
          <w:sz w:val="24"/>
          <w:szCs w:val="24"/>
        </w:rPr>
        <w:t>dans</w:t>
      </w:r>
      <w:r w:rsidR="004119FD">
        <w:rPr>
          <w:rFonts w:asciiTheme="majorBidi" w:hAnsiTheme="majorBidi" w:cstheme="majorBidi"/>
          <w:sz w:val="24"/>
          <w:szCs w:val="24"/>
        </w:rPr>
        <w:t xml:space="preserve"> la ville de Kénitra </w:t>
      </w:r>
      <w:r w:rsidR="00DD3665">
        <w:rPr>
          <w:rFonts w:asciiTheme="majorBidi" w:hAnsiTheme="majorBidi" w:cstheme="majorBidi"/>
          <w:sz w:val="24"/>
          <w:szCs w:val="24"/>
        </w:rPr>
        <w:t>se situe en dessous</w:t>
      </w:r>
      <w:r>
        <w:rPr>
          <w:rFonts w:asciiTheme="majorBidi" w:hAnsiTheme="majorBidi" w:cstheme="majorBidi"/>
          <w:sz w:val="24"/>
          <w:szCs w:val="24"/>
        </w:rPr>
        <w:t xml:space="preserve"> de </w:t>
      </w:r>
      <w:r w:rsidR="00CA6B51">
        <w:rPr>
          <w:rFonts w:asciiTheme="majorBidi" w:hAnsiTheme="majorBidi" w:cstheme="majorBidi"/>
          <w:sz w:val="24"/>
          <w:szCs w:val="24"/>
        </w:rPr>
        <w:t>la moyenne nationale</w:t>
      </w:r>
      <w:r w:rsidR="004119FD">
        <w:rPr>
          <w:rFonts w:asciiTheme="majorBidi" w:hAnsiTheme="majorBidi" w:cstheme="majorBidi"/>
          <w:sz w:val="24"/>
          <w:szCs w:val="24"/>
        </w:rPr>
        <w:t xml:space="preserve">. </w:t>
      </w:r>
    </w:p>
    <w:p w:rsidR="00DD3665" w:rsidRDefault="00DD3665" w:rsidP="00626DB8">
      <w:pPr>
        <w:spacing w:before="100" w:beforeAutospacing="1"/>
        <w:jc w:val="both"/>
        <w:rPr>
          <w:rFonts w:asciiTheme="majorBidi" w:hAnsiTheme="majorBidi" w:cstheme="majorBidi"/>
          <w:sz w:val="24"/>
          <w:szCs w:val="24"/>
        </w:rPr>
      </w:pPr>
      <w:r>
        <w:rPr>
          <w:rFonts w:asciiTheme="majorBidi" w:hAnsiTheme="majorBidi" w:cstheme="majorBidi"/>
          <w:sz w:val="24"/>
          <w:szCs w:val="24"/>
        </w:rPr>
        <w:t>Notant que l’écart entre les deux indices a atteint son niveau le plus élevé en 2020.</w:t>
      </w:r>
    </w:p>
    <w:p w:rsidR="006749E7" w:rsidRPr="00462F63" w:rsidRDefault="00462F63" w:rsidP="00E975D0">
      <w:pPr>
        <w:pStyle w:val="Lgende"/>
        <w:rPr>
          <w:rFonts w:ascii="Times New Roman" w:hAnsi="Times New Roman" w:cstheme="majorBidi"/>
          <w:bCs w:val="0"/>
          <w:color w:val="548DD4" w:themeColor="text2" w:themeTint="99"/>
          <w:sz w:val="22"/>
          <w:szCs w:val="24"/>
        </w:rPr>
      </w:pPr>
      <w:bookmarkStart w:id="37" w:name="_Toc68436340"/>
      <w:r w:rsidRPr="00462F63">
        <w:rPr>
          <w:rFonts w:ascii="Times New Roman" w:hAnsi="Times New Roman"/>
          <w:sz w:val="22"/>
        </w:rPr>
        <w:t xml:space="preserve">Graphique </w:t>
      </w:r>
      <w:r w:rsidR="002966E3" w:rsidRPr="00462F63">
        <w:rPr>
          <w:rFonts w:ascii="Times New Roman" w:hAnsi="Times New Roman"/>
          <w:sz w:val="22"/>
        </w:rPr>
        <w:fldChar w:fldCharType="begin"/>
      </w:r>
      <w:r w:rsidRPr="00462F63">
        <w:rPr>
          <w:rFonts w:ascii="Times New Roman" w:hAnsi="Times New Roman"/>
          <w:sz w:val="22"/>
        </w:rPr>
        <w:instrText xml:space="preserve"> SEQ Graphique \* ARABIC </w:instrText>
      </w:r>
      <w:r w:rsidR="002966E3" w:rsidRPr="00462F63">
        <w:rPr>
          <w:rFonts w:ascii="Times New Roman" w:hAnsi="Times New Roman"/>
          <w:sz w:val="22"/>
        </w:rPr>
        <w:fldChar w:fldCharType="separate"/>
      </w:r>
      <w:r w:rsidR="00794CED">
        <w:rPr>
          <w:rFonts w:ascii="Times New Roman" w:hAnsi="Times New Roman"/>
          <w:noProof/>
          <w:sz w:val="22"/>
        </w:rPr>
        <w:t>6</w:t>
      </w:r>
      <w:r w:rsidR="002966E3" w:rsidRPr="00462F63">
        <w:rPr>
          <w:rFonts w:ascii="Times New Roman" w:hAnsi="Times New Roman"/>
          <w:sz w:val="22"/>
        </w:rPr>
        <w:fldChar w:fldCharType="end"/>
      </w:r>
      <w:r w:rsidRPr="00462F63">
        <w:rPr>
          <w:rFonts w:ascii="Times New Roman" w:hAnsi="Times New Roman"/>
          <w:sz w:val="22"/>
        </w:rPr>
        <w:t xml:space="preserve"> : </w:t>
      </w:r>
      <w:r w:rsidR="004F39E8" w:rsidRPr="00462F63">
        <w:rPr>
          <w:rFonts w:ascii="Times New Roman" w:hAnsi="Times New Roman" w:cstheme="majorBidi"/>
          <w:bCs w:val="0"/>
          <w:color w:val="548DD4" w:themeColor="text2" w:themeTint="99"/>
          <w:sz w:val="22"/>
          <w:szCs w:val="24"/>
        </w:rPr>
        <w:t xml:space="preserve">Evolution de l'IPC  général de la ville de  </w:t>
      </w:r>
      <w:r>
        <w:rPr>
          <w:rFonts w:ascii="Times New Roman" w:hAnsi="Times New Roman" w:cstheme="majorBidi"/>
          <w:bCs w:val="0"/>
          <w:color w:val="548DD4" w:themeColor="text2" w:themeTint="99"/>
          <w:sz w:val="22"/>
          <w:szCs w:val="24"/>
        </w:rPr>
        <w:t>K</w:t>
      </w:r>
      <w:r w:rsidR="004F39E8" w:rsidRPr="00462F63">
        <w:rPr>
          <w:rFonts w:ascii="Times New Roman" w:hAnsi="Times New Roman" w:cstheme="majorBidi"/>
          <w:bCs w:val="0"/>
          <w:color w:val="548DD4" w:themeColor="text2" w:themeTint="99"/>
          <w:sz w:val="22"/>
          <w:szCs w:val="24"/>
        </w:rPr>
        <w:t>énitra et du Maroc entre 20</w:t>
      </w:r>
      <w:r w:rsidR="00E975D0">
        <w:rPr>
          <w:rFonts w:ascii="Times New Roman" w:hAnsi="Times New Roman" w:cstheme="majorBidi"/>
          <w:bCs w:val="0"/>
          <w:color w:val="548DD4" w:themeColor="text2" w:themeTint="99"/>
          <w:sz w:val="22"/>
          <w:szCs w:val="24"/>
        </w:rPr>
        <w:t>1</w:t>
      </w:r>
      <w:r w:rsidR="004F39E8" w:rsidRPr="00462F63">
        <w:rPr>
          <w:rFonts w:ascii="Times New Roman" w:hAnsi="Times New Roman" w:cstheme="majorBidi"/>
          <w:bCs w:val="0"/>
          <w:color w:val="548DD4" w:themeColor="text2" w:themeTint="99"/>
          <w:sz w:val="22"/>
          <w:szCs w:val="24"/>
        </w:rPr>
        <w:t>7 et 20</w:t>
      </w:r>
      <w:r w:rsidR="00E975D0">
        <w:rPr>
          <w:rFonts w:ascii="Times New Roman" w:hAnsi="Times New Roman" w:cstheme="majorBidi"/>
          <w:bCs w:val="0"/>
          <w:color w:val="548DD4" w:themeColor="text2" w:themeTint="99"/>
          <w:sz w:val="22"/>
          <w:szCs w:val="24"/>
        </w:rPr>
        <w:t>20</w:t>
      </w:r>
      <w:bookmarkEnd w:id="37"/>
    </w:p>
    <w:p w:rsidR="00662B97" w:rsidRDefault="00E975D0" w:rsidP="004A7CCA">
      <w:pPr>
        <w:spacing w:before="240" w:after="0" w:line="240" w:lineRule="auto"/>
        <w:jc w:val="both"/>
        <w:rPr>
          <w:rFonts w:asciiTheme="majorBidi" w:hAnsiTheme="majorBidi" w:cstheme="majorBidi"/>
          <w:b/>
          <w:bCs/>
          <w:color w:val="4F81BD" w:themeColor="accent1"/>
          <w:sz w:val="24"/>
          <w:szCs w:val="24"/>
        </w:rPr>
      </w:pPr>
      <w:r w:rsidRPr="00E975D0">
        <w:rPr>
          <w:rFonts w:asciiTheme="majorBidi" w:hAnsiTheme="majorBidi" w:cstheme="majorBidi"/>
          <w:b/>
          <w:bCs/>
          <w:noProof/>
          <w:color w:val="4F81BD" w:themeColor="accent1"/>
          <w:sz w:val="24"/>
          <w:szCs w:val="24"/>
          <w:lang w:eastAsia="fr-FR"/>
        </w:rPr>
        <w:drawing>
          <wp:inline distT="0" distB="0" distL="0" distR="0">
            <wp:extent cx="5429250" cy="3648076"/>
            <wp:effectExtent l="19050" t="0" r="19050" b="9524"/>
            <wp:docPr id="13"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01A7A" w:rsidRPr="00483003"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4A7CCA" w:rsidRDefault="004A7CCA" w:rsidP="004B1065">
      <w:pPr>
        <w:pStyle w:val="Titre4"/>
        <w:rPr>
          <w:rFonts w:asciiTheme="majorBidi" w:hAnsiTheme="majorBidi"/>
          <w:sz w:val="24"/>
          <w:szCs w:val="24"/>
        </w:rPr>
      </w:pPr>
    </w:p>
    <w:p w:rsidR="00662B97" w:rsidRPr="004F39E8" w:rsidRDefault="003D21FB" w:rsidP="004B1065">
      <w:pPr>
        <w:pStyle w:val="Titre4"/>
        <w:rPr>
          <w:rFonts w:asciiTheme="majorBidi" w:hAnsiTheme="majorBidi"/>
          <w:sz w:val="24"/>
          <w:szCs w:val="24"/>
        </w:rPr>
      </w:pPr>
      <w:bookmarkStart w:id="38" w:name="_Toc68443138"/>
      <w:r w:rsidRPr="004F39E8">
        <w:rPr>
          <w:rFonts w:asciiTheme="majorBidi" w:hAnsiTheme="majorBidi"/>
          <w:sz w:val="24"/>
          <w:szCs w:val="24"/>
        </w:rPr>
        <w:t>III-4-2-2 Evolution annuelle des indices</w:t>
      </w:r>
      <w:r w:rsidR="004B1065">
        <w:rPr>
          <w:rFonts w:asciiTheme="majorBidi" w:hAnsiTheme="majorBidi"/>
          <w:sz w:val="24"/>
          <w:szCs w:val="24"/>
        </w:rPr>
        <w:t> :</w:t>
      </w:r>
      <w:r w:rsidRPr="004F39E8">
        <w:rPr>
          <w:rFonts w:asciiTheme="majorBidi" w:hAnsiTheme="majorBidi"/>
          <w:sz w:val="24"/>
          <w:szCs w:val="24"/>
        </w:rPr>
        <w:t xml:space="preserve"> </w:t>
      </w:r>
      <w:r w:rsidR="004B1065">
        <w:rPr>
          <w:rFonts w:asciiTheme="majorBidi" w:hAnsiTheme="majorBidi"/>
          <w:sz w:val="24"/>
          <w:szCs w:val="24"/>
        </w:rPr>
        <w:t>g</w:t>
      </w:r>
      <w:r w:rsidRPr="004F39E8">
        <w:rPr>
          <w:rFonts w:asciiTheme="majorBidi" w:hAnsiTheme="majorBidi"/>
          <w:sz w:val="24"/>
          <w:szCs w:val="24"/>
        </w:rPr>
        <w:t xml:space="preserve">énéral, </w:t>
      </w:r>
      <w:r w:rsidR="004B1065">
        <w:rPr>
          <w:rFonts w:asciiTheme="majorBidi" w:hAnsiTheme="majorBidi"/>
          <w:sz w:val="24"/>
          <w:szCs w:val="24"/>
        </w:rPr>
        <w:t>a</w:t>
      </w:r>
      <w:r w:rsidRPr="004F39E8">
        <w:rPr>
          <w:rFonts w:asciiTheme="majorBidi" w:hAnsiTheme="majorBidi"/>
          <w:sz w:val="24"/>
          <w:szCs w:val="24"/>
        </w:rPr>
        <w:t>limentaire et</w:t>
      </w:r>
      <w:r w:rsidR="004B1065">
        <w:rPr>
          <w:rFonts w:asciiTheme="majorBidi" w:hAnsiTheme="majorBidi"/>
          <w:sz w:val="24"/>
          <w:szCs w:val="24"/>
        </w:rPr>
        <w:t xml:space="preserve"> n</w:t>
      </w:r>
      <w:r w:rsidRPr="004F39E8">
        <w:rPr>
          <w:rFonts w:asciiTheme="majorBidi" w:hAnsiTheme="majorBidi"/>
          <w:sz w:val="24"/>
          <w:szCs w:val="24"/>
        </w:rPr>
        <w:t xml:space="preserve">on </w:t>
      </w:r>
      <w:r w:rsidR="004B1065">
        <w:rPr>
          <w:rFonts w:asciiTheme="majorBidi" w:hAnsiTheme="majorBidi"/>
          <w:sz w:val="24"/>
          <w:szCs w:val="24"/>
        </w:rPr>
        <w:t>a</w:t>
      </w:r>
      <w:r w:rsidRPr="004F39E8">
        <w:rPr>
          <w:rFonts w:asciiTheme="majorBidi" w:hAnsiTheme="majorBidi"/>
          <w:sz w:val="24"/>
          <w:szCs w:val="24"/>
        </w:rPr>
        <w:t>limentaire</w:t>
      </w:r>
      <w:r w:rsidR="00D4044E" w:rsidRPr="004F39E8">
        <w:rPr>
          <w:rFonts w:asciiTheme="majorBidi" w:hAnsiTheme="majorBidi"/>
          <w:sz w:val="24"/>
          <w:szCs w:val="24"/>
        </w:rPr>
        <w:t xml:space="preserve"> de la ville de Kénitra</w:t>
      </w:r>
      <w:bookmarkEnd w:id="38"/>
    </w:p>
    <w:p w:rsidR="00B03E8F" w:rsidRDefault="00826056" w:rsidP="005A6C4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w:t>
      </w:r>
      <w:r w:rsidR="00B03E8F">
        <w:rPr>
          <w:rFonts w:asciiTheme="majorBidi" w:hAnsiTheme="majorBidi" w:cstheme="majorBidi"/>
          <w:sz w:val="24"/>
          <w:szCs w:val="24"/>
        </w:rPr>
        <w:t>’allure qu</w:t>
      </w:r>
      <w:r>
        <w:rPr>
          <w:rFonts w:asciiTheme="majorBidi" w:hAnsiTheme="majorBidi" w:cstheme="majorBidi"/>
          <w:sz w:val="24"/>
          <w:szCs w:val="24"/>
        </w:rPr>
        <w:t>’adopte</w:t>
      </w:r>
      <w:r w:rsidR="00780A7D">
        <w:rPr>
          <w:rFonts w:asciiTheme="majorBidi" w:hAnsiTheme="majorBidi" w:cstheme="majorBidi"/>
          <w:sz w:val="24"/>
          <w:szCs w:val="24"/>
        </w:rPr>
        <w:t xml:space="preserve"> </w:t>
      </w:r>
      <w:r w:rsidR="00B03E8F">
        <w:rPr>
          <w:rFonts w:asciiTheme="majorBidi" w:hAnsiTheme="majorBidi" w:cstheme="majorBidi"/>
          <w:sz w:val="24"/>
          <w:szCs w:val="24"/>
        </w:rPr>
        <w:t xml:space="preserve"> la courbe de l’indice général des prix à la consommation, est l’effet conjugué de l’évolution des indices alimentaire et non alimentaire. Toutefois, l’impact de l’évolution des prix des PNA pèse beaucoup plus sur l’indice général du fait que les </w:t>
      </w:r>
      <w:r w:rsidR="00B03E8F">
        <w:rPr>
          <w:rFonts w:asciiTheme="majorBidi" w:hAnsiTheme="majorBidi" w:cstheme="majorBidi"/>
          <w:sz w:val="24"/>
          <w:szCs w:val="24"/>
        </w:rPr>
        <w:lastRenderedPageBreak/>
        <w:t>coefficients de pondération sont de 57,</w:t>
      </w:r>
      <w:r>
        <w:rPr>
          <w:rFonts w:asciiTheme="majorBidi" w:hAnsiTheme="majorBidi" w:cstheme="majorBidi"/>
          <w:sz w:val="24"/>
          <w:szCs w:val="24"/>
        </w:rPr>
        <w:t>3% pour ces derniers contre 42,7</w:t>
      </w:r>
      <w:r w:rsidR="00B03E8F">
        <w:rPr>
          <w:rFonts w:asciiTheme="majorBidi" w:hAnsiTheme="majorBidi" w:cstheme="majorBidi"/>
          <w:sz w:val="24"/>
          <w:szCs w:val="24"/>
        </w:rPr>
        <w:t>% pour les produits alimentaires</w:t>
      </w:r>
      <w:r>
        <w:rPr>
          <w:rFonts w:asciiTheme="majorBidi" w:hAnsiTheme="majorBidi" w:cstheme="majorBidi"/>
          <w:sz w:val="24"/>
          <w:szCs w:val="24"/>
        </w:rPr>
        <w:t xml:space="preserve"> au niveau de la ville de Kénitra</w:t>
      </w:r>
      <w:r w:rsidR="00B03E8F">
        <w:rPr>
          <w:rFonts w:asciiTheme="majorBidi" w:hAnsiTheme="majorBidi" w:cstheme="majorBidi"/>
          <w:sz w:val="24"/>
          <w:szCs w:val="24"/>
        </w:rPr>
        <w:t>.</w:t>
      </w:r>
    </w:p>
    <w:p w:rsidR="006A3751" w:rsidRDefault="00B03E8F" w:rsidP="00B03E8F">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Quant à la courbe de l’IA, on note que son évolution a été sujette à </w:t>
      </w:r>
      <w:r w:rsidR="00826056">
        <w:rPr>
          <w:rFonts w:asciiTheme="majorBidi" w:hAnsiTheme="majorBidi" w:cstheme="majorBidi"/>
          <w:sz w:val="24"/>
          <w:szCs w:val="24"/>
        </w:rPr>
        <w:t>plusieurs fluctuations entre 2017 et 2020</w:t>
      </w:r>
      <w:r>
        <w:rPr>
          <w:rFonts w:asciiTheme="majorBidi" w:hAnsiTheme="majorBidi" w:cstheme="majorBidi"/>
          <w:sz w:val="24"/>
          <w:szCs w:val="24"/>
        </w:rPr>
        <w:t xml:space="preserve"> à cause des prix volatils des produits frais. </w:t>
      </w:r>
    </w:p>
    <w:p w:rsidR="00826056" w:rsidRDefault="00826056" w:rsidP="00B03E8F">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Soulignons que l’IA, après avoir marqué une variation positive de 1,1% entre 2017 et 2018, il connût </w:t>
      </w:r>
      <w:r w:rsidR="00827EF6">
        <w:rPr>
          <w:rFonts w:asciiTheme="majorBidi" w:hAnsiTheme="majorBidi" w:cstheme="majorBidi"/>
          <w:sz w:val="24"/>
          <w:szCs w:val="24"/>
        </w:rPr>
        <w:t>une baisse de 1,3% l’année d’après et une hausse modérée de 0,1% en 2020.</w:t>
      </w:r>
    </w:p>
    <w:p w:rsidR="00827EF6" w:rsidRDefault="00827EF6" w:rsidP="00B03E8F">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En ce qui concerne l’INA, il a enregistré une évolution annuelle positive de 1,1% en 2018, puis de </w:t>
      </w:r>
      <w:r w:rsidR="006D408A">
        <w:rPr>
          <w:rFonts w:asciiTheme="majorBidi" w:hAnsiTheme="majorBidi" w:cstheme="majorBidi"/>
          <w:sz w:val="24"/>
          <w:szCs w:val="24"/>
        </w:rPr>
        <w:t>1,7% en 2019 et de 0,1% en 2020</w:t>
      </w:r>
      <w:r w:rsidR="008D1547">
        <w:rPr>
          <w:rFonts w:asciiTheme="majorBidi" w:hAnsiTheme="majorBidi" w:cstheme="majorBidi"/>
          <w:sz w:val="24"/>
          <w:szCs w:val="24"/>
        </w:rPr>
        <w:t>.</w:t>
      </w:r>
    </w:p>
    <w:p w:rsidR="004F39E8" w:rsidRPr="00462F63" w:rsidRDefault="00462F63" w:rsidP="00E975D0">
      <w:pPr>
        <w:pStyle w:val="Lgende"/>
        <w:rPr>
          <w:rFonts w:ascii="Times New Roman" w:hAnsi="Times New Roman" w:cstheme="majorBidi"/>
          <w:bCs w:val="0"/>
          <w:color w:val="548DD4" w:themeColor="text2" w:themeTint="99"/>
          <w:sz w:val="22"/>
          <w:szCs w:val="24"/>
        </w:rPr>
      </w:pPr>
      <w:bookmarkStart w:id="39" w:name="_Toc68436341"/>
      <w:r w:rsidRPr="00462F63">
        <w:rPr>
          <w:rFonts w:ascii="Times New Roman" w:hAnsi="Times New Roman"/>
          <w:sz w:val="22"/>
        </w:rPr>
        <w:t xml:space="preserve">Graphique </w:t>
      </w:r>
      <w:r w:rsidR="002966E3" w:rsidRPr="00462F63">
        <w:rPr>
          <w:rFonts w:ascii="Times New Roman" w:hAnsi="Times New Roman"/>
          <w:sz w:val="22"/>
        </w:rPr>
        <w:fldChar w:fldCharType="begin"/>
      </w:r>
      <w:r w:rsidRPr="00462F63">
        <w:rPr>
          <w:rFonts w:ascii="Times New Roman" w:hAnsi="Times New Roman"/>
          <w:sz w:val="22"/>
        </w:rPr>
        <w:instrText xml:space="preserve"> SEQ Graphique \* ARABIC </w:instrText>
      </w:r>
      <w:r w:rsidR="002966E3" w:rsidRPr="00462F63">
        <w:rPr>
          <w:rFonts w:ascii="Times New Roman" w:hAnsi="Times New Roman"/>
          <w:sz w:val="22"/>
        </w:rPr>
        <w:fldChar w:fldCharType="separate"/>
      </w:r>
      <w:r w:rsidR="00794CED">
        <w:rPr>
          <w:rFonts w:ascii="Times New Roman" w:hAnsi="Times New Roman"/>
          <w:noProof/>
          <w:sz w:val="22"/>
        </w:rPr>
        <w:t>7</w:t>
      </w:r>
      <w:r w:rsidR="002966E3" w:rsidRPr="00462F63">
        <w:rPr>
          <w:rFonts w:ascii="Times New Roman" w:hAnsi="Times New Roman"/>
          <w:sz w:val="22"/>
        </w:rPr>
        <w:fldChar w:fldCharType="end"/>
      </w:r>
      <w:r w:rsidRPr="00462F63">
        <w:rPr>
          <w:rFonts w:ascii="Times New Roman" w:hAnsi="Times New Roman"/>
          <w:sz w:val="22"/>
        </w:rPr>
        <w:t xml:space="preserve"> : </w:t>
      </w:r>
      <w:r w:rsidR="004F39E8" w:rsidRPr="00462F63">
        <w:rPr>
          <w:rFonts w:ascii="Times New Roman" w:hAnsi="Times New Roman" w:cstheme="majorBidi"/>
          <w:bCs w:val="0"/>
          <w:color w:val="548DD4" w:themeColor="text2" w:themeTint="99"/>
          <w:sz w:val="22"/>
          <w:szCs w:val="24"/>
        </w:rPr>
        <w:t>Evolution des indices alimentaire, non alimentaire et général entre 20</w:t>
      </w:r>
      <w:r w:rsidR="00E975D0">
        <w:rPr>
          <w:rFonts w:ascii="Times New Roman" w:hAnsi="Times New Roman" w:cstheme="majorBidi"/>
          <w:bCs w:val="0"/>
          <w:color w:val="548DD4" w:themeColor="text2" w:themeTint="99"/>
          <w:sz w:val="22"/>
          <w:szCs w:val="24"/>
        </w:rPr>
        <w:t>1</w:t>
      </w:r>
      <w:r w:rsidR="004F39E8" w:rsidRPr="00462F63">
        <w:rPr>
          <w:rFonts w:ascii="Times New Roman" w:hAnsi="Times New Roman" w:cstheme="majorBidi"/>
          <w:bCs w:val="0"/>
          <w:color w:val="548DD4" w:themeColor="text2" w:themeTint="99"/>
          <w:sz w:val="22"/>
          <w:szCs w:val="24"/>
        </w:rPr>
        <w:t>7 et 20</w:t>
      </w:r>
      <w:r w:rsidR="00E975D0">
        <w:rPr>
          <w:rFonts w:ascii="Times New Roman" w:hAnsi="Times New Roman" w:cstheme="majorBidi"/>
          <w:bCs w:val="0"/>
          <w:color w:val="548DD4" w:themeColor="text2" w:themeTint="99"/>
          <w:sz w:val="22"/>
          <w:szCs w:val="24"/>
        </w:rPr>
        <w:t>20</w:t>
      </w:r>
      <w:bookmarkEnd w:id="39"/>
    </w:p>
    <w:p w:rsidR="004F39E8" w:rsidRPr="004F39E8" w:rsidRDefault="007E1D21" w:rsidP="007E1D21">
      <w:pPr>
        <w:spacing w:after="0" w:line="240" w:lineRule="auto"/>
        <w:jc w:val="center"/>
        <w:rPr>
          <w:rFonts w:asciiTheme="majorBidi" w:hAnsiTheme="majorBidi" w:cstheme="majorBidi"/>
          <w:color w:val="548DD4" w:themeColor="text2" w:themeTint="99"/>
          <w:sz w:val="24"/>
          <w:szCs w:val="24"/>
        </w:rPr>
      </w:pPr>
      <w:r>
        <w:rPr>
          <w:rFonts w:asciiTheme="majorBidi" w:hAnsiTheme="majorBidi" w:cstheme="majorBidi"/>
          <w:b/>
          <w:bCs/>
          <w:color w:val="548DD4" w:themeColor="text2" w:themeTint="99"/>
          <w:sz w:val="24"/>
          <w:szCs w:val="24"/>
        </w:rPr>
        <w:t>-</w:t>
      </w:r>
      <w:r w:rsidR="004F39E8" w:rsidRPr="004F39E8">
        <w:rPr>
          <w:rFonts w:asciiTheme="majorBidi" w:hAnsiTheme="majorBidi" w:cstheme="majorBidi"/>
          <w:b/>
          <w:bCs/>
          <w:color w:val="548DD4" w:themeColor="text2" w:themeTint="99"/>
          <w:sz w:val="24"/>
          <w:szCs w:val="24"/>
        </w:rPr>
        <w:t>Ville de Kénitra</w:t>
      </w:r>
      <w:r>
        <w:rPr>
          <w:rFonts w:asciiTheme="majorBidi" w:hAnsiTheme="majorBidi" w:cstheme="majorBidi"/>
          <w:b/>
          <w:bCs/>
          <w:color w:val="548DD4" w:themeColor="text2" w:themeTint="99"/>
          <w:sz w:val="24"/>
          <w:szCs w:val="24"/>
        </w:rPr>
        <w:t>-</w:t>
      </w:r>
    </w:p>
    <w:p w:rsidR="00252B2A" w:rsidRDefault="00C52263" w:rsidP="004A7CCA">
      <w:pPr>
        <w:spacing w:before="240" w:after="0" w:line="240" w:lineRule="auto"/>
        <w:jc w:val="both"/>
        <w:rPr>
          <w:rFonts w:asciiTheme="majorBidi" w:hAnsiTheme="majorBidi" w:cstheme="majorBidi"/>
          <w:sz w:val="24"/>
          <w:szCs w:val="24"/>
        </w:rPr>
      </w:pPr>
      <w:r w:rsidRPr="00C52263">
        <w:rPr>
          <w:rFonts w:asciiTheme="majorBidi" w:hAnsiTheme="majorBidi" w:cstheme="majorBidi"/>
          <w:noProof/>
          <w:sz w:val="24"/>
          <w:szCs w:val="24"/>
          <w:lang w:eastAsia="fr-FR"/>
        </w:rPr>
        <w:drawing>
          <wp:inline distT="0" distB="0" distL="0" distR="0">
            <wp:extent cx="5734050" cy="3949700"/>
            <wp:effectExtent l="19050" t="0" r="19050" b="0"/>
            <wp:docPr id="8"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01A7A" w:rsidRPr="00483003"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4A7CCA" w:rsidRDefault="004A7CCA" w:rsidP="00AF5C86">
      <w:pPr>
        <w:pStyle w:val="Titre3"/>
        <w:rPr>
          <w:rFonts w:asciiTheme="majorBidi" w:hAnsiTheme="majorBidi"/>
          <w:sz w:val="24"/>
          <w:szCs w:val="24"/>
        </w:rPr>
      </w:pPr>
    </w:p>
    <w:p w:rsidR="00252B2A" w:rsidRPr="00AF5C86" w:rsidRDefault="006A3751" w:rsidP="00AF5C86">
      <w:pPr>
        <w:pStyle w:val="Titre3"/>
        <w:rPr>
          <w:rFonts w:asciiTheme="majorBidi" w:hAnsiTheme="majorBidi"/>
          <w:sz w:val="24"/>
          <w:szCs w:val="24"/>
        </w:rPr>
      </w:pPr>
      <w:bookmarkStart w:id="40" w:name="_Toc68443139"/>
      <w:r w:rsidRPr="00AF5C86">
        <w:rPr>
          <w:rFonts w:asciiTheme="majorBidi" w:hAnsiTheme="majorBidi"/>
          <w:sz w:val="24"/>
          <w:szCs w:val="24"/>
        </w:rPr>
        <w:t>II</w:t>
      </w:r>
      <w:r w:rsidR="00586B08" w:rsidRPr="00AF5C86">
        <w:rPr>
          <w:rFonts w:asciiTheme="majorBidi" w:hAnsiTheme="majorBidi"/>
          <w:sz w:val="24"/>
          <w:szCs w:val="24"/>
        </w:rPr>
        <w:t>I</w:t>
      </w:r>
      <w:r w:rsidRPr="00AF5C86">
        <w:rPr>
          <w:rFonts w:asciiTheme="majorBidi" w:hAnsiTheme="majorBidi"/>
          <w:sz w:val="24"/>
          <w:szCs w:val="24"/>
        </w:rPr>
        <w:t>-</w:t>
      </w:r>
      <w:r w:rsidR="0096274A" w:rsidRPr="00AF5C86">
        <w:rPr>
          <w:rFonts w:asciiTheme="majorBidi" w:hAnsiTheme="majorBidi"/>
          <w:sz w:val="24"/>
          <w:szCs w:val="24"/>
        </w:rPr>
        <w:t>4</w:t>
      </w:r>
      <w:r w:rsidRPr="00AF5C86">
        <w:rPr>
          <w:rFonts w:asciiTheme="majorBidi" w:hAnsiTheme="majorBidi"/>
          <w:sz w:val="24"/>
          <w:szCs w:val="24"/>
        </w:rPr>
        <w:t>-3 Evolution de l’inflation générale</w:t>
      </w:r>
      <w:bookmarkEnd w:id="40"/>
    </w:p>
    <w:p w:rsidR="00AF5C86" w:rsidRPr="004B1065" w:rsidRDefault="00AF5C86" w:rsidP="00AF5C86">
      <w:pPr>
        <w:pStyle w:val="Titre4"/>
        <w:rPr>
          <w:rFonts w:asciiTheme="majorBidi" w:hAnsiTheme="majorBidi"/>
          <w:i w:val="0"/>
          <w:iCs w:val="0"/>
        </w:rPr>
      </w:pPr>
      <w:bookmarkStart w:id="41" w:name="_Toc68443140"/>
      <w:r w:rsidRPr="004B1065">
        <w:rPr>
          <w:rFonts w:asciiTheme="majorBidi" w:hAnsiTheme="majorBidi"/>
          <w:i w:val="0"/>
          <w:iCs w:val="0"/>
        </w:rPr>
        <w:t>III-4-3-1 Evolution annuelle de l’inflation</w:t>
      </w:r>
      <w:bookmarkEnd w:id="41"/>
    </w:p>
    <w:p w:rsidR="009D68BD" w:rsidRDefault="008D1547" w:rsidP="00D6737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Sur les quatre dernières années, l’inflation a atteint son niveau le plus élevé en 2018 aussi bien pour la ville de Kénitra que pour l’ensemble national, soit respectivement</w:t>
      </w:r>
      <w:r w:rsidR="009D68BD">
        <w:rPr>
          <w:rFonts w:asciiTheme="majorBidi" w:hAnsiTheme="majorBidi" w:cstheme="majorBidi"/>
          <w:sz w:val="24"/>
          <w:szCs w:val="24"/>
        </w:rPr>
        <w:t xml:space="preserve"> 1,1% et 1,6%. </w:t>
      </w:r>
    </w:p>
    <w:p w:rsidR="003256C9" w:rsidRDefault="009D68BD" w:rsidP="00D6737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En 2019, </w:t>
      </w:r>
      <w:r w:rsidR="00DC32F0">
        <w:rPr>
          <w:rFonts w:asciiTheme="majorBidi" w:hAnsiTheme="majorBidi" w:cstheme="majorBidi"/>
          <w:sz w:val="24"/>
          <w:szCs w:val="24"/>
        </w:rPr>
        <w:t>la variation annuelle des prix à la consommation</w:t>
      </w:r>
      <w:r>
        <w:rPr>
          <w:rFonts w:asciiTheme="majorBidi" w:hAnsiTheme="majorBidi" w:cstheme="majorBidi"/>
          <w:sz w:val="24"/>
          <w:szCs w:val="24"/>
        </w:rPr>
        <w:t xml:space="preserve"> a marqué un recul en enregistrant seulement 0,5% pour Kénitra et 0,2 % pour le niveau national</w:t>
      </w:r>
      <w:r w:rsidR="00DC32F0">
        <w:rPr>
          <w:rFonts w:asciiTheme="majorBidi" w:hAnsiTheme="majorBidi" w:cstheme="majorBidi"/>
          <w:sz w:val="24"/>
          <w:szCs w:val="24"/>
        </w:rPr>
        <w:t>.</w:t>
      </w:r>
    </w:p>
    <w:p w:rsidR="00DC32F0" w:rsidRDefault="00DC32F0" w:rsidP="00D6737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2020, l’inflation a continué sa décroissance pour la ville de Kénitra et a atteint 0,1%. Cependant, elle s’est redressée pour l’ensemble du pays en passant à 0,6%.</w:t>
      </w:r>
    </w:p>
    <w:p w:rsidR="004F39E8" w:rsidRPr="00462F63" w:rsidRDefault="00462F63" w:rsidP="00794CED">
      <w:pPr>
        <w:pStyle w:val="Lgende"/>
        <w:rPr>
          <w:rFonts w:ascii="Times New Roman" w:hAnsi="Times New Roman" w:cstheme="majorBidi"/>
          <w:color w:val="548DD4" w:themeColor="text2" w:themeTint="99"/>
          <w:sz w:val="22"/>
          <w:szCs w:val="24"/>
        </w:rPr>
      </w:pPr>
      <w:bookmarkStart w:id="42" w:name="_Toc68436342"/>
      <w:r w:rsidRPr="00462F63">
        <w:rPr>
          <w:rFonts w:ascii="Times New Roman" w:hAnsi="Times New Roman"/>
          <w:sz w:val="22"/>
        </w:rPr>
        <w:t xml:space="preserve">Graphique </w:t>
      </w:r>
      <w:r w:rsidR="002966E3" w:rsidRPr="00462F63">
        <w:rPr>
          <w:rFonts w:ascii="Times New Roman" w:hAnsi="Times New Roman"/>
          <w:sz w:val="22"/>
        </w:rPr>
        <w:fldChar w:fldCharType="begin"/>
      </w:r>
      <w:r w:rsidRPr="00462F63">
        <w:rPr>
          <w:rFonts w:ascii="Times New Roman" w:hAnsi="Times New Roman"/>
          <w:sz w:val="22"/>
        </w:rPr>
        <w:instrText xml:space="preserve"> SEQ Graphique \* ARABIC </w:instrText>
      </w:r>
      <w:r w:rsidR="002966E3" w:rsidRPr="00462F63">
        <w:rPr>
          <w:rFonts w:ascii="Times New Roman" w:hAnsi="Times New Roman"/>
          <w:sz w:val="22"/>
        </w:rPr>
        <w:fldChar w:fldCharType="separate"/>
      </w:r>
      <w:r w:rsidR="00794CED">
        <w:rPr>
          <w:rFonts w:ascii="Times New Roman" w:hAnsi="Times New Roman"/>
          <w:noProof/>
          <w:sz w:val="22"/>
        </w:rPr>
        <w:t>8</w:t>
      </w:r>
      <w:r w:rsidR="002966E3" w:rsidRPr="00462F63">
        <w:rPr>
          <w:rFonts w:ascii="Times New Roman" w:hAnsi="Times New Roman"/>
          <w:sz w:val="22"/>
        </w:rPr>
        <w:fldChar w:fldCharType="end"/>
      </w:r>
      <w:r w:rsidRPr="00462F63">
        <w:rPr>
          <w:rFonts w:ascii="Times New Roman" w:hAnsi="Times New Roman"/>
          <w:sz w:val="22"/>
        </w:rPr>
        <w:t xml:space="preserve"> : </w:t>
      </w:r>
      <w:r w:rsidR="004F39E8" w:rsidRPr="00462F63">
        <w:rPr>
          <w:rFonts w:ascii="Times New Roman" w:hAnsi="Times New Roman" w:cstheme="majorBidi"/>
          <w:bCs w:val="0"/>
          <w:color w:val="548DD4" w:themeColor="text2" w:themeTint="99"/>
          <w:sz w:val="22"/>
          <w:szCs w:val="24"/>
        </w:rPr>
        <w:t>Evolution de l'inflation générale entre 20</w:t>
      </w:r>
      <w:r w:rsidR="00794CED">
        <w:rPr>
          <w:rFonts w:ascii="Times New Roman" w:hAnsi="Times New Roman" w:cstheme="majorBidi"/>
          <w:bCs w:val="0"/>
          <w:color w:val="548DD4" w:themeColor="text2" w:themeTint="99"/>
          <w:sz w:val="22"/>
          <w:szCs w:val="24"/>
        </w:rPr>
        <w:t>1</w:t>
      </w:r>
      <w:r w:rsidR="004F39E8" w:rsidRPr="00462F63">
        <w:rPr>
          <w:rFonts w:ascii="Times New Roman" w:hAnsi="Times New Roman" w:cstheme="majorBidi"/>
          <w:bCs w:val="0"/>
          <w:color w:val="548DD4" w:themeColor="text2" w:themeTint="99"/>
          <w:sz w:val="22"/>
          <w:szCs w:val="24"/>
        </w:rPr>
        <w:t>7 et 20</w:t>
      </w:r>
      <w:r w:rsidR="00794CED">
        <w:rPr>
          <w:rFonts w:ascii="Times New Roman" w:hAnsi="Times New Roman" w:cstheme="majorBidi"/>
          <w:bCs w:val="0"/>
          <w:color w:val="548DD4" w:themeColor="text2" w:themeTint="99"/>
          <w:sz w:val="22"/>
          <w:szCs w:val="24"/>
        </w:rPr>
        <w:t>20</w:t>
      </w:r>
      <w:bookmarkEnd w:id="42"/>
    </w:p>
    <w:p w:rsidR="006A3751" w:rsidRDefault="00794CED" w:rsidP="004A7CCA">
      <w:pPr>
        <w:spacing w:before="240" w:after="0" w:line="240" w:lineRule="auto"/>
        <w:jc w:val="both"/>
        <w:rPr>
          <w:rFonts w:asciiTheme="majorBidi" w:hAnsiTheme="majorBidi" w:cstheme="majorBidi"/>
          <w:sz w:val="24"/>
          <w:szCs w:val="24"/>
        </w:rPr>
      </w:pPr>
      <w:r w:rsidRPr="00794CED">
        <w:rPr>
          <w:rFonts w:asciiTheme="majorBidi" w:hAnsiTheme="majorBidi" w:cstheme="majorBidi"/>
          <w:noProof/>
          <w:sz w:val="24"/>
          <w:szCs w:val="24"/>
          <w:lang w:eastAsia="fr-FR"/>
        </w:rPr>
        <w:drawing>
          <wp:inline distT="0" distB="0" distL="0" distR="0">
            <wp:extent cx="5854700" cy="3619500"/>
            <wp:effectExtent l="19050" t="0" r="12700" b="0"/>
            <wp:docPr id="16"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1A7A" w:rsidRPr="00483003"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4A7CCA" w:rsidRDefault="004A7CCA" w:rsidP="00985540">
      <w:pPr>
        <w:pStyle w:val="Titre4"/>
        <w:rPr>
          <w:rFonts w:asciiTheme="majorBidi" w:hAnsiTheme="majorBidi"/>
          <w:i w:val="0"/>
          <w:iCs w:val="0"/>
        </w:rPr>
      </w:pPr>
    </w:p>
    <w:p w:rsidR="00985540" w:rsidRPr="00985540" w:rsidRDefault="00985540" w:rsidP="00985540">
      <w:pPr>
        <w:pStyle w:val="Titre4"/>
        <w:rPr>
          <w:rFonts w:asciiTheme="majorBidi" w:hAnsiTheme="majorBidi"/>
          <w:i w:val="0"/>
          <w:iCs w:val="0"/>
        </w:rPr>
      </w:pPr>
      <w:bookmarkStart w:id="43" w:name="_Toc68443141"/>
      <w:r w:rsidRPr="00985540">
        <w:rPr>
          <w:rFonts w:asciiTheme="majorBidi" w:hAnsiTheme="majorBidi"/>
          <w:i w:val="0"/>
          <w:iCs w:val="0"/>
        </w:rPr>
        <w:t>III-4-3-2 Glissement</w:t>
      </w:r>
      <w:r>
        <w:rPr>
          <w:rFonts w:asciiTheme="majorBidi" w:hAnsiTheme="majorBidi"/>
          <w:i w:val="0"/>
          <w:iCs w:val="0"/>
        </w:rPr>
        <w:t>s</w:t>
      </w:r>
      <w:r w:rsidRPr="00985540">
        <w:rPr>
          <w:rFonts w:asciiTheme="majorBidi" w:hAnsiTheme="majorBidi"/>
          <w:i w:val="0"/>
          <w:iCs w:val="0"/>
        </w:rPr>
        <w:t xml:space="preserve"> annuel</w:t>
      </w:r>
      <w:r>
        <w:rPr>
          <w:rFonts w:asciiTheme="majorBidi" w:hAnsiTheme="majorBidi"/>
          <w:i w:val="0"/>
          <w:iCs w:val="0"/>
        </w:rPr>
        <w:t>s</w:t>
      </w:r>
      <w:bookmarkEnd w:id="43"/>
    </w:p>
    <w:p w:rsidR="007D21C9" w:rsidRDefault="0040187C" w:rsidP="0040187C">
      <w:pPr>
        <w:spacing w:before="240" w:after="240" w:line="240" w:lineRule="auto"/>
        <w:jc w:val="both"/>
        <w:rPr>
          <w:rFonts w:asciiTheme="majorBidi" w:hAnsiTheme="majorBidi" w:cstheme="majorBidi"/>
        </w:rPr>
      </w:pPr>
      <w:r>
        <w:rPr>
          <w:rFonts w:asciiTheme="majorBidi" w:hAnsiTheme="majorBidi" w:cstheme="majorBidi"/>
        </w:rPr>
        <w:t xml:space="preserve">L’évolution de l’inflation en glissements annuels vient confirmer les pics représentés par le graphique précédent. </w:t>
      </w:r>
    </w:p>
    <w:p w:rsidR="0040187C" w:rsidRDefault="0040187C" w:rsidP="00176713">
      <w:pPr>
        <w:spacing w:before="240" w:after="240" w:line="240" w:lineRule="auto"/>
        <w:jc w:val="both"/>
        <w:rPr>
          <w:rFonts w:asciiTheme="majorBidi" w:hAnsiTheme="majorBidi" w:cstheme="majorBidi"/>
        </w:rPr>
      </w:pPr>
      <w:r>
        <w:rPr>
          <w:rFonts w:asciiTheme="majorBidi" w:hAnsiTheme="majorBidi" w:cstheme="majorBidi"/>
        </w:rPr>
        <w:t xml:space="preserve">A noter que l’attitude de la variation de l’inflation entre un mois d’une année et son homologue dans l’année précédente, est </w:t>
      </w:r>
      <w:r w:rsidR="00AF6395">
        <w:rPr>
          <w:rFonts w:asciiTheme="majorBidi" w:hAnsiTheme="majorBidi" w:cstheme="majorBidi"/>
        </w:rPr>
        <w:t xml:space="preserve">pratiquement similaire </w:t>
      </w:r>
      <w:r>
        <w:rPr>
          <w:rFonts w:asciiTheme="majorBidi" w:hAnsiTheme="majorBidi" w:cstheme="majorBidi"/>
        </w:rPr>
        <w:t xml:space="preserve"> pour la ville de </w:t>
      </w:r>
      <w:r w:rsidR="00176713">
        <w:rPr>
          <w:rFonts w:asciiTheme="majorBidi" w:hAnsiTheme="majorBidi" w:cstheme="majorBidi"/>
        </w:rPr>
        <w:t>K</w:t>
      </w:r>
      <w:r>
        <w:rPr>
          <w:rFonts w:asciiTheme="majorBidi" w:hAnsiTheme="majorBidi" w:cstheme="majorBidi"/>
        </w:rPr>
        <w:t>énitra comme pour l’ensemble du pays.</w:t>
      </w:r>
    </w:p>
    <w:p w:rsidR="004F39E8" w:rsidRDefault="007D21C9" w:rsidP="004F39E8">
      <w:pPr>
        <w:spacing w:before="240" w:after="240" w:line="240" w:lineRule="auto"/>
        <w:jc w:val="both"/>
        <w:rPr>
          <w:rFonts w:asciiTheme="majorBidi" w:hAnsiTheme="majorBidi" w:cstheme="majorBidi"/>
          <w:b/>
          <w:bCs/>
          <w:color w:val="548DD4" w:themeColor="text2" w:themeTint="99"/>
        </w:rPr>
      </w:pPr>
      <w:r>
        <w:rPr>
          <w:rFonts w:asciiTheme="majorBidi" w:hAnsiTheme="majorBidi" w:cstheme="majorBidi"/>
        </w:rPr>
        <w:t>Quant aux fluctuations cycliques en dents de scie, illustrées par le graphique</w:t>
      </w:r>
      <w:r w:rsidR="002C2ACF">
        <w:rPr>
          <w:rFonts w:asciiTheme="majorBidi" w:hAnsiTheme="majorBidi" w:cstheme="majorBidi"/>
        </w:rPr>
        <w:t xml:space="preserve"> en bas</w:t>
      </w:r>
      <w:r w:rsidR="006E71A6">
        <w:rPr>
          <w:rFonts w:asciiTheme="majorBidi" w:hAnsiTheme="majorBidi" w:cstheme="majorBidi"/>
        </w:rPr>
        <w:t>,</w:t>
      </w:r>
      <w:r w:rsidR="002C2ACF">
        <w:rPr>
          <w:rFonts w:asciiTheme="majorBidi" w:hAnsiTheme="majorBidi" w:cstheme="majorBidi"/>
        </w:rPr>
        <w:t xml:space="preserve"> </w:t>
      </w:r>
      <w:r>
        <w:rPr>
          <w:rFonts w:asciiTheme="majorBidi" w:hAnsiTheme="majorBidi" w:cstheme="majorBidi"/>
        </w:rPr>
        <w:t>elles font apparaître l’effet de saisonnalité que subissent les prix des produits de consommation d’un</w:t>
      </w:r>
      <w:r w:rsidR="002C2ACF">
        <w:rPr>
          <w:rFonts w:asciiTheme="majorBidi" w:hAnsiTheme="majorBidi" w:cstheme="majorBidi"/>
        </w:rPr>
        <w:t>e saison</w:t>
      </w:r>
      <w:r>
        <w:rPr>
          <w:rFonts w:asciiTheme="majorBidi" w:hAnsiTheme="majorBidi" w:cstheme="majorBidi"/>
        </w:rPr>
        <w:t xml:space="preserve"> à l’autre</w:t>
      </w:r>
    </w:p>
    <w:p w:rsidR="004F39E8" w:rsidRDefault="004F39E8" w:rsidP="004F39E8">
      <w:pPr>
        <w:spacing w:before="240" w:after="240" w:line="240" w:lineRule="auto"/>
        <w:jc w:val="both"/>
        <w:rPr>
          <w:rFonts w:asciiTheme="majorBidi" w:hAnsiTheme="majorBidi" w:cstheme="majorBidi"/>
          <w:b/>
          <w:bCs/>
          <w:color w:val="548DD4" w:themeColor="text2" w:themeTint="99"/>
        </w:rPr>
      </w:pPr>
    </w:p>
    <w:p w:rsidR="004F39E8" w:rsidRDefault="004F39E8" w:rsidP="004F39E8">
      <w:pPr>
        <w:spacing w:before="240" w:after="240" w:line="240" w:lineRule="auto"/>
        <w:jc w:val="both"/>
        <w:rPr>
          <w:rFonts w:asciiTheme="majorBidi" w:hAnsiTheme="majorBidi" w:cstheme="majorBidi"/>
          <w:b/>
          <w:bCs/>
          <w:color w:val="548DD4" w:themeColor="text2" w:themeTint="99"/>
        </w:rPr>
      </w:pPr>
    </w:p>
    <w:p w:rsidR="00E22F4D" w:rsidRDefault="00E22F4D" w:rsidP="003F2793">
      <w:pPr>
        <w:pStyle w:val="Lgende"/>
        <w:rPr>
          <w:rFonts w:asciiTheme="majorBidi" w:hAnsiTheme="majorBidi" w:cstheme="majorBidi"/>
          <w:sz w:val="22"/>
          <w:szCs w:val="22"/>
        </w:rPr>
      </w:pPr>
    </w:p>
    <w:p w:rsidR="006B511C" w:rsidRDefault="006B511C" w:rsidP="003F2793">
      <w:pPr>
        <w:pStyle w:val="Lgende"/>
        <w:rPr>
          <w:rFonts w:asciiTheme="majorBidi" w:hAnsiTheme="majorBidi" w:cstheme="majorBidi"/>
          <w:sz w:val="22"/>
          <w:szCs w:val="22"/>
        </w:rPr>
      </w:pPr>
      <w:bookmarkStart w:id="44" w:name="_Toc68436343"/>
    </w:p>
    <w:p w:rsidR="006B511C" w:rsidRDefault="006B511C" w:rsidP="003F2793">
      <w:pPr>
        <w:pStyle w:val="Lgende"/>
        <w:rPr>
          <w:rFonts w:asciiTheme="majorBidi" w:hAnsiTheme="majorBidi" w:cstheme="majorBidi"/>
          <w:sz w:val="22"/>
          <w:szCs w:val="22"/>
        </w:rPr>
      </w:pPr>
    </w:p>
    <w:p w:rsidR="004F39E8" w:rsidRPr="00462F63" w:rsidRDefault="00462F63" w:rsidP="003F2793">
      <w:pPr>
        <w:pStyle w:val="Lgende"/>
        <w:rPr>
          <w:rFonts w:asciiTheme="majorBidi" w:hAnsiTheme="majorBidi" w:cstheme="majorBidi"/>
          <w:color w:val="548DD4" w:themeColor="text2" w:themeTint="99"/>
          <w:sz w:val="22"/>
          <w:szCs w:val="22"/>
        </w:rPr>
      </w:pPr>
      <w:r w:rsidRPr="00462F63">
        <w:rPr>
          <w:rFonts w:asciiTheme="majorBidi" w:hAnsiTheme="majorBidi" w:cstheme="majorBidi"/>
          <w:sz w:val="22"/>
          <w:szCs w:val="22"/>
        </w:rPr>
        <w:t xml:space="preserve">Graphique </w:t>
      </w:r>
      <w:r w:rsidR="002966E3" w:rsidRPr="00462F63">
        <w:rPr>
          <w:rFonts w:asciiTheme="majorBidi" w:hAnsiTheme="majorBidi" w:cstheme="majorBidi"/>
          <w:sz w:val="22"/>
          <w:szCs w:val="22"/>
        </w:rPr>
        <w:fldChar w:fldCharType="begin"/>
      </w:r>
      <w:r w:rsidRPr="00462F63">
        <w:rPr>
          <w:rFonts w:asciiTheme="majorBidi" w:hAnsiTheme="majorBidi" w:cstheme="majorBidi"/>
          <w:sz w:val="22"/>
          <w:szCs w:val="22"/>
        </w:rPr>
        <w:instrText xml:space="preserve"> SEQ Graphique \* ARABIC </w:instrText>
      </w:r>
      <w:r w:rsidR="002966E3" w:rsidRPr="00462F63">
        <w:rPr>
          <w:rFonts w:asciiTheme="majorBidi" w:hAnsiTheme="majorBidi" w:cstheme="majorBidi"/>
          <w:sz w:val="22"/>
          <w:szCs w:val="22"/>
        </w:rPr>
        <w:fldChar w:fldCharType="separate"/>
      </w:r>
      <w:r w:rsidR="00794CED">
        <w:rPr>
          <w:rFonts w:asciiTheme="majorBidi" w:hAnsiTheme="majorBidi" w:cstheme="majorBidi"/>
          <w:noProof/>
          <w:sz w:val="22"/>
          <w:szCs w:val="22"/>
        </w:rPr>
        <w:t>9</w:t>
      </w:r>
      <w:r w:rsidR="002966E3" w:rsidRPr="00462F63">
        <w:rPr>
          <w:rFonts w:asciiTheme="majorBidi" w:hAnsiTheme="majorBidi" w:cstheme="majorBidi"/>
          <w:sz w:val="22"/>
          <w:szCs w:val="22"/>
        </w:rPr>
        <w:fldChar w:fldCharType="end"/>
      </w:r>
      <w:r w:rsidRPr="00462F63">
        <w:rPr>
          <w:rFonts w:asciiTheme="majorBidi" w:hAnsiTheme="majorBidi" w:cstheme="majorBidi"/>
          <w:sz w:val="22"/>
          <w:szCs w:val="22"/>
        </w:rPr>
        <w:t xml:space="preserve"> : </w:t>
      </w:r>
      <w:r w:rsidR="004F39E8" w:rsidRPr="00462F63">
        <w:rPr>
          <w:rFonts w:asciiTheme="majorBidi" w:hAnsiTheme="majorBidi" w:cstheme="majorBidi"/>
          <w:color w:val="548DD4" w:themeColor="text2" w:themeTint="99"/>
          <w:sz w:val="22"/>
          <w:szCs w:val="22"/>
        </w:rPr>
        <w:t>IPC de la ville de Kénitra et du Maroc : glissements annuels entre 20</w:t>
      </w:r>
      <w:r w:rsidR="00B21D3B">
        <w:rPr>
          <w:rFonts w:asciiTheme="majorBidi" w:hAnsiTheme="majorBidi" w:cstheme="majorBidi"/>
          <w:color w:val="548DD4" w:themeColor="text2" w:themeTint="99"/>
          <w:sz w:val="22"/>
          <w:szCs w:val="22"/>
        </w:rPr>
        <w:t>17</w:t>
      </w:r>
      <w:r w:rsidR="004F39E8" w:rsidRPr="00462F63">
        <w:rPr>
          <w:rFonts w:asciiTheme="majorBidi" w:hAnsiTheme="majorBidi" w:cstheme="majorBidi"/>
          <w:color w:val="548DD4" w:themeColor="text2" w:themeTint="99"/>
          <w:sz w:val="22"/>
          <w:szCs w:val="22"/>
        </w:rPr>
        <w:t xml:space="preserve"> et 20</w:t>
      </w:r>
      <w:r w:rsidR="00B21D3B">
        <w:rPr>
          <w:rFonts w:asciiTheme="majorBidi" w:hAnsiTheme="majorBidi" w:cstheme="majorBidi"/>
          <w:color w:val="548DD4" w:themeColor="text2" w:themeTint="99"/>
          <w:sz w:val="22"/>
          <w:szCs w:val="22"/>
        </w:rPr>
        <w:t>20</w:t>
      </w:r>
      <w:bookmarkEnd w:id="44"/>
      <w:r w:rsidR="004F39E8" w:rsidRPr="00462F63">
        <w:rPr>
          <w:rFonts w:asciiTheme="majorBidi" w:hAnsiTheme="majorBidi" w:cstheme="majorBidi"/>
          <w:color w:val="548DD4" w:themeColor="text2" w:themeTint="99"/>
          <w:sz w:val="22"/>
          <w:szCs w:val="22"/>
        </w:rPr>
        <w:t xml:space="preserve"> </w:t>
      </w:r>
    </w:p>
    <w:p w:rsidR="00925A91" w:rsidRDefault="00C52263" w:rsidP="00187FB8">
      <w:pPr>
        <w:spacing w:before="240" w:after="0" w:line="240" w:lineRule="auto"/>
        <w:jc w:val="both"/>
        <w:rPr>
          <w:rFonts w:asciiTheme="majorBidi" w:hAnsiTheme="majorBidi" w:cstheme="majorBidi"/>
        </w:rPr>
      </w:pPr>
      <w:r w:rsidRPr="00C52263">
        <w:rPr>
          <w:rFonts w:asciiTheme="majorBidi" w:hAnsiTheme="majorBidi" w:cstheme="majorBidi"/>
          <w:noProof/>
          <w:lang w:eastAsia="fr-FR"/>
        </w:rPr>
        <w:drawing>
          <wp:inline distT="0" distB="0" distL="0" distR="0">
            <wp:extent cx="5850890" cy="3898935"/>
            <wp:effectExtent l="19050" t="0" r="16510" b="6315"/>
            <wp:docPr id="6"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01A7A" w:rsidRPr="00483003" w:rsidRDefault="00801A7A" w:rsidP="00801A7A">
      <w:pPr>
        <w:pStyle w:val="Lgende"/>
        <w:rPr>
          <w:rFonts w:ascii="Times New Roman" w:hAnsi="Times New Roman"/>
          <w:i/>
          <w:iCs/>
          <w:sz w:val="22"/>
        </w:rPr>
      </w:pPr>
      <w:r w:rsidRPr="00483003">
        <w:rPr>
          <w:rFonts w:ascii="Times New Roman" w:hAnsi="Times New Roman"/>
          <w:i/>
          <w:iCs/>
          <w:sz w:val="22"/>
        </w:rPr>
        <w:t>Source : HCP</w:t>
      </w:r>
    </w:p>
    <w:p w:rsidR="006E2789" w:rsidRDefault="006E2789" w:rsidP="00725E87">
      <w:pPr>
        <w:spacing w:before="240" w:after="240" w:line="240" w:lineRule="auto"/>
        <w:jc w:val="both"/>
        <w:rPr>
          <w:rFonts w:asciiTheme="majorBidi" w:hAnsiTheme="majorBidi" w:cstheme="majorBidi"/>
        </w:rPr>
      </w:pPr>
    </w:p>
    <w:p w:rsidR="009E2412" w:rsidRDefault="009C15D0" w:rsidP="00777D90">
      <w:pPr>
        <w:spacing w:before="240" w:after="240" w:line="240" w:lineRule="auto"/>
        <w:jc w:val="both"/>
        <w:rPr>
          <w:rFonts w:asciiTheme="majorBidi" w:hAnsiTheme="majorBidi" w:cstheme="majorBidi"/>
          <w:b/>
          <w:bCs/>
        </w:rPr>
      </w:pPr>
      <w:r w:rsidRPr="00511678">
        <w:rPr>
          <w:rFonts w:asciiTheme="majorBidi" w:hAnsiTheme="majorBidi" w:cstheme="majorBidi"/>
          <w:b/>
          <w:bCs/>
          <w:color w:val="4F81BD" w:themeColor="accent1"/>
          <w:sz w:val="26"/>
          <w:szCs w:val="26"/>
        </w:rPr>
        <w:tab/>
      </w:r>
    </w:p>
    <w:p w:rsidR="004B1065" w:rsidRDefault="004B1065">
      <w:pPr>
        <w:rPr>
          <w:rFonts w:asciiTheme="majorBidi" w:hAnsiTheme="majorBidi" w:cstheme="majorBidi"/>
          <w:b/>
          <w:bCs/>
        </w:rPr>
      </w:pPr>
      <w:r>
        <w:rPr>
          <w:rFonts w:asciiTheme="majorBidi" w:hAnsiTheme="majorBidi" w:cstheme="majorBidi"/>
          <w:b/>
          <w:bCs/>
        </w:rPr>
        <w:br w:type="page"/>
      </w:r>
    </w:p>
    <w:p w:rsidR="00156FC8" w:rsidRDefault="00156FC8" w:rsidP="004B1065">
      <w:pPr>
        <w:rPr>
          <w:rFonts w:asciiTheme="majorBidi" w:hAnsiTheme="majorBidi"/>
          <w:color w:val="4F81BD" w:themeColor="accent1"/>
        </w:rPr>
      </w:pPr>
    </w:p>
    <w:p w:rsidR="00EB06FB" w:rsidRDefault="00EB06FB" w:rsidP="004B1065">
      <w:pPr>
        <w:rPr>
          <w:rFonts w:asciiTheme="majorBidi" w:hAnsiTheme="majorBidi"/>
          <w:color w:val="4F81BD" w:themeColor="accent1"/>
        </w:rPr>
      </w:pPr>
    </w:p>
    <w:p w:rsidR="00156FC8" w:rsidRDefault="00156FC8" w:rsidP="004B1065">
      <w:pPr>
        <w:rPr>
          <w:rFonts w:asciiTheme="majorBidi" w:hAnsiTheme="majorBidi"/>
          <w:color w:val="4F81BD" w:themeColor="accent1"/>
        </w:rPr>
      </w:pPr>
    </w:p>
    <w:p w:rsidR="00156FC8" w:rsidRDefault="00156FC8" w:rsidP="004B1065">
      <w:pPr>
        <w:rPr>
          <w:rFonts w:asciiTheme="majorBidi" w:hAnsiTheme="majorBidi"/>
          <w:color w:val="4F81BD" w:themeColor="accent1"/>
        </w:rPr>
      </w:pPr>
    </w:p>
    <w:p w:rsidR="00156FC8" w:rsidRDefault="00156FC8"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152181" w:rsidRPr="00590216" w:rsidRDefault="00590216" w:rsidP="00590216">
      <w:pPr>
        <w:jc w:val="center"/>
        <w:rPr>
          <w:rFonts w:asciiTheme="majorBidi" w:hAnsiTheme="majorBidi"/>
          <w:b/>
          <w:bCs/>
          <w:color w:val="4F81BD" w:themeColor="accent1"/>
          <w:sz w:val="72"/>
          <w:szCs w:val="72"/>
        </w:rPr>
      </w:pPr>
      <w:r w:rsidRPr="00590216">
        <w:rPr>
          <w:rFonts w:asciiTheme="majorBidi" w:hAnsiTheme="majorBidi"/>
          <w:b/>
          <w:bCs/>
          <w:color w:val="4F81BD" w:themeColor="accent1"/>
          <w:sz w:val="72"/>
          <w:szCs w:val="72"/>
        </w:rPr>
        <w:t>CONCLUSION</w:t>
      </w:r>
    </w:p>
    <w:p w:rsidR="00152181" w:rsidRDefault="00152181">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eastAsiaTheme="majorEastAsia" w:hAnsiTheme="majorBidi" w:cstheme="majorBidi"/>
          <w:b/>
          <w:bCs/>
          <w:color w:val="4F81BD" w:themeColor="accent1"/>
          <w:sz w:val="28"/>
          <w:szCs w:val="28"/>
        </w:rPr>
      </w:pPr>
      <w:r>
        <w:rPr>
          <w:rFonts w:asciiTheme="majorBidi" w:hAnsiTheme="majorBidi"/>
          <w:color w:val="4F81BD" w:themeColor="accent1"/>
        </w:rPr>
        <w:br w:type="page"/>
      </w:r>
    </w:p>
    <w:p w:rsidR="002D3D25" w:rsidRPr="00A37E89" w:rsidRDefault="00EB06FB" w:rsidP="008C7719">
      <w:pPr>
        <w:pStyle w:val="Titre1"/>
        <w:rPr>
          <w:rFonts w:asciiTheme="majorBidi" w:hAnsiTheme="majorBidi"/>
          <w:bCs w:val="0"/>
          <w:color w:val="4F81BD" w:themeColor="accent1"/>
        </w:rPr>
      </w:pPr>
      <w:bookmarkStart w:id="45" w:name="_Toc68443142"/>
      <w:r w:rsidRPr="00A37E89">
        <w:rPr>
          <w:rFonts w:asciiTheme="majorBidi" w:hAnsiTheme="majorBidi"/>
          <w:bCs w:val="0"/>
          <w:color w:val="4F81BD" w:themeColor="accent1"/>
        </w:rPr>
        <w:lastRenderedPageBreak/>
        <w:t>C</w:t>
      </w:r>
      <w:r w:rsidR="002D3D25" w:rsidRPr="00A37E89">
        <w:rPr>
          <w:rFonts w:asciiTheme="majorBidi" w:hAnsiTheme="majorBidi"/>
          <w:bCs w:val="0"/>
          <w:color w:val="4F81BD" w:themeColor="accent1"/>
        </w:rPr>
        <w:t>ONCLUSION</w:t>
      </w:r>
      <w:bookmarkEnd w:id="45"/>
    </w:p>
    <w:p w:rsidR="000673ED" w:rsidRDefault="000673ED" w:rsidP="00E22F4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Comme il est défini dans le chapitre II du présent rapport, l’I</w:t>
      </w:r>
      <w:r w:rsidR="00DB5004">
        <w:rPr>
          <w:rFonts w:asciiTheme="majorBidi" w:hAnsiTheme="majorBidi" w:cstheme="majorBidi"/>
          <w:sz w:val="24"/>
          <w:szCs w:val="24"/>
        </w:rPr>
        <w:t xml:space="preserve">ndice des </w:t>
      </w:r>
      <w:r>
        <w:rPr>
          <w:rFonts w:asciiTheme="majorBidi" w:hAnsiTheme="majorBidi" w:cstheme="majorBidi"/>
          <w:sz w:val="24"/>
          <w:szCs w:val="24"/>
        </w:rPr>
        <w:t>P</w:t>
      </w:r>
      <w:r w:rsidR="00DB5004">
        <w:rPr>
          <w:rFonts w:asciiTheme="majorBidi" w:hAnsiTheme="majorBidi" w:cstheme="majorBidi"/>
          <w:sz w:val="24"/>
          <w:szCs w:val="24"/>
        </w:rPr>
        <w:t xml:space="preserve">rix à la </w:t>
      </w:r>
      <w:r>
        <w:rPr>
          <w:rFonts w:asciiTheme="majorBidi" w:hAnsiTheme="majorBidi" w:cstheme="majorBidi"/>
          <w:sz w:val="24"/>
          <w:szCs w:val="24"/>
        </w:rPr>
        <w:t>C</w:t>
      </w:r>
      <w:r w:rsidR="00DB5004">
        <w:rPr>
          <w:rFonts w:asciiTheme="majorBidi" w:hAnsiTheme="majorBidi" w:cstheme="majorBidi"/>
          <w:sz w:val="24"/>
          <w:szCs w:val="24"/>
        </w:rPr>
        <w:t>onsommation</w:t>
      </w:r>
      <w:r>
        <w:rPr>
          <w:rFonts w:asciiTheme="majorBidi" w:hAnsiTheme="majorBidi" w:cstheme="majorBidi"/>
          <w:sz w:val="24"/>
          <w:szCs w:val="24"/>
        </w:rPr>
        <w:t xml:space="preserve"> permet de mesurer la variation des prix d’un panier de biens et services, à qualité constante, représentatif de la consommation des ménages entre deux périodes données. Ainsi, l’analyse des résultats relatifs à l’IPC</w:t>
      </w:r>
      <w:r w:rsidR="00DB5004">
        <w:rPr>
          <w:rFonts w:asciiTheme="majorBidi" w:hAnsiTheme="majorBidi" w:cstheme="majorBidi"/>
          <w:sz w:val="24"/>
          <w:szCs w:val="24"/>
        </w:rPr>
        <w:t xml:space="preserve"> </w:t>
      </w:r>
      <w:r>
        <w:rPr>
          <w:rFonts w:asciiTheme="majorBidi" w:hAnsiTheme="majorBidi" w:cstheme="majorBidi"/>
          <w:sz w:val="24"/>
          <w:szCs w:val="24"/>
        </w:rPr>
        <w:t>(base 100: 20</w:t>
      </w:r>
      <w:r w:rsidR="00704EDD">
        <w:rPr>
          <w:rFonts w:asciiTheme="majorBidi" w:hAnsiTheme="majorBidi" w:cstheme="majorBidi"/>
          <w:sz w:val="24"/>
          <w:szCs w:val="24"/>
        </w:rPr>
        <w:t>17</w:t>
      </w:r>
      <w:r>
        <w:rPr>
          <w:rFonts w:asciiTheme="majorBidi" w:hAnsiTheme="majorBidi" w:cstheme="majorBidi"/>
          <w:sz w:val="24"/>
          <w:szCs w:val="24"/>
        </w:rPr>
        <w:t>) au cours de la période 20</w:t>
      </w:r>
      <w:r w:rsidR="00704EDD">
        <w:rPr>
          <w:rFonts w:asciiTheme="majorBidi" w:hAnsiTheme="majorBidi" w:cstheme="majorBidi"/>
          <w:sz w:val="24"/>
          <w:szCs w:val="24"/>
        </w:rPr>
        <w:t>1</w:t>
      </w:r>
      <w:r>
        <w:rPr>
          <w:rFonts w:asciiTheme="majorBidi" w:hAnsiTheme="majorBidi" w:cstheme="majorBidi"/>
          <w:sz w:val="24"/>
          <w:szCs w:val="24"/>
        </w:rPr>
        <w:t>7-20</w:t>
      </w:r>
      <w:r w:rsidR="00704EDD">
        <w:rPr>
          <w:rFonts w:asciiTheme="majorBidi" w:hAnsiTheme="majorBidi" w:cstheme="majorBidi"/>
          <w:sz w:val="24"/>
          <w:szCs w:val="24"/>
        </w:rPr>
        <w:t>20</w:t>
      </w:r>
      <w:r>
        <w:rPr>
          <w:rFonts w:asciiTheme="majorBidi" w:hAnsiTheme="majorBidi" w:cstheme="majorBidi"/>
          <w:sz w:val="24"/>
          <w:szCs w:val="24"/>
        </w:rPr>
        <w:t>, a permis d’apporter quelques éclaircissements sur le coût de la vie dans la ville de Kénitra.</w:t>
      </w:r>
    </w:p>
    <w:p w:rsidR="000673ED" w:rsidRDefault="000673ED" w:rsidP="00E22F4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20</w:t>
      </w:r>
      <w:r w:rsidR="00704EDD">
        <w:rPr>
          <w:rFonts w:asciiTheme="majorBidi" w:hAnsiTheme="majorBidi" w:cstheme="majorBidi"/>
          <w:sz w:val="24"/>
          <w:szCs w:val="24"/>
        </w:rPr>
        <w:t>20</w:t>
      </w:r>
      <w:r>
        <w:rPr>
          <w:rFonts w:asciiTheme="majorBidi" w:hAnsiTheme="majorBidi" w:cstheme="majorBidi"/>
          <w:sz w:val="24"/>
          <w:szCs w:val="24"/>
        </w:rPr>
        <w:t>, l’IPC général a atteint le niveau 1</w:t>
      </w:r>
      <w:r w:rsidR="00704EDD">
        <w:rPr>
          <w:rFonts w:asciiTheme="majorBidi" w:hAnsiTheme="majorBidi" w:cstheme="majorBidi"/>
          <w:sz w:val="24"/>
          <w:szCs w:val="24"/>
        </w:rPr>
        <w:t>01,</w:t>
      </w:r>
      <w:r w:rsidR="00695CE7">
        <w:rPr>
          <w:rFonts w:asciiTheme="majorBidi" w:hAnsiTheme="majorBidi" w:cstheme="majorBidi"/>
          <w:sz w:val="24"/>
          <w:szCs w:val="24"/>
        </w:rPr>
        <w:t>6</w:t>
      </w:r>
      <w:r>
        <w:rPr>
          <w:rFonts w:asciiTheme="majorBidi" w:hAnsiTheme="majorBidi" w:cstheme="majorBidi"/>
          <w:sz w:val="24"/>
          <w:szCs w:val="24"/>
        </w:rPr>
        <w:t xml:space="preserve"> contre 1</w:t>
      </w:r>
      <w:r w:rsidR="00695CE7">
        <w:rPr>
          <w:rFonts w:asciiTheme="majorBidi" w:hAnsiTheme="majorBidi" w:cstheme="majorBidi"/>
          <w:sz w:val="24"/>
          <w:szCs w:val="24"/>
        </w:rPr>
        <w:t>01,5 en 2019</w:t>
      </w:r>
      <w:r>
        <w:rPr>
          <w:rFonts w:asciiTheme="majorBidi" w:hAnsiTheme="majorBidi" w:cstheme="majorBidi"/>
          <w:sz w:val="24"/>
          <w:szCs w:val="24"/>
        </w:rPr>
        <w:t>, soit une évolution de 0,</w:t>
      </w:r>
      <w:r w:rsidR="00695CE7">
        <w:rPr>
          <w:rFonts w:asciiTheme="majorBidi" w:hAnsiTheme="majorBidi" w:cstheme="majorBidi"/>
          <w:sz w:val="24"/>
          <w:szCs w:val="24"/>
        </w:rPr>
        <w:t>1</w:t>
      </w:r>
      <w:r>
        <w:rPr>
          <w:rFonts w:asciiTheme="majorBidi" w:hAnsiTheme="majorBidi" w:cstheme="majorBidi"/>
          <w:sz w:val="24"/>
          <w:szCs w:val="24"/>
        </w:rPr>
        <w:t>%. Celle-ci, reste inférieure à celle enregistrée au niveau national  qui est de</w:t>
      </w:r>
      <w:r w:rsidR="00E22F4D">
        <w:rPr>
          <w:rFonts w:asciiTheme="majorBidi" w:hAnsiTheme="majorBidi" w:cstheme="majorBidi"/>
          <w:sz w:val="24"/>
          <w:szCs w:val="24"/>
        </w:rPr>
        <w:t xml:space="preserve"> l’ordre de</w:t>
      </w:r>
      <w:r>
        <w:rPr>
          <w:rFonts w:asciiTheme="majorBidi" w:hAnsiTheme="majorBidi" w:cstheme="majorBidi"/>
          <w:sz w:val="24"/>
          <w:szCs w:val="24"/>
        </w:rPr>
        <w:t xml:space="preserve"> 0,</w:t>
      </w:r>
      <w:r w:rsidR="00695CE7">
        <w:rPr>
          <w:rFonts w:asciiTheme="majorBidi" w:hAnsiTheme="majorBidi" w:cstheme="majorBidi"/>
          <w:sz w:val="24"/>
          <w:szCs w:val="24"/>
        </w:rPr>
        <w:t>6</w:t>
      </w:r>
      <w:r>
        <w:rPr>
          <w:rFonts w:asciiTheme="majorBidi" w:hAnsiTheme="majorBidi" w:cstheme="majorBidi"/>
          <w:sz w:val="24"/>
          <w:szCs w:val="24"/>
        </w:rPr>
        <w:t>%.</w:t>
      </w:r>
    </w:p>
    <w:p w:rsidR="002C00BB" w:rsidRDefault="000673ED" w:rsidP="00176713">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Il est à noter également, que la ville de </w:t>
      </w:r>
      <w:r w:rsidR="00176713">
        <w:rPr>
          <w:rFonts w:asciiTheme="majorBidi" w:hAnsiTheme="majorBidi" w:cstheme="majorBidi"/>
          <w:sz w:val="24"/>
          <w:szCs w:val="24"/>
        </w:rPr>
        <w:t>K</w:t>
      </w:r>
      <w:r>
        <w:rPr>
          <w:rFonts w:asciiTheme="majorBidi" w:hAnsiTheme="majorBidi" w:cstheme="majorBidi"/>
          <w:sz w:val="24"/>
          <w:szCs w:val="24"/>
        </w:rPr>
        <w:t>énitra est considérée comme l’une des villes qui ont affiché un taux d’inflation très bas en 20</w:t>
      </w:r>
      <w:r w:rsidR="00695CE7">
        <w:rPr>
          <w:rFonts w:asciiTheme="majorBidi" w:hAnsiTheme="majorBidi" w:cstheme="majorBidi"/>
          <w:sz w:val="24"/>
          <w:szCs w:val="24"/>
        </w:rPr>
        <w:t>20</w:t>
      </w:r>
      <w:r>
        <w:rPr>
          <w:rFonts w:asciiTheme="majorBidi" w:hAnsiTheme="majorBidi" w:cstheme="majorBidi"/>
          <w:sz w:val="24"/>
          <w:szCs w:val="24"/>
        </w:rPr>
        <w:t xml:space="preserve">, en occupant le </w:t>
      </w:r>
      <w:r w:rsidR="00695CE7">
        <w:rPr>
          <w:rFonts w:asciiTheme="majorBidi" w:hAnsiTheme="majorBidi" w:cstheme="majorBidi"/>
          <w:sz w:val="24"/>
          <w:szCs w:val="24"/>
        </w:rPr>
        <w:t>2</w:t>
      </w:r>
      <w:r w:rsidRPr="000673ED">
        <w:rPr>
          <w:rFonts w:asciiTheme="majorBidi" w:hAnsiTheme="majorBidi" w:cstheme="majorBidi"/>
          <w:sz w:val="24"/>
          <w:szCs w:val="24"/>
          <w:vertAlign w:val="superscript"/>
        </w:rPr>
        <w:t>ème</w:t>
      </w:r>
      <w:r>
        <w:rPr>
          <w:rFonts w:asciiTheme="majorBidi" w:hAnsiTheme="majorBidi" w:cstheme="majorBidi"/>
          <w:sz w:val="24"/>
          <w:szCs w:val="24"/>
        </w:rPr>
        <w:t xml:space="preserve"> rang après </w:t>
      </w:r>
      <w:r w:rsidR="002C00BB">
        <w:rPr>
          <w:rFonts w:asciiTheme="majorBidi" w:hAnsiTheme="majorBidi" w:cstheme="majorBidi"/>
          <w:sz w:val="24"/>
          <w:szCs w:val="24"/>
        </w:rPr>
        <w:t>Fès.</w:t>
      </w:r>
      <w:r>
        <w:rPr>
          <w:rFonts w:asciiTheme="majorBidi" w:hAnsiTheme="majorBidi" w:cstheme="majorBidi"/>
          <w:sz w:val="24"/>
          <w:szCs w:val="24"/>
        </w:rPr>
        <w:t xml:space="preserve"> </w:t>
      </w:r>
    </w:p>
    <w:p w:rsidR="0051438A" w:rsidRDefault="0051438A" w:rsidP="00176713">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La variation de l’indice général de </w:t>
      </w:r>
      <w:r w:rsidR="00176713">
        <w:rPr>
          <w:rFonts w:asciiTheme="majorBidi" w:hAnsiTheme="majorBidi" w:cstheme="majorBidi"/>
          <w:sz w:val="24"/>
          <w:szCs w:val="24"/>
        </w:rPr>
        <w:t>K</w:t>
      </w:r>
      <w:r>
        <w:rPr>
          <w:rFonts w:asciiTheme="majorBidi" w:hAnsiTheme="majorBidi" w:cstheme="majorBidi"/>
          <w:sz w:val="24"/>
          <w:szCs w:val="24"/>
        </w:rPr>
        <w:t>énitra est le résultat combiné de l</w:t>
      </w:r>
      <w:r w:rsidR="002C00BB">
        <w:rPr>
          <w:rFonts w:asciiTheme="majorBidi" w:hAnsiTheme="majorBidi" w:cstheme="majorBidi"/>
          <w:sz w:val="24"/>
          <w:szCs w:val="24"/>
        </w:rPr>
        <w:t>a hau</w:t>
      </w:r>
      <w:r>
        <w:rPr>
          <w:rFonts w:asciiTheme="majorBidi" w:hAnsiTheme="majorBidi" w:cstheme="majorBidi"/>
          <w:sz w:val="24"/>
          <w:szCs w:val="24"/>
        </w:rPr>
        <w:t xml:space="preserve">sse de l’indice des produits alimentaires </w:t>
      </w:r>
      <w:r w:rsidR="002C00BB">
        <w:rPr>
          <w:rFonts w:asciiTheme="majorBidi" w:hAnsiTheme="majorBidi" w:cstheme="majorBidi"/>
          <w:sz w:val="24"/>
          <w:szCs w:val="24"/>
        </w:rPr>
        <w:t>et celui</w:t>
      </w:r>
      <w:r>
        <w:rPr>
          <w:rFonts w:asciiTheme="majorBidi" w:hAnsiTheme="majorBidi" w:cstheme="majorBidi"/>
          <w:sz w:val="24"/>
          <w:szCs w:val="24"/>
        </w:rPr>
        <w:t xml:space="preserve"> des produits non alimentaires de 0,</w:t>
      </w:r>
      <w:r w:rsidR="002C00BB">
        <w:rPr>
          <w:rFonts w:asciiTheme="majorBidi" w:hAnsiTheme="majorBidi" w:cstheme="majorBidi"/>
          <w:sz w:val="24"/>
          <w:szCs w:val="24"/>
        </w:rPr>
        <w:t>1</w:t>
      </w:r>
      <w:r>
        <w:rPr>
          <w:rFonts w:asciiTheme="majorBidi" w:hAnsiTheme="majorBidi" w:cstheme="majorBidi"/>
          <w:sz w:val="24"/>
          <w:szCs w:val="24"/>
        </w:rPr>
        <w:t>%.</w:t>
      </w:r>
    </w:p>
    <w:p w:rsidR="0051438A" w:rsidRDefault="0051438A" w:rsidP="0051438A">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Concernant les produits alimentaires, la </w:t>
      </w:r>
      <w:r w:rsidR="00875B17">
        <w:rPr>
          <w:rFonts w:asciiTheme="majorBidi" w:hAnsiTheme="majorBidi" w:cstheme="majorBidi"/>
          <w:sz w:val="24"/>
          <w:szCs w:val="24"/>
        </w:rPr>
        <w:t>hau</w:t>
      </w:r>
      <w:r>
        <w:rPr>
          <w:rFonts w:asciiTheme="majorBidi" w:hAnsiTheme="majorBidi" w:cstheme="majorBidi"/>
          <w:sz w:val="24"/>
          <w:szCs w:val="24"/>
        </w:rPr>
        <w:t xml:space="preserve">sse n’a touché que la </w:t>
      </w:r>
      <w:r w:rsidR="00875B17">
        <w:rPr>
          <w:rFonts w:asciiTheme="majorBidi" w:hAnsiTheme="majorBidi" w:cstheme="majorBidi"/>
          <w:sz w:val="24"/>
          <w:szCs w:val="24"/>
        </w:rPr>
        <w:t>2ème</w:t>
      </w:r>
      <w:r>
        <w:rPr>
          <w:rFonts w:asciiTheme="majorBidi" w:hAnsiTheme="majorBidi" w:cstheme="majorBidi"/>
          <w:sz w:val="24"/>
          <w:szCs w:val="24"/>
        </w:rPr>
        <w:t xml:space="preserve"> division « </w:t>
      </w:r>
      <w:r w:rsidR="00875B17">
        <w:rPr>
          <w:rFonts w:asciiTheme="majorBidi" w:hAnsiTheme="majorBidi" w:cstheme="majorBidi"/>
          <w:sz w:val="24"/>
          <w:szCs w:val="24"/>
        </w:rPr>
        <w:t>B</w:t>
      </w:r>
      <w:r>
        <w:rPr>
          <w:rFonts w:asciiTheme="majorBidi" w:hAnsiTheme="majorBidi" w:cstheme="majorBidi"/>
          <w:sz w:val="24"/>
          <w:szCs w:val="24"/>
        </w:rPr>
        <w:t>oissons alcoolisées</w:t>
      </w:r>
      <w:r w:rsidR="00875B17">
        <w:rPr>
          <w:rFonts w:asciiTheme="majorBidi" w:hAnsiTheme="majorBidi" w:cstheme="majorBidi"/>
          <w:sz w:val="24"/>
          <w:szCs w:val="24"/>
        </w:rPr>
        <w:t xml:space="preserve">, Tabacs et Stupéfiants » dont l’indice a progressé </w:t>
      </w:r>
      <w:r>
        <w:rPr>
          <w:rFonts w:asciiTheme="majorBidi" w:hAnsiTheme="majorBidi" w:cstheme="majorBidi"/>
          <w:sz w:val="24"/>
          <w:szCs w:val="24"/>
        </w:rPr>
        <w:t>de 0,</w:t>
      </w:r>
      <w:r w:rsidR="00875B17">
        <w:rPr>
          <w:rFonts w:asciiTheme="majorBidi" w:hAnsiTheme="majorBidi" w:cstheme="majorBidi"/>
          <w:sz w:val="24"/>
          <w:szCs w:val="24"/>
        </w:rPr>
        <w:t>8</w:t>
      </w:r>
      <w:r>
        <w:rPr>
          <w:rFonts w:asciiTheme="majorBidi" w:hAnsiTheme="majorBidi" w:cstheme="majorBidi"/>
          <w:sz w:val="24"/>
          <w:szCs w:val="24"/>
        </w:rPr>
        <w:t xml:space="preserve">%. Tandis que la </w:t>
      </w:r>
      <w:r w:rsidR="00875B17">
        <w:rPr>
          <w:rFonts w:asciiTheme="majorBidi" w:hAnsiTheme="majorBidi" w:cstheme="majorBidi"/>
          <w:sz w:val="24"/>
          <w:szCs w:val="24"/>
        </w:rPr>
        <w:t>1ère</w:t>
      </w:r>
      <w:r>
        <w:rPr>
          <w:rFonts w:asciiTheme="majorBidi" w:hAnsiTheme="majorBidi" w:cstheme="majorBidi"/>
          <w:sz w:val="24"/>
          <w:szCs w:val="24"/>
        </w:rPr>
        <w:t xml:space="preserve"> division a connu un</w:t>
      </w:r>
      <w:r w:rsidR="00875B17">
        <w:rPr>
          <w:rFonts w:asciiTheme="majorBidi" w:hAnsiTheme="majorBidi" w:cstheme="majorBidi"/>
          <w:sz w:val="24"/>
          <w:szCs w:val="24"/>
        </w:rPr>
        <w:t>e quasi stagnation</w:t>
      </w:r>
      <w:r>
        <w:rPr>
          <w:rFonts w:asciiTheme="majorBidi" w:hAnsiTheme="majorBidi" w:cstheme="majorBidi"/>
          <w:sz w:val="24"/>
          <w:szCs w:val="24"/>
        </w:rPr>
        <w:t>.</w:t>
      </w:r>
    </w:p>
    <w:p w:rsidR="0051438A" w:rsidRDefault="0051438A" w:rsidP="0051438A">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Pour ce qui est </w:t>
      </w:r>
      <w:r w:rsidR="00875B17">
        <w:rPr>
          <w:rFonts w:asciiTheme="majorBidi" w:hAnsiTheme="majorBidi" w:cstheme="majorBidi"/>
          <w:sz w:val="24"/>
          <w:szCs w:val="24"/>
        </w:rPr>
        <w:t>des produits non alimentaires, cinq</w:t>
      </w:r>
      <w:r>
        <w:rPr>
          <w:rFonts w:asciiTheme="majorBidi" w:hAnsiTheme="majorBidi" w:cstheme="majorBidi"/>
          <w:sz w:val="24"/>
          <w:szCs w:val="24"/>
        </w:rPr>
        <w:t xml:space="preserve"> divisions ont vu leurs prix baisser entre 201</w:t>
      </w:r>
      <w:r w:rsidR="00875B17">
        <w:rPr>
          <w:rFonts w:asciiTheme="majorBidi" w:hAnsiTheme="majorBidi" w:cstheme="majorBidi"/>
          <w:sz w:val="24"/>
          <w:szCs w:val="24"/>
        </w:rPr>
        <w:t xml:space="preserve">9 </w:t>
      </w:r>
      <w:r>
        <w:rPr>
          <w:rFonts w:asciiTheme="majorBidi" w:hAnsiTheme="majorBidi" w:cstheme="majorBidi"/>
          <w:sz w:val="24"/>
          <w:szCs w:val="24"/>
        </w:rPr>
        <w:t>et 20</w:t>
      </w:r>
      <w:r w:rsidR="00875B17">
        <w:rPr>
          <w:rFonts w:asciiTheme="majorBidi" w:hAnsiTheme="majorBidi" w:cstheme="majorBidi"/>
          <w:sz w:val="24"/>
          <w:szCs w:val="24"/>
        </w:rPr>
        <w:t>20. Il s’agit de la</w:t>
      </w:r>
      <w:r>
        <w:rPr>
          <w:rFonts w:asciiTheme="majorBidi" w:hAnsiTheme="majorBidi" w:cstheme="majorBidi"/>
          <w:sz w:val="24"/>
          <w:szCs w:val="24"/>
        </w:rPr>
        <w:t xml:space="preserve"> «</w:t>
      </w:r>
      <w:r w:rsidR="00875B17">
        <w:rPr>
          <w:rFonts w:asciiTheme="majorBidi" w:hAnsiTheme="majorBidi" w:cstheme="majorBidi"/>
          <w:sz w:val="24"/>
          <w:szCs w:val="24"/>
        </w:rPr>
        <w:t>Santé</w:t>
      </w:r>
      <w:r>
        <w:rPr>
          <w:rFonts w:asciiTheme="majorBidi" w:hAnsiTheme="majorBidi" w:cstheme="majorBidi"/>
          <w:sz w:val="24"/>
          <w:szCs w:val="24"/>
        </w:rPr>
        <w:t> », de</w:t>
      </w:r>
      <w:r w:rsidR="00875B17">
        <w:rPr>
          <w:rFonts w:asciiTheme="majorBidi" w:hAnsiTheme="majorBidi" w:cstheme="majorBidi"/>
          <w:sz w:val="24"/>
          <w:szCs w:val="24"/>
        </w:rPr>
        <w:t>s</w:t>
      </w:r>
      <w:r>
        <w:rPr>
          <w:rFonts w:asciiTheme="majorBidi" w:hAnsiTheme="majorBidi" w:cstheme="majorBidi"/>
          <w:sz w:val="24"/>
          <w:szCs w:val="24"/>
        </w:rPr>
        <w:t xml:space="preserve"> « </w:t>
      </w:r>
      <w:r w:rsidR="00875B17">
        <w:rPr>
          <w:rFonts w:asciiTheme="majorBidi" w:hAnsiTheme="majorBidi" w:cstheme="majorBidi"/>
          <w:sz w:val="24"/>
          <w:szCs w:val="24"/>
        </w:rPr>
        <w:t>Transports</w:t>
      </w:r>
      <w:r>
        <w:rPr>
          <w:rFonts w:asciiTheme="majorBidi" w:hAnsiTheme="majorBidi" w:cstheme="majorBidi"/>
          <w:sz w:val="24"/>
          <w:szCs w:val="24"/>
        </w:rPr>
        <w:t> »  des « </w:t>
      </w:r>
      <w:r w:rsidR="00875B17">
        <w:rPr>
          <w:rFonts w:asciiTheme="majorBidi" w:hAnsiTheme="majorBidi" w:cstheme="majorBidi"/>
          <w:sz w:val="24"/>
          <w:szCs w:val="24"/>
        </w:rPr>
        <w:t>Communications », des «Loisirs et Cultures» et de «l’Enseignement»</w:t>
      </w:r>
      <w:r w:rsidR="00663FA2">
        <w:rPr>
          <w:rFonts w:asciiTheme="majorBidi" w:hAnsiTheme="majorBidi" w:cstheme="majorBidi"/>
          <w:sz w:val="24"/>
          <w:szCs w:val="24"/>
        </w:rPr>
        <w:t>, tandis que le reste des divisions a connu des hausses de prix.</w:t>
      </w:r>
    </w:p>
    <w:p w:rsidR="0051438A" w:rsidRDefault="0051438A" w:rsidP="0051438A">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Quant à l’évolution des prix ces </w:t>
      </w:r>
      <w:r w:rsidR="00663FA2">
        <w:rPr>
          <w:rFonts w:asciiTheme="majorBidi" w:hAnsiTheme="majorBidi" w:cstheme="majorBidi"/>
          <w:sz w:val="24"/>
          <w:szCs w:val="24"/>
        </w:rPr>
        <w:t>quatre</w:t>
      </w:r>
      <w:r>
        <w:rPr>
          <w:rFonts w:asciiTheme="majorBidi" w:hAnsiTheme="majorBidi" w:cstheme="majorBidi"/>
          <w:sz w:val="24"/>
          <w:szCs w:val="24"/>
        </w:rPr>
        <w:t xml:space="preserve"> dernières </w:t>
      </w:r>
      <w:r w:rsidR="00DB5004">
        <w:rPr>
          <w:rFonts w:asciiTheme="majorBidi" w:hAnsiTheme="majorBidi" w:cstheme="majorBidi"/>
          <w:sz w:val="24"/>
          <w:szCs w:val="24"/>
        </w:rPr>
        <w:t>années, l’</w:t>
      </w:r>
      <w:r>
        <w:rPr>
          <w:rFonts w:asciiTheme="majorBidi" w:hAnsiTheme="majorBidi" w:cstheme="majorBidi"/>
          <w:sz w:val="24"/>
          <w:szCs w:val="24"/>
        </w:rPr>
        <w:t xml:space="preserve">indice général a affiché une hausse de </w:t>
      </w:r>
      <w:r w:rsidR="00663FA2">
        <w:rPr>
          <w:rFonts w:asciiTheme="majorBidi" w:hAnsiTheme="majorBidi" w:cstheme="majorBidi"/>
          <w:sz w:val="24"/>
          <w:szCs w:val="24"/>
        </w:rPr>
        <w:t>1</w:t>
      </w:r>
      <w:r>
        <w:rPr>
          <w:rFonts w:asciiTheme="majorBidi" w:hAnsiTheme="majorBidi" w:cstheme="majorBidi"/>
          <w:sz w:val="24"/>
          <w:szCs w:val="24"/>
        </w:rPr>
        <w:t>,6%  passant de 10</w:t>
      </w:r>
      <w:r w:rsidR="00663FA2">
        <w:rPr>
          <w:rFonts w:asciiTheme="majorBidi" w:hAnsiTheme="majorBidi" w:cstheme="majorBidi"/>
          <w:sz w:val="24"/>
          <w:szCs w:val="24"/>
        </w:rPr>
        <w:t>0</w:t>
      </w:r>
      <w:r>
        <w:rPr>
          <w:rFonts w:asciiTheme="majorBidi" w:hAnsiTheme="majorBidi" w:cstheme="majorBidi"/>
          <w:sz w:val="24"/>
          <w:szCs w:val="24"/>
        </w:rPr>
        <w:t xml:space="preserve"> en 20</w:t>
      </w:r>
      <w:r w:rsidR="00663FA2">
        <w:rPr>
          <w:rFonts w:asciiTheme="majorBidi" w:hAnsiTheme="majorBidi" w:cstheme="majorBidi"/>
          <w:sz w:val="24"/>
          <w:szCs w:val="24"/>
        </w:rPr>
        <w:t>1</w:t>
      </w:r>
      <w:r>
        <w:rPr>
          <w:rFonts w:asciiTheme="majorBidi" w:hAnsiTheme="majorBidi" w:cstheme="majorBidi"/>
          <w:sz w:val="24"/>
          <w:szCs w:val="24"/>
        </w:rPr>
        <w:t>7 à 1</w:t>
      </w:r>
      <w:r w:rsidR="00663FA2">
        <w:rPr>
          <w:rFonts w:asciiTheme="majorBidi" w:hAnsiTheme="majorBidi" w:cstheme="majorBidi"/>
          <w:sz w:val="24"/>
          <w:szCs w:val="24"/>
        </w:rPr>
        <w:t>01,6</w:t>
      </w:r>
      <w:r>
        <w:rPr>
          <w:rFonts w:asciiTheme="majorBidi" w:hAnsiTheme="majorBidi" w:cstheme="majorBidi"/>
          <w:sz w:val="24"/>
          <w:szCs w:val="24"/>
        </w:rPr>
        <w:t xml:space="preserve"> en </w:t>
      </w:r>
      <w:r w:rsidR="00DB5004">
        <w:rPr>
          <w:rFonts w:asciiTheme="majorBidi" w:hAnsiTheme="majorBidi" w:cstheme="majorBidi"/>
          <w:sz w:val="24"/>
          <w:szCs w:val="24"/>
        </w:rPr>
        <w:t>20</w:t>
      </w:r>
      <w:r w:rsidR="00663FA2">
        <w:rPr>
          <w:rFonts w:asciiTheme="majorBidi" w:hAnsiTheme="majorBidi" w:cstheme="majorBidi"/>
          <w:sz w:val="24"/>
          <w:szCs w:val="24"/>
        </w:rPr>
        <w:t>20</w:t>
      </w:r>
      <w:r w:rsidR="00DB5004">
        <w:rPr>
          <w:rFonts w:asciiTheme="majorBidi" w:hAnsiTheme="majorBidi" w:cstheme="majorBidi"/>
          <w:sz w:val="24"/>
          <w:szCs w:val="24"/>
        </w:rPr>
        <w:t xml:space="preserve">. </w:t>
      </w:r>
    </w:p>
    <w:p w:rsidR="001F2DA4" w:rsidRDefault="00164C1F" w:rsidP="00DB5004">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L’inflation</w:t>
      </w:r>
      <w:r w:rsidR="00E55B51">
        <w:rPr>
          <w:rFonts w:asciiTheme="majorBidi" w:hAnsiTheme="majorBidi" w:cstheme="majorBidi"/>
          <w:sz w:val="24"/>
          <w:szCs w:val="24"/>
        </w:rPr>
        <w:t xml:space="preserve"> générale de la ville de Kénitra a enregistré un rythme décroissant ces trois dernières années, soit 1,1% en 2018, 0,5% en 2019 et 0,1% en 2020.</w:t>
      </w:r>
    </w:p>
    <w:p w:rsidR="004B1065" w:rsidRDefault="00B933BF" w:rsidP="00C51F59">
      <w:pPr>
        <w:spacing w:before="240" w:after="240" w:line="240" w:lineRule="auto"/>
        <w:jc w:val="both"/>
        <w:rPr>
          <w:rFonts w:asciiTheme="majorBidi" w:hAnsiTheme="majorBidi" w:cstheme="majorBidi"/>
          <w:color w:val="000000" w:themeColor="text1"/>
          <w:sz w:val="24"/>
          <w:szCs w:val="24"/>
        </w:rPr>
      </w:pPr>
      <w:r w:rsidRPr="00B933BF">
        <w:rPr>
          <w:rFonts w:asciiTheme="majorBidi" w:hAnsiTheme="majorBidi" w:cstheme="majorBidi"/>
          <w:color w:val="000000" w:themeColor="text1"/>
          <w:sz w:val="24"/>
          <w:szCs w:val="24"/>
        </w:rPr>
        <w:t xml:space="preserve">L’analyse des données </w:t>
      </w:r>
      <w:r w:rsidR="00164C1F">
        <w:rPr>
          <w:rFonts w:asciiTheme="majorBidi" w:hAnsiTheme="majorBidi" w:cstheme="majorBidi"/>
          <w:color w:val="000000" w:themeColor="text1"/>
          <w:sz w:val="24"/>
          <w:szCs w:val="24"/>
        </w:rPr>
        <w:t>infra-annuelles</w:t>
      </w:r>
      <w:r w:rsidRPr="00B933BF">
        <w:rPr>
          <w:rFonts w:asciiTheme="majorBidi" w:hAnsiTheme="majorBidi" w:cstheme="majorBidi"/>
          <w:color w:val="000000" w:themeColor="text1"/>
          <w:sz w:val="24"/>
          <w:szCs w:val="24"/>
        </w:rPr>
        <w:t xml:space="preserve"> de l’IPC </w:t>
      </w:r>
      <w:r w:rsidR="00164C1F">
        <w:rPr>
          <w:rFonts w:asciiTheme="majorBidi" w:hAnsiTheme="majorBidi" w:cstheme="majorBidi"/>
          <w:color w:val="000000" w:themeColor="text1"/>
          <w:sz w:val="24"/>
          <w:szCs w:val="24"/>
        </w:rPr>
        <w:t>de l’année 2020 fait ressortir une hausse des prix pendant le 1</w:t>
      </w:r>
      <w:r w:rsidR="00164C1F" w:rsidRPr="00164C1F">
        <w:rPr>
          <w:rFonts w:asciiTheme="majorBidi" w:hAnsiTheme="majorBidi" w:cstheme="majorBidi"/>
          <w:color w:val="000000" w:themeColor="text1"/>
          <w:sz w:val="24"/>
          <w:szCs w:val="24"/>
          <w:vertAlign w:val="superscript"/>
        </w:rPr>
        <w:t>er</w:t>
      </w:r>
      <w:r w:rsidR="00164C1F">
        <w:rPr>
          <w:rFonts w:asciiTheme="majorBidi" w:hAnsiTheme="majorBidi" w:cstheme="majorBidi"/>
          <w:color w:val="000000" w:themeColor="text1"/>
          <w:sz w:val="24"/>
          <w:szCs w:val="24"/>
        </w:rPr>
        <w:t xml:space="preserve"> trimestre, suivie d’une diminution au cours de  la période du confinement qui </w:t>
      </w:r>
      <w:r w:rsidR="009231CD">
        <w:rPr>
          <w:rFonts w:asciiTheme="majorBidi" w:hAnsiTheme="majorBidi" w:cstheme="majorBidi"/>
          <w:color w:val="000000" w:themeColor="text1"/>
          <w:sz w:val="24"/>
          <w:szCs w:val="24"/>
        </w:rPr>
        <w:t>couvre une bonne partie du</w:t>
      </w:r>
      <w:r w:rsidR="00164C1F">
        <w:rPr>
          <w:rFonts w:asciiTheme="majorBidi" w:hAnsiTheme="majorBidi" w:cstheme="majorBidi"/>
          <w:color w:val="000000" w:themeColor="text1"/>
          <w:sz w:val="24"/>
          <w:szCs w:val="24"/>
        </w:rPr>
        <w:t xml:space="preserve"> 2</w:t>
      </w:r>
      <w:r w:rsidR="00164C1F" w:rsidRPr="00164C1F">
        <w:rPr>
          <w:rFonts w:asciiTheme="majorBidi" w:hAnsiTheme="majorBidi" w:cstheme="majorBidi"/>
          <w:color w:val="000000" w:themeColor="text1"/>
          <w:sz w:val="24"/>
          <w:szCs w:val="24"/>
          <w:vertAlign w:val="superscript"/>
        </w:rPr>
        <w:t>ème</w:t>
      </w:r>
      <w:r w:rsidR="00164C1F">
        <w:rPr>
          <w:rFonts w:asciiTheme="majorBidi" w:hAnsiTheme="majorBidi" w:cstheme="majorBidi"/>
          <w:color w:val="000000" w:themeColor="text1"/>
          <w:sz w:val="24"/>
          <w:szCs w:val="24"/>
        </w:rPr>
        <w:t xml:space="preserve"> trime</w:t>
      </w:r>
      <w:r w:rsidR="009231CD">
        <w:rPr>
          <w:rFonts w:asciiTheme="majorBidi" w:hAnsiTheme="majorBidi" w:cstheme="majorBidi"/>
          <w:color w:val="000000" w:themeColor="text1"/>
          <w:sz w:val="24"/>
          <w:szCs w:val="24"/>
        </w:rPr>
        <w:t>stre. Ensuite, avec la levée progressive des restrictions sanitaires, les prix à la consommation se sont renchéris de nouveau. Quant au 4</w:t>
      </w:r>
      <w:r w:rsidR="009231CD" w:rsidRPr="009231CD">
        <w:rPr>
          <w:rFonts w:asciiTheme="majorBidi" w:hAnsiTheme="majorBidi" w:cstheme="majorBidi"/>
          <w:color w:val="000000" w:themeColor="text1"/>
          <w:sz w:val="24"/>
          <w:szCs w:val="24"/>
          <w:vertAlign w:val="superscript"/>
        </w:rPr>
        <w:t>ème</w:t>
      </w:r>
      <w:r w:rsidR="009231CD">
        <w:rPr>
          <w:rFonts w:asciiTheme="majorBidi" w:hAnsiTheme="majorBidi" w:cstheme="majorBidi"/>
          <w:color w:val="000000" w:themeColor="text1"/>
          <w:sz w:val="24"/>
          <w:szCs w:val="24"/>
        </w:rPr>
        <w:t xml:space="preserve"> trimestre, la variation de l’indice a viré vers la baisse une 2</w:t>
      </w:r>
      <w:r w:rsidR="009231CD" w:rsidRPr="009231CD">
        <w:rPr>
          <w:rFonts w:asciiTheme="majorBidi" w:hAnsiTheme="majorBidi" w:cstheme="majorBidi"/>
          <w:color w:val="000000" w:themeColor="text1"/>
          <w:sz w:val="24"/>
          <w:szCs w:val="24"/>
          <w:vertAlign w:val="superscript"/>
        </w:rPr>
        <w:t>ème</w:t>
      </w:r>
      <w:r w:rsidR="009231CD">
        <w:rPr>
          <w:rFonts w:asciiTheme="majorBidi" w:hAnsiTheme="majorBidi" w:cstheme="majorBidi"/>
          <w:color w:val="000000" w:themeColor="text1"/>
          <w:sz w:val="24"/>
          <w:szCs w:val="24"/>
        </w:rPr>
        <w:t xml:space="preserve"> fois.</w:t>
      </w:r>
    </w:p>
    <w:p w:rsidR="004B1065" w:rsidRDefault="004B1065">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br w:type="page"/>
      </w:r>
    </w:p>
    <w:p w:rsidR="00156FC8" w:rsidRDefault="00156FC8" w:rsidP="00725E87">
      <w:pPr>
        <w:spacing w:before="240" w:after="240" w:line="240" w:lineRule="auto"/>
        <w:jc w:val="both"/>
        <w:rPr>
          <w:rFonts w:asciiTheme="majorBidi" w:hAnsiTheme="majorBidi" w:cstheme="majorBidi"/>
        </w:rPr>
      </w:pPr>
    </w:p>
    <w:p w:rsidR="00156FC8" w:rsidRDefault="00156FC8"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8D45BD" w:rsidRPr="00590216" w:rsidRDefault="00590216" w:rsidP="00230D28">
      <w:pPr>
        <w:pStyle w:val="Titre1"/>
        <w:jc w:val="center"/>
        <w:rPr>
          <w:rFonts w:asciiTheme="majorBidi" w:hAnsiTheme="majorBidi"/>
          <w:b w:val="0"/>
          <w:bCs w:val="0"/>
          <w:color w:val="4F81BD" w:themeColor="accent1"/>
          <w:sz w:val="72"/>
          <w:szCs w:val="72"/>
        </w:rPr>
      </w:pPr>
      <w:bookmarkStart w:id="46" w:name="_Toc68443143"/>
      <w:r w:rsidRPr="00590216">
        <w:rPr>
          <w:rFonts w:asciiTheme="majorBidi" w:hAnsiTheme="majorBidi"/>
          <w:b w:val="0"/>
          <w:bCs w:val="0"/>
          <w:color w:val="4F81BD" w:themeColor="accent1"/>
          <w:sz w:val="72"/>
          <w:szCs w:val="72"/>
        </w:rPr>
        <w:t>ANNEXE</w:t>
      </w:r>
      <w:r w:rsidR="00AA440E">
        <w:rPr>
          <w:rFonts w:asciiTheme="majorBidi" w:hAnsiTheme="majorBidi"/>
          <w:b w:val="0"/>
          <w:bCs w:val="0"/>
          <w:color w:val="4F81BD" w:themeColor="accent1"/>
          <w:sz w:val="72"/>
          <w:szCs w:val="72"/>
        </w:rPr>
        <w:t>S</w:t>
      </w:r>
      <w:bookmarkEnd w:id="46"/>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31503A" w:rsidRDefault="0031503A" w:rsidP="0031503A">
      <w:pPr>
        <w:rPr>
          <w:rFonts w:eastAsiaTheme="majorEastAsia" w:cstheme="majorBidi"/>
          <w:sz w:val="28"/>
          <w:szCs w:val="28"/>
        </w:rPr>
      </w:pPr>
      <w:r>
        <w:br w:type="page"/>
      </w:r>
    </w:p>
    <w:tbl>
      <w:tblPr>
        <w:tblW w:w="5000" w:type="pct"/>
        <w:tblCellMar>
          <w:left w:w="70" w:type="dxa"/>
          <w:right w:w="70" w:type="dxa"/>
        </w:tblCellMar>
        <w:tblLook w:val="04A0"/>
      </w:tblPr>
      <w:tblGrid>
        <w:gridCol w:w="7671"/>
        <w:gridCol w:w="598"/>
        <w:gridCol w:w="598"/>
        <w:gridCol w:w="487"/>
      </w:tblGrid>
      <w:tr w:rsidR="001D5CD4" w:rsidRPr="00D66C98" w:rsidTr="001D5CD4">
        <w:trPr>
          <w:trHeight w:val="990"/>
          <w:tblHeader/>
        </w:trPr>
        <w:tc>
          <w:tcPr>
            <w:tcW w:w="5000" w:type="pct"/>
            <w:gridSpan w:val="4"/>
            <w:tcBorders>
              <w:top w:val="nil"/>
              <w:left w:val="nil"/>
              <w:bottom w:val="single" w:sz="4" w:space="0" w:color="auto"/>
              <w:right w:val="nil"/>
            </w:tcBorders>
            <w:shd w:val="clear" w:color="auto" w:fill="auto"/>
            <w:vAlign w:val="center"/>
            <w:hideMark/>
          </w:tcPr>
          <w:p w:rsidR="001D5CD4" w:rsidRPr="00D66C98" w:rsidRDefault="001D5CD4" w:rsidP="00F97AE7">
            <w:pPr>
              <w:rPr>
                <w:rFonts w:ascii="Times New Roman" w:eastAsia="Times New Roman" w:hAnsi="Times New Roman" w:cs="Times New Roman"/>
                <w:b/>
                <w:bCs/>
                <w:color w:val="4F81BD" w:themeColor="accent1"/>
                <w:lang w:eastAsia="fr-FR"/>
              </w:rPr>
            </w:pPr>
            <w:r w:rsidRPr="00D66C98">
              <w:rPr>
                <w:rFonts w:ascii="Times New Roman" w:eastAsia="Times New Roman" w:hAnsi="Times New Roman" w:cs="Times New Roman"/>
                <w:b/>
                <w:bCs/>
                <w:color w:val="4F81BD" w:themeColor="accent1"/>
                <w:lang w:eastAsia="fr-FR"/>
              </w:rPr>
              <w:lastRenderedPageBreak/>
              <w:t xml:space="preserve">Tableau </w:t>
            </w:r>
            <w:r w:rsidR="00E66090" w:rsidRPr="00D66C98">
              <w:rPr>
                <w:rFonts w:ascii="Times New Roman" w:eastAsia="Times New Roman" w:hAnsi="Times New Roman" w:cs="Times New Roman"/>
                <w:b/>
                <w:bCs/>
                <w:color w:val="4F81BD" w:themeColor="accent1"/>
                <w:lang w:eastAsia="fr-FR"/>
              </w:rPr>
              <w:t>A</w:t>
            </w:r>
            <w:r w:rsidRPr="00D66C98">
              <w:rPr>
                <w:rFonts w:ascii="Times New Roman" w:eastAsia="Times New Roman" w:hAnsi="Times New Roman" w:cs="Times New Roman"/>
                <w:b/>
                <w:bCs/>
                <w:color w:val="4F81BD" w:themeColor="accent1"/>
                <w:lang w:eastAsia="fr-FR"/>
              </w:rPr>
              <w:t>1: IPC de la ville de Kenitra (base 100:2017) par division, groupe et classes de produits - Années 2019 et 2020-</w:t>
            </w:r>
          </w:p>
        </w:tc>
      </w:tr>
      <w:tr w:rsidR="001D5CD4" w:rsidRPr="007B1645" w:rsidTr="001D5CD4">
        <w:trPr>
          <w:trHeight w:val="765"/>
          <w:tblHeader/>
        </w:trPr>
        <w:tc>
          <w:tcPr>
            <w:tcW w:w="4200" w:type="pct"/>
            <w:tcBorders>
              <w:top w:val="single" w:sz="4" w:space="0" w:color="auto"/>
              <w:left w:val="single" w:sz="4" w:space="0" w:color="auto"/>
              <w:bottom w:val="single" w:sz="4" w:space="0" w:color="auto"/>
              <w:right w:val="single" w:sz="4" w:space="0" w:color="auto"/>
            </w:tcBorders>
            <w:shd w:val="clear" w:color="000000" w:fill="7F7F7F"/>
            <w:vAlign w:val="center"/>
            <w:hideMark/>
          </w:tcPr>
          <w:p w:rsidR="001D5CD4" w:rsidRPr="007B1645" w:rsidRDefault="001D5CD4" w:rsidP="001D5CD4">
            <w:pPr>
              <w:spacing w:after="0" w:line="240" w:lineRule="auto"/>
              <w:rPr>
                <w:rFonts w:ascii="Times New Roman" w:eastAsia="Times New Roman" w:hAnsi="Times New Roman" w:cs="Times New Roman"/>
                <w:b/>
                <w:bCs/>
                <w:color w:val="000000" w:themeColor="text1"/>
                <w:sz w:val="16"/>
                <w:szCs w:val="16"/>
                <w:lang w:eastAsia="fr-FR"/>
              </w:rPr>
            </w:pPr>
            <w:r w:rsidRPr="007B1645">
              <w:rPr>
                <w:rFonts w:ascii="Times New Roman" w:eastAsia="Times New Roman" w:hAnsi="Times New Roman" w:cs="Times New Roman"/>
                <w:b/>
                <w:bCs/>
                <w:color w:val="000000" w:themeColor="text1"/>
                <w:sz w:val="16"/>
                <w:szCs w:val="16"/>
                <w:lang w:eastAsia="fr-FR"/>
              </w:rPr>
              <w:t>DIVISIONS, GROUPES &amp;CLASSES</w:t>
            </w:r>
          </w:p>
        </w:tc>
        <w:tc>
          <w:tcPr>
            <w:tcW w:w="270" w:type="pct"/>
            <w:tcBorders>
              <w:top w:val="single" w:sz="4" w:space="0" w:color="auto"/>
              <w:left w:val="nil"/>
              <w:bottom w:val="single" w:sz="4" w:space="0" w:color="auto"/>
              <w:right w:val="single" w:sz="4" w:space="0" w:color="auto"/>
            </w:tcBorders>
            <w:shd w:val="clear" w:color="000000" w:fill="7F7F7F"/>
            <w:vAlign w:val="center"/>
            <w:hideMark/>
          </w:tcPr>
          <w:p w:rsidR="001D5CD4" w:rsidRPr="007B1645" w:rsidRDefault="001D5CD4" w:rsidP="001D5CD4">
            <w:pPr>
              <w:spacing w:after="0" w:line="240" w:lineRule="auto"/>
              <w:jc w:val="center"/>
              <w:rPr>
                <w:rFonts w:ascii="Times New Roman" w:eastAsia="Times New Roman" w:hAnsi="Times New Roman" w:cs="Times New Roman"/>
                <w:b/>
                <w:bCs/>
                <w:color w:val="000000" w:themeColor="text1"/>
                <w:sz w:val="16"/>
                <w:szCs w:val="16"/>
                <w:lang w:eastAsia="fr-FR"/>
              </w:rPr>
            </w:pPr>
            <w:r w:rsidRPr="007B1645">
              <w:rPr>
                <w:rFonts w:ascii="Times New Roman" w:eastAsia="Times New Roman" w:hAnsi="Times New Roman" w:cs="Times New Roman"/>
                <w:b/>
                <w:bCs/>
                <w:color w:val="000000" w:themeColor="text1"/>
                <w:sz w:val="16"/>
                <w:szCs w:val="16"/>
                <w:lang w:eastAsia="fr-FR"/>
              </w:rPr>
              <w:t>2019</w:t>
            </w:r>
          </w:p>
        </w:tc>
        <w:tc>
          <w:tcPr>
            <w:tcW w:w="270" w:type="pct"/>
            <w:tcBorders>
              <w:top w:val="single" w:sz="4" w:space="0" w:color="auto"/>
              <w:left w:val="nil"/>
              <w:bottom w:val="single" w:sz="4" w:space="0" w:color="auto"/>
              <w:right w:val="single" w:sz="4" w:space="0" w:color="auto"/>
            </w:tcBorders>
            <w:shd w:val="clear" w:color="000000" w:fill="7F7F7F"/>
            <w:vAlign w:val="center"/>
            <w:hideMark/>
          </w:tcPr>
          <w:p w:rsidR="001D5CD4" w:rsidRPr="007B1645" w:rsidRDefault="001D5CD4" w:rsidP="001D5CD4">
            <w:pPr>
              <w:spacing w:after="0" w:line="240" w:lineRule="auto"/>
              <w:jc w:val="center"/>
              <w:rPr>
                <w:rFonts w:ascii="Times New Roman" w:eastAsia="Times New Roman" w:hAnsi="Times New Roman" w:cs="Times New Roman"/>
                <w:b/>
                <w:bCs/>
                <w:color w:val="000000" w:themeColor="text1"/>
                <w:sz w:val="16"/>
                <w:szCs w:val="16"/>
                <w:lang w:eastAsia="fr-FR"/>
              </w:rPr>
            </w:pPr>
            <w:r w:rsidRPr="007B1645">
              <w:rPr>
                <w:rFonts w:ascii="Times New Roman" w:eastAsia="Times New Roman" w:hAnsi="Times New Roman" w:cs="Times New Roman"/>
                <w:b/>
                <w:bCs/>
                <w:color w:val="000000" w:themeColor="text1"/>
                <w:sz w:val="16"/>
                <w:szCs w:val="16"/>
                <w:lang w:eastAsia="fr-FR"/>
              </w:rPr>
              <w:t>2020</w:t>
            </w:r>
          </w:p>
        </w:tc>
        <w:tc>
          <w:tcPr>
            <w:tcW w:w="260" w:type="pct"/>
            <w:tcBorders>
              <w:top w:val="single" w:sz="4" w:space="0" w:color="auto"/>
              <w:left w:val="nil"/>
              <w:bottom w:val="single" w:sz="4" w:space="0" w:color="auto"/>
              <w:right w:val="single" w:sz="4" w:space="0" w:color="auto"/>
            </w:tcBorders>
            <w:shd w:val="clear" w:color="000000" w:fill="7F7F7F"/>
            <w:vAlign w:val="center"/>
            <w:hideMark/>
          </w:tcPr>
          <w:p w:rsidR="001D5CD4" w:rsidRPr="007B1645" w:rsidRDefault="001D5CD4" w:rsidP="001D5CD4">
            <w:pPr>
              <w:spacing w:after="0" w:line="240" w:lineRule="auto"/>
              <w:jc w:val="center"/>
              <w:rPr>
                <w:rFonts w:ascii="Times New Roman" w:eastAsia="Times New Roman" w:hAnsi="Times New Roman" w:cs="Times New Roman"/>
                <w:b/>
                <w:bCs/>
                <w:color w:val="000000" w:themeColor="text1"/>
                <w:sz w:val="16"/>
                <w:szCs w:val="16"/>
                <w:lang w:eastAsia="fr-FR"/>
              </w:rPr>
            </w:pPr>
            <w:r w:rsidRPr="007B1645">
              <w:rPr>
                <w:rFonts w:ascii="Times New Roman" w:eastAsia="Times New Roman" w:hAnsi="Times New Roman" w:cs="Times New Roman"/>
                <w:b/>
                <w:bCs/>
                <w:color w:val="000000" w:themeColor="text1"/>
                <w:sz w:val="16"/>
                <w:szCs w:val="16"/>
                <w:lang w:eastAsia="fr-FR"/>
              </w:rPr>
              <w:t>VAR (%)</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8"/>
                <w:szCs w:val="18"/>
                <w:lang w:eastAsia="fr-FR"/>
              </w:rPr>
            </w:pPr>
            <w:r w:rsidRPr="007B1645">
              <w:rPr>
                <w:rFonts w:ascii="Calibri" w:eastAsia="Times New Roman" w:hAnsi="Calibri" w:cs="Calibri"/>
                <w:b/>
                <w:bCs/>
                <w:color w:val="000000" w:themeColor="text1"/>
                <w:sz w:val="18"/>
                <w:szCs w:val="18"/>
                <w:lang w:eastAsia="fr-FR"/>
              </w:rPr>
              <w:t>PRODUITS ALIMENTAIRES ET BOISSONS NON ALCOOLISEES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99,1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99,1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6"/>
                <w:szCs w:val="16"/>
                <w:lang w:eastAsia="fr-FR"/>
              </w:rPr>
            </w:pPr>
            <w:r w:rsidRPr="007B1645">
              <w:rPr>
                <w:rFonts w:ascii="Calibri" w:eastAsia="Times New Roman" w:hAnsi="Calibri" w:cs="Calibri"/>
                <w:b/>
                <w:bCs/>
                <w:color w:val="000000" w:themeColor="text1"/>
                <w:sz w:val="16"/>
                <w:szCs w:val="16"/>
                <w:lang w:eastAsia="fr-FR"/>
              </w:rPr>
              <w:t>PRODUITS ALIMENTAIRES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99</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99,1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0,1</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PAIN ET CEREALES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98,5</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99,6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1,2</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VIANDE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106,1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96,6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POISSON ET FRUITS DE MER</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97,8</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-2,2</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LAIT, FROMAGE ET OEUFS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97,6</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98,0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0,4</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HUILES ET GRAISSES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98,6</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94,1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-4,5</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FRUITS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98,1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117,8</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20,1</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LEGUMES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94,9</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98,2</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3,5</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SUCRE, CONFITURE, MIEL, CHOCOLAT ET CONFESERIE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101,3</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101,6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0,3</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PRODUITS ALIMENTAIRES N.C.A.</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86,7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85,1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-1,8</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6"/>
                <w:szCs w:val="16"/>
                <w:lang w:eastAsia="fr-FR"/>
              </w:rPr>
            </w:pPr>
            <w:r w:rsidRPr="007B1645">
              <w:rPr>
                <w:rFonts w:ascii="Calibri" w:eastAsia="Times New Roman" w:hAnsi="Calibri" w:cs="Calibri"/>
                <w:b/>
                <w:bCs/>
                <w:color w:val="000000" w:themeColor="text1"/>
                <w:sz w:val="16"/>
                <w:szCs w:val="16"/>
                <w:lang w:eastAsia="fr-FR"/>
              </w:rPr>
              <w:t>BOISSONS NON ALCOOLISEES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100,4</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99,4</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CAFE, THE ET CACAO</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102,6</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100,9</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-1,7</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EAUX MINERALES, BOISSONS RAFRAICHISSANTES, JUS DE FRUITS ET DE LEGUMES (ND)</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94,6</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95,6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1,1</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8"/>
                <w:szCs w:val="18"/>
                <w:lang w:eastAsia="fr-FR"/>
              </w:rPr>
            </w:pPr>
            <w:r w:rsidRPr="007B1645">
              <w:rPr>
                <w:rFonts w:ascii="Calibri" w:eastAsia="Times New Roman" w:hAnsi="Calibri" w:cs="Calibri"/>
                <w:b/>
                <w:bCs/>
                <w:color w:val="000000" w:themeColor="text1"/>
                <w:sz w:val="18"/>
                <w:szCs w:val="18"/>
                <w:lang w:eastAsia="fr-FR"/>
              </w:rPr>
              <w:t>BOISSONS ALCOOLISEES, TABAC ET STUPEFIANTS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119,9</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120,9</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0,8</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BOISSONS ALCOOLISEES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101,4</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101,4</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SPIRITUEUX</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VIN ET BOISSONS FERMENTEES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103,5</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103,5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BIERE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103,8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103,8</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TABAC</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121,1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122,1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0,9</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TABAC</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121,1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122,1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0,9</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8"/>
                <w:szCs w:val="18"/>
                <w:lang w:eastAsia="fr-FR"/>
              </w:rPr>
            </w:pPr>
            <w:r w:rsidRPr="007B1645">
              <w:rPr>
                <w:rFonts w:ascii="Calibri" w:eastAsia="Times New Roman" w:hAnsi="Calibri" w:cs="Calibri"/>
                <w:b/>
                <w:bCs/>
                <w:color w:val="000000" w:themeColor="text1"/>
                <w:sz w:val="18"/>
                <w:szCs w:val="18"/>
                <w:lang w:eastAsia="fr-FR"/>
              </w:rPr>
              <w:t>ARTICLES D'HABILLEMENT ET CHAUSSURES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103,6</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104,7</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1,1</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6"/>
                <w:szCs w:val="16"/>
                <w:lang w:eastAsia="fr-FR"/>
              </w:rPr>
            </w:pPr>
            <w:r w:rsidRPr="007B1645">
              <w:rPr>
                <w:rFonts w:ascii="Calibri" w:eastAsia="Times New Roman" w:hAnsi="Calibri" w:cs="Calibri"/>
                <w:b/>
                <w:bCs/>
                <w:color w:val="000000" w:themeColor="text1"/>
                <w:sz w:val="16"/>
                <w:szCs w:val="16"/>
                <w:lang w:eastAsia="fr-FR"/>
              </w:rPr>
              <w:t>ARTICLES D'HABILLEMENT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103,9</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105,2</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1,2</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TISSUS POUR HABILLEMENT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108,9</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112,5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3,3</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VETEMENTS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105,6</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107,2</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1,5</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AUTRES ARTICLES ET ACCESSOIRES D'HABILLEMENT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97,7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97,8</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0,1</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NETTOYAGE, REPARATION ET LOCATION D'ARTICLES D'HABILLEMENT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96,8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95,9</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-0,9</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6"/>
                <w:szCs w:val="16"/>
                <w:lang w:eastAsia="fr-FR"/>
              </w:rPr>
            </w:pPr>
            <w:r w:rsidRPr="007B1645">
              <w:rPr>
                <w:rFonts w:ascii="Calibri" w:eastAsia="Times New Roman" w:hAnsi="Calibri" w:cs="Calibri"/>
                <w:b/>
                <w:bCs/>
                <w:color w:val="000000" w:themeColor="text1"/>
                <w:sz w:val="16"/>
                <w:szCs w:val="16"/>
                <w:lang w:eastAsia="fr-FR"/>
              </w:rPr>
              <w:t>CHAUSSURES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102</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102,3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0,3</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CHAUSSURES DIVERSES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102</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102,3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0,3</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CORDONNERIE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8"/>
                <w:szCs w:val="18"/>
                <w:lang w:eastAsia="fr-FR"/>
              </w:rPr>
            </w:pPr>
            <w:r w:rsidRPr="007B1645">
              <w:rPr>
                <w:rFonts w:ascii="Calibri" w:eastAsia="Times New Roman" w:hAnsi="Calibri" w:cs="Calibri"/>
                <w:b/>
                <w:bCs/>
                <w:color w:val="000000" w:themeColor="text1"/>
                <w:sz w:val="18"/>
                <w:szCs w:val="18"/>
                <w:lang w:eastAsia="fr-FR"/>
              </w:rPr>
              <w:lastRenderedPageBreak/>
              <w:t>LOGEMENT, EAU, GAZ, ELECTRICITE ET AUTRES COMBUSTIBLES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101,7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102,6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0,9</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LOYERS EFFECTIFS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103</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104,1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LOYERS EFFECTIVEMENT PAYES PAR LES LOCATAIRES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103</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104,1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ENTRETIEN ET REPARATION DE LOGEMENT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106,4</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107,7</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1,2</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FOURNITURES POUR TRAVAUX D'ENTRETIEN ET DE REPARATION DES LOGEMENT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101,8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103,8</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1,9</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SERVICES CONCERNANT L'ENTRETIEN ET LES REPARATIONS DU LOGEMENT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108,2</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1,1</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6"/>
                <w:szCs w:val="16"/>
                <w:lang w:eastAsia="fr-FR"/>
              </w:rPr>
            </w:pPr>
            <w:r w:rsidRPr="007B1645">
              <w:rPr>
                <w:rFonts w:ascii="Calibri" w:eastAsia="Times New Roman" w:hAnsi="Calibri" w:cs="Calibri"/>
                <w:b/>
                <w:bCs/>
                <w:color w:val="000000" w:themeColor="text1"/>
                <w:sz w:val="16"/>
                <w:szCs w:val="16"/>
                <w:lang w:eastAsia="fr-FR"/>
              </w:rPr>
              <w:t>ALIMENTATION EN EAU ET SERVICES DIVERS LIES AU LOGEMENT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ALIMENTATION EN EAU ET ASSAINISSEMENT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 xml:space="preserve">Collecte des ordures ménagères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Services divers liés au logement n.c.a</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6"/>
                <w:szCs w:val="16"/>
                <w:lang w:eastAsia="fr-FR"/>
              </w:rPr>
            </w:pPr>
            <w:r w:rsidRPr="007B1645">
              <w:rPr>
                <w:rFonts w:ascii="Calibri" w:eastAsia="Times New Roman" w:hAnsi="Calibri" w:cs="Calibri"/>
                <w:b/>
                <w:bCs/>
                <w:color w:val="000000" w:themeColor="text1"/>
                <w:sz w:val="16"/>
                <w:szCs w:val="16"/>
                <w:lang w:eastAsia="fr-FR"/>
              </w:rPr>
              <w:t>ELECTRICITE, GAZ ET AUTRES COMBUSTIBLES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100,2</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101,1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0,9</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ELECTRICITE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GAZ</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100,4</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0,3</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COMBUSTIBLES SOLIDES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106,5</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140,6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32,1</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8"/>
                <w:szCs w:val="18"/>
                <w:lang w:eastAsia="fr-FR"/>
              </w:rPr>
            </w:pPr>
            <w:r w:rsidRPr="007B1645">
              <w:rPr>
                <w:rFonts w:ascii="Calibri" w:eastAsia="Times New Roman" w:hAnsi="Calibri" w:cs="Calibri"/>
                <w:b/>
                <w:bCs/>
                <w:color w:val="000000" w:themeColor="text1"/>
                <w:sz w:val="18"/>
                <w:szCs w:val="18"/>
                <w:lang w:eastAsia="fr-FR"/>
              </w:rPr>
              <w:t>MEUBLES, ARTICLES DE MENAGE ET ENTRETIEN COURANT DU FOYER</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100,8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101,7</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0,9</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6"/>
                <w:szCs w:val="16"/>
                <w:lang w:eastAsia="fr-FR"/>
              </w:rPr>
            </w:pPr>
            <w:r w:rsidRPr="007B1645">
              <w:rPr>
                <w:rFonts w:ascii="Calibri" w:eastAsia="Times New Roman" w:hAnsi="Calibri" w:cs="Calibri"/>
                <w:b/>
                <w:bCs/>
                <w:color w:val="000000" w:themeColor="text1"/>
                <w:sz w:val="16"/>
                <w:szCs w:val="16"/>
                <w:lang w:eastAsia="fr-FR"/>
              </w:rPr>
              <w:t>MEUBLES, ARTICLES D'AMEUBLEMENT, TAPIS ET AUTRES REVETEMENTS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7B1645">
              <w:rPr>
                <w:rFonts w:ascii="Times New Roman" w:eastAsia="Times New Roman" w:hAnsi="Times New Roman" w:cs="Times New Roman"/>
                <w:b/>
                <w:color w:val="000000" w:themeColor="text1"/>
                <w:sz w:val="16"/>
                <w:szCs w:val="16"/>
                <w:lang w:eastAsia="fr-FR"/>
              </w:rPr>
              <w:t>100,7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7B1645">
              <w:rPr>
                <w:rFonts w:ascii="Times New Roman" w:eastAsia="Times New Roman" w:hAnsi="Times New Roman" w:cs="Times New Roman"/>
                <w:b/>
                <w:color w:val="000000" w:themeColor="text1"/>
                <w:sz w:val="16"/>
                <w:szCs w:val="16"/>
                <w:lang w:eastAsia="fr-FR"/>
              </w:rPr>
              <w:t>102,1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7B1645">
              <w:rPr>
                <w:rFonts w:ascii="Times New Roman" w:eastAsia="Times New Roman" w:hAnsi="Times New Roman" w:cs="Times New Roman"/>
                <w:b/>
                <w:color w:val="000000" w:themeColor="text1"/>
                <w:sz w:val="16"/>
                <w:szCs w:val="16"/>
                <w:lang w:eastAsia="fr-FR"/>
              </w:rPr>
              <w:t>1,4</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MEUBLES ET ARTICLES D'AMEUBLEMENT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101,5</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102,8</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1,3</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TAPIS ET REVETEMENTS DE SOL DIVERS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97,2</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99,3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2,2</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
                <w:bCs/>
                <w:color w:val="000000" w:themeColor="text1"/>
                <w:sz w:val="16"/>
                <w:szCs w:val="16"/>
                <w:lang w:eastAsia="fr-FR"/>
              </w:rPr>
            </w:pPr>
            <w:r w:rsidRPr="00BD73FD">
              <w:rPr>
                <w:rFonts w:ascii="Calibri" w:eastAsia="Times New Roman" w:hAnsi="Calibri" w:cs="Calibri"/>
                <w:b/>
                <w:bCs/>
                <w:color w:val="000000" w:themeColor="text1"/>
                <w:sz w:val="16"/>
                <w:szCs w:val="16"/>
                <w:lang w:eastAsia="fr-FR"/>
              </w:rPr>
              <w:t>ARTICLES DE MENAGE EN TEXTILES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98,8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100,6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1,8</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ARTICLES DE MENAGE EN TEXTILES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98,8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100,6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1,8</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
                <w:bCs/>
                <w:color w:val="000000" w:themeColor="text1"/>
                <w:sz w:val="16"/>
                <w:szCs w:val="16"/>
                <w:lang w:eastAsia="fr-FR"/>
              </w:rPr>
            </w:pPr>
            <w:r w:rsidRPr="00BD73FD">
              <w:rPr>
                <w:rFonts w:ascii="Calibri" w:eastAsia="Times New Roman" w:hAnsi="Calibri" w:cs="Calibri"/>
                <w:b/>
                <w:bCs/>
                <w:color w:val="000000" w:themeColor="text1"/>
                <w:sz w:val="16"/>
                <w:szCs w:val="16"/>
                <w:lang w:eastAsia="fr-FR"/>
              </w:rPr>
              <w:t>APPAREILS MENAGERS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96,9</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96,5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-0,4</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GROS APPAREILS MENAGERS,ELECTRIQUES OU NON</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96,7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96,4</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-0,3</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PETITS APPAREILS ELECTROMENAGERS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102</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101,3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-0,7</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REPARATION D'APPAREILS MENAGERS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99,8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101,0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1,2</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
                <w:bCs/>
                <w:color w:val="000000" w:themeColor="text1"/>
                <w:sz w:val="16"/>
                <w:szCs w:val="16"/>
                <w:lang w:eastAsia="fr-FR"/>
              </w:rPr>
            </w:pPr>
            <w:r w:rsidRPr="00BD73FD">
              <w:rPr>
                <w:rFonts w:ascii="Calibri" w:eastAsia="Times New Roman" w:hAnsi="Calibri" w:cs="Calibri"/>
                <w:b/>
                <w:bCs/>
                <w:color w:val="000000" w:themeColor="text1"/>
                <w:sz w:val="16"/>
                <w:szCs w:val="16"/>
                <w:lang w:eastAsia="fr-FR"/>
              </w:rPr>
              <w:t>VERRERIE, VAISSELLE ET USTENSILES DE MENAGE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99,5</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98,1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-1,4</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VERRERIE, VAISSELLE ET USTENSILES DE MENAGE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99,5</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98,1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-1,4</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
                <w:bCs/>
                <w:color w:val="000000" w:themeColor="text1"/>
                <w:sz w:val="16"/>
                <w:szCs w:val="16"/>
                <w:lang w:eastAsia="fr-FR"/>
              </w:rPr>
            </w:pPr>
            <w:r w:rsidRPr="00BD73FD">
              <w:rPr>
                <w:rFonts w:ascii="Calibri" w:eastAsia="Times New Roman" w:hAnsi="Calibri" w:cs="Calibri"/>
                <w:b/>
                <w:bCs/>
                <w:color w:val="000000" w:themeColor="text1"/>
                <w:sz w:val="16"/>
                <w:szCs w:val="16"/>
                <w:lang w:eastAsia="fr-FR"/>
              </w:rPr>
              <w:t>OUTILLAGE ET AUTRE MATERIEL POUR LA MAISON ET LE JARDIN</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102,7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102,7</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PETIT OUTILLAGE ET ACCESSOIRES DIVERS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102,7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102,7</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
                <w:bCs/>
                <w:color w:val="000000" w:themeColor="text1"/>
                <w:sz w:val="16"/>
                <w:szCs w:val="16"/>
                <w:lang w:eastAsia="fr-FR"/>
              </w:rPr>
            </w:pPr>
            <w:r w:rsidRPr="00BD73FD">
              <w:rPr>
                <w:rFonts w:ascii="Calibri" w:eastAsia="Times New Roman" w:hAnsi="Calibri" w:cs="Calibri"/>
                <w:b/>
                <w:bCs/>
                <w:color w:val="000000" w:themeColor="text1"/>
                <w:sz w:val="16"/>
                <w:szCs w:val="16"/>
                <w:lang w:eastAsia="fr-FR"/>
              </w:rPr>
              <w:t>BIENS ET SERVICES LIES A L'ENTRETIEN COURANT DU FOYER</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102,9</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104,5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1,5</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Cs/>
                <w:color w:val="000000" w:themeColor="text1"/>
                <w:sz w:val="16"/>
                <w:szCs w:val="16"/>
                <w:lang w:eastAsia="fr-FR"/>
              </w:rPr>
            </w:pPr>
            <w:r w:rsidRPr="007B1645">
              <w:rPr>
                <w:rFonts w:ascii="Calibri" w:eastAsia="Times New Roman" w:hAnsi="Calibri" w:cs="Calibri"/>
                <w:bCs/>
                <w:color w:val="000000" w:themeColor="text1"/>
                <w:sz w:val="16"/>
                <w:szCs w:val="16"/>
                <w:lang w:eastAsia="fr-FR"/>
              </w:rPr>
              <w:t>BIENS D'EQUIPEMENT MENAGER NON DURABLES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99,2</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99,2</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6"/>
                <w:szCs w:val="16"/>
                <w:lang w:eastAsia="fr-FR"/>
              </w:rPr>
            </w:pPr>
            <w:r w:rsidRPr="007B1645">
              <w:rPr>
                <w:rFonts w:ascii="Calibri" w:eastAsia="Times New Roman" w:hAnsi="Calibri" w:cs="Calibri"/>
                <w:b/>
                <w:bCs/>
                <w:color w:val="000000" w:themeColor="text1"/>
                <w:sz w:val="16"/>
                <w:szCs w:val="16"/>
                <w:lang w:eastAsia="fr-FR"/>
              </w:rPr>
              <w:lastRenderedPageBreak/>
              <w:t>SERVICES DOMESTIQUES ET SERVICES MENAGERS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115,5</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122,3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5,9</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8"/>
                <w:szCs w:val="18"/>
                <w:lang w:eastAsia="fr-FR"/>
              </w:rPr>
            </w:pPr>
            <w:r w:rsidRPr="007B1645">
              <w:rPr>
                <w:rFonts w:ascii="Calibri" w:eastAsia="Times New Roman" w:hAnsi="Calibri" w:cs="Calibri"/>
                <w:b/>
                <w:bCs/>
                <w:color w:val="000000" w:themeColor="text1"/>
                <w:sz w:val="18"/>
                <w:szCs w:val="18"/>
                <w:lang w:eastAsia="fr-FR"/>
              </w:rPr>
              <w:t>SANTE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99,9</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99,6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-0,3</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
                <w:bCs/>
                <w:color w:val="000000" w:themeColor="text1"/>
                <w:sz w:val="16"/>
                <w:szCs w:val="16"/>
                <w:lang w:eastAsia="fr-FR"/>
              </w:rPr>
            </w:pPr>
            <w:r w:rsidRPr="00BD73FD">
              <w:rPr>
                <w:rFonts w:ascii="Calibri" w:eastAsia="Times New Roman" w:hAnsi="Calibri" w:cs="Calibri"/>
                <w:b/>
                <w:bCs/>
                <w:color w:val="000000" w:themeColor="text1"/>
                <w:sz w:val="16"/>
                <w:szCs w:val="16"/>
                <w:lang w:eastAsia="fr-FR"/>
              </w:rPr>
              <w:t>- Produits, appareils et matériels médicaux</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98,6</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97,9</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-0,8</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PRODUITS PHARMACEUTIQUES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98,8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98,1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-0,8</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PRODUITS MEDICAUX DIVERS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101,0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APPAREILS ET MATERIEL THERAPEUTIQUES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93,6</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93,2</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-0,4</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
                <w:bCs/>
                <w:color w:val="000000" w:themeColor="text1"/>
                <w:sz w:val="16"/>
                <w:szCs w:val="16"/>
                <w:lang w:eastAsia="fr-FR"/>
              </w:rPr>
            </w:pPr>
            <w:r w:rsidRPr="00BD73FD">
              <w:rPr>
                <w:rFonts w:ascii="Calibri" w:eastAsia="Times New Roman" w:hAnsi="Calibri" w:cs="Calibri"/>
                <w:b/>
                <w:bCs/>
                <w:color w:val="000000" w:themeColor="text1"/>
                <w:sz w:val="16"/>
                <w:szCs w:val="16"/>
                <w:lang w:eastAsia="fr-FR"/>
              </w:rPr>
              <w:t>SERVICES AMBULATOIRES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101,2</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101,3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SERVICES MEDICAUX</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102,7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102,7</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SERVICES DENTAIRES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100,2</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0,2</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SERVICES PARAMEDICAUX</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0,1</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
                <w:bCs/>
                <w:color w:val="000000" w:themeColor="text1"/>
                <w:sz w:val="16"/>
                <w:szCs w:val="16"/>
                <w:lang w:eastAsia="fr-FR"/>
              </w:rPr>
            </w:pPr>
            <w:r w:rsidRPr="00BD73FD">
              <w:rPr>
                <w:rFonts w:ascii="Calibri" w:eastAsia="Times New Roman" w:hAnsi="Calibri" w:cs="Calibri"/>
                <w:b/>
                <w:bCs/>
                <w:color w:val="000000" w:themeColor="text1"/>
                <w:sz w:val="16"/>
                <w:szCs w:val="16"/>
                <w:lang w:eastAsia="fr-FR"/>
              </w:rPr>
              <w:t>SERVICES HOSPITALIERS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BD73FD">
              <w:rPr>
                <w:rFonts w:ascii="Times New Roman" w:eastAsia="Times New Roman" w:hAnsi="Times New Roman" w:cs="Times New Roman"/>
                <w:b/>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SERVICES HOSPITALIERS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8"/>
                <w:szCs w:val="18"/>
                <w:lang w:eastAsia="fr-FR"/>
              </w:rPr>
            </w:pPr>
            <w:r w:rsidRPr="007B1645">
              <w:rPr>
                <w:rFonts w:ascii="Calibri" w:eastAsia="Times New Roman" w:hAnsi="Calibri" w:cs="Calibri"/>
                <w:b/>
                <w:bCs/>
                <w:color w:val="000000" w:themeColor="text1"/>
                <w:sz w:val="18"/>
                <w:szCs w:val="18"/>
                <w:lang w:eastAsia="fr-FR"/>
              </w:rPr>
              <w:t>TRANSPORTS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103</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101,1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-1,8</w:t>
            </w:r>
          </w:p>
        </w:tc>
      </w:tr>
      <w:tr w:rsidR="001D5CD4" w:rsidRPr="008D25B9"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rPr>
                <w:rFonts w:ascii="Calibri" w:eastAsia="Times New Roman" w:hAnsi="Calibri" w:cs="Calibri"/>
                <w:b/>
                <w:bCs/>
                <w:color w:val="000000" w:themeColor="text1"/>
                <w:sz w:val="16"/>
                <w:szCs w:val="16"/>
                <w:lang w:eastAsia="fr-FR"/>
              </w:rPr>
            </w:pPr>
            <w:r w:rsidRPr="008D25B9">
              <w:rPr>
                <w:rFonts w:ascii="Calibri" w:eastAsia="Times New Roman" w:hAnsi="Calibri" w:cs="Calibri"/>
                <w:b/>
                <w:bCs/>
                <w:color w:val="000000" w:themeColor="text1"/>
                <w:sz w:val="16"/>
                <w:szCs w:val="16"/>
                <w:lang w:eastAsia="fr-FR"/>
              </w:rPr>
              <w:t>ACHAT DE VEHICULES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8D25B9">
              <w:rPr>
                <w:rFonts w:ascii="Times New Roman" w:eastAsia="Times New Roman" w:hAnsi="Times New Roman" w:cs="Times New Roman"/>
                <w:b/>
                <w:color w:val="000000" w:themeColor="text1"/>
                <w:sz w:val="16"/>
                <w:szCs w:val="16"/>
                <w:lang w:eastAsia="fr-FR"/>
              </w:rPr>
              <w:t>105,1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8D25B9">
              <w:rPr>
                <w:rFonts w:ascii="Times New Roman" w:eastAsia="Times New Roman" w:hAnsi="Times New Roman" w:cs="Times New Roman"/>
                <w:b/>
                <w:color w:val="000000" w:themeColor="text1"/>
                <w:sz w:val="16"/>
                <w:szCs w:val="16"/>
                <w:lang w:eastAsia="fr-FR"/>
              </w:rPr>
              <w:t>105,4</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8D25B9">
              <w:rPr>
                <w:rFonts w:ascii="Times New Roman" w:eastAsia="Times New Roman" w:hAnsi="Times New Roman" w:cs="Times New Roman"/>
                <w:b/>
                <w:color w:val="000000" w:themeColor="text1"/>
                <w:sz w:val="16"/>
                <w:szCs w:val="16"/>
                <w:lang w:eastAsia="fr-FR"/>
              </w:rPr>
              <w:t>0,3</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VOITURES AUTOMOBILES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105,3</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105,6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0,3</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MOTOCYCLES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100,5</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BICYCLETTES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105,2</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105,2</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8D25B9"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rPr>
                <w:rFonts w:ascii="Calibri" w:eastAsia="Times New Roman" w:hAnsi="Calibri" w:cs="Calibri"/>
                <w:b/>
                <w:bCs/>
                <w:color w:val="000000" w:themeColor="text1"/>
                <w:sz w:val="16"/>
                <w:szCs w:val="16"/>
                <w:lang w:eastAsia="fr-FR"/>
              </w:rPr>
            </w:pPr>
            <w:r w:rsidRPr="008D25B9">
              <w:rPr>
                <w:rFonts w:ascii="Calibri" w:eastAsia="Times New Roman" w:hAnsi="Calibri" w:cs="Calibri"/>
                <w:b/>
                <w:bCs/>
                <w:color w:val="000000" w:themeColor="text1"/>
                <w:sz w:val="16"/>
                <w:szCs w:val="16"/>
                <w:lang w:eastAsia="fr-FR"/>
              </w:rPr>
              <w:t>DEPENSES D'UTILISATION DES VEHICULES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Calibri" w:eastAsia="Times New Roman" w:hAnsi="Calibri" w:cs="Calibri"/>
                <w:b/>
                <w:color w:val="000000" w:themeColor="text1"/>
                <w:sz w:val="16"/>
                <w:szCs w:val="16"/>
                <w:lang w:eastAsia="fr-FR"/>
              </w:rPr>
            </w:pPr>
            <w:r w:rsidRPr="008D25B9">
              <w:rPr>
                <w:rFonts w:ascii="Calibri" w:eastAsia="Times New Roman" w:hAnsi="Calibri" w:cs="Calibri"/>
                <w:b/>
                <w:color w:val="000000" w:themeColor="text1"/>
                <w:sz w:val="16"/>
                <w:szCs w:val="16"/>
                <w:lang w:eastAsia="fr-FR"/>
              </w:rPr>
              <w:t>102,6</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Calibri" w:eastAsia="Times New Roman" w:hAnsi="Calibri" w:cs="Calibri"/>
                <w:b/>
                <w:color w:val="000000" w:themeColor="text1"/>
                <w:sz w:val="16"/>
                <w:szCs w:val="16"/>
                <w:lang w:eastAsia="fr-FR"/>
              </w:rPr>
            </w:pPr>
            <w:r w:rsidRPr="008D25B9">
              <w:rPr>
                <w:rFonts w:ascii="Calibri" w:eastAsia="Times New Roman" w:hAnsi="Calibri" w:cs="Calibri"/>
                <w:b/>
                <w:color w:val="000000" w:themeColor="text1"/>
                <w:sz w:val="16"/>
                <w:szCs w:val="16"/>
                <w:lang w:eastAsia="fr-FR"/>
              </w:rPr>
              <w:t>95,4</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8D25B9">
              <w:rPr>
                <w:rFonts w:ascii="Times New Roman" w:eastAsia="Times New Roman" w:hAnsi="Times New Roman" w:cs="Times New Roman"/>
                <w:b/>
                <w:color w:val="000000" w:themeColor="text1"/>
                <w:sz w:val="16"/>
                <w:szCs w:val="16"/>
                <w:lang w:eastAsia="fr-FR"/>
              </w:rPr>
              <w:t>-7,0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PIECES DE RECHANGE ET ACCESSOIRES POUR VEHICULES DE TOURISME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88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90,2</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2,5</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CARBURANTS ET LUBRIFIANTS POUR VEHICULES DE TOURISME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103,4</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90,5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-12,5</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ENTRETIEN ET REPARATION DE VEHICULES PARTICULIERS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106,4</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107,6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1,1</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SERVICES DIVERS LIES AUX VEHICULES PARTICULIERS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8D25B9"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rPr>
                <w:rFonts w:ascii="Calibri" w:eastAsia="Times New Roman" w:hAnsi="Calibri" w:cs="Calibri"/>
                <w:b/>
                <w:bCs/>
                <w:color w:val="000000" w:themeColor="text1"/>
                <w:sz w:val="16"/>
                <w:szCs w:val="16"/>
                <w:lang w:eastAsia="fr-FR"/>
              </w:rPr>
            </w:pPr>
            <w:r w:rsidRPr="008D25B9">
              <w:rPr>
                <w:rFonts w:ascii="Calibri" w:eastAsia="Times New Roman" w:hAnsi="Calibri" w:cs="Calibri"/>
                <w:b/>
                <w:bCs/>
                <w:color w:val="000000" w:themeColor="text1"/>
                <w:sz w:val="16"/>
                <w:szCs w:val="16"/>
                <w:lang w:eastAsia="fr-FR"/>
              </w:rPr>
              <w:t>SERVICES DE TRANSPORT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Calibri" w:eastAsia="Times New Roman" w:hAnsi="Calibri" w:cs="Calibri"/>
                <w:b/>
                <w:color w:val="000000" w:themeColor="text1"/>
                <w:sz w:val="16"/>
                <w:szCs w:val="16"/>
                <w:lang w:eastAsia="fr-FR"/>
              </w:rPr>
            </w:pPr>
            <w:r w:rsidRPr="008D25B9">
              <w:rPr>
                <w:rFonts w:ascii="Calibri" w:eastAsia="Times New Roman" w:hAnsi="Calibri" w:cs="Calibri"/>
                <w:b/>
                <w:color w:val="000000" w:themeColor="text1"/>
                <w:sz w:val="16"/>
                <w:szCs w:val="16"/>
                <w:lang w:eastAsia="fr-FR"/>
              </w:rPr>
              <w:t>102,1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Calibri" w:eastAsia="Times New Roman" w:hAnsi="Calibri" w:cs="Calibri"/>
                <w:b/>
                <w:color w:val="000000" w:themeColor="text1"/>
                <w:sz w:val="16"/>
                <w:szCs w:val="16"/>
                <w:lang w:eastAsia="fr-FR"/>
              </w:rPr>
            </w:pPr>
            <w:r w:rsidRPr="008D25B9">
              <w:rPr>
                <w:rFonts w:ascii="Calibri" w:eastAsia="Times New Roman" w:hAnsi="Calibri" w:cs="Calibri"/>
                <w:b/>
                <w:color w:val="000000" w:themeColor="text1"/>
                <w:sz w:val="16"/>
                <w:szCs w:val="16"/>
                <w:lang w:eastAsia="fr-FR"/>
              </w:rPr>
              <w:t>106,6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8D25B9">
              <w:rPr>
                <w:rFonts w:ascii="Times New Roman" w:eastAsia="Times New Roman" w:hAnsi="Times New Roman" w:cs="Times New Roman"/>
                <w:b/>
                <w:color w:val="000000" w:themeColor="text1"/>
                <w:sz w:val="16"/>
                <w:szCs w:val="16"/>
                <w:lang w:eastAsia="fr-FR"/>
              </w:rPr>
              <w:t>4,4</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TRANSPORT FERROVIAIRE DE PASSAGERS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105,3</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108,0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2,6</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TRANSPORT ROUTIER DE PASSAGERS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100,3</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105,7</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5,4</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TRANSPORT AERIEN DE PASSAGERS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130,8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123,3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-5,7</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
                <w:bCs/>
                <w:color w:val="000000" w:themeColor="text1"/>
                <w:sz w:val="18"/>
                <w:szCs w:val="18"/>
                <w:lang w:eastAsia="fr-FR"/>
              </w:rPr>
            </w:pPr>
            <w:r w:rsidRPr="00BD73FD">
              <w:rPr>
                <w:rFonts w:ascii="Calibri" w:eastAsia="Times New Roman" w:hAnsi="Calibri" w:cs="Calibri"/>
                <w:b/>
                <w:bCs/>
                <w:color w:val="000000" w:themeColor="text1"/>
                <w:sz w:val="18"/>
                <w:szCs w:val="18"/>
                <w:lang w:eastAsia="fr-FR"/>
              </w:rPr>
              <w:t>COMMUNICATIONS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b/>
                <w:color w:val="000000" w:themeColor="text1"/>
                <w:sz w:val="18"/>
                <w:szCs w:val="18"/>
                <w:lang w:eastAsia="fr-FR"/>
              </w:rPr>
            </w:pPr>
            <w:r w:rsidRPr="00BD73FD">
              <w:rPr>
                <w:rFonts w:ascii="Calibri" w:eastAsia="Times New Roman" w:hAnsi="Calibri" w:cs="Calibri"/>
                <w:b/>
                <w:color w:val="000000" w:themeColor="text1"/>
                <w:sz w:val="18"/>
                <w:szCs w:val="18"/>
                <w:lang w:eastAsia="fr-FR"/>
              </w:rPr>
              <w:t>106,8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b/>
                <w:color w:val="000000" w:themeColor="text1"/>
                <w:sz w:val="18"/>
                <w:szCs w:val="18"/>
                <w:lang w:eastAsia="fr-FR"/>
              </w:rPr>
            </w:pPr>
            <w:r w:rsidRPr="00BD73FD">
              <w:rPr>
                <w:rFonts w:ascii="Calibri" w:eastAsia="Times New Roman" w:hAnsi="Calibri" w:cs="Calibri"/>
                <w:b/>
                <w:color w:val="000000" w:themeColor="text1"/>
                <w:sz w:val="18"/>
                <w:szCs w:val="18"/>
                <w:lang w:eastAsia="fr-FR"/>
              </w:rPr>
              <w:t>106,5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BD73FD">
              <w:rPr>
                <w:rFonts w:ascii="Times New Roman" w:eastAsia="Times New Roman" w:hAnsi="Times New Roman" w:cs="Times New Roman"/>
                <w:b/>
                <w:color w:val="000000" w:themeColor="text1"/>
                <w:sz w:val="18"/>
                <w:szCs w:val="18"/>
                <w:lang w:eastAsia="fr-FR"/>
              </w:rPr>
              <w:t>-0,3</w:t>
            </w:r>
          </w:p>
        </w:tc>
      </w:tr>
      <w:tr w:rsidR="001D5CD4" w:rsidRPr="008D25B9"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rPr>
                <w:rFonts w:ascii="Calibri" w:eastAsia="Times New Roman" w:hAnsi="Calibri" w:cs="Calibri"/>
                <w:b/>
                <w:bCs/>
                <w:color w:val="000000" w:themeColor="text1"/>
                <w:sz w:val="16"/>
                <w:szCs w:val="16"/>
                <w:lang w:eastAsia="fr-FR"/>
              </w:rPr>
            </w:pPr>
            <w:r w:rsidRPr="008D25B9">
              <w:rPr>
                <w:rFonts w:ascii="Calibri" w:eastAsia="Times New Roman" w:hAnsi="Calibri" w:cs="Calibri"/>
                <w:b/>
                <w:bCs/>
                <w:color w:val="000000" w:themeColor="text1"/>
                <w:sz w:val="16"/>
                <w:szCs w:val="16"/>
                <w:lang w:eastAsia="fr-FR"/>
              </w:rPr>
              <w:t>SERVICES POSTAUX</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Calibri" w:eastAsia="Times New Roman" w:hAnsi="Calibri" w:cs="Calibri"/>
                <w:b/>
                <w:color w:val="000000" w:themeColor="text1"/>
                <w:sz w:val="16"/>
                <w:szCs w:val="16"/>
                <w:lang w:eastAsia="fr-FR"/>
              </w:rPr>
            </w:pPr>
            <w:r w:rsidRPr="008D25B9">
              <w:rPr>
                <w:rFonts w:ascii="Calibri" w:eastAsia="Times New Roman" w:hAnsi="Calibri" w:cs="Calibri"/>
                <w:b/>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Calibri" w:eastAsia="Times New Roman" w:hAnsi="Calibri" w:cs="Calibri"/>
                <w:b/>
                <w:color w:val="000000" w:themeColor="text1"/>
                <w:sz w:val="16"/>
                <w:szCs w:val="16"/>
                <w:lang w:eastAsia="fr-FR"/>
              </w:rPr>
            </w:pPr>
            <w:r w:rsidRPr="008D25B9">
              <w:rPr>
                <w:rFonts w:ascii="Calibri" w:eastAsia="Times New Roman" w:hAnsi="Calibri" w:cs="Calibri"/>
                <w:b/>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8D25B9">
              <w:rPr>
                <w:rFonts w:ascii="Times New Roman" w:eastAsia="Times New Roman" w:hAnsi="Times New Roman" w:cs="Times New Roman"/>
                <w:b/>
                <w:color w:val="000000" w:themeColor="text1"/>
                <w:sz w:val="16"/>
                <w:szCs w:val="16"/>
                <w:lang w:eastAsia="fr-FR"/>
              </w:rPr>
              <w:t>0,0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SERVICES POSTAUX</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8D25B9"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rPr>
                <w:rFonts w:ascii="Calibri" w:eastAsia="Times New Roman" w:hAnsi="Calibri" w:cs="Calibri"/>
                <w:b/>
                <w:bCs/>
                <w:color w:val="000000" w:themeColor="text1"/>
                <w:sz w:val="16"/>
                <w:szCs w:val="16"/>
                <w:lang w:eastAsia="fr-FR"/>
              </w:rPr>
            </w:pPr>
            <w:r w:rsidRPr="008D25B9">
              <w:rPr>
                <w:rFonts w:ascii="Calibri" w:eastAsia="Times New Roman" w:hAnsi="Calibri" w:cs="Calibri"/>
                <w:b/>
                <w:bCs/>
                <w:color w:val="000000" w:themeColor="text1"/>
                <w:sz w:val="16"/>
                <w:szCs w:val="16"/>
                <w:lang w:eastAsia="fr-FR"/>
              </w:rPr>
              <w:t>MATERIEL DE TELEPHONIE ET DE TELECOPIE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Calibri" w:eastAsia="Times New Roman" w:hAnsi="Calibri" w:cs="Calibri"/>
                <w:b/>
                <w:color w:val="000000" w:themeColor="text1"/>
                <w:sz w:val="16"/>
                <w:szCs w:val="16"/>
                <w:lang w:eastAsia="fr-FR"/>
              </w:rPr>
            </w:pPr>
            <w:r w:rsidRPr="008D25B9">
              <w:rPr>
                <w:rFonts w:ascii="Calibri" w:eastAsia="Times New Roman" w:hAnsi="Calibri" w:cs="Calibri"/>
                <w:b/>
                <w:color w:val="000000" w:themeColor="text1"/>
                <w:sz w:val="16"/>
                <w:szCs w:val="16"/>
                <w:lang w:eastAsia="fr-FR"/>
              </w:rPr>
              <w:t>115,2</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Calibri" w:eastAsia="Times New Roman" w:hAnsi="Calibri" w:cs="Calibri"/>
                <w:b/>
                <w:color w:val="000000" w:themeColor="text1"/>
                <w:sz w:val="16"/>
                <w:szCs w:val="16"/>
                <w:lang w:eastAsia="fr-FR"/>
              </w:rPr>
            </w:pPr>
            <w:r w:rsidRPr="008D25B9">
              <w:rPr>
                <w:rFonts w:ascii="Calibri" w:eastAsia="Times New Roman" w:hAnsi="Calibri" w:cs="Calibri"/>
                <w:b/>
                <w:color w:val="000000" w:themeColor="text1"/>
                <w:sz w:val="16"/>
                <w:szCs w:val="16"/>
                <w:lang w:eastAsia="fr-FR"/>
              </w:rPr>
              <w:t>112,3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8D25B9">
              <w:rPr>
                <w:rFonts w:ascii="Times New Roman" w:eastAsia="Times New Roman" w:hAnsi="Times New Roman" w:cs="Times New Roman"/>
                <w:b/>
                <w:color w:val="000000" w:themeColor="text1"/>
                <w:sz w:val="16"/>
                <w:szCs w:val="16"/>
                <w:lang w:eastAsia="fr-FR"/>
              </w:rPr>
              <w:t>-2,5</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lastRenderedPageBreak/>
              <w:t>MATERIEL DE TELEPHONIE ET DE TELECOPIE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115,2</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112,3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-2,5</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6"/>
                <w:szCs w:val="16"/>
                <w:lang w:eastAsia="fr-FR"/>
              </w:rPr>
            </w:pPr>
            <w:r w:rsidRPr="009D6838">
              <w:rPr>
                <w:rFonts w:ascii="Calibri" w:eastAsia="Times New Roman" w:hAnsi="Calibri" w:cs="Calibri"/>
                <w:b/>
                <w:bCs/>
                <w:color w:val="000000" w:themeColor="text1"/>
                <w:sz w:val="16"/>
                <w:szCs w:val="16"/>
                <w:lang w:eastAsia="fr-FR"/>
              </w:rPr>
              <w:t>SERVICES DE TELEPHONIE ET DE TELECOPIE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105,6</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105,6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9D6838">
              <w:rPr>
                <w:rFonts w:ascii="Times New Roman" w:eastAsia="Times New Roman" w:hAnsi="Times New Roman" w:cs="Times New Roman"/>
                <w:b/>
                <w:color w:val="000000" w:themeColor="text1"/>
                <w:sz w:val="16"/>
                <w:szCs w:val="16"/>
                <w:lang w:eastAsia="fr-FR"/>
              </w:rPr>
              <w:t>0,0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SERVICES DE TELEPHONIE ET DE TELECOPIE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105,6</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105,6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8"/>
                <w:szCs w:val="18"/>
                <w:lang w:eastAsia="fr-FR"/>
              </w:rPr>
            </w:pPr>
            <w:r w:rsidRPr="007B1645">
              <w:rPr>
                <w:rFonts w:ascii="Calibri" w:eastAsia="Times New Roman" w:hAnsi="Calibri" w:cs="Calibri"/>
                <w:b/>
                <w:bCs/>
                <w:color w:val="000000" w:themeColor="text1"/>
                <w:sz w:val="18"/>
                <w:szCs w:val="18"/>
                <w:lang w:eastAsia="fr-FR"/>
              </w:rPr>
              <w:t>LOISIRS ET CULTURE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b/>
                <w:color w:val="000000" w:themeColor="text1"/>
                <w:sz w:val="18"/>
                <w:szCs w:val="18"/>
                <w:lang w:eastAsia="fr-FR"/>
              </w:rPr>
            </w:pPr>
            <w:r w:rsidRPr="007B1645">
              <w:rPr>
                <w:rFonts w:ascii="Calibri" w:eastAsia="Times New Roman" w:hAnsi="Calibri" w:cs="Calibri"/>
                <w:b/>
                <w:color w:val="000000" w:themeColor="text1"/>
                <w:sz w:val="18"/>
                <w:szCs w:val="18"/>
                <w:lang w:eastAsia="fr-FR"/>
              </w:rPr>
              <w:t>103,3</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b/>
                <w:color w:val="000000" w:themeColor="text1"/>
                <w:sz w:val="18"/>
                <w:szCs w:val="18"/>
                <w:lang w:eastAsia="fr-FR"/>
              </w:rPr>
            </w:pPr>
            <w:r w:rsidRPr="007B1645">
              <w:rPr>
                <w:rFonts w:ascii="Calibri" w:eastAsia="Times New Roman" w:hAnsi="Calibri" w:cs="Calibri"/>
                <w:b/>
                <w:color w:val="000000" w:themeColor="text1"/>
                <w:sz w:val="18"/>
                <w:szCs w:val="18"/>
                <w:lang w:eastAsia="fr-FR"/>
              </w:rPr>
              <w:t>99,4</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-3,8</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6"/>
                <w:szCs w:val="16"/>
                <w:lang w:eastAsia="fr-FR"/>
              </w:rPr>
            </w:pPr>
            <w:r w:rsidRPr="009D6838">
              <w:rPr>
                <w:rFonts w:ascii="Calibri" w:eastAsia="Times New Roman" w:hAnsi="Calibri" w:cs="Calibri"/>
                <w:b/>
                <w:bCs/>
                <w:color w:val="000000" w:themeColor="text1"/>
                <w:sz w:val="16"/>
                <w:szCs w:val="16"/>
                <w:lang w:eastAsia="fr-FR"/>
              </w:rPr>
              <w:t>MATERIEL AUDIOVISUEL, PHOTOGRAPHIQUE ET DE TRAITEMENT DE L'INFORMATION</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100,8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92,3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9D6838">
              <w:rPr>
                <w:rFonts w:ascii="Times New Roman" w:eastAsia="Times New Roman" w:hAnsi="Times New Roman" w:cs="Times New Roman"/>
                <w:b/>
                <w:color w:val="000000" w:themeColor="text1"/>
                <w:sz w:val="16"/>
                <w:szCs w:val="16"/>
                <w:lang w:eastAsia="fr-FR"/>
              </w:rPr>
              <w:t>-8,5</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MATERIEL DE RECEPTION, D'ENREGISTREMENT ET DE REPRODUCTION DU SON ET DE L'IMAGE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100,6</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84,7</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-15,8</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MATERIEL PHOTOGRAPHIQUE ET CINEMATOGRAPHIQUE ET APPAREILS OPTIQUES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109,9</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109,4</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-0,5</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MATERIEL DE TRAITEMENT DE L'INFORMATION</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0,2</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SUPPORTS D'ENREGISTREMENT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99,1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99,3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0,2</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REPARATION DE MATERIEL AUDIOVISUEL, PHOTOGRAPHIQUE ET DE TRAITEMENT DE L'INFORMATION</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6"/>
                <w:szCs w:val="16"/>
                <w:lang w:eastAsia="fr-FR"/>
              </w:rPr>
            </w:pPr>
            <w:r w:rsidRPr="009D6838">
              <w:rPr>
                <w:rFonts w:ascii="Calibri" w:eastAsia="Times New Roman" w:hAnsi="Calibri" w:cs="Calibri"/>
                <w:b/>
                <w:bCs/>
                <w:color w:val="000000" w:themeColor="text1"/>
                <w:sz w:val="16"/>
                <w:szCs w:val="16"/>
                <w:lang w:eastAsia="fr-FR"/>
              </w:rPr>
              <w:t>Autres biens durables à fonction récréative et culturelle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99,9</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9D6838">
              <w:rPr>
                <w:rFonts w:ascii="Times New Roman" w:eastAsia="Times New Roman" w:hAnsi="Times New Roman" w:cs="Times New Roman"/>
                <w:b/>
                <w:color w:val="000000" w:themeColor="text1"/>
                <w:sz w:val="16"/>
                <w:szCs w:val="16"/>
                <w:lang w:eastAsia="fr-FR"/>
              </w:rPr>
              <w:t>-0,1</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 xml:space="preserve">Instruments de musique et biens durables destinés aux loisirs d'intérieur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99,9</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-0,1</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6"/>
                <w:szCs w:val="16"/>
                <w:lang w:eastAsia="fr-FR"/>
              </w:rPr>
            </w:pPr>
            <w:r w:rsidRPr="009D6838">
              <w:rPr>
                <w:rFonts w:ascii="Calibri" w:eastAsia="Times New Roman" w:hAnsi="Calibri" w:cs="Calibri"/>
                <w:b/>
                <w:bCs/>
                <w:color w:val="000000" w:themeColor="text1"/>
                <w:sz w:val="16"/>
                <w:szCs w:val="16"/>
                <w:lang w:eastAsia="fr-FR"/>
              </w:rPr>
              <w:t>AUTRES ARTICLES ET MATERIEL DE LOISIRS, DE JARDINAGE ET ANIM</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101,7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104,6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9D6838">
              <w:rPr>
                <w:rFonts w:ascii="Times New Roman" w:eastAsia="Times New Roman" w:hAnsi="Times New Roman" w:cs="Times New Roman"/>
                <w:b/>
                <w:color w:val="000000" w:themeColor="text1"/>
                <w:sz w:val="16"/>
                <w:szCs w:val="16"/>
                <w:lang w:eastAsia="fr-FR"/>
              </w:rPr>
              <w:t>2,9</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JEUX, JOUETS ET PASSE-TEMPS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99,7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99,7</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ARTICLES DE SPORT, MATERIEL DE CAMPING ET MATERIEL POUR ACTIVITES DE PEIL AIR</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103,2</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108,4</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5,0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PRODUITS POUR JARDINS, PLANTES ET FLEURS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6"/>
                <w:szCs w:val="16"/>
                <w:lang w:eastAsia="fr-FR"/>
              </w:rPr>
            </w:pPr>
            <w:r w:rsidRPr="009D6838">
              <w:rPr>
                <w:rFonts w:ascii="Calibri" w:eastAsia="Times New Roman" w:hAnsi="Calibri" w:cs="Calibri"/>
                <w:b/>
                <w:bCs/>
                <w:color w:val="000000" w:themeColor="text1"/>
                <w:sz w:val="16"/>
                <w:szCs w:val="16"/>
                <w:lang w:eastAsia="fr-FR"/>
              </w:rPr>
              <w:t>SERVICES RECREATIFS ET CULTURELS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100,4</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100,4</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9D6838">
              <w:rPr>
                <w:rFonts w:ascii="Times New Roman" w:eastAsia="Times New Roman" w:hAnsi="Times New Roman" w:cs="Times New Roman"/>
                <w:b/>
                <w:color w:val="000000" w:themeColor="text1"/>
                <w:sz w:val="16"/>
                <w:szCs w:val="16"/>
                <w:lang w:eastAsia="fr-FR"/>
              </w:rPr>
              <w:t>0,0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SERVICES RCREATIFS ET SPORTIFS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SERVICES CULTURELS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100,8</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JEUX DE HASARD</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6"/>
                <w:szCs w:val="16"/>
                <w:lang w:eastAsia="fr-FR"/>
              </w:rPr>
            </w:pPr>
            <w:r w:rsidRPr="009D6838">
              <w:rPr>
                <w:rFonts w:ascii="Calibri" w:eastAsia="Times New Roman" w:hAnsi="Calibri" w:cs="Calibri"/>
                <w:b/>
                <w:bCs/>
                <w:color w:val="000000" w:themeColor="text1"/>
                <w:sz w:val="16"/>
                <w:szCs w:val="16"/>
                <w:lang w:eastAsia="fr-FR"/>
              </w:rPr>
              <w:t>JOURNAUX, LIVRES ET ARTICLES DE PAPETERIE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100,8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100,8</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9D6838">
              <w:rPr>
                <w:rFonts w:ascii="Times New Roman" w:eastAsia="Times New Roman" w:hAnsi="Times New Roman" w:cs="Times New Roman"/>
                <w:b/>
                <w:color w:val="000000" w:themeColor="text1"/>
                <w:sz w:val="16"/>
                <w:szCs w:val="16"/>
                <w:lang w:eastAsia="fr-FR"/>
              </w:rPr>
              <w:t>0,0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LIVRES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101,0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JOURNAUX ET PUBLICATIONS PERIODIQUES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PAPETERIE ET MATERIEL DE DESSIN</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100,2</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0,3</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6"/>
                <w:szCs w:val="16"/>
                <w:lang w:eastAsia="fr-FR"/>
              </w:rPr>
            </w:pPr>
            <w:r w:rsidRPr="009D6838">
              <w:rPr>
                <w:rFonts w:ascii="Calibri" w:eastAsia="Times New Roman" w:hAnsi="Calibri" w:cs="Calibri"/>
                <w:b/>
                <w:bCs/>
                <w:color w:val="000000" w:themeColor="text1"/>
                <w:sz w:val="16"/>
                <w:szCs w:val="16"/>
                <w:lang w:eastAsia="fr-FR"/>
              </w:rPr>
              <w:t>FORFAITS TOURISTIQUES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116,8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117,5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9D6838">
              <w:rPr>
                <w:rFonts w:ascii="Times New Roman" w:eastAsia="Times New Roman" w:hAnsi="Times New Roman" w:cs="Times New Roman"/>
                <w:b/>
                <w:color w:val="000000" w:themeColor="text1"/>
                <w:sz w:val="16"/>
                <w:szCs w:val="16"/>
                <w:lang w:eastAsia="fr-FR"/>
              </w:rPr>
              <w:t>0,6</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FORFAITS TOURISTIQUES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116,8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117,5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0,6</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8"/>
                <w:szCs w:val="18"/>
                <w:lang w:eastAsia="fr-FR"/>
              </w:rPr>
            </w:pPr>
            <w:r w:rsidRPr="009D6838">
              <w:rPr>
                <w:rFonts w:ascii="Calibri" w:eastAsia="Times New Roman" w:hAnsi="Calibri" w:cs="Calibri"/>
                <w:b/>
                <w:bCs/>
                <w:color w:val="000000" w:themeColor="text1"/>
                <w:sz w:val="18"/>
                <w:szCs w:val="18"/>
                <w:lang w:eastAsia="fr-FR"/>
              </w:rPr>
              <w:t>ENSEIGNEMENT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8"/>
                <w:szCs w:val="18"/>
                <w:lang w:eastAsia="fr-FR"/>
              </w:rPr>
            </w:pPr>
            <w:r w:rsidRPr="009D6838">
              <w:rPr>
                <w:rFonts w:ascii="Calibri" w:eastAsia="Times New Roman" w:hAnsi="Calibri" w:cs="Calibri"/>
                <w:b/>
                <w:color w:val="000000" w:themeColor="text1"/>
                <w:sz w:val="18"/>
                <w:szCs w:val="18"/>
                <w:lang w:eastAsia="fr-FR"/>
              </w:rPr>
              <w:t>111,1</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8"/>
                <w:szCs w:val="18"/>
                <w:lang w:eastAsia="fr-FR"/>
              </w:rPr>
            </w:pPr>
            <w:r w:rsidRPr="009D6838">
              <w:rPr>
                <w:rFonts w:ascii="Calibri" w:eastAsia="Times New Roman" w:hAnsi="Calibri" w:cs="Calibri"/>
                <w:b/>
                <w:color w:val="000000" w:themeColor="text1"/>
                <w:sz w:val="18"/>
                <w:szCs w:val="18"/>
                <w:lang w:eastAsia="fr-FR"/>
              </w:rPr>
              <w:t>111,0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9D6838">
              <w:rPr>
                <w:rFonts w:ascii="Times New Roman" w:eastAsia="Times New Roman" w:hAnsi="Times New Roman" w:cs="Times New Roman"/>
                <w:b/>
                <w:color w:val="000000" w:themeColor="text1"/>
                <w:sz w:val="18"/>
                <w:szCs w:val="18"/>
                <w:lang w:eastAsia="fr-FR"/>
              </w:rPr>
              <w:t>-0,1</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6"/>
                <w:szCs w:val="16"/>
                <w:lang w:eastAsia="fr-FR"/>
              </w:rPr>
            </w:pPr>
            <w:r w:rsidRPr="009D6838">
              <w:rPr>
                <w:rFonts w:ascii="Calibri" w:eastAsia="Times New Roman" w:hAnsi="Calibri" w:cs="Calibri"/>
                <w:b/>
                <w:bCs/>
                <w:color w:val="000000" w:themeColor="text1"/>
                <w:sz w:val="16"/>
                <w:szCs w:val="16"/>
                <w:lang w:eastAsia="fr-FR"/>
              </w:rPr>
              <w:t>ENSEIGNEMENT PREELEMENTAIRE ET PRIMAIRE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113,3</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113,1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9D6838">
              <w:rPr>
                <w:rFonts w:ascii="Times New Roman" w:eastAsia="Times New Roman" w:hAnsi="Times New Roman" w:cs="Times New Roman"/>
                <w:b/>
                <w:color w:val="000000" w:themeColor="text1"/>
                <w:sz w:val="16"/>
                <w:szCs w:val="16"/>
                <w:lang w:eastAsia="fr-FR"/>
              </w:rPr>
              <w:t>-0,2</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ENSEIGNEMENT PREELEMENTAIRE ET PRIMAIRE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113,3</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113,1</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-0,2</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6"/>
                <w:szCs w:val="16"/>
                <w:lang w:eastAsia="fr-FR"/>
              </w:rPr>
            </w:pPr>
            <w:r w:rsidRPr="009D6838">
              <w:rPr>
                <w:rFonts w:ascii="Calibri" w:eastAsia="Times New Roman" w:hAnsi="Calibri" w:cs="Calibri"/>
                <w:b/>
                <w:bCs/>
                <w:color w:val="000000" w:themeColor="text1"/>
                <w:sz w:val="16"/>
                <w:szCs w:val="16"/>
                <w:lang w:eastAsia="fr-FR"/>
              </w:rPr>
              <w:t>ENSEIGNEMENT SECONDAIRE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112,2</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112,2</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9D6838">
              <w:rPr>
                <w:rFonts w:ascii="Times New Roman" w:eastAsia="Times New Roman" w:hAnsi="Times New Roman" w:cs="Times New Roman"/>
                <w:b/>
                <w:color w:val="000000" w:themeColor="text1"/>
                <w:sz w:val="16"/>
                <w:szCs w:val="16"/>
                <w:lang w:eastAsia="fr-FR"/>
              </w:rPr>
              <w:t>0,0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lastRenderedPageBreak/>
              <w:t>ENSEIGNEMENT SECONDAIRE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112,2</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112,2</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6"/>
                <w:szCs w:val="16"/>
                <w:lang w:eastAsia="fr-FR"/>
              </w:rPr>
            </w:pPr>
            <w:r w:rsidRPr="009D6838">
              <w:rPr>
                <w:rFonts w:ascii="Calibri" w:eastAsia="Times New Roman" w:hAnsi="Calibri" w:cs="Calibri"/>
                <w:b/>
                <w:bCs/>
                <w:color w:val="000000" w:themeColor="text1"/>
                <w:sz w:val="16"/>
                <w:szCs w:val="16"/>
                <w:lang w:eastAsia="fr-FR"/>
              </w:rPr>
              <w:t>ENSEIGNEMENT POSTSECONDAIRE NON SUPERIEUR</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103,7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103,7</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9D6838">
              <w:rPr>
                <w:rFonts w:ascii="Times New Roman" w:eastAsia="Times New Roman" w:hAnsi="Times New Roman" w:cs="Times New Roman"/>
                <w:b/>
                <w:color w:val="000000" w:themeColor="text1"/>
                <w:sz w:val="16"/>
                <w:szCs w:val="16"/>
                <w:lang w:eastAsia="fr-FR"/>
              </w:rPr>
              <w:t>0,0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ENSEIGNEMENT POSTSECONDAIRE NON SUPERIEUR</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103,7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103,7</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6"/>
                <w:szCs w:val="16"/>
                <w:lang w:eastAsia="fr-FR"/>
              </w:rPr>
            </w:pPr>
            <w:r w:rsidRPr="009D6838">
              <w:rPr>
                <w:rFonts w:ascii="Calibri" w:eastAsia="Times New Roman" w:hAnsi="Calibri" w:cs="Calibri"/>
                <w:b/>
                <w:bCs/>
                <w:color w:val="000000" w:themeColor="text1"/>
                <w:sz w:val="16"/>
                <w:szCs w:val="16"/>
                <w:lang w:eastAsia="fr-FR"/>
              </w:rPr>
              <w:t>ENSEIGNEMENT SUPERIEUR</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9D6838">
              <w:rPr>
                <w:rFonts w:ascii="Times New Roman" w:eastAsia="Times New Roman" w:hAnsi="Times New Roman" w:cs="Times New Roman"/>
                <w:b/>
                <w:color w:val="000000" w:themeColor="text1"/>
                <w:sz w:val="16"/>
                <w:szCs w:val="16"/>
                <w:lang w:eastAsia="fr-FR"/>
              </w:rPr>
              <w:t>0,0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ENSEIGNEMENT SUPERIEUR</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6"/>
                <w:szCs w:val="16"/>
                <w:lang w:eastAsia="fr-FR"/>
              </w:rPr>
            </w:pPr>
            <w:r w:rsidRPr="009D6838">
              <w:rPr>
                <w:rFonts w:ascii="Calibri" w:eastAsia="Times New Roman" w:hAnsi="Calibri" w:cs="Calibri"/>
                <w:b/>
                <w:bCs/>
                <w:color w:val="000000" w:themeColor="text1"/>
                <w:sz w:val="16"/>
                <w:szCs w:val="16"/>
                <w:lang w:eastAsia="fr-FR"/>
              </w:rPr>
              <w:t>ENSEIGNEMENT NON DEFINI PAR NIVEAU</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9D6838">
              <w:rPr>
                <w:rFonts w:ascii="Times New Roman" w:eastAsia="Times New Roman" w:hAnsi="Times New Roman" w:cs="Times New Roman"/>
                <w:b/>
                <w:color w:val="000000" w:themeColor="text1"/>
                <w:sz w:val="16"/>
                <w:szCs w:val="16"/>
                <w:lang w:eastAsia="fr-FR"/>
              </w:rPr>
              <w:t>0,0</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ENSEIGNEMENT NON DEFINI PAR NIVEAU</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8"/>
                <w:szCs w:val="18"/>
                <w:lang w:eastAsia="fr-FR"/>
              </w:rPr>
            </w:pPr>
            <w:r w:rsidRPr="007B1645">
              <w:rPr>
                <w:rFonts w:ascii="Calibri" w:eastAsia="Times New Roman" w:hAnsi="Calibri" w:cs="Calibri"/>
                <w:b/>
                <w:bCs/>
                <w:color w:val="000000" w:themeColor="text1"/>
                <w:sz w:val="18"/>
                <w:szCs w:val="18"/>
                <w:lang w:eastAsia="fr-FR"/>
              </w:rPr>
              <w:t>RESTAURANTS ET HOTELS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b/>
                <w:color w:val="000000" w:themeColor="text1"/>
                <w:sz w:val="18"/>
                <w:szCs w:val="18"/>
                <w:lang w:eastAsia="fr-FR"/>
              </w:rPr>
            </w:pPr>
            <w:r w:rsidRPr="007B1645">
              <w:rPr>
                <w:rFonts w:ascii="Calibri" w:eastAsia="Times New Roman" w:hAnsi="Calibri" w:cs="Calibri"/>
                <w:b/>
                <w:color w:val="000000" w:themeColor="text1"/>
                <w:sz w:val="18"/>
                <w:szCs w:val="18"/>
                <w:lang w:eastAsia="fr-FR"/>
              </w:rPr>
              <w:t>104</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b/>
                <w:color w:val="000000" w:themeColor="text1"/>
                <w:sz w:val="18"/>
                <w:szCs w:val="18"/>
                <w:lang w:eastAsia="fr-FR"/>
              </w:rPr>
            </w:pPr>
            <w:r w:rsidRPr="007B1645">
              <w:rPr>
                <w:rFonts w:ascii="Calibri" w:eastAsia="Times New Roman" w:hAnsi="Calibri" w:cs="Calibri"/>
                <w:b/>
                <w:color w:val="000000" w:themeColor="text1"/>
                <w:sz w:val="18"/>
                <w:szCs w:val="18"/>
                <w:lang w:eastAsia="fr-FR"/>
              </w:rPr>
              <w:t>105,0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1,0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6"/>
                <w:szCs w:val="16"/>
                <w:lang w:eastAsia="fr-FR"/>
              </w:rPr>
            </w:pPr>
            <w:r w:rsidRPr="007B1645">
              <w:rPr>
                <w:rFonts w:ascii="Calibri" w:eastAsia="Times New Roman" w:hAnsi="Calibri" w:cs="Calibri"/>
                <w:b/>
                <w:bCs/>
                <w:color w:val="000000" w:themeColor="text1"/>
                <w:sz w:val="16"/>
                <w:szCs w:val="16"/>
                <w:lang w:eastAsia="fr-FR"/>
              </w:rPr>
              <w:t>SERVICES DE RESTAURATION</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105,6</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106,0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0,4</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RESTAURANTS, CAFES ET ETABLISSEMENTS SIMILAIRES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105,7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106,0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0,3</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CANTINES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100,0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6"/>
                <w:szCs w:val="16"/>
                <w:lang w:eastAsia="fr-FR"/>
              </w:rPr>
            </w:pPr>
            <w:r w:rsidRPr="007B1645">
              <w:rPr>
                <w:rFonts w:ascii="Calibri" w:eastAsia="Times New Roman" w:hAnsi="Calibri" w:cs="Calibri"/>
                <w:b/>
                <w:bCs/>
                <w:color w:val="000000" w:themeColor="text1"/>
                <w:sz w:val="16"/>
                <w:szCs w:val="16"/>
                <w:lang w:eastAsia="fr-FR"/>
              </w:rPr>
              <w:t>SERVICES D'HEBERGEMENT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97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101,0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4,1</w:t>
            </w:r>
          </w:p>
        </w:tc>
      </w:tr>
      <w:tr w:rsidR="001D5CD4" w:rsidRPr="00BD73FD"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SERVICES D'HEBERGEMENT</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97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Calibri" w:eastAsia="Times New Roman" w:hAnsi="Calibri" w:cs="Calibri"/>
                <w:color w:val="000000" w:themeColor="text1"/>
                <w:sz w:val="16"/>
                <w:szCs w:val="16"/>
                <w:lang w:eastAsia="fr-FR"/>
              </w:rPr>
            </w:pPr>
            <w:r w:rsidRPr="00BD73FD">
              <w:rPr>
                <w:rFonts w:ascii="Calibri" w:eastAsia="Times New Roman" w:hAnsi="Calibri" w:cs="Calibri"/>
                <w:color w:val="000000" w:themeColor="text1"/>
                <w:sz w:val="16"/>
                <w:szCs w:val="16"/>
                <w:lang w:eastAsia="fr-FR"/>
              </w:rPr>
              <w:t>101,0</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BD73FD">
              <w:rPr>
                <w:rFonts w:ascii="Times New Roman" w:eastAsia="Times New Roman" w:hAnsi="Times New Roman" w:cs="Times New Roman"/>
                <w:color w:val="000000" w:themeColor="text1"/>
                <w:sz w:val="16"/>
                <w:szCs w:val="16"/>
                <w:lang w:eastAsia="fr-FR"/>
              </w:rPr>
              <w:t>4,1</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8"/>
                <w:szCs w:val="18"/>
                <w:lang w:eastAsia="fr-FR"/>
              </w:rPr>
            </w:pPr>
            <w:r w:rsidRPr="007B1645">
              <w:rPr>
                <w:rFonts w:ascii="Calibri" w:eastAsia="Times New Roman" w:hAnsi="Calibri" w:cs="Calibri"/>
                <w:b/>
                <w:bCs/>
                <w:color w:val="000000" w:themeColor="text1"/>
                <w:sz w:val="18"/>
                <w:szCs w:val="18"/>
                <w:lang w:eastAsia="fr-FR"/>
              </w:rPr>
              <w:t>BIENS ET SERVICES DIVERS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b/>
                <w:color w:val="000000" w:themeColor="text1"/>
                <w:sz w:val="18"/>
                <w:szCs w:val="18"/>
                <w:lang w:eastAsia="fr-FR"/>
              </w:rPr>
            </w:pPr>
            <w:r w:rsidRPr="007B1645">
              <w:rPr>
                <w:rFonts w:ascii="Calibri" w:eastAsia="Times New Roman" w:hAnsi="Calibri" w:cs="Calibri"/>
                <w:b/>
                <w:color w:val="000000" w:themeColor="text1"/>
                <w:sz w:val="18"/>
                <w:szCs w:val="18"/>
                <w:lang w:eastAsia="fr-FR"/>
              </w:rPr>
              <w:t>101,7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b/>
                <w:color w:val="000000" w:themeColor="text1"/>
                <w:sz w:val="18"/>
                <w:szCs w:val="18"/>
                <w:lang w:eastAsia="fr-FR"/>
              </w:rPr>
            </w:pPr>
            <w:r w:rsidRPr="007B1645">
              <w:rPr>
                <w:rFonts w:ascii="Calibri" w:eastAsia="Times New Roman" w:hAnsi="Calibri" w:cs="Calibri"/>
                <w:b/>
                <w:color w:val="000000" w:themeColor="text1"/>
                <w:sz w:val="18"/>
                <w:szCs w:val="18"/>
                <w:lang w:eastAsia="fr-FR"/>
              </w:rPr>
              <w:t>103,2</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18"/>
                <w:szCs w:val="18"/>
                <w:lang w:eastAsia="fr-FR"/>
              </w:rPr>
            </w:pPr>
            <w:r w:rsidRPr="007B1645">
              <w:rPr>
                <w:rFonts w:ascii="Times New Roman" w:eastAsia="Times New Roman" w:hAnsi="Times New Roman" w:cs="Times New Roman"/>
                <w:b/>
                <w:color w:val="000000" w:themeColor="text1"/>
                <w:sz w:val="18"/>
                <w:szCs w:val="18"/>
                <w:lang w:eastAsia="fr-FR"/>
              </w:rPr>
              <w:t>1,5</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6"/>
                <w:szCs w:val="16"/>
                <w:lang w:eastAsia="fr-FR"/>
              </w:rPr>
            </w:pPr>
            <w:r w:rsidRPr="009D6838">
              <w:rPr>
                <w:rFonts w:ascii="Calibri" w:eastAsia="Times New Roman" w:hAnsi="Calibri" w:cs="Calibri"/>
                <w:b/>
                <w:bCs/>
                <w:color w:val="000000" w:themeColor="text1"/>
                <w:sz w:val="16"/>
                <w:szCs w:val="16"/>
                <w:lang w:eastAsia="fr-FR"/>
              </w:rPr>
              <w:t>SOINS CORPORELS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101,8</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101,6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9D6838">
              <w:rPr>
                <w:rFonts w:ascii="Times New Roman" w:eastAsia="Times New Roman" w:hAnsi="Times New Roman" w:cs="Times New Roman"/>
                <w:b/>
                <w:color w:val="000000" w:themeColor="text1"/>
                <w:sz w:val="16"/>
                <w:szCs w:val="16"/>
                <w:lang w:eastAsia="fr-FR"/>
              </w:rPr>
              <w:t>-0,2</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SALONS DE COIFFURE ET INSTITUTS DE SOINS ET DE BEAUTE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103,7</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103,7</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APPAREILS ELECTRIQUES POUR SOINS CORPORELS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97,3</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97,3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AUTRES APPAREILS, ARTICLES ET PRODUITS POUR SOINS CORPORELS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99,6</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99,4</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-0,2</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6"/>
                <w:szCs w:val="16"/>
                <w:lang w:eastAsia="fr-FR"/>
              </w:rPr>
            </w:pPr>
            <w:r w:rsidRPr="009D6838">
              <w:rPr>
                <w:rFonts w:ascii="Calibri" w:eastAsia="Times New Roman" w:hAnsi="Calibri" w:cs="Calibri"/>
                <w:b/>
                <w:bCs/>
                <w:color w:val="000000" w:themeColor="text1"/>
                <w:sz w:val="16"/>
                <w:szCs w:val="16"/>
                <w:lang w:eastAsia="fr-FR"/>
              </w:rPr>
              <w:t>EFFETS PERSONNELS N.C.A.</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104,5</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129,5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9D6838">
              <w:rPr>
                <w:rFonts w:ascii="Times New Roman" w:eastAsia="Times New Roman" w:hAnsi="Times New Roman" w:cs="Times New Roman"/>
                <w:b/>
                <w:color w:val="000000" w:themeColor="text1"/>
                <w:sz w:val="16"/>
                <w:szCs w:val="16"/>
                <w:lang w:eastAsia="fr-FR"/>
              </w:rPr>
              <w:t>23,9</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ARTICLES DE BIJOUTERIE ET HORLOGERIE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107,9</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151,4</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40,3</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AUTRES EFFETS PERSONNELS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99,9</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-0,1</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6"/>
                <w:szCs w:val="16"/>
                <w:lang w:eastAsia="fr-FR"/>
              </w:rPr>
            </w:pPr>
            <w:r w:rsidRPr="009D6838">
              <w:rPr>
                <w:rFonts w:ascii="Calibri" w:eastAsia="Times New Roman" w:hAnsi="Calibri" w:cs="Calibri"/>
                <w:b/>
                <w:bCs/>
                <w:color w:val="000000" w:themeColor="text1"/>
                <w:sz w:val="16"/>
                <w:szCs w:val="16"/>
                <w:lang w:eastAsia="fr-FR"/>
              </w:rPr>
              <w:t>ASSURANCE</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103,9</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9D6838">
              <w:rPr>
                <w:rFonts w:ascii="Times New Roman" w:eastAsia="Times New Roman" w:hAnsi="Times New Roman" w:cs="Times New Roman"/>
                <w:b/>
                <w:color w:val="000000" w:themeColor="text1"/>
                <w:sz w:val="16"/>
                <w:szCs w:val="16"/>
                <w:lang w:eastAsia="fr-FR"/>
              </w:rPr>
              <w:t>3,9</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BD73FD" w:rsidRDefault="001D5CD4" w:rsidP="001D5CD4">
            <w:pPr>
              <w:spacing w:after="0" w:line="240" w:lineRule="auto"/>
              <w:rPr>
                <w:rFonts w:ascii="Calibri" w:eastAsia="Times New Roman" w:hAnsi="Calibri" w:cs="Calibri"/>
                <w:bCs/>
                <w:color w:val="000000" w:themeColor="text1"/>
                <w:sz w:val="16"/>
                <w:szCs w:val="16"/>
                <w:lang w:eastAsia="fr-FR"/>
              </w:rPr>
            </w:pPr>
            <w:r w:rsidRPr="00BD73FD">
              <w:rPr>
                <w:rFonts w:ascii="Calibri" w:eastAsia="Times New Roman" w:hAnsi="Calibri" w:cs="Calibri"/>
                <w:bCs/>
                <w:color w:val="000000" w:themeColor="text1"/>
                <w:sz w:val="16"/>
                <w:szCs w:val="16"/>
                <w:lang w:eastAsia="fr-FR"/>
              </w:rPr>
              <w:t>ASSURANCE TRANSPORTS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100</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103,9</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3,9</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
                <w:bCs/>
                <w:color w:val="000000" w:themeColor="text1"/>
                <w:sz w:val="16"/>
                <w:szCs w:val="16"/>
                <w:lang w:eastAsia="fr-FR"/>
              </w:rPr>
            </w:pPr>
            <w:r w:rsidRPr="009D6838">
              <w:rPr>
                <w:rFonts w:ascii="Calibri" w:eastAsia="Times New Roman" w:hAnsi="Calibri" w:cs="Calibri"/>
                <w:b/>
                <w:bCs/>
                <w:color w:val="000000" w:themeColor="text1"/>
                <w:sz w:val="16"/>
                <w:szCs w:val="16"/>
                <w:lang w:eastAsia="fr-FR"/>
              </w:rPr>
              <w:t>SERVICES FINANCIERS</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102,3</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b/>
                <w:color w:val="000000" w:themeColor="text1"/>
                <w:sz w:val="16"/>
                <w:szCs w:val="16"/>
                <w:lang w:eastAsia="fr-FR"/>
              </w:rPr>
            </w:pPr>
            <w:r w:rsidRPr="009D6838">
              <w:rPr>
                <w:rFonts w:ascii="Calibri" w:eastAsia="Times New Roman" w:hAnsi="Calibri" w:cs="Calibri"/>
                <w:b/>
                <w:color w:val="000000" w:themeColor="text1"/>
                <w:sz w:val="16"/>
                <w:szCs w:val="16"/>
                <w:lang w:eastAsia="fr-FR"/>
              </w:rPr>
              <w:t>102,3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b/>
                <w:color w:val="000000" w:themeColor="text1"/>
                <w:sz w:val="16"/>
                <w:szCs w:val="16"/>
                <w:lang w:eastAsia="fr-FR"/>
              </w:rPr>
            </w:pPr>
            <w:r w:rsidRPr="009D6838">
              <w:rPr>
                <w:rFonts w:ascii="Times New Roman" w:eastAsia="Times New Roman" w:hAnsi="Times New Roman" w:cs="Times New Roman"/>
                <w:b/>
                <w:color w:val="000000" w:themeColor="text1"/>
                <w:sz w:val="16"/>
                <w:szCs w:val="16"/>
                <w:lang w:eastAsia="fr-FR"/>
              </w:rPr>
              <w:t>0,0</w:t>
            </w:r>
          </w:p>
        </w:tc>
      </w:tr>
      <w:tr w:rsidR="001D5CD4" w:rsidRPr="009D6838"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rPr>
                <w:rFonts w:ascii="Calibri" w:eastAsia="Times New Roman" w:hAnsi="Calibri" w:cs="Calibri"/>
                <w:bCs/>
                <w:color w:val="000000" w:themeColor="text1"/>
                <w:sz w:val="16"/>
                <w:szCs w:val="16"/>
                <w:lang w:eastAsia="fr-FR"/>
              </w:rPr>
            </w:pPr>
            <w:r w:rsidRPr="009D6838">
              <w:rPr>
                <w:rFonts w:ascii="Calibri" w:eastAsia="Times New Roman" w:hAnsi="Calibri" w:cs="Calibri"/>
                <w:bCs/>
                <w:color w:val="000000" w:themeColor="text1"/>
                <w:sz w:val="16"/>
                <w:szCs w:val="16"/>
                <w:lang w:eastAsia="fr-FR"/>
              </w:rPr>
              <w:t>COUT DES SERVICES D'INTERMEDIATION FINANCIER</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color w:val="000000" w:themeColor="text1"/>
                <w:sz w:val="16"/>
                <w:szCs w:val="16"/>
                <w:lang w:eastAsia="fr-FR"/>
              </w:rPr>
            </w:pPr>
            <w:r w:rsidRPr="009D6838">
              <w:rPr>
                <w:rFonts w:ascii="Calibri" w:eastAsia="Times New Roman" w:hAnsi="Calibri" w:cs="Calibri"/>
                <w:color w:val="000000" w:themeColor="text1"/>
                <w:sz w:val="16"/>
                <w:szCs w:val="16"/>
                <w:lang w:eastAsia="fr-FR"/>
              </w:rPr>
              <w:t>102,3</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Calibri" w:eastAsia="Times New Roman" w:hAnsi="Calibri" w:cs="Calibri"/>
                <w:color w:val="000000" w:themeColor="text1"/>
                <w:sz w:val="16"/>
                <w:szCs w:val="16"/>
                <w:lang w:eastAsia="fr-FR"/>
              </w:rPr>
            </w:pPr>
            <w:r w:rsidRPr="009D6838">
              <w:rPr>
                <w:rFonts w:ascii="Calibri" w:eastAsia="Times New Roman" w:hAnsi="Calibri" w:cs="Calibri"/>
                <w:color w:val="000000" w:themeColor="text1"/>
                <w:sz w:val="16"/>
                <w:szCs w:val="16"/>
                <w:lang w:eastAsia="fr-FR"/>
              </w:rPr>
              <w:t>102,3</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9D6838"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9D6838">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16"/>
                <w:szCs w:val="16"/>
                <w:lang w:eastAsia="fr-FR"/>
              </w:rPr>
            </w:pPr>
            <w:r w:rsidRPr="007B1645">
              <w:rPr>
                <w:rFonts w:ascii="Calibri" w:eastAsia="Times New Roman" w:hAnsi="Calibri" w:cs="Calibri"/>
                <w:b/>
                <w:bCs/>
                <w:color w:val="000000" w:themeColor="text1"/>
                <w:sz w:val="16"/>
                <w:szCs w:val="16"/>
                <w:lang w:eastAsia="fr-FR"/>
              </w:rPr>
              <w:t xml:space="preserve">AUTRES SERVICES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104,5</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color w:val="000000" w:themeColor="text1"/>
                <w:sz w:val="16"/>
                <w:szCs w:val="16"/>
                <w:lang w:eastAsia="fr-FR"/>
              </w:rPr>
            </w:pPr>
            <w:r w:rsidRPr="007B1645">
              <w:rPr>
                <w:rFonts w:ascii="Calibri" w:eastAsia="Times New Roman" w:hAnsi="Calibri" w:cs="Calibri"/>
                <w:color w:val="000000" w:themeColor="text1"/>
                <w:sz w:val="16"/>
                <w:szCs w:val="16"/>
                <w:lang w:eastAsia="fr-FR"/>
              </w:rPr>
              <w:t>104,5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7B1645">
              <w:rPr>
                <w:rFonts w:ascii="Times New Roman" w:eastAsia="Times New Roman" w:hAnsi="Times New Roman" w:cs="Times New Roman"/>
                <w:color w:val="000000" w:themeColor="text1"/>
                <w:sz w:val="16"/>
                <w:szCs w:val="16"/>
                <w:lang w:eastAsia="fr-FR"/>
              </w:rPr>
              <w:t>0,0</w:t>
            </w:r>
          </w:p>
        </w:tc>
      </w:tr>
      <w:tr w:rsidR="001D5CD4" w:rsidRPr="008D25B9"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rPr>
                <w:rFonts w:ascii="Calibri" w:eastAsia="Times New Roman" w:hAnsi="Calibri" w:cs="Calibri"/>
                <w:bCs/>
                <w:color w:val="000000" w:themeColor="text1"/>
                <w:sz w:val="16"/>
                <w:szCs w:val="16"/>
                <w:lang w:eastAsia="fr-FR"/>
              </w:rPr>
            </w:pPr>
            <w:r w:rsidRPr="008D25B9">
              <w:rPr>
                <w:rFonts w:ascii="Calibri" w:eastAsia="Times New Roman" w:hAnsi="Calibri" w:cs="Calibri"/>
                <w:bCs/>
                <w:color w:val="000000" w:themeColor="text1"/>
                <w:sz w:val="16"/>
                <w:szCs w:val="16"/>
                <w:lang w:eastAsia="fr-FR"/>
              </w:rPr>
              <w:t xml:space="preserve">AUTRES SERVICES </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Calibri" w:eastAsia="Times New Roman" w:hAnsi="Calibri" w:cs="Calibri"/>
                <w:color w:val="000000" w:themeColor="text1"/>
                <w:sz w:val="16"/>
                <w:szCs w:val="16"/>
                <w:lang w:eastAsia="fr-FR"/>
              </w:rPr>
            </w:pPr>
            <w:r w:rsidRPr="008D25B9">
              <w:rPr>
                <w:rFonts w:ascii="Calibri" w:eastAsia="Times New Roman" w:hAnsi="Calibri" w:cs="Calibri"/>
                <w:color w:val="000000" w:themeColor="text1"/>
                <w:sz w:val="16"/>
                <w:szCs w:val="16"/>
                <w:lang w:eastAsia="fr-FR"/>
              </w:rPr>
              <w:t>104,5</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Calibri" w:eastAsia="Times New Roman" w:hAnsi="Calibri" w:cs="Calibri"/>
                <w:color w:val="000000" w:themeColor="text1"/>
                <w:sz w:val="16"/>
                <w:szCs w:val="16"/>
                <w:lang w:eastAsia="fr-FR"/>
              </w:rPr>
            </w:pPr>
            <w:r w:rsidRPr="008D25B9">
              <w:rPr>
                <w:rFonts w:ascii="Calibri" w:eastAsia="Times New Roman" w:hAnsi="Calibri" w:cs="Calibri"/>
                <w:color w:val="000000" w:themeColor="text1"/>
                <w:sz w:val="16"/>
                <w:szCs w:val="16"/>
                <w:lang w:eastAsia="fr-FR"/>
              </w:rPr>
              <w:t>104,5</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8D25B9" w:rsidRDefault="001D5CD4" w:rsidP="001D5CD4">
            <w:pPr>
              <w:spacing w:after="0" w:line="240" w:lineRule="auto"/>
              <w:jc w:val="right"/>
              <w:rPr>
                <w:rFonts w:ascii="Times New Roman" w:eastAsia="Times New Roman" w:hAnsi="Times New Roman" w:cs="Times New Roman"/>
                <w:color w:val="000000" w:themeColor="text1"/>
                <w:sz w:val="16"/>
                <w:szCs w:val="16"/>
                <w:lang w:eastAsia="fr-FR"/>
              </w:rPr>
            </w:pPr>
            <w:r w:rsidRPr="008D25B9">
              <w:rPr>
                <w:rFonts w:ascii="Times New Roman" w:eastAsia="Times New Roman" w:hAnsi="Times New Roman" w:cs="Times New Roman"/>
                <w:color w:val="000000" w:themeColor="text1"/>
                <w:sz w:val="16"/>
                <w:szCs w:val="16"/>
                <w:lang w:eastAsia="fr-FR"/>
              </w:rPr>
              <w:t>0,0</w:t>
            </w:r>
          </w:p>
        </w:tc>
      </w:tr>
      <w:tr w:rsidR="001D5CD4" w:rsidRPr="007B1645" w:rsidTr="001D5CD4">
        <w:trPr>
          <w:trHeight w:val="370"/>
        </w:trPr>
        <w:tc>
          <w:tcPr>
            <w:tcW w:w="4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rPr>
                <w:rFonts w:ascii="Calibri" w:eastAsia="Times New Roman" w:hAnsi="Calibri" w:cs="Calibri"/>
                <w:b/>
                <w:bCs/>
                <w:color w:val="000000" w:themeColor="text1"/>
                <w:sz w:val="20"/>
                <w:szCs w:val="20"/>
                <w:lang w:eastAsia="fr-FR"/>
              </w:rPr>
            </w:pPr>
            <w:r w:rsidRPr="007B1645">
              <w:rPr>
                <w:rFonts w:ascii="Calibri" w:eastAsia="Times New Roman" w:hAnsi="Calibri" w:cs="Calibri"/>
                <w:b/>
                <w:bCs/>
                <w:color w:val="000000" w:themeColor="text1"/>
                <w:sz w:val="20"/>
                <w:szCs w:val="20"/>
                <w:lang w:eastAsia="fr-FR"/>
              </w:rPr>
              <w:t>GENERAL</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b/>
                <w:color w:val="000000" w:themeColor="text1"/>
                <w:sz w:val="20"/>
                <w:szCs w:val="20"/>
                <w:lang w:eastAsia="fr-FR"/>
              </w:rPr>
            </w:pPr>
            <w:r w:rsidRPr="007B1645">
              <w:rPr>
                <w:rFonts w:ascii="Calibri" w:eastAsia="Times New Roman" w:hAnsi="Calibri" w:cs="Calibri"/>
                <w:b/>
                <w:color w:val="000000" w:themeColor="text1"/>
                <w:sz w:val="20"/>
                <w:szCs w:val="20"/>
                <w:lang w:eastAsia="fr-FR"/>
              </w:rPr>
              <w:t>101,6</w:t>
            </w:r>
          </w:p>
        </w:tc>
        <w:tc>
          <w:tcPr>
            <w:tcW w:w="2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Calibri" w:eastAsia="Times New Roman" w:hAnsi="Calibri" w:cs="Calibri"/>
                <w:b/>
                <w:color w:val="000000" w:themeColor="text1"/>
                <w:sz w:val="20"/>
                <w:szCs w:val="20"/>
                <w:lang w:eastAsia="fr-FR"/>
              </w:rPr>
            </w:pPr>
            <w:r w:rsidRPr="007B1645">
              <w:rPr>
                <w:rFonts w:ascii="Calibri" w:eastAsia="Times New Roman" w:hAnsi="Calibri" w:cs="Calibri"/>
                <w:b/>
                <w:color w:val="000000" w:themeColor="text1"/>
                <w:sz w:val="20"/>
                <w:szCs w:val="20"/>
                <w:lang w:eastAsia="fr-FR"/>
              </w:rPr>
              <w:t>101,6</w:t>
            </w:r>
          </w:p>
        </w:tc>
        <w:tc>
          <w:tcPr>
            <w:tcW w:w="2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CD4" w:rsidRPr="007B1645" w:rsidRDefault="001D5CD4" w:rsidP="001D5CD4">
            <w:pPr>
              <w:spacing w:after="0" w:line="240" w:lineRule="auto"/>
              <w:jc w:val="right"/>
              <w:rPr>
                <w:rFonts w:ascii="Times New Roman" w:eastAsia="Times New Roman" w:hAnsi="Times New Roman" w:cs="Times New Roman"/>
                <w:b/>
                <w:color w:val="000000" w:themeColor="text1"/>
                <w:sz w:val="20"/>
                <w:szCs w:val="20"/>
                <w:lang w:eastAsia="fr-FR"/>
              </w:rPr>
            </w:pPr>
            <w:r w:rsidRPr="007B1645">
              <w:rPr>
                <w:rFonts w:ascii="Times New Roman" w:eastAsia="Times New Roman" w:hAnsi="Times New Roman" w:cs="Times New Roman"/>
                <w:b/>
                <w:color w:val="000000" w:themeColor="text1"/>
                <w:sz w:val="20"/>
                <w:szCs w:val="20"/>
                <w:lang w:eastAsia="fr-FR"/>
              </w:rPr>
              <w:t>0,0</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AE1AFA" w:rsidRDefault="00AE1AFA" w:rsidP="00F7045D"/>
    <w:p w:rsidR="00331969" w:rsidRPr="00F67555" w:rsidRDefault="00331969" w:rsidP="00BD5911">
      <w:pPr>
        <w:rPr>
          <w:vanish/>
          <w:specVanish/>
        </w:rPr>
      </w:pPr>
    </w:p>
    <w:p w:rsidR="00BD5911" w:rsidRDefault="00BD5911" w:rsidP="004F39E8">
      <w:pPr>
        <w:spacing w:after="0" w:line="240" w:lineRule="auto"/>
        <w:rPr>
          <w:rFonts w:asciiTheme="majorBidi" w:hAnsiTheme="majorBidi" w:cstheme="majorBidi"/>
          <w:b/>
          <w:bCs/>
          <w:color w:val="4F81BD" w:themeColor="accent1"/>
        </w:rPr>
        <w:sectPr w:rsidR="00BD5911" w:rsidSect="007B49E0">
          <w:footerReference w:type="default" r:id="rId18"/>
          <w:pgSz w:w="11906" w:h="16838"/>
          <w:pgMar w:top="1701" w:right="1274" w:bottom="1701" w:left="1418" w:header="709" w:footer="709" w:gutter="0"/>
          <w:cols w:space="708"/>
          <w:titlePg/>
          <w:docGrid w:linePitch="360"/>
        </w:sectPr>
      </w:pPr>
    </w:p>
    <w:tbl>
      <w:tblPr>
        <w:tblW w:w="5000" w:type="pct"/>
        <w:tblCellMar>
          <w:left w:w="70" w:type="dxa"/>
          <w:right w:w="70" w:type="dxa"/>
        </w:tblCellMar>
        <w:tblLook w:val="04A0"/>
      </w:tblPr>
      <w:tblGrid>
        <w:gridCol w:w="4404"/>
        <w:gridCol w:w="705"/>
        <w:gridCol w:w="706"/>
        <w:gridCol w:w="706"/>
        <w:gridCol w:w="706"/>
        <w:gridCol w:w="706"/>
        <w:gridCol w:w="706"/>
        <w:gridCol w:w="706"/>
        <w:gridCol w:w="706"/>
        <w:gridCol w:w="706"/>
        <w:gridCol w:w="706"/>
        <w:gridCol w:w="706"/>
        <w:gridCol w:w="706"/>
        <w:gridCol w:w="701"/>
      </w:tblGrid>
      <w:tr w:rsidR="00E66090" w:rsidRPr="00E66090" w:rsidTr="00E66090">
        <w:trPr>
          <w:trHeight w:val="360"/>
        </w:trPr>
        <w:tc>
          <w:tcPr>
            <w:tcW w:w="5000" w:type="pct"/>
            <w:gridSpan w:val="14"/>
            <w:tcBorders>
              <w:top w:val="nil"/>
              <w:left w:val="nil"/>
              <w:bottom w:val="single" w:sz="8" w:space="0" w:color="auto"/>
              <w:right w:val="nil"/>
            </w:tcBorders>
            <w:shd w:val="clear" w:color="auto" w:fill="auto"/>
            <w:noWrap/>
            <w:vAlign w:val="bottom"/>
            <w:hideMark/>
          </w:tcPr>
          <w:p w:rsidR="00E66090" w:rsidRPr="00D66C98" w:rsidRDefault="00E66090" w:rsidP="00F97AE7">
            <w:pPr>
              <w:rPr>
                <w:rFonts w:ascii="Times New Roman" w:eastAsia="Times New Roman" w:hAnsi="Times New Roman" w:cs="Times New Roman"/>
                <w:b/>
                <w:bCs/>
                <w:color w:val="4F81BD" w:themeColor="accent1"/>
                <w:sz w:val="24"/>
                <w:szCs w:val="24"/>
                <w:lang w:eastAsia="fr-FR"/>
              </w:rPr>
            </w:pPr>
            <w:r w:rsidRPr="00D66C98">
              <w:rPr>
                <w:rFonts w:ascii="Times New Roman" w:eastAsia="Times New Roman" w:hAnsi="Times New Roman" w:cs="Times New Roman"/>
                <w:b/>
                <w:bCs/>
                <w:color w:val="4F81BD" w:themeColor="accent1"/>
                <w:sz w:val="24"/>
                <w:szCs w:val="24"/>
                <w:lang w:eastAsia="fr-FR"/>
              </w:rPr>
              <w:lastRenderedPageBreak/>
              <w:t>Tableau A2: IPC de la ville de Kénitra (base 100:2017) par division et par mois- Année 2020-</w:t>
            </w:r>
          </w:p>
        </w:tc>
      </w:tr>
      <w:tr w:rsidR="00E66090" w:rsidRPr="00E66090" w:rsidTr="00AD6362">
        <w:trPr>
          <w:trHeight w:val="454"/>
        </w:trPr>
        <w:tc>
          <w:tcPr>
            <w:tcW w:w="1622" w:type="pct"/>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E66090" w:rsidRPr="00E66090" w:rsidRDefault="00E66090" w:rsidP="00E66090">
            <w:pPr>
              <w:spacing w:after="0" w:line="240" w:lineRule="auto"/>
              <w:jc w:val="center"/>
              <w:rPr>
                <w:rFonts w:ascii="Times New Roman" w:eastAsia="Times New Roman" w:hAnsi="Times New Roman" w:cs="Times New Roman"/>
                <w:b/>
                <w:bCs/>
                <w:sz w:val="18"/>
                <w:szCs w:val="18"/>
                <w:lang w:eastAsia="fr-FR"/>
              </w:rPr>
            </w:pPr>
            <w:r w:rsidRPr="00E66090">
              <w:rPr>
                <w:rFonts w:ascii="Times New Roman" w:eastAsia="Times New Roman" w:hAnsi="Times New Roman" w:cs="Times New Roman"/>
                <w:b/>
                <w:bCs/>
                <w:sz w:val="18"/>
                <w:szCs w:val="18"/>
                <w:lang w:eastAsia="fr-FR"/>
              </w:rPr>
              <w:t xml:space="preserve"> DIVISIONS</w:t>
            </w:r>
          </w:p>
        </w:tc>
        <w:tc>
          <w:tcPr>
            <w:tcW w:w="260" w:type="pct"/>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E66090" w:rsidRPr="00AD6362" w:rsidRDefault="00E66090" w:rsidP="00E66090">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Jan</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E66090" w:rsidRPr="00AD6362" w:rsidRDefault="00E66090" w:rsidP="00E66090">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Fev</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E66090" w:rsidRPr="00AD6362" w:rsidRDefault="00E66090" w:rsidP="00E66090">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Mars</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E66090" w:rsidRPr="00AD6362" w:rsidRDefault="00E66090" w:rsidP="00E66090">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Avr</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E66090" w:rsidRPr="00AD6362" w:rsidRDefault="00E66090" w:rsidP="00E66090">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Mai</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E66090" w:rsidRPr="00AD6362" w:rsidRDefault="00E66090" w:rsidP="00E66090">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Juin</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E66090" w:rsidRPr="00AD6362" w:rsidRDefault="00E66090" w:rsidP="00E66090">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Jul</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E66090" w:rsidRPr="00AD6362" w:rsidRDefault="00E66090" w:rsidP="00E66090">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Août</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E66090" w:rsidRPr="00AD6362" w:rsidRDefault="00E66090" w:rsidP="00E66090">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Sep</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E66090" w:rsidRPr="00AD6362" w:rsidRDefault="00E66090" w:rsidP="00E66090">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Oct</w:t>
            </w:r>
          </w:p>
        </w:tc>
        <w:tc>
          <w:tcPr>
            <w:tcW w:w="260" w:type="pct"/>
            <w:tcBorders>
              <w:top w:val="single" w:sz="8" w:space="0" w:color="auto"/>
              <w:left w:val="nil"/>
              <w:bottom w:val="single" w:sz="8" w:space="0" w:color="auto"/>
              <w:right w:val="single" w:sz="4" w:space="0" w:color="auto"/>
            </w:tcBorders>
            <w:shd w:val="clear" w:color="000000" w:fill="C0C0C0"/>
            <w:noWrap/>
            <w:vAlign w:val="bottom"/>
            <w:hideMark/>
          </w:tcPr>
          <w:p w:rsidR="00E66090" w:rsidRPr="00AD6362" w:rsidRDefault="00E66090" w:rsidP="00E66090">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Nov</w:t>
            </w:r>
          </w:p>
        </w:tc>
        <w:tc>
          <w:tcPr>
            <w:tcW w:w="260" w:type="pct"/>
            <w:tcBorders>
              <w:top w:val="single" w:sz="8" w:space="0" w:color="auto"/>
              <w:left w:val="single" w:sz="8" w:space="0" w:color="auto"/>
              <w:bottom w:val="single" w:sz="8" w:space="0" w:color="auto"/>
              <w:right w:val="nil"/>
            </w:tcBorders>
            <w:shd w:val="clear" w:color="000000" w:fill="C0C0C0"/>
            <w:noWrap/>
            <w:vAlign w:val="bottom"/>
            <w:hideMark/>
          </w:tcPr>
          <w:p w:rsidR="00E66090" w:rsidRPr="00AD6362" w:rsidRDefault="00E66090" w:rsidP="00E66090">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Dec</w:t>
            </w:r>
          </w:p>
        </w:tc>
        <w:tc>
          <w:tcPr>
            <w:tcW w:w="260" w:type="pct"/>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E66090" w:rsidRPr="00AD6362" w:rsidRDefault="00E66090" w:rsidP="00E66090">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Moy</w:t>
            </w:r>
          </w:p>
        </w:tc>
      </w:tr>
      <w:tr w:rsidR="00E66090" w:rsidRPr="00E66090" w:rsidTr="00AD6362">
        <w:trPr>
          <w:trHeight w:val="454"/>
        </w:trPr>
        <w:tc>
          <w:tcPr>
            <w:tcW w:w="162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01.</w:t>
            </w:r>
            <w:r w:rsidR="00E66090" w:rsidRPr="00AD6362">
              <w:rPr>
                <w:rFonts w:ascii="Times New Roman" w:eastAsia="Times New Roman" w:hAnsi="Times New Roman" w:cs="Times New Roman"/>
                <w:b/>
                <w:bCs/>
                <w:sz w:val="16"/>
                <w:szCs w:val="16"/>
                <w:lang w:eastAsia="fr-FR"/>
              </w:rPr>
              <w:t>PRODUITS ALIMENTAIRES ET BOISSONS NON</w:t>
            </w:r>
          </w:p>
          <w:p w:rsidR="00E66090" w:rsidRPr="00AD6362" w:rsidRDefault="00E66090" w:rsidP="00AD6362">
            <w:pPr>
              <w:spacing w:after="0" w:line="240" w:lineRule="auto"/>
              <w:ind w:left="360"/>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 xml:space="preserve"> ALCOOLISÉES</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98,9</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98,3</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97,1</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97,7</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95,8</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99,1</w:t>
            </w:r>
          </w:p>
        </w:tc>
      </w:tr>
      <w:tr w:rsidR="00E66090" w:rsidRPr="00E66090" w:rsidTr="00AD6362">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AD6362" w:rsidRDefault="00E66090" w:rsidP="00E66090">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02. BOISSONS ALCOOLISÉES, TABAC ET STUPÉFIANTS</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122,2</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122,2</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122,2</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122,2</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122,2</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120,9</w:t>
            </w:r>
          </w:p>
        </w:tc>
      </w:tr>
      <w:tr w:rsidR="00E66090" w:rsidRPr="00E66090" w:rsidTr="00AD6362">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AD6362" w:rsidRDefault="00E66090" w:rsidP="00E66090">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03. ARTICLES D'HABILLEMENT ET CHAUSSURES</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104,1</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104,9</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105,3</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106,1</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104,7</w:t>
            </w:r>
          </w:p>
        </w:tc>
      </w:tr>
      <w:tr w:rsidR="00E66090" w:rsidRPr="00E66090" w:rsidTr="00AD6362">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AD6362" w:rsidRDefault="00E66090" w:rsidP="00E66090">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04. LOGEMENT, EAU, GAZ, ELECTRICITE ET AUTRES</w:t>
            </w:r>
          </w:p>
          <w:p w:rsidR="00E66090" w:rsidRPr="00AD6362" w:rsidRDefault="00E66090" w:rsidP="00E66090">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 xml:space="preserve"> COMBUSTIBLES</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102,7</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102,7</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102,6</w:t>
            </w:r>
          </w:p>
        </w:tc>
      </w:tr>
      <w:tr w:rsidR="00E66090" w:rsidRPr="00E66090" w:rsidTr="00AD6362">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AD6362" w:rsidRDefault="00E66090" w:rsidP="00E66090">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 xml:space="preserve">05. MEUBLES, ARTICLES DE MENAGE ET ENTRETIEN </w:t>
            </w:r>
          </w:p>
          <w:p w:rsidR="00E66090" w:rsidRPr="00AD6362" w:rsidRDefault="00E66090" w:rsidP="00E66090">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COURANT DU FOYER</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101,3</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102,1</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102,1</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102,2</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101,7</w:t>
            </w:r>
          </w:p>
        </w:tc>
      </w:tr>
      <w:tr w:rsidR="00E66090" w:rsidRPr="00E66090" w:rsidTr="00AD6362">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AD6362" w:rsidRDefault="00E66090" w:rsidP="00E66090">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06. SANTÉ</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99,6</w:t>
            </w:r>
          </w:p>
        </w:tc>
      </w:tr>
      <w:tr w:rsidR="00E66090" w:rsidRPr="00E66090" w:rsidTr="00AD6362">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AD6362" w:rsidRDefault="00E66090" w:rsidP="00E66090">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07. TRANSPORTS</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102,8</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96,5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96,6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98,3</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104,3</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102,7</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102,7</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103,7</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101,1</w:t>
            </w:r>
          </w:p>
        </w:tc>
      </w:tr>
      <w:tr w:rsidR="00E66090" w:rsidRPr="00E66090" w:rsidTr="00AD6362">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AD6362" w:rsidRDefault="00E66090" w:rsidP="00E66090">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08. COMMUNICATIONS</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106,4</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106,5</w:t>
            </w:r>
          </w:p>
        </w:tc>
      </w:tr>
      <w:tr w:rsidR="00E66090" w:rsidRPr="00E66090" w:rsidTr="00AD6362">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AD6362" w:rsidRDefault="00E66090" w:rsidP="00E66090">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09. LOISIRS ET CULTURE</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99,1</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98,7</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98,7</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98,6</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98,2</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99,4</w:t>
            </w:r>
          </w:p>
        </w:tc>
      </w:tr>
      <w:tr w:rsidR="00E66090" w:rsidRPr="00E66090" w:rsidTr="00AD6362">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AD6362" w:rsidRDefault="00E66090" w:rsidP="00E66090">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10. ENSEIGNEMENT</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111,0</w:t>
            </w:r>
          </w:p>
        </w:tc>
      </w:tr>
      <w:tr w:rsidR="00E66090" w:rsidRPr="00E66090" w:rsidTr="00AD6362">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AD6362" w:rsidRDefault="00E66090" w:rsidP="00E66090">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11. RESTAURANTS ET HÔTELS</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106,2</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106,2</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105,5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105,5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105,5</w:t>
            </w:r>
          </w:p>
        </w:tc>
        <w:tc>
          <w:tcPr>
            <w:tcW w:w="260"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105,0</w:t>
            </w:r>
          </w:p>
        </w:tc>
      </w:tr>
      <w:tr w:rsidR="00E66090" w:rsidRPr="00E66090" w:rsidTr="00AD6362">
        <w:trPr>
          <w:trHeight w:val="454"/>
        </w:trPr>
        <w:tc>
          <w:tcPr>
            <w:tcW w:w="1622"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AD6362" w:rsidRDefault="00E66090" w:rsidP="00E66090">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12. BIENS ET SERVICES DIVERS</w:t>
            </w:r>
          </w:p>
        </w:tc>
        <w:tc>
          <w:tcPr>
            <w:tcW w:w="260" w:type="pct"/>
            <w:tcBorders>
              <w:top w:val="nil"/>
              <w:left w:val="nil"/>
              <w:bottom w:val="single" w:sz="12"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103,2</w:t>
            </w:r>
          </w:p>
        </w:tc>
        <w:tc>
          <w:tcPr>
            <w:tcW w:w="260" w:type="pct"/>
            <w:tcBorders>
              <w:top w:val="nil"/>
              <w:left w:val="nil"/>
              <w:bottom w:val="single" w:sz="12"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103,2</w:t>
            </w:r>
          </w:p>
        </w:tc>
        <w:tc>
          <w:tcPr>
            <w:tcW w:w="260" w:type="pct"/>
            <w:tcBorders>
              <w:top w:val="nil"/>
              <w:left w:val="nil"/>
              <w:bottom w:val="single" w:sz="12"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60" w:type="pct"/>
            <w:tcBorders>
              <w:top w:val="nil"/>
              <w:left w:val="nil"/>
              <w:bottom w:val="single" w:sz="12"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60" w:type="pct"/>
            <w:tcBorders>
              <w:top w:val="nil"/>
              <w:left w:val="nil"/>
              <w:bottom w:val="single" w:sz="12"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103,0</w:t>
            </w:r>
          </w:p>
        </w:tc>
        <w:tc>
          <w:tcPr>
            <w:tcW w:w="260" w:type="pct"/>
            <w:tcBorders>
              <w:top w:val="nil"/>
              <w:left w:val="nil"/>
              <w:bottom w:val="single" w:sz="12"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12"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12"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12"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12"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12"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12"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60" w:type="pct"/>
            <w:tcBorders>
              <w:top w:val="nil"/>
              <w:left w:val="nil"/>
              <w:bottom w:val="single" w:sz="8" w:space="0" w:color="auto"/>
              <w:right w:val="single" w:sz="4" w:space="0" w:color="auto"/>
            </w:tcBorders>
            <w:shd w:val="clear" w:color="auto" w:fill="auto"/>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103,2</w:t>
            </w:r>
          </w:p>
        </w:tc>
      </w:tr>
      <w:tr w:rsidR="00E66090" w:rsidRPr="00E66090" w:rsidTr="00AD6362">
        <w:trPr>
          <w:trHeight w:val="454"/>
        </w:trPr>
        <w:tc>
          <w:tcPr>
            <w:tcW w:w="1622"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E66090" w:rsidRPr="00AD6362" w:rsidRDefault="00E66090" w:rsidP="00E66090">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 xml:space="preserve">  INDICE  GENERAL    </w:t>
            </w:r>
          </w:p>
        </w:tc>
        <w:tc>
          <w:tcPr>
            <w:tcW w:w="260" w:type="pct"/>
            <w:tcBorders>
              <w:top w:val="single" w:sz="12" w:space="0" w:color="auto"/>
              <w:left w:val="single" w:sz="4" w:space="0" w:color="auto"/>
              <w:bottom w:val="single" w:sz="12" w:space="0" w:color="auto"/>
              <w:right w:val="single" w:sz="4" w:space="0" w:color="auto"/>
            </w:tcBorders>
            <w:shd w:val="clear" w:color="000000" w:fill="BFBFBF"/>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101,6</w:t>
            </w:r>
          </w:p>
        </w:tc>
        <w:tc>
          <w:tcPr>
            <w:tcW w:w="260" w:type="pct"/>
            <w:tcBorders>
              <w:top w:val="single" w:sz="12" w:space="0" w:color="auto"/>
              <w:left w:val="nil"/>
              <w:bottom w:val="single" w:sz="12" w:space="0" w:color="auto"/>
              <w:right w:val="single" w:sz="4" w:space="0" w:color="auto"/>
            </w:tcBorders>
            <w:shd w:val="clear" w:color="000000" w:fill="BFBFBF"/>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101,6</w:t>
            </w:r>
          </w:p>
        </w:tc>
        <w:tc>
          <w:tcPr>
            <w:tcW w:w="260" w:type="pct"/>
            <w:tcBorders>
              <w:top w:val="single" w:sz="12" w:space="0" w:color="auto"/>
              <w:left w:val="nil"/>
              <w:bottom w:val="single" w:sz="12" w:space="0" w:color="auto"/>
              <w:right w:val="single" w:sz="4" w:space="0" w:color="auto"/>
            </w:tcBorders>
            <w:shd w:val="clear" w:color="000000" w:fill="BFBFBF"/>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101,8</w:t>
            </w:r>
          </w:p>
        </w:tc>
        <w:tc>
          <w:tcPr>
            <w:tcW w:w="260" w:type="pct"/>
            <w:tcBorders>
              <w:top w:val="single" w:sz="12" w:space="0" w:color="auto"/>
              <w:left w:val="nil"/>
              <w:bottom w:val="single" w:sz="12" w:space="0" w:color="auto"/>
              <w:right w:val="single" w:sz="4" w:space="0" w:color="auto"/>
            </w:tcBorders>
            <w:shd w:val="clear" w:color="000000" w:fill="BFBFBF"/>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101,8</w:t>
            </w:r>
          </w:p>
        </w:tc>
        <w:tc>
          <w:tcPr>
            <w:tcW w:w="260" w:type="pct"/>
            <w:tcBorders>
              <w:top w:val="single" w:sz="12" w:space="0" w:color="auto"/>
              <w:left w:val="nil"/>
              <w:bottom w:val="single" w:sz="12" w:space="0" w:color="auto"/>
              <w:right w:val="single" w:sz="4" w:space="0" w:color="auto"/>
            </w:tcBorders>
            <w:shd w:val="clear" w:color="000000" w:fill="BFBFBF"/>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101,0</w:t>
            </w:r>
          </w:p>
        </w:tc>
        <w:tc>
          <w:tcPr>
            <w:tcW w:w="260" w:type="pct"/>
            <w:tcBorders>
              <w:top w:val="single" w:sz="12" w:space="0" w:color="auto"/>
              <w:left w:val="nil"/>
              <w:bottom w:val="single" w:sz="12" w:space="0" w:color="auto"/>
              <w:right w:val="single" w:sz="4" w:space="0" w:color="auto"/>
            </w:tcBorders>
            <w:shd w:val="clear" w:color="000000" w:fill="BFBFBF"/>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101,0</w:t>
            </w:r>
          </w:p>
        </w:tc>
        <w:tc>
          <w:tcPr>
            <w:tcW w:w="260" w:type="pct"/>
            <w:tcBorders>
              <w:top w:val="single" w:sz="12" w:space="0" w:color="auto"/>
              <w:left w:val="nil"/>
              <w:bottom w:val="single" w:sz="12" w:space="0" w:color="auto"/>
              <w:right w:val="single" w:sz="4" w:space="0" w:color="auto"/>
            </w:tcBorders>
            <w:shd w:val="clear" w:color="000000" w:fill="BFBFBF"/>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100,7</w:t>
            </w:r>
          </w:p>
        </w:tc>
        <w:tc>
          <w:tcPr>
            <w:tcW w:w="260" w:type="pct"/>
            <w:tcBorders>
              <w:top w:val="single" w:sz="12" w:space="0" w:color="auto"/>
              <w:left w:val="nil"/>
              <w:bottom w:val="single" w:sz="12" w:space="0" w:color="auto"/>
              <w:right w:val="single" w:sz="4" w:space="0" w:color="auto"/>
            </w:tcBorders>
            <w:shd w:val="clear" w:color="000000" w:fill="BFBFBF"/>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102,4</w:t>
            </w:r>
          </w:p>
        </w:tc>
        <w:tc>
          <w:tcPr>
            <w:tcW w:w="260" w:type="pct"/>
            <w:tcBorders>
              <w:top w:val="single" w:sz="12" w:space="0" w:color="auto"/>
              <w:left w:val="nil"/>
              <w:bottom w:val="single" w:sz="12" w:space="0" w:color="auto"/>
              <w:right w:val="single" w:sz="4" w:space="0" w:color="auto"/>
            </w:tcBorders>
            <w:shd w:val="clear" w:color="000000" w:fill="BFBFBF"/>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103,3</w:t>
            </w:r>
          </w:p>
        </w:tc>
        <w:tc>
          <w:tcPr>
            <w:tcW w:w="260" w:type="pct"/>
            <w:tcBorders>
              <w:top w:val="single" w:sz="12" w:space="0" w:color="auto"/>
              <w:left w:val="nil"/>
              <w:bottom w:val="single" w:sz="12" w:space="0" w:color="auto"/>
              <w:right w:val="single" w:sz="4" w:space="0" w:color="auto"/>
            </w:tcBorders>
            <w:shd w:val="clear" w:color="000000" w:fill="BFBFBF"/>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102,5</w:t>
            </w:r>
          </w:p>
        </w:tc>
        <w:tc>
          <w:tcPr>
            <w:tcW w:w="260" w:type="pct"/>
            <w:tcBorders>
              <w:top w:val="single" w:sz="12" w:space="0" w:color="auto"/>
              <w:left w:val="nil"/>
              <w:bottom w:val="single" w:sz="12" w:space="0" w:color="auto"/>
              <w:right w:val="single" w:sz="4" w:space="0" w:color="auto"/>
            </w:tcBorders>
            <w:shd w:val="clear" w:color="000000" w:fill="BFBFBF"/>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101,3</w:t>
            </w:r>
          </w:p>
        </w:tc>
        <w:tc>
          <w:tcPr>
            <w:tcW w:w="260" w:type="pct"/>
            <w:tcBorders>
              <w:top w:val="single" w:sz="12" w:space="0" w:color="auto"/>
              <w:left w:val="nil"/>
              <w:bottom w:val="single" w:sz="12" w:space="0" w:color="auto"/>
              <w:right w:val="single" w:sz="4" w:space="0" w:color="auto"/>
            </w:tcBorders>
            <w:shd w:val="clear" w:color="000000" w:fill="BFBFBF"/>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100,7</w:t>
            </w:r>
          </w:p>
        </w:tc>
        <w:tc>
          <w:tcPr>
            <w:tcW w:w="260" w:type="pct"/>
            <w:tcBorders>
              <w:top w:val="nil"/>
              <w:left w:val="nil"/>
              <w:bottom w:val="single" w:sz="8" w:space="0" w:color="auto"/>
              <w:right w:val="single" w:sz="4" w:space="0" w:color="auto"/>
            </w:tcBorders>
            <w:shd w:val="clear" w:color="000000" w:fill="BFBFBF"/>
            <w:noWrap/>
            <w:vAlign w:val="center"/>
            <w:hideMark/>
          </w:tcPr>
          <w:p w:rsidR="00E66090" w:rsidRPr="00AD6362" w:rsidRDefault="00E66090" w:rsidP="00E66090">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101,6</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7D6D8B" w:rsidRDefault="007D6D8B">
      <w:r>
        <w:br w:type="page"/>
      </w:r>
    </w:p>
    <w:tbl>
      <w:tblPr>
        <w:tblW w:w="5000" w:type="pct"/>
        <w:tblCellMar>
          <w:left w:w="70" w:type="dxa"/>
          <w:right w:w="70" w:type="dxa"/>
        </w:tblCellMar>
        <w:tblLook w:val="04A0"/>
      </w:tblPr>
      <w:tblGrid>
        <w:gridCol w:w="4889"/>
        <w:gridCol w:w="668"/>
        <w:gridCol w:w="668"/>
        <w:gridCol w:w="668"/>
        <w:gridCol w:w="668"/>
        <w:gridCol w:w="668"/>
        <w:gridCol w:w="668"/>
        <w:gridCol w:w="668"/>
        <w:gridCol w:w="668"/>
        <w:gridCol w:w="668"/>
        <w:gridCol w:w="668"/>
        <w:gridCol w:w="668"/>
        <w:gridCol w:w="668"/>
        <w:gridCol w:w="671"/>
      </w:tblGrid>
      <w:tr w:rsidR="00E66090" w:rsidRPr="00E66090" w:rsidTr="00E66090">
        <w:trPr>
          <w:trHeight w:val="360"/>
        </w:trPr>
        <w:tc>
          <w:tcPr>
            <w:tcW w:w="5000" w:type="pct"/>
            <w:gridSpan w:val="14"/>
            <w:tcBorders>
              <w:top w:val="nil"/>
              <w:left w:val="nil"/>
              <w:bottom w:val="single" w:sz="8" w:space="0" w:color="auto"/>
              <w:right w:val="nil"/>
            </w:tcBorders>
            <w:shd w:val="clear" w:color="auto" w:fill="auto"/>
            <w:noWrap/>
            <w:vAlign w:val="bottom"/>
            <w:hideMark/>
          </w:tcPr>
          <w:p w:rsidR="00E66090" w:rsidRPr="00D66C98" w:rsidRDefault="00E66090" w:rsidP="00F97AE7">
            <w:pPr>
              <w:rPr>
                <w:rFonts w:ascii="Times New Roman" w:eastAsia="Times New Roman" w:hAnsi="Times New Roman" w:cs="Times New Roman"/>
                <w:b/>
                <w:bCs/>
                <w:color w:val="4F81BD" w:themeColor="accent1"/>
                <w:sz w:val="24"/>
                <w:szCs w:val="24"/>
                <w:lang w:eastAsia="fr-FR"/>
              </w:rPr>
            </w:pPr>
            <w:r w:rsidRPr="00D66C98">
              <w:rPr>
                <w:rFonts w:ascii="Times New Roman" w:eastAsia="Times New Roman" w:hAnsi="Times New Roman" w:cs="Times New Roman"/>
                <w:b/>
                <w:bCs/>
                <w:color w:val="4F81BD" w:themeColor="accent1"/>
                <w:sz w:val="24"/>
                <w:szCs w:val="24"/>
                <w:lang w:eastAsia="fr-FR"/>
              </w:rPr>
              <w:lastRenderedPageBreak/>
              <w:t>Tableau A3: IPC de la ville de Kénitra (base 100:2017) par division et par mois- Année 2019-</w:t>
            </w:r>
          </w:p>
        </w:tc>
      </w:tr>
      <w:tr w:rsidR="00E66090" w:rsidRPr="00E66090" w:rsidTr="00AD6362">
        <w:trPr>
          <w:trHeight w:val="454"/>
        </w:trPr>
        <w:tc>
          <w:tcPr>
            <w:tcW w:w="1801"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E66090" w:rsidRPr="00E66090" w:rsidRDefault="00E66090" w:rsidP="009F0C5F">
            <w:pPr>
              <w:spacing w:after="0" w:line="240" w:lineRule="auto"/>
              <w:jc w:val="center"/>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DIVISIONS</w:t>
            </w:r>
          </w:p>
        </w:tc>
        <w:tc>
          <w:tcPr>
            <w:tcW w:w="246"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Jan</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Fev</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Mars</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Avr</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Mai</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Juin</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Jul</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Août</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Sep</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Oct</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Nov</w:t>
            </w:r>
          </w:p>
        </w:tc>
        <w:tc>
          <w:tcPr>
            <w:tcW w:w="246" w:type="pct"/>
            <w:tcBorders>
              <w:top w:val="single" w:sz="8" w:space="0" w:color="auto"/>
              <w:left w:val="single" w:sz="8" w:space="0" w:color="auto"/>
              <w:bottom w:val="single" w:sz="8" w:space="0" w:color="auto"/>
              <w:right w:val="nil"/>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Dec</w:t>
            </w:r>
          </w:p>
        </w:tc>
        <w:tc>
          <w:tcPr>
            <w:tcW w:w="246"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66090" w:rsidRPr="00AD6362" w:rsidRDefault="00E66090" w:rsidP="009F0C5F">
            <w:pPr>
              <w:spacing w:after="0" w:line="240" w:lineRule="auto"/>
              <w:jc w:val="center"/>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Moy</w:t>
            </w:r>
          </w:p>
        </w:tc>
      </w:tr>
      <w:tr w:rsidR="00E66090" w:rsidRPr="00E66090" w:rsidTr="00AD6362">
        <w:trPr>
          <w:trHeight w:val="454"/>
        </w:trPr>
        <w:tc>
          <w:tcPr>
            <w:tcW w:w="18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Pr>
                <w:rFonts w:ascii="Times New Roman" w:eastAsia="Times New Roman" w:hAnsi="Times New Roman" w:cs="Times New Roman"/>
                <w:b/>
                <w:bCs/>
                <w:sz w:val="16"/>
                <w:szCs w:val="16"/>
                <w:lang w:eastAsia="fr-FR"/>
              </w:rPr>
              <w:t>01 .</w:t>
            </w:r>
            <w:r w:rsidR="00E66090" w:rsidRPr="00AD6362">
              <w:rPr>
                <w:rFonts w:ascii="Times New Roman" w:eastAsia="Times New Roman" w:hAnsi="Times New Roman" w:cs="Times New Roman"/>
                <w:b/>
                <w:bCs/>
                <w:sz w:val="16"/>
                <w:szCs w:val="16"/>
                <w:lang w:eastAsia="fr-FR"/>
              </w:rPr>
              <w:t>PRODUITS ALIMENTAIRES ET BOISSONS NON</w:t>
            </w:r>
          </w:p>
          <w:p w:rsidR="00E66090" w:rsidRPr="00AD6362" w:rsidRDefault="00E66090" w:rsidP="00AD6362">
            <w:pPr>
              <w:spacing w:after="0" w:line="240" w:lineRule="auto"/>
              <w:ind w:left="360"/>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 xml:space="preserve"> ALCOOLISÉES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99,1</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02. BOISSONS ALCOOLISÉES, TABAC ET STUPÉFIANTS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119,9</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03. ARTICLES D'HABILLEMENT ET CHAUSSURES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103,6</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AD6362"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 xml:space="preserve">04. LOGEMENT, EAU, GAZ, ELECTRICITE ET AUTRES </w:t>
            </w:r>
          </w:p>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COMBUSTIBLES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101,7</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AD6362" w:rsidRDefault="00E66090" w:rsidP="009F0C5F">
            <w:pPr>
              <w:spacing w:after="0" w:line="240" w:lineRule="auto"/>
              <w:rPr>
                <w:rFonts w:ascii="Times New Roman" w:eastAsia="Times New Roman" w:hAnsi="Times New Roman" w:cs="Times New Roman"/>
                <w:b/>
                <w:bCs/>
                <w:sz w:val="20"/>
                <w:szCs w:val="20"/>
                <w:lang w:eastAsia="fr-FR"/>
              </w:rPr>
            </w:pPr>
            <w:r w:rsidRPr="00E66090">
              <w:rPr>
                <w:rFonts w:ascii="Times New Roman" w:eastAsia="Times New Roman" w:hAnsi="Times New Roman" w:cs="Times New Roman"/>
                <w:b/>
                <w:bCs/>
                <w:sz w:val="16"/>
                <w:szCs w:val="16"/>
                <w:lang w:eastAsia="fr-FR"/>
              </w:rPr>
              <w:t>05. MEUBLES, ARTICLES DE MENAGE ET ENTRETIEN</w:t>
            </w:r>
          </w:p>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 xml:space="preserve"> COURANT DU FOYER</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100,8</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06. SANTÉ</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99,9</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07. TRANSPORTS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103,0</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08. COMMUNICATIONS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106,5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106,8</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09. LOISIRS ET CULTURE</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103,2</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103,3</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10. ENSEIGNEMENT</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111,0</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111,1</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11. RESTAURANTS ET HÔTELS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104,3</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103,9</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104,0</w:t>
            </w:r>
          </w:p>
        </w:tc>
      </w:tr>
      <w:tr w:rsidR="00E66090" w:rsidRPr="00E66090" w:rsidTr="00AD6362">
        <w:trPr>
          <w:trHeight w:val="454"/>
        </w:trPr>
        <w:tc>
          <w:tcPr>
            <w:tcW w:w="1801" w:type="pct"/>
            <w:tcBorders>
              <w:top w:val="nil"/>
              <w:left w:val="single" w:sz="4" w:space="0" w:color="auto"/>
              <w:bottom w:val="single" w:sz="4" w:space="0" w:color="auto"/>
              <w:right w:val="single" w:sz="4" w:space="0" w:color="auto"/>
            </w:tcBorders>
            <w:shd w:val="clear" w:color="000000" w:fill="FFFFFF"/>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12. BIENS ET SERVICES DIVERS</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101,5</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4"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8"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6" w:type="pct"/>
            <w:tcBorders>
              <w:top w:val="nil"/>
              <w:left w:val="nil"/>
              <w:bottom w:val="single" w:sz="8"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101,9</w:t>
            </w:r>
          </w:p>
        </w:tc>
        <w:tc>
          <w:tcPr>
            <w:tcW w:w="246" w:type="pct"/>
            <w:tcBorders>
              <w:top w:val="nil"/>
              <w:left w:val="nil"/>
              <w:bottom w:val="single" w:sz="8"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102,1</w:t>
            </w:r>
          </w:p>
        </w:tc>
        <w:tc>
          <w:tcPr>
            <w:tcW w:w="246" w:type="pct"/>
            <w:tcBorders>
              <w:top w:val="nil"/>
              <w:left w:val="nil"/>
              <w:bottom w:val="single" w:sz="8" w:space="0" w:color="auto"/>
              <w:right w:val="single" w:sz="4" w:space="0" w:color="auto"/>
            </w:tcBorders>
            <w:shd w:val="clear" w:color="auto" w:fill="auto"/>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101,7</w:t>
            </w:r>
          </w:p>
        </w:tc>
      </w:tr>
      <w:tr w:rsidR="00E66090" w:rsidRPr="00E66090" w:rsidTr="00AD6362">
        <w:trPr>
          <w:trHeight w:val="454"/>
        </w:trPr>
        <w:tc>
          <w:tcPr>
            <w:tcW w:w="1801"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E66090" w:rsidRPr="00E66090" w:rsidRDefault="00E66090" w:rsidP="009F0C5F">
            <w:pPr>
              <w:spacing w:after="0" w:line="240" w:lineRule="auto"/>
              <w:rPr>
                <w:rFonts w:ascii="Times New Roman" w:eastAsia="Times New Roman" w:hAnsi="Times New Roman" w:cs="Times New Roman"/>
                <w:b/>
                <w:bCs/>
                <w:sz w:val="16"/>
                <w:szCs w:val="16"/>
                <w:lang w:eastAsia="fr-FR"/>
              </w:rPr>
            </w:pPr>
            <w:r w:rsidRPr="00E66090">
              <w:rPr>
                <w:rFonts w:ascii="Times New Roman" w:eastAsia="Times New Roman" w:hAnsi="Times New Roman" w:cs="Times New Roman"/>
                <w:b/>
                <w:bCs/>
                <w:sz w:val="16"/>
                <w:szCs w:val="16"/>
                <w:lang w:eastAsia="fr-FR"/>
              </w:rPr>
              <w:t xml:space="preserve">  INDICE  GENERAL    </w:t>
            </w:r>
          </w:p>
        </w:tc>
        <w:tc>
          <w:tcPr>
            <w:tcW w:w="246"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100,7</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100,8</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101,2</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101,4</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102,7</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102,6</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101,3</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101,9</w:t>
            </w:r>
          </w:p>
        </w:tc>
        <w:tc>
          <w:tcPr>
            <w:tcW w:w="246" w:type="pct"/>
            <w:tcBorders>
              <w:top w:val="single" w:sz="8" w:space="0" w:color="auto"/>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101,5</w:t>
            </w:r>
          </w:p>
        </w:tc>
        <w:tc>
          <w:tcPr>
            <w:tcW w:w="246" w:type="pct"/>
            <w:tcBorders>
              <w:top w:val="nil"/>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101,3</w:t>
            </w:r>
          </w:p>
        </w:tc>
        <w:tc>
          <w:tcPr>
            <w:tcW w:w="246" w:type="pct"/>
            <w:tcBorders>
              <w:top w:val="nil"/>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101,7</w:t>
            </w:r>
          </w:p>
        </w:tc>
        <w:tc>
          <w:tcPr>
            <w:tcW w:w="246" w:type="pct"/>
            <w:tcBorders>
              <w:top w:val="nil"/>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101,7</w:t>
            </w:r>
          </w:p>
        </w:tc>
        <w:tc>
          <w:tcPr>
            <w:tcW w:w="246" w:type="pct"/>
            <w:tcBorders>
              <w:top w:val="nil"/>
              <w:left w:val="nil"/>
              <w:bottom w:val="single" w:sz="8" w:space="0" w:color="auto"/>
              <w:right w:val="single" w:sz="4" w:space="0" w:color="auto"/>
            </w:tcBorders>
            <w:shd w:val="clear" w:color="000000" w:fill="C0C0C0"/>
            <w:noWrap/>
            <w:vAlign w:val="center"/>
            <w:hideMark/>
          </w:tcPr>
          <w:p w:rsidR="00E66090" w:rsidRPr="00AD6362" w:rsidRDefault="00E66090" w:rsidP="009F0C5F">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101,6</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7D6D8B" w:rsidRDefault="007D6D8B">
      <w:r>
        <w:br w:type="page"/>
      </w:r>
    </w:p>
    <w:tbl>
      <w:tblPr>
        <w:tblW w:w="5000" w:type="pct"/>
        <w:tblCellMar>
          <w:left w:w="70" w:type="dxa"/>
          <w:right w:w="70" w:type="dxa"/>
        </w:tblCellMar>
        <w:tblLook w:val="04A0"/>
      </w:tblPr>
      <w:tblGrid>
        <w:gridCol w:w="5075"/>
        <w:gridCol w:w="658"/>
        <w:gridCol w:w="652"/>
        <w:gridCol w:w="687"/>
        <w:gridCol w:w="652"/>
        <w:gridCol w:w="650"/>
        <w:gridCol w:w="650"/>
        <w:gridCol w:w="650"/>
        <w:gridCol w:w="650"/>
        <w:gridCol w:w="650"/>
        <w:gridCol w:w="650"/>
        <w:gridCol w:w="650"/>
        <w:gridCol w:w="650"/>
        <w:gridCol w:w="652"/>
      </w:tblGrid>
      <w:tr w:rsidR="00AD6362" w:rsidRPr="00AD6362" w:rsidTr="00AD6362">
        <w:trPr>
          <w:trHeight w:val="360"/>
        </w:trPr>
        <w:tc>
          <w:tcPr>
            <w:tcW w:w="5000" w:type="pct"/>
            <w:gridSpan w:val="14"/>
            <w:tcBorders>
              <w:top w:val="nil"/>
              <w:left w:val="nil"/>
              <w:bottom w:val="single" w:sz="8" w:space="0" w:color="auto"/>
              <w:right w:val="nil"/>
            </w:tcBorders>
            <w:shd w:val="clear" w:color="auto" w:fill="auto"/>
            <w:noWrap/>
            <w:vAlign w:val="bottom"/>
            <w:hideMark/>
          </w:tcPr>
          <w:p w:rsidR="00AD6362" w:rsidRPr="00D66C98" w:rsidRDefault="00AD6362" w:rsidP="00F97AE7">
            <w:pPr>
              <w:rPr>
                <w:rFonts w:ascii="Times New Roman" w:eastAsia="Times New Roman" w:hAnsi="Times New Roman" w:cs="Times New Roman"/>
                <w:b/>
                <w:bCs/>
                <w:color w:val="4F81BD" w:themeColor="accent1"/>
                <w:sz w:val="24"/>
                <w:szCs w:val="24"/>
                <w:lang w:eastAsia="fr-FR"/>
              </w:rPr>
            </w:pPr>
            <w:r w:rsidRPr="00D66C98">
              <w:rPr>
                <w:rFonts w:ascii="Times New Roman" w:eastAsia="Times New Roman" w:hAnsi="Times New Roman" w:cs="Times New Roman"/>
                <w:b/>
                <w:bCs/>
                <w:color w:val="4F81BD" w:themeColor="accent1"/>
                <w:sz w:val="24"/>
                <w:szCs w:val="24"/>
                <w:lang w:eastAsia="fr-FR"/>
              </w:rPr>
              <w:lastRenderedPageBreak/>
              <w:t xml:space="preserve">Tableau </w:t>
            </w:r>
            <w:r w:rsidR="004841B9" w:rsidRPr="00D66C98">
              <w:rPr>
                <w:rFonts w:ascii="Times New Roman" w:eastAsia="Times New Roman" w:hAnsi="Times New Roman" w:cs="Times New Roman"/>
                <w:b/>
                <w:bCs/>
                <w:color w:val="4F81BD" w:themeColor="accent1"/>
                <w:sz w:val="24"/>
                <w:szCs w:val="24"/>
                <w:lang w:eastAsia="fr-FR"/>
              </w:rPr>
              <w:t>A4</w:t>
            </w:r>
            <w:r w:rsidRPr="00D66C98">
              <w:rPr>
                <w:rFonts w:ascii="Times New Roman" w:eastAsia="Times New Roman" w:hAnsi="Times New Roman" w:cs="Times New Roman"/>
                <w:b/>
                <w:bCs/>
                <w:color w:val="4F81BD" w:themeColor="accent1"/>
                <w:sz w:val="24"/>
                <w:szCs w:val="24"/>
                <w:lang w:eastAsia="fr-FR"/>
              </w:rPr>
              <w:t>: IPC de la ville de Kénitra (base 100:2017) par division et par mois- Année 2018-</w:t>
            </w:r>
          </w:p>
        </w:tc>
      </w:tr>
      <w:tr w:rsidR="00AD6362" w:rsidRPr="00AD6362" w:rsidTr="00AD6362">
        <w:trPr>
          <w:trHeight w:val="454"/>
        </w:trPr>
        <w:tc>
          <w:tcPr>
            <w:tcW w:w="1870" w:type="pct"/>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 xml:space="preserve"> DIVISIONS</w:t>
            </w:r>
          </w:p>
        </w:tc>
        <w:tc>
          <w:tcPr>
            <w:tcW w:w="243" w:type="pct"/>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Jan</w:t>
            </w:r>
          </w:p>
        </w:tc>
        <w:tc>
          <w:tcPr>
            <w:tcW w:w="24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Fev</w:t>
            </w:r>
          </w:p>
        </w:tc>
        <w:tc>
          <w:tcPr>
            <w:tcW w:w="244"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Mars</w:t>
            </w:r>
          </w:p>
        </w:tc>
        <w:tc>
          <w:tcPr>
            <w:tcW w:w="24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Avr</w:t>
            </w:r>
          </w:p>
        </w:tc>
        <w:tc>
          <w:tcPr>
            <w:tcW w:w="240"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Mai</w:t>
            </w:r>
          </w:p>
        </w:tc>
        <w:tc>
          <w:tcPr>
            <w:tcW w:w="240"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Juin</w:t>
            </w:r>
          </w:p>
        </w:tc>
        <w:tc>
          <w:tcPr>
            <w:tcW w:w="240"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Jul</w:t>
            </w:r>
          </w:p>
        </w:tc>
        <w:tc>
          <w:tcPr>
            <w:tcW w:w="240"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Août</w:t>
            </w:r>
          </w:p>
        </w:tc>
        <w:tc>
          <w:tcPr>
            <w:tcW w:w="240"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Sep</w:t>
            </w:r>
          </w:p>
        </w:tc>
        <w:tc>
          <w:tcPr>
            <w:tcW w:w="240"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Oct</w:t>
            </w:r>
          </w:p>
        </w:tc>
        <w:tc>
          <w:tcPr>
            <w:tcW w:w="240"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Nov</w:t>
            </w:r>
          </w:p>
        </w:tc>
        <w:tc>
          <w:tcPr>
            <w:tcW w:w="240" w:type="pct"/>
            <w:tcBorders>
              <w:top w:val="single" w:sz="8" w:space="0" w:color="auto"/>
              <w:left w:val="single" w:sz="8" w:space="0" w:color="auto"/>
              <w:bottom w:val="single" w:sz="8" w:space="0" w:color="auto"/>
              <w:right w:val="nil"/>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Dec</w:t>
            </w:r>
          </w:p>
        </w:tc>
        <w:tc>
          <w:tcPr>
            <w:tcW w:w="240" w:type="pct"/>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Moy</w:t>
            </w:r>
          </w:p>
        </w:tc>
      </w:tr>
      <w:tr w:rsidR="00AD6362" w:rsidRPr="00AD6362" w:rsidTr="00AD6362">
        <w:trPr>
          <w:trHeight w:val="454"/>
        </w:trPr>
        <w:tc>
          <w:tcPr>
            <w:tcW w:w="1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01. PRODUITS ALIMENTAIRES ET BOISSONS NON ALCOOLISÉES</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101,5</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99,3</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100,9</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02. BOISSONS ALCOOLISÉES, TABAC ET STUPÉFIANTS</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108,1</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108,1</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108,1</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108,2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108,2</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03. ARTICLES D'HABILLEMENT ET CHAUSSURES</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101,6</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101,2</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04. LOGEMENT, EAU, GAZ, ELECTRICITE ET AUTRES COMBUSTIBLES</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100,2</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05. MEUBLES, ARTICLES DE MENAGE ET ENTRETIEN COURANT DU FOYER</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100,3</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06. SANTÉ</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100,2</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07. TRANSPORTS</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101,0</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101,3</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100,6</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102,2</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102,5</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103,1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102,0</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08. COMMUNICATIONS</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101,2</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09. LOISIRS ET CULTURE</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99,9</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10. ENSEIGNEMENT</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111,1</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103,8</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11. RESTAURANTS ET HÔTELS</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104,0</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104,4</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104,6</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103,5</w:t>
            </w:r>
          </w:p>
        </w:tc>
      </w:tr>
      <w:tr w:rsidR="00AD6362" w:rsidRPr="00AD6362" w:rsidTr="00AD6362">
        <w:trPr>
          <w:trHeight w:val="454"/>
        </w:trPr>
        <w:tc>
          <w:tcPr>
            <w:tcW w:w="1870"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12. BIENS ET SERVICES DIVERS</w:t>
            </w:r>
          </w:p>
        </w:tc>
        <w:tc>
          <w:tcPr>
            <w:tcW w:w="243"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44"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101,2</w:t>
            </w:r>
          </w:p>
        </w:tc>
        <w:tc>
          <w:tcPr>
            <w:tcW w:w="241"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0" w:type="pct"/>
            <w:tcBorders>
              <w:top w:val="nil"/>
              <w:left w:val="nil"/>
              <w:bottom w:val="single" w:sz="4"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0" w:type="pct"/>
            <w:tcBorders>
              <w:top w:val="nil"/>
              <w:left w:val="nil"/>
              <w:bottom w:val="single" w:sz="8"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0" w:type="pct"/>
            <w:tcBorders>
              <w:top w:val="nil"/>
              <w:left w:val="nil"/>
              <w:bottom w:val="single" w:sz="8"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101,8</w:t>
            </w:r>
          </w:p>
        </w:tc>
        <w:tc>
          <w:tcPr>
            <w:tcW w:w="240" w:type="pct"/>
            <w:tcBorders>
              <w:top w:val="nil"/>
              <w:left w:val="nil"/>
              <w:bottom w:val="single" w:sz="8"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101,7</w:t>
            </w:r>
          </w:p>
        </w:tc>
        <w:tc>
          <w:tcPr>
            <w:tcW w:w="240" w:type="pct"/>
            <w:tcBorders>
              <w:top w:val="nil"/>
              <w:left w:val="nil"/>
              <w:bottom w:val="single" w:sz="8" w:space="0" w:color="auto"/>
              <w:right w:val="single" w:sz="4" w:space="0" w:color="auto"/>
            </w:tcBorders>
            <w:shd w:val="clear" w:color="auto" w:fill="auto"/>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101,5</w:t>
            </w:r>
          </w:p>
        </w:tc>
      </w:tr>
      <w:tr w:rsidR="00AD6362" w:rsidRPr="00AD6362" w:rsidTr="00AD6362">
        <w:trPr>
          <w:trHeight w:val="454"/>
        </w:trPr>
        <w:tc>
          <w:tcPr>
            <w:tcW w:w="1870"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AD6362" w:rsidRPr="00AD6362" w:rsidRDefault="00AD6362" w:rsidP="00AD6362">
            <w:pPr>
              <w:spacing w:after="0" w:line="240" w:lineRule="auto"/>
              <w:rPr>
                <w:rFonts w:ascii="Times New Roman" w:eastAsia="Times New Roman" w:hAnsi="Times New Roman" w:cs="Times New Roman"/>
                <w:b/>
                <w:bCs/>
                <w:lang w:eastAsia="fr-FR"/>
              </w:rPr>
            </w:pPr>
            <w:r w:rsidRPr="00AD6362">
              <w:rPr>
                <w:rFonts w:ascii="Times New Roman" w:eastAsia="Times New Roman" w:hAnsi="Times New Roman" w:cs="Times New Roman"/>
                <w:b/>
                <w:bCs/>
                <w:lang w:eastAsia="fr-FR"/>
              </w:rPr>
              <w:t xml:space="preserve">  INDICE  GENERAL    </w:t>
            </w:r>
          </w:p>
        </w:tc>
        <w:tc>
          <w:tcPr>
            <w:tcW w:w="243"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100,9</w:t>
            </w:r>
          </w:p>
        </w:tc>
        <w:tc>
          <w:tcPr>
            <w:tcW w:w="241"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100,8</w:t>
            </w:r>
          </w:p>
        </w:tc>
        <w:tc>
          <w:tcPr>
            <w:tcW w:w="244"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101,3</w:t>
            </w:r>
          </w:p>
        </w:tc>
        <w:tc>
          <w:tcPr>
            <w:tcW w:w="241"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101,4</w:t>
            </w:r>
          </w:p>
        </w:tc>
        <w:tc>
          <w:tcPr>
            <w:tcW w:w="240"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101,5</w:t>
            </w:r>
          </w:p>
        </w:tc>
        <w:tc>
          <w:tcPr>
            <w:tcW w:w="240"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102,0</w:t>
            </w:r>
          </w:p>
        </w:tc>
        <w:tc>
          <w:tcPr>
            <w:tcW w:w="240"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100,2</w:t>
            </w:r>
          </w:p>
        </w:tc>
        <w:tc>
          <w:tcPr>
            <w:tcW w:w="240"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100,4</w:t>
            </w:r>
          </w:p>
        </w:tc>
        <w:tc>
          <w:tcPr>
            <w:tcW w:w="240" w:type="pct"/>
            <w:tcBorders>
              <w:top w:val="single" w:sz="8" w:space="0" w:color="auto"/>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101,4</w:t>
            </w:r>
          </w:p>
        </w:tc>
        <w:tc>
          <w:tcPr>
            <w:tcW w:w="240" w:type="pct"/>
            <w:tcBorders>
              <w:top w:val="nil"/>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101,1</w:t>
            </w:r>
          </w:p>
        </w:tc>
        <w:tc>
          <w:tcPr>
            <w:tcW w:w="240" w:type="pct"/>
            <w:tcBorders>
              <w:top w:val="nil"/>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101,2</w:t>
            </w:r>
          </w:p>
        </w:tc>
        <w:tc>
          <w:tcPr>
            <w:tcW w:w="240" w:type="pct"/>
            <w:tcBorders>
              <w:top w:val="nil"/>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101,1</w:t>
            </w:r>
          </w:p>
        </w:tc>
        <w:tc>
          <w:tcPr>
            <w:tcW w:w="240" w:type="pct"/>
            <w:tcBorders>
              <w:top w:val="nil"/>
              <w:left w:val="nil"/>
              <w:bottom w:val="single" w:sz="8" w:space="0" w:color="auto"/>
              <w:right w:val="single" w:sz="4" w:space="0" w:color="auto"/>
            </w:tcBorders>
            <w:shd w:val="clear" w:color="000000" w:fill="C0C0C0"/>
            <w:noWrap/>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101,1</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F67B0C" w:rsidRDefault="00F67B0C">
      <w:r>
        <w:br w:type="page"/>
      </w:r>
    </w:p>
    <w:tbl>
      <w:tblPr>
        <w:tblW w:w="5000" w:type="pct"/>
        <w:tblCellMar>
          <w:left w:w="70" w:type="dxa"/>
          <w:right w:w="70" w:type="dxa"/>
        </w:tblCellMar>
        <w:tblLook w:val="04A0"/>
      </w:tblPr>
      <w:tblGrid>
        <w:gridCol w:w="4444"/>
        <w:gridCol w:w="681"/>
        <w:gridCol w:w="681"/>
        <w:gridCol w:w="697"/>
        <w:gridCol w:w="681"/>
        <w:gridCol w:w="681"/>
        <w:gridCol w:w="682"/>
        <w:gridCol w:w="682"/>
        <w:gridCol w:w="682"/>
        <w:gridCol w:w="682"/>
        <w:gridCol w:w="682"/>
        <w:gridCol w:w="682"/>
        <w:gridCol w:w="682"/>
        <w:gridCol w:w="937"/>
      </w:tblGrid>
      <w:tr w:rsidR="00AD6362" w:rsidRPr="00AD6362" w:rsidTr="00AD6362">
        <w:trPr>
          <w:trHeight w:val="360"/>
        </w:trPr>
        <w:tc>
          <w:tcPr>
            <w:tcW w:w="5000" w:type="pct"/>
            <w:gridSpan w:val="14"/>
            <w:tcBorders>
              <w:top w:val="nil"/>
              <w:left w:val="nil"/>
              <w:bottom w:val="single" w:sz="8" w:space="0" w:color="auto"/>
              <w:right w:val="nil"/>
            </w:tcBorders>
            <w:shd w:val="clear" w:color="auto" w:fill="auto"/>
            <w:noWrap/>
            <w:vAlign w:val="bottom"/>
            <w:hideMark/>
          </w:tcPr>
          <w:p w:rsidR="00AD6362" w:rsidRPr="00B75327" w:rsidRDefault="00AD6362" w:rsidP="00F97AE7">
            <w:pPr>
              <w:rPr>
                <w:rFonts w:ascii="Times New Roman" w:eastAsia="Times New Roman" w:hAnsi="Times New Roman" w:cs="Times New Roman"/>
                <w:b/>
                <w:bCs/>
                <w:color w:val="548DD4" w:themeColor="text2" w:themeTint="99"/>
                <w:sz w:val="24"/>
                <w:szCs w:val="24"/>
                <w:lang w:eastAsia="fr-FR"/>
              </w:rPr>
            </w:pPr>
            <w:r w:rsidRPr="00B75327">
              <w:rPr>
                <w:rFonts w:ascii="Times New Roman" w:eastAsia="Times New Roman" w:hAnsi="Times New Roman" w:cs="Times New Roman"/>
                <w:b/>
                <w:bCs/>
                <w:color w:val="548DD4" w:themeColor="text2" w:themeTint="99"/>
                <w:sz w:val="24"/>
                <w:szCs w:val="24"/>
                <w:lang w:eastAsia="fr-FR"/>
              </w:rPr>
              <w:lastRenderedPageBreak/>
              <w:t xml:space="preserve">Tableau </w:t>
            </w:r>
            <w:r w:rsidR="004841B9" w:rsidRPr="00B75327">
              <w:rPr>
                <w:rFonts w:ascii="Times New Roman" w:eastAsia="Times New Roman" w:hAnsi="Times New Roman" w:cs="Times New Roman"/>
                <w:b/>
                <w:bCs/>
                <w:color w:val="548DD4" w:themeColor="text2" w:themeTint="99"/>
                <w:sz w:val="24"/>
                <w:szCs w:val="24"/>
                <w:lang w:eastAsia="fr-FR"/>
              </w:rPr>
              <w:t>A5</w:t>
            </w:r>
            <w:r w:rsidRPr="00B75327">
              <w:rPr>
                <w:rFonts w:ascii="Times New Roman" w:eastAsia="Times New Roman" w:hAnsi="Times New Roman" w:cs="Times New Roman"/>
                <w:b/>
                <w:bCs/>
                <w:color w:val="548DD4" w:themeColor="text2" w:themeTint="99"/>
                <w:sz w:val="24"/>
                <w:szCs w:val="24"/>
                <w:lang w:eastAsia="fr-FR"/>
              </w:rPr>
              <w:t>: IPC de la ville de Kénitra (base 100:2017) par division et par mois- Année 2017-</w:t>
            </w:r>
          </w:p>
        </w:tc>
      </w:tr>
      <w:tr w:rsidR="00AD6362" w:rsidRPr="00AD6362" w:rsidTr="00AD6362">
        <w:trPr>
          <w:trHeight w:val="454"/>
        </w:trPr>
        <w:tc>
          <w:tcPr>
            <w:tcW w:w="1637" w:type="pct"/>
            <w:tcBorders>
              <w:top w:val="single" w:sz="8" w:space="0" w:color="auto"/>
              <w:left w:val="single" w:sz="4" w:space="0" w:color="auto"/>
              <w:bottom w:val="single" w:sz="8" w:space="0" w:color="auto"/>
              <w:right w:val="single" w:sz="8"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 xml:space="preserve"> DIVISIONS</w:t>
            </w:r>
          </w:p>
        </w:tc>
        <w:tc>
          <w:tcPr>
            <w:tcW w:w="251" w:type="pct"/>
            <w:tcBorders>
              <w:top w:val="single" w:sz="8" w:space="0" w:color="auto"/>
              <w:left w:val="single" w:sz="4" w:space="0" w:color="auto"/>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Jan</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Fev</w:t>
            </w:r>
          </w:p>
        </w:tc>
        <w:tc>
          <w:tcPr>
            <w:tcW w:w="257"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Mars</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Avr</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Mai</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Juin</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Jul</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Août</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Sep</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Oct</w:t>
            </w:r>
          </w:p>
        </w:tc>
        <w:tc>
          <w:tcPr>
            <w:tcW w:w="251" w:type="pct"/>
            <w:tcBorders>
              <w:top w:val="single" w:sz="8" w:space="0" w:color="auto"/>
              <w:left w:val="nil"/>
              <w:bottom w:val="single" w:sz="8" w:space="0" w:color="auto"/>
              <w:right w:val="single" w:sz="4"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Nov</w:t>
            </w:r>
          </w:p>
        </w:tc>
        <w:tc>
          <w:tcPr>
            <w:tcW w:w="251" w:type="pct"/>
            <w:tcBorders>
              <w:top w:val="single" w:sz="8" w:space="0" w:color="auto"/>
              <w:left w:val="single" w:sz="8" w:space="0" w:color="auto"/>
              <w:bottom w:val="single" w:sz="8" w:space="0" w:color="auto"/>
              <w:right w:val="nil"/>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Dec</w:t>
            </w:r>
          </w:p>
        </w:tc>
        <w:tc>
          <w:tcPr>
            <w:tcW w:w="341" w:type="pct"/>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AD6362" w:rsidRPr="00AD6362" w:rsidRDefault="00AD6362" w:rsidP="00AD6362">
            <w:pPr>
              <w:spacing w:after="0" w:line="240" w:lineRule="auto"/>
              <w:jc w:val="center"/>
              <w:rPr>
                <w:rFonts w:ascii="Times New Roman" w:eastAsia="Times New Roman" w:hAnsi="Times New Roman" w:cs="Times New Roman"/>
                <w:b/>
                <w:bCs/>
                <w:sz w:val="24"/>
                <w:szCs w:val="24"/>
                <w:lang w:eastAsia="fr-FR"/>
              </w:rPr>
            </w:pPr>
            <w:r w:rsidRPr="00AD6362">
              <w:rPr>
                <w:rFonts w:ascii="Times New Roman" w:eastAsia="Times New Roman" w:hAnsi="Times New Roman" w:cs="Times New Roman"/>
                <w:b/>
                <w:bCs/>
                <w:sz w:val="24"/>
                <w:szCs w:val="24"/>
                <w:lang w:eastAsia="fr-FR"/>
              </w:rPr>
              <w:t>Moy</w:t>
            </w:r>
          </w:p>
        </w:tc>
      </w:tr>
      <w:tr w:rsidR="00AD6362" w:rsidRPr="00AD6362" w:rsidTr="00AD6362">
        <w:trPr>
          <w:trHeight w:val="454"/>
        </w:trPr>
        <w:tc>
          <w:tcPr>
            <w:tcW w:w="16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01. PRODUITS ALIMENTAIRES ET BOISSONS NON ALCOOLISÉES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98,8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101,9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102,3</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02. BOISSONS ALCOOLISÉES, TABAC ET STUPÉFIANTS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03. ARTICLES D'HABILLEMENT ET CHAUSSURES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99,7</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04. LOGEMENT, EAU, GAZ, ELECTRICITE ET AUTRES COMBUSTIBLES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05. MEUBLES, ARTICLES DE MENAGE ET ENTRETIEN COURANT DU FOYER</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06. SANTÉ</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97,6</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97,6</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07. TRANSPORTS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100,7</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99,6</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97,7</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99,5</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100,5</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08. COMMUNICATIONS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09. LOISIRS ET CULTURE</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100,4</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10. ENSEIGNEMENT</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100,3</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11. RESTAURANTS ET HÔTELS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99,2</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99,8</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100,9</w:t>
            </w:r>
          </w:p>
        </w:tc>
        <w:tc>
          <w:tcPr>
            <w:tcW w:w="34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nil"/>
              <w:left w:val="single" w:sz="4" w:space="0" w:color="auto"/>
              <w:bottom w:val="single" w:sz="4" w:space="0" w:color="auto"/>
              <w:right w:val="single" w:sz="4" w:space="0" w:color="auto"/>
            </w:tcBorders>
            <w:shd w:val="clear" w:color="000000" w:fill="FFFFFF"/>
            <w:vAlign w:val="center"/>
            <w:hideMark/>
          </w:tcPr>
          <w:p w:rsidR="00AD6362" w:rsidRPr="00AD6362" w:rsidRDefault="00AD6362" w:rsidP="00AD6362">
            <w:pPr>
              <w:spacing w:after="0" w:line="240" w:lineRule="auto"/>
              <w:rPr>
                <w:rFonts w:ascii="Times New Roman" w:eastAsia="Times New Roman" w:hAnsi="Times New Roman" w:cs="Times New Roman"/>
                <w:b/>
                <w:bCs/>
                <w:sz w:val="16"/>
                <w:szCs w:val="16"/>
                <w:lang w:eastAsia="fr-FR"/>
              </w:rPr>
            </w:pPr>
            <w:r w:rsidRPr="00AD6362">
              <w:rPr>
                <w:rFonts w:ascii="Times New Roman" w:eastAsia="Times New Roman" w:hAnsi="Times New Roman" w:cs="Times New Roman"/>
                <w:b/>
                <w:bCs/>
                <w:sz w:val="16"/>
                <w:szCs w:val="16"/>
                <w:lang w:eastAsia="fr-FR"/>
              </w:rPr>
              <w:t>12. BIENS ET SERVICES DIVERS</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99,3</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7"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100,2</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99,9</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4"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8"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100,0</w:t>
            </w:r>
          </w:p>
        </w:tc>
        <w:tc>
          <w:tcPr>
            <w:tcW w:w="251" w:type="pct"/>
            <w:tcBorders>
              <w:top w:val="nil"/>
              <w:left w:val="nil"/>
              <w:bottom w:val="single" w:sz="8"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251" w:type="pct"/>
            <w:tcBorders>
              <w:top w:val="nil"/>
              <w:left w:val="nil"/>
              <w:bottom w:val="single" w:sz="8"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sz w:val="20"/>
                <w:szCs w:val="20"/>
                <w:lang w:eastAsia="fr-FR"/>
              </w:rPr>
            </w:pPr>
            <w:r w:rsidRPr="00AD6362">
              <w:rPr>
                <w:rFonts w:ascii="Times New Roman" w:eastAsia="Times New Roman" w:hAnsi="Times New Roman" w:cs="Times New Roman"/>
                <w:sz w:val="20"/>
                <w:szCs w:val="20"/>
                <w:lang w:eastAsia="fr-FR"/>
              </w:rPr>
              <w:t>100,1</w:t>
            </w:r>
          </w:p>
        </w:tc>
        <w:tc>
          <w:tcPr>
            <w:tcW w:w="341" w:type="pct"/>
            <w:tcBorders>
              <w:top w:val="nil"/>
              <w:left w:val="nil"/>
              <w:bottom w:val="single" w:sz="8" w:space="0" w:color="auto"/>
              <w:right w:val="single" w:sz="4" w:space="0" w:color="auto"/>
            </w:tcBorders>
            <w:shd w:val="clear" w:color="auto" w:fill="auto"/>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r w:rsidR="00AD6362" w:rsidRPr="00AD6362" w:rsidTr="00AD6362">
        <w:trPr>
          <w:trHeight w:val="454"/>
        </w:trPr>
        <w:tc>
          <w:tcPr>
            <w:tcW w:w="1637" w:type="pct"/>
            <w:tcBorders>
              <w:top w:val="single" w:sz="8" w:space="0" w:color="auto"/>
              <w:left w:val="single" w:sz="4" w:space="0" w:color="auto"/>
              <w:bottom w:val="single" w:sz="8" w:space="0" w:color="auto"/>
              <w:right w:val="single" w:sz="8" w:space="0" w:color="auto"/>
            </w:tcBorders>
            <w:shd w:val="clear" w:color="000000" w:fill="C0C0C0"/>
            <w:vAlign w:val="center"/>
            <w:hideMark/>
          </w:tcPr>
          <w:p w:rsidR="00AD6362" w:rsidRPr="00AD6362" w:rsidRDefault="00AD6362" w:rsidP="00AD6362">
            <w:pPr>
              <w:spacing w:after="0" w:line="240" w:lineRule="auto"/>
              <w:rPr>
                <w:rFonts w:ascii="Times New Roman" w:eastAsia="Times New Roman" w:hAnsi="Times New Roman" w:cs="Times New Roman"/>
                <w:b/>
                <w:bCs/>
                <w:lang w:eastAsia="fr-FR"/>
              </w:rPr>
            </w:pPr>
            <w:r w:rsidRPr="00AD6362">
              <w:rPr>
                <w:rFonts w:ascii="Times New Roman" w:eastAsia="Times New Roman" w:hAnsi="Times New Roman" w:cs="Times New Roman"/>
                <w:b/>
                <w:bCs/>
                <w:lang w:eastAsia="fr-FR"/>
              </w:rPr>
              <w:t xml:space="preserve">  INDICE  GENERAL    </w:t>
            </w:r>
          </w:p>
        </w:tc>
        <w:tc>
          <w:tcPr>
            <w:tcW w:w="251" w:type="pct"/>
            <w:tcBorders>
              <w:top w:val="single" w:sz="8" w:space="0" w:color="auto"/>
              <w:left w:val="single" w:sz="4" w:space="0" w:color="auto"/>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99,9</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99,7</w:t>
            </w:r>
          </w:p>
        </w:tc>
        <w:tc>
          <w:tcPr>
            <w:tcW w:w="257"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99,7</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99,3</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99,3</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99,1</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99,5</w:t>
            </w:r>
          </w:p>
        </w:tc>
        <w:tc>
          <w:tcPr>
            <w:tcW w:w="251" w:type="pct"/>
            <w:tcBorders>
              <w:top w:val="single" w:sz="8" w:space="0" w:color="auto"/>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100,9</w:t>
            </w:r>
          </w:p>
        </w:tc>
        <w:tc>
          <w:tcPr>
            <w:tcW w:w="251" w:type="pct"/>
            <w:tcBorders>
              <w:top w:val="nil"/>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100,5</w:t>
            </w:r>
          </w:p>
        </w:tc>
        <w:tc>
          <w:tcPr>
            <w:tcW w:w="251" w:type="pct"/>
            <w:tcBorders>
              <w:top w:val="nil"/>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100,9</w:t>
            </w:r>
          </w:p>
        </w:tc>
        <w:tc>
          <w:tcPr>
            <w:tcW w:w="251" w:type="pct"/>
            <w:tcBorders>
              <w:top w:val="nil"/>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101,1</w:t>
            </w:r>
          </w:p>
        </w:tc>
        <w:tc>
          <w:tcPr>
            <w:tcW w:w="341" w:type="pct"/>
            <w:tcBorders>
              <w:top w:val="nil"/>
              <w:left w:val="nil"/>
              <w:bottom w:val="single" w:sz="8" w:space="0" w:color="auto"/>
              <w:right w:val="single" w:sz="4" w:space="0" w:color="auto"/>
            </w:tcBorders>
            <w:shd w:val="clear" w:color="000000" w:fill="C0C0C0"/>
            <w:vAlign w:val="center"/>
            <w:hideMark/>
          </w:tcPr>
          <w:p w:rsidR="00AD6362" w:rsidRPr="00AD6362" w:rsidRDefault="00AD6362" w:rsidP="00AD6362">
            <w:pPr>
              <w:spacing w:after="0" w:line="240" w:lineRule="auto"/>
              <w:jc w:val="right"/>
              <w:rPr>
                <w:rFonts w:ascii="Times New Roman" w:eastAsia="Times New Roman" w:hAnsi="Times New Roman" w:cs="Times New Roman"/>
                <w:b/>
                <w:bCs/>
                <w:sz w:val="20"/>
                <w:szCs w:val="20"/>
                <w:lang w:eastAsia="fr-FR"/>
              </w:rPr>
            </w:pPr>
            <w:r w:rsidRPr="00AD6362">
              <w:rPr>
                <w:rFonts w:ascii="Times New Roman" w:eastAsia="Times New Roman" w:hAnsi="Times New Roman" w:cs="Times New Roman"/>
                <w:b/>
                <w:bCs/>
                <w:sz w:val="20"/>
                <w:szCs w:val="20"/>
                <w:lang w:eastAsia="fr-FR"/>
              </w:rPr>
              <w:t>100,0</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0247A5" w:rsidRDefault="000247A5" w:rsidP="00F7045D">
      <w:pPr>
        <w:rPr>
          <w:sz w:val="16"/>
          <w:szCs w:val="16"/>
        </w:rPr>
      </w:pPr>
    </w:p>
    <w:p w:rsidR="00E678BE" w:rsidRDefault="00E678BE">
      <w:r>
        <w:br w:type="page"/>
      </w:r>
    </w:p>
    <w:p w:rsidR="00BD5911" w:rsidRDefault="00BD5911" w:rsidP="00F7045D">
      <w:pPr>
        <w:rPr>
          <w:sz w:val="16"/>
          <w:szCs w:val="16"/>
        </w:rPr>
        <w:sectPr w:rsidR="00BD5911" w:rsidSect="00BD5911">
          <w:pgSz w:w="16838" w:h="11906" w:orient="landscape"/>
          <w:pgMar w:top="1418" w:right="1701" w:bottom="1276" w:left="1701" w:header="709" w:footer="709" w:gutter="0"/>
          <w:cols w:space="708"/>
          <w:titlePg/>
          <w:docGrid w:linePitch="360"/>
        </w:sectPr>
      </w:pPr>
    </w:p>
    <w:p w:rsidR="00E8089E" w:rsidRPr="00E678BE" w:rsidRDefault="0039136B" w:rsidP="00F97AE7">
      <w:pPr>
        <w:pStyle w:val="Lgende"/>
        <w:spacing w:after="0"/>
        <w:rPr>
          <w:rFonts w:asciiTheme="majorBidi" w:hAnsiTheme="majorBidi" w:cstheme="majorBidi"/>
          <w:bCs w:val="0"/>
          <w:sz w:val="22"/>
        </w:rPr>
      </w:pPr>
      <w:r>
        <w:rPr>
          <w:rFonts w:asciiTheme="majorBidi" w:hAnsiTheme="majorBidi" w:cstheme="majorBidi"/>
          <w:sz w:val="22"/>
        </w:rPr>
        <w:lastRenderedPageBreak/>
        <w:t>Tableau A6</w:t>
      </w:r>
      <w:r w:rsidR="00F67E78" w:rsidRPr="00E678BE">
        <w:rPr>
          <w:rFonts w:asciiTheme="majorBidi" w:hAnsiTheme="majorBidi" w:cstheme="majorBidi"/>
          <w:sz w:val="22"/>
        </w:rPr>
        <w:t xml:space="preserve"> : </w:t>
      </w:r>
      <w:r w:rsidR="00E8089E" w:rsidRPr="00E678BE">
        <w:rPr>
          <w:rFonts w:asciiTheme="majorBidi" w:hAnsiTheme="majorBidi" w:cstheme="majorBidi"/>
          <w:bCs w:val="0"/>
          <w:sz w:val="22"/>
        </w:rPr>
        <w:t xml:space="preserve">Evolution de l'IPC  général </w:t>
      </w:r>
      <w:r>
        <w:rPr>
          <w:rFonts w:asciiTheme="majorBidi" w:hAnsiTheme="majorBidi" w:cstheme="majorBidi"/>
          <w:bCs w:val="0"/>
          <w:sz w:val="22"/>
        </w:rPr>
        <w:t xml:space="preserve">(base 100: 2017) </w:t>
      </w:r>
      <w:r w:rsidR="00E8089E" w:rsidRPr="00E678BE">
        <w:rPr>
          <w:rFonts w:asciiTheme="majorBidi" w:hAnsiTheme="majorBidi" w:cstheme="majorBidi"/>
          <w:bCs w:val="0"/>
          <w:sz w:val="22"/>
        </w:rPr>
        <w:t xml:space="preserve">de la ville de  </w:t>
      </w:r>
      <w:r w:rsidR="00D075F5" w:rsidRPr="00E678BE">
        <w:rPr>
          <w:rFonts w:asciiTheme="majorBidi" w:hAnsiTheme="majorBidi" w:cstheme="majorBidi"/>
          <w:bCs w:val="0"/>
          <w:sz w:val="22"/>
        </w:rPr>
        <w:t>Kenitra</w:t>
      </w:r>
      <w:r>
        <w:rPr>
          <w:rFonts w:asciiTheme="majorBidi" w:hAnsiTheme="majorBidi" w:cstheme="majorBidi"/>
          <w:bCs w:val="0"/>
          <w:sz w:val="22"/>
        </w:rPr>
        <w:t xml:space="preserve"> et du Maroc entre 201</w:t>
      </w:r>
      <w:r w:rsidR="00E8089E" w:rsidRPr="00E678BE">
        <w:rPr>
          <w:rFonts w:asciiTheme="majorBidi" w:hAnsiTheme="majorBidi" w:cstheme="majorBidi"/>
          <w:bCs w:val="0"/>
          <w:sz w:val="22"/>
        </w:rPr>
        <w:t>7 et 20</w:t>
      </w:r>
      <w:r>
        <w:rPr>
          <w:rFonts w:asciiTheme="majorBidi" w:hAnsiTheme="majorBidi" w:cstheme="majorBidi"/>
          <w:bCs w:val="0"/>
          <w:sz w:val="22"/>
        </w:rPr>
        <w:t>20</w:t>
      </w:r>
    </w:p>
    <w:tbl>
      <w:tblPr>
        <w:tblW w:w="9236" w:type="dxa"/>
        <w:tblInd w:w="70" w:type="dxa"/>
        <w:tblLayout w:type="fixed"/>
        <w:tblCellMar>
          <w:left w:w="70" w:type="dxa"/>
          <w:right w:w="70" w:type="dxa"/>
        </w:tblCellMar>
        <w:tblLook w:val="04A0"/>
      </w:tblPr>
      <w:tblGrid>
        <w:gridCol w:w="1916"/>
        <w:gridCol w:w="1830"/>
        <w:gridCol w:w="1830"/>
        <w:gridCol w:w="1830"/>
        <w:gridCol w:w="1830"/>
      </w:tblGrid>
      <w:tr w:rsidR="0039136B" w:rsidRPr="0039136B" w:rsidTr="0039136B">
        <w:trPr>
          <w:trHeight w:val="290"/>
        </w:trPr>
        <w:tc>
          <w:tcPr>
            <w:tcW w:w="1916" w:type="dxa"/>
            <w:tcBorders>
              <w:bottom w:val="single" w:sz="12" w:space="0" w:color="auto"/>
            </w:tcBorders>
            <w:shd w:val="clear" w:color="auto" w:fill="auto"/>
            <w:noWrap/>
            <w:vAlign w:val="bottom"/>
            <w:hideMark/>
          </w:tcPr>
          <w:p w:rsidR="0039136B" w:rsidRPr="0039136B" w:rsidRDefault="0039136B" w:rsidP="0039136B">
            <w:pPr>
              <w:spacing w:after="0" w:line="240" w:lineRule="auto"/>
              <w:rPr>
                <w:rFonts w:ascii="Times New Roman" w:eastAsia="Times New Roman" w:hAnsi="Times New Roman" w:cs="Times New Roman"/>
                <w:color w:val="000000"/>
                <w:lang w:eastAsia="fr-FR"/>
              </w:rPr>
            </w:pPr>
          </w:p>
        </w:tc>
        <w:tc>
          <w:tcPr>
            <w:tcW w:w="1830" w:type="dxa"/>
            <w:tcBorders>
              <w:top w:val="single" w:sz="12" w:space="0" w:color="auto"/>
              <w:bottom w:val="single" w:sz="12" w:space="0" w:color="auto"/>
            </w:tcBorders>
            <w:shd w:val="clear" w:color="auto" w:fill="A6A6A6" w:themeFill="background1" w:themeFillShade="A6"/>
            <w:noWrap/>
            <w:vAlign w:val="bottom"/>
            <w:hideMark/>
          </w:tcPr>
          <w:p w:rsidR="0039136B" w:rsidRPr="0039136B" w:rsidRDefault="0039136B" w:rsidP="0039136B">
            <w:pPr>
              <w:spacing w:after="0" w:line="240" w:lineRule="auto"/>
              <w:jc w:val="right"/>
              <w:rPr>
                <w:rFonts w:ascii="Times New Roman" w:eastAsia="Times New Roman" w:hAnsi="Times New Roman" w:cs="Times New Roman"/>
                <w:b/>
                <w:bCs/>
                <w:color w:val="000000"/>
                <w:lang w:eastAsia="fr-FR"/>
              </w:rPr>
            </w:pPr>
            <w:r w:rsidRPr="0039136B">
              <w:rPr>
                <w:rFonts w:ascii="Times New Roman" w:eastAsia="Times New Roman" w:hAnsi="Times New Roman" w:cs="Times New Roman"/>
                <w:b/>
                <w:bCs/>
                <w:color w:val="000000"/>
                <w:lang w:eastAsia="fr-FR"/>
              </w:rPr>
              <w:t>2017</w:t>
            </w:r>
          </w:p>
        </w:tc>
        <w:tc>
          <w:tcPr>
            <w:tcW w:w="1830" w:type="dxa"/>
            <w:tcBorders>
              <w:top w:val="single" w:sz="12" w:space="0" w:color="auto"/>
              <w:bottom w:val="single" w:sz="12" w:space="0" w:color="auto"/>
            </w:tcBorders>
            <w:shd w:val="clear" w:color="auto" w:fill="A6A6A6" w:themeFill="background1" w:themeFillShade="A6"/>
            <w:noWrap/>
            <w:vAlign w:val="bottom"/>
            <w:hideMark/>
          </w:tcPr>
          <w:p w:rsidR="0039136B" w:rsidRPr="0039136B" w:rsidRDefault="0039136B" w:rsidP="0039136B">
            <w:pPr>
              <w:spacing w:after="0" w:line="240" w:lineRule="auto"/>
              <w:jc w:val="right"/>
              <w:rPr>
                <w:rFonts w:ascii="Times New Roman" w:eastAsia="Times New Roman" w:hAnsi="Times New Roman" w:cs="Times New Roman"/>
                <w:b/>
                <w:bCs/>
                <w:color w:val="000000"/>
                <w:lang w:eastAsia="fr-FR"/>
              </w:rPr>
            </w:pPr>
            <w:r w:rsidRPr="0039136B">
              <w:rPr>
                <w:rFonts w:ascii="Times New Roman" w:eastAsia="Times New Roman" w:hAnsi="Times New Roman" w:cs="Times New Roman"/>
                <w:b/>
                <w:bCs/>
                <w:color w:val="000000"/>
                <w:lang w:eastAsia="fr-FR"/>
              </w:rPr>
              <w:t>2018</w:t>
            </w:r>
          </w:p>
        </w:tc>
        <w:tc>
          <w:tcPr>
            <w:tcW w:w="1830" w:type="dxa"/>
            <w:tcBorders>
              <w:top w:val="single" w:sz="12" w:space="0" w:color="auto"/>
              <w:bottom w:val="single" w:sz="12" w:space="0" w:color="auto"/>
            </w:tcBorders>
            <w:shd w:val="clear" w:color="auto" w:fill="A6A6A6" w:themeFill="background1" w:themeFillShade="A6"/>
            <w:noWrap/>
            <w:vAlign w:val="bottom"/>
            <w:hideMark/>
          </w:tcPr>
          <w:p w:rsidR="0039136B" w:rsidRPr="0039136B" w:rsidRDefault="0039136B" w:rsidP="0039136B">
            <w:pPr>
              <w:spacing w:after="0" w:line="240" w:lineRule="auto"/>
              <w:jc w:val="right"/>
              <w:rPr>
                <w:rFonts w:ascii="Times New Roman" w:eastAsia="Times New Roman" w:hAnsi="Times New Roman" w:cs="Times New Roman"/>
                <w:b/>
                <w:bCs/>
                <w:color w:val="000000"/>
                <w:lang w:eastAsia="fr-FR"/>
              </w:rPr>
            </w:pPr>
            <w:r w:rsidRPr="0039136B">
              <w:rPr>
                <w:rFonts w:ascii="Times New Roman" w:eastAsia="Times New Roman" w:hAnsi="Times New Roman" w:cs="Times New Roman"/>
                <w:b/>
                <w:bCs/>
                <w:color w:val="000000"/>
                <w:lang w:eastAsia="fr-FR"/>
              </w:rPr>
              <w:t>2019</w:t>
            </w:r>
          </w:p>
        </w:tc>
        <w:tc>
          <w:tcPr>
            <w:tcW w:w="1830" w:type="dxa"/>
            <w:tcBorders>
              <w:top w:val="single" w:sz="12" w:space="0" w:color="auto"/>
              <w:bottom w:val="single" w:sz="12" w:space="0" w:color="auto"/>
            </w:tcBorders>
            <w:shd w:val="clear" w:color="auto" w:fill="A6A6A6" w:themeFill="background1" w:themeFillShade="A6"/>
            <w:noWrap/>
            <w:vAlign w:val="bottom"/>
            <w:hideMark/>
          </w:tcPr>
          <w:p w:rsidR="0039136B" w:rsidRPr="0039136B" w:rsidRDefault="0039136B" w:rsidP="0039136B">
            <w:pPr>
              <w:spacing w:after="0" w:line="240" w:lineRule="auto"/>
              <w:jc w:val="right"/>
              <w:rPr>
                <w:rFonts w:ascii="Times New Roman" w:eastAsia="Times New Roman" w:hAnsi="Times New Roman" w:cs="Times New Roman"/>
                <w:b/>
                <w:bCs/>
                <w:color w:val="000000"/>
                <w:lang w:eastAsia="fr-FR"/>
              </w:rPr>
            </w:pPr>
            <w:r w:rsidRPr="0039136B">
              <w:rPr>
                <w:rFonts w:ascii="Times New Roman" w:eastAsia="Times New Roman" w:hAnsi="Times New Roman" w:cs="Times New Roman"/>
                <w:b/>
                <w:bCs/>
                <w:color w:val="000000"/>
                <w:lang w:eastAsia="fr-FR"/>
              </w:rPr>
              <w:t>2020</w:t>
            </w:r>
          </w:p>
        </w:tc>
      </w:tr>
      <w:tr w:rsidR="0039136B" w:rsidRPr="0039136B" w:rsidTr="0039136B">
        <w:trPr>
          <w:trHeight w:val="290"/>
        </w:trPr>
        <w:tc>
          <w:tcPr>
            <w:tcW w:w="1916" w:type="dxa"/>
            <w:tcBorders>
              <w:top w:val="single" w:sz="12" w:space="0" w:color="auto"/>
              <w:bottom w:val="single" w:sz="12" w:space="0" w:color="auto"/>
            </w:tcBorders>
            <w:shd w:val="clear" w:color="auto" w:fill="auto"/>
            <w:noWrap/>
            <w:vAlign w:val="bottom"/>
            <w:hideMark/>
          </w:tcPr>
          <w:p w:rsidR="0039136B" w:rsidRPr="0039136B" w:rsidRDefault="0039136B" w:rsidP="0039136B">
            <w:pPr>
              <w:spacing w:after="0" w:line="240" w:lineRule="auto"/>
              <w:rPr>
                <w:rFonts w:ascii="Times New Roman" w:eastAsia="Times New Roman" w:hAnsi="Times New Roman" w:cs="Times New Roman"/>
                <w:b/>
                <w:bCs/>
                <w:color w:val="000000"/>
                <w:lang w:eastAsia="fr-FR"/>
              </w:rPr>
            </w:pPr>
            <w:r w:rsidRPr="0039136B">
              <w:rPr>
                <w:rFonts w:ascii="Times New Roman" w:eastAsia="Times New Roman" w:hAnsi="Times New Roman" w:cs="Times New Roman"/>
                <w:b/>
                <w:bCs/>
                <w:color w:val="000000"/>
                <w:lang w:eastAsia="fr-FR"/>
              </w:rPr>
              <w:t>IPC KENITRA</w:t>
            </w:r>
          </w:p>
        </w:tc>
        <w:tc>
          <w:tcPr>
            <w:tcW w:w="1830" w:type="dxa"/>
            <w:tcBorders>
              <w:top w:val="single" w:sz="12" w:space="0" w:color="auto"/>
              <w:bottom w:val="single" w:sz="12" w:space="0" w:color="auto"/>
            </w:tcBorders>
            <w:shd w:val="clear" w:color="auto" w:fill="auto"/>
            <w:noWrap/>
            <w:vAlign w:val="bottom"/>
            <w:hideMark/>
          </w:tcPr>
          <w:p w:rsidR="0039136B" w:rsidRPr="0039136B" w:rsidRDefault="0039136B" w:rsidP="0039136B">
            <w:pPr>
              <w:spacing w:after="0" w:line="240" w:lineRule="auto"/>
              <w:jc w:val="right"/>
              <w:rPr>
                <w:rFonts w:ascii="Times New Roman" w:eastAsia="Times New Roman" w:hAnsi="Times New Roman" w:cs="Times New Roman"/>
                <w:color w:val="000000"/>
                <w:lang w:eastAsia="fr-FR"/>
              </w:rPr>
            </w:pPr>
            <w:r w:rsidRPr="0039136B">
              <w:rPr>
                <w:rFonts w:ascii="Times New Roman" w:eastAsia="Times New Roman" w:hAnsi="Times New Roman" w:cs="Times New Roman"/>
                <w:color w:val="000000"/>
                <w:lang w:eastAsia="fr-FR"/>
              </w:rPr>
              <w:t>100,0</w:t>
            </w:r>
          </w:p>
        </w:tc>
        <w:tc>
          <w:tcPr>
            <w:tcW w:w="1830" w:type="dxa"/>
            <w:tcBorders>
              <w:top w:val="single" w:sz="12" w:space="0" w:color="auto"/>
              <w:bottom w:val="single" w:sz="12" w:space="0" w:color="auto"/>
            </w:tcBorders>
            <w:shd w:val="clear" w:color="auto" w:fill="auto"/>
            <w:noWrap/>
            <w:vAlign w:val="bottom"/>
            <w:hideMark/>
          </w:tcPr>
          <w:p w:rsidR="0039136B" w:rsidRPr="0039136B" w:rsidRDefault="0039136B" w:rsidP="0039136B">
            <w:pPr>
              <w:spacing w:after="0" w:line="240" w:lineRule="auto"/>
              <w:jc w:val="right"/>
              <w:rPr>
                <w:rFonts w:ascii="Calibri" w:eastAsia="Times New Roman" w:hAnsi="Calibri" w:cs="Calibri"/>
                <w:color w:val="000000"/>
                <w:lang w:eastAsia="fr-FR"/>
              </w:rPr>
            </w:pPr>
            <w:r w:rsidRPr="0039136B">
              <w:rPr>
                <w:rFonts w:ascii="Calibri" w:eastAsia="Times New Roman" w:hAnsi="Calibri" w:cs="Calibri"/>
                <w:color w:val="000000"/>
                <w:lang w:eastAsia="fr-FR"/>
              </w:rPr>
              <w:t>101,1</w:t>
            </w:r>
          </w:p>
        </w:tc>
        <w:tc>
          <w:tcPr>
            <w:tcW w:w="1830" w:type="dxa"/>
            <w:tcBorders>
              <w:top w:val="single" w:sz="12" w:space="0" w:color="auto"/>
              <w:bottom w:val="single" w:sz="12" w:space="0" w:color="auto"/>
            </w:tcBorders>
            <w:shd w:val="clear" w:color="auto" w:fill="auto"/>
            <w:noWrap/>
            <w:vAlign w:val="bottom"/>
            <w:hideMark/>
          </w:tcPr>
          <w:p w:rsidR="0039136B" w:rsidRPr="0039136B" w:rsidRDefault="0039136B" w:rsidP="0039136B">
            <w:pPr>
              <w:spacing w:after="0" w:line="240" w:lineRule="auto"/>
              <w:jc w:val="right"/>
              <w:rPr>
                <w:rFonts w:ascii="Calibri" w:eastAsia="Times New Roman" w:hAnsi="Calibri" w:cs="Calibri"/>
                <w:color w:val="000000"/>
                <w:lang w:eastAsia="fr-FR"/>
              </w:rPr>
            </w:pPr>
            <w:r w:rsidRPr="0039136B">
              <w:rPr>
                <w:rFonts w:ascii="Calibri" w:eastAsia="Times New Roman" w:hAnsi="Calibri" w:cs="Calibri"/>
                <w:color w:val="000000"/>
                <w:lang w:eastAsia="fr-FR"/>
              </w:rPr>
              <w:t>101,</w:t>
            </w:r>
            <w:r>
              <w:rPr>
                <w:rFonts w:ascii="Calibri" w:eastAsia="Times New Roman" w:hAnsi="Calibri" w:cs="Calibri"/>
                <w:color w:val="000000"/>
                <w:lang w:eastAsia="fr-FR"/>
              </w:rPr>
              <w:t>5</w:t>
            </w:r>
          </w:p>
        </w:tc>
        <w:tc>
          <w:tcPr>
            <w:tcW w:w="1830" w:type="dxa"/>
            <w:tcBorders>
              <w:top w:val="single" w:sz="12" w:space="0" w:color="auto"/>
              <w:bottom w:val="single" w:sz="12" w:space="0" w:color="auto"/>
            </w:tcBorders>
            <w:shd w:val="clear" w:color="auto" w:fill="auto"/>
            <w:noWrap/>
            <w:vAlign w:val="bottom"/>
            <w:hideMark/>
          </w:tcPr>
          <w:p w:rsidR="0039136B" w:rsidRPr="0039136B" w:rsidRDefault="0039136B" w:rsidP="0039136B">
            <w:pPr>
              <w:spacing w:after="0" w:line="240" w:lineRule="auto"/>
              <w:jc w:val="right"/>
              <w:rPr>
                <w:rFonts w:ascii="Calibri" w:eastAsia="Times New Roman" w:hAnsi="Calibri" w:cs="Calibri"/>
                <w:color w:val="000000"/>
                <w:lang w:eastAsia="fr-FR"/>
              </w:rPr>
            </w:pPr>
            <w:r w:rsidRPr="0039136B">
              <w:rPr>
                <w:rFonts w:ascii="Calibri" w:eastAsia="Times New Roman" w:hAnsi="Calibri" w:cs="Calibri"/>
                <w:color w:val="000000"/>
                <w:lang w:eastAsia="fr-FR"/>
              </w:rPr>
              <w:t>101,6</w:t>
            </w:r>
          </w:p>
        </w:tc>
      </w:tr>
      <w:tr w:rsidR="0039136B" w:rsidRPr="0039136B" w:rsidTr="0039136B">
        <w:trPr>
          <w:trHeight w:val="290"/>
        </w:trPr>
        <w:tc>
          <w:tcPr>
            <w:tcW w:w="1916" w:type="dxa"/>
            <w:tcBorders>
              <w:top w:val="single" w:sz="12" w:space="0" w:color="auto"/>
              <w:bottom w:val="single" w:sz="12" w:space="0" w:color="auto"/>
            </w:tcBorders>
            <w:shd w:val="clear" w:color="auto" w:fill="auto"/>
            <w:noWrap/>
            <w:vAlign w:val="bottom"/>
            <w:hideMark/>
          </w:tcPr>
          <w:p w:rsidR="0039136B" w:rsidRPr="0039136B" w:rsidRDefault="0039136B" w:rsidP="0039136B">
            <w:pPr>
              <w:spacing w:after="0" w:line="240" w:lineRule="auto"/>
              <w:rPr>
                <w:rFonts w:ascii="Times New Roman" w:eastAsia="Times New Roman" w:hAnsi="Times New Roman" w:cs="Times New Roman"/>
                <w:b/>
                <w:bCs/>
                <w:color w:val="000000"/>
                <w:lang w:eastAsia="fr-FR"/>
              </w:rPr>
            </w:pPr>
            <w:r w:rsidRPr="0039136B">
              <w:rPr>
                <w:rFonts w:ascii="Times New Roman" w:eastAsia="Times New Roman" w:hAnsi="Times New Roman" w:cs="Times New Roman"/>
                <w:b/>
                <w:bCs/>
                <w:color w:val="000000"/>
                <w:lang w:eastAsia="fr-FR"/>
              </w:rPr>
              <w:t>IPC NATIONAL</w:t>
            </w:r>
          </w:p>
        </w:tc>
        <w:tc>
          <w:tcPr>
            <w:tcW w:w="1830" w:type="dxa"/>
            <w:tcBorders>
              <w:top w:val="single" w:sz="12" w:space="0" w:color="auto"/>
              <w:bottom w:val="single" w:sz="12" w:space="0" w:color="auto"/>
            </w:tcBorders>
            <w:shd w:val="clear" w:color="auto" w:fill="auto"/>
            <w:noWrap/>
            <w:vAlign w:val="bottom"/>
            <w:hideMark/>
          </w:tcPr>
          <w:p w:rsidR="0039136B" w:rsidRPr="0039136B" w:rsidRDefault="0039136B" w:rsidP="0039136B">
            <w:pPr>
              <w:spacing w:after="0" w:line="240" w:lineRule="auto"/>
              <w:jc w:val="right"/>
              <w:rPr>
                <w:rFonts w:ascii="Times New Roman" w:eastAsia="Times New Roman" w:hAnsi="Times New Roman" w:cs="Times New Roman"/>
                <w:color w:val="000000"/>
                <w:lang w:eastAsia="fr-FR"/>
              </w:rPr>
            </w:pPr>
            <w:r w:rsidRPr="0039136B">
              <w:rPr>
                <w:rFonts w:ascii="Times New Roman" w:eastAsia="Times New Roman" w:hAnsi="Times New Roman" w:cs="Times New Roman"/>
                <w:color w:val="000000"/>
                <w:lang w:eastAsia="fr-FR"/>
              </w:rPr>
              <w:t>100,0</w:t>
            </w:r>
          </w:p>
        </w:tc>
        <w:tc>
          <w:tcPr>
            <w:tcW w:w="1830" w:type="dxa"/>
            <w:tcBorders>
              <w:top w:val="single" w:sz="12" w:space="0" w:color="auto"/>
              <w:bottom w:val="single" w:sz="12" w:space="0" w:color="auto"/>
            </w:tcBorders>
            <w:shd w:val="clear" w:color="auto" w:fill="auto"/>
            <w:noWrap/>
            <w:vAlign w:val="bottom"/>
            <w:hideMark/>
          </w:tcPr>
          <w:p w:rsidR="0039136B" w:rsidRPr="0039136B" w:rsidRDefault="0039136B" w:rsidP="0039136B">
            <w:pPr>
              <w:spacing w:after="0" w:line="240" w:lineRule="auto"/>
              <w:jc w:val="right"/>
              <w:rPr>
                <w:rFonts w:ascii="Calibri" w:eastAsia="Times New Roman" w:hAnsi="Calibri" w:cs="Calibri"/>
                <w:color w:val="000000"/>
                <w:lang w:eastAsia="fr-FR"/>
              </w:rPr>
            </w:pPr>
            <w:r w:rsidRPr="0039136B">
              <w:rPr>
                <w:rFonts w:ascii="Calibri" w:eastAsia="Times New Roman" w:hAnsi="Calibri" w:cs="Calibri"/>
                <w:color w:val="000000"/>
                <w:lang w:eastAsia="fr-FR"/>
              </w:rPr>
              <w:t>101,6</w:t>
            </w:r>
          </w:p>
        </w:tc>
        <w:tc>
          <w:tcPr>
            <w:tcW w:w="1830" w:type="dxa"/>
            <w:tcBorders>
              <w:top w:val="single" w:sz="12" w:space="0" w:color="auto"/>
              <w:bottom w:val="single" w:sz="12" w:space="0" w:color="auto"/>
            </w:tcBorders>
            <w:shd w:val="clear" w:color="auto" w:fill="auto"/>
            <w:noWrap/>
            <w:vAlign w:val="bottom"/>
            <w:hideMark/>
          </w:tcPr>
          <w:p w:rsidR="0039136B" w:rsidRPr="0039136B" w:rsidRDefault="0039136B" w:rsidP="0039136B">
            <w:pPr>
              <w:spacing w:after="0" w:line="240" w:lineRule="auto"/>
              <w:jc w:val="right"/>
              <w:rPr>
                <w:rFonts w:ascii="Calibri" w:eastAsia="Times New Roman" w:hAnsi="Calibri" w:cs="Calibri"/>
                <w:color w:val="000000"/>
                <w:lang w:eastAsia="fr-FR"/>
              </w:rPr>
            </w:pPr>
            <w:r w:rsidRPr="0039136B">
              <w:rPr>
                <w:rFonts w:ascii="Calibri" w:eastAsia="Times New Roman" w:hAnsi="Calibri" w:cs="Calibri"/>
                <w:color w:val="000000"/>
                <w:lang w:eastAsia="fr-FR"/>
              </w:rPr>
              <w:t>101,8</w:t>
            </w:r>
          </w:p>
        </w:tc>
        <w:tc>
          <w:tcPr>
            <w:tcW w:w="1830" w:type="dxa"/>
            <w:tcBorders>
              <w:top w:val="single" w:sz="12" w:space="0" w:color="auto"/>
              <w:bottom w:val="single" w:sz="12" w:space="0" w:color="auto"/>
            </w:tcBorders>
            <w:shd w:val="clear" w:color="auto" w:fill="auto"/>
            <w:noWrap/>
            <w:vAlign w:val="bottom"/>
            <w:hideMark/>
          </w:tcPr>
          <w:p w:rsidR="0039136B" w:rsidRPr="0039136B" w:rsidRDefault="0039136B" w:rsidP="0039136B">
            <w:pPr>
              <w:spacing w:after="0" w:line="240" w:lineRule="auto"/>
              <w:jc w:val="right"/>
              <w:rPr>
                <w:rFonts w:ascii="Calibri" w:eastAsia="Times New Roman" w:hAnsi="Calibri" w:cs="Calibri"/>
                <w:color w:val="000000"/>
                <w:lang w:eastAsia="fr-FR"/>
              </w:rPr>
            </w:pPr>
            <w:r w:rsidRPr="0039136B">
              <w:rPr>
                <w:rFonts w:ascii="Calibri" w:eastAsia="Times New Roman" w:hAnsi="Calibri" w:cs="Calibri"/>
                <w:color w:val="000000"/>
                <w:lang w:eastAsia="fr-FR"/>
              </w:rPr>
              <w:t>102,5</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E8089E" w:rsidRPr="00E678BE" w:rsidRDefault="00F67E78" w:rsidP="00F97AE7">
      <w:pPr>
        <w:pStyle w:val="Lgende"/>
        <w:spacing w:after="0"/>
        <w:rPr>
          <w:rFonts w:asciiTheme="majorBidi" w:hAnsiTheme="majorBidi" w:cstheme="majorBidi"/>
          <w:bCs w:val="0"/>
          <w:sz w:val="22"/>
        </w:rPr>
      </w:pPr>
      <w:r w:rsidRPr="00E678BE">
        <w:rPr>
          <w:rFonts w:asciiTheme="majorBidi" w:hAnsiTheme="majorBidi" w:cstheme="majorBidi"/>
          <w:sz w:val="22"/>
        </w:rPr>
        <w:t>Tableau A</w:t>
      </w:r>
      <w:r w:rsidR="00B75327">
        <w:rPr>
          <w:rFonts w:asciiTheme="majorBidi" w:hAnsiTheme="majorBidi" w:cstheme="majorBidi"/>
          <w:sz w:val="22"/>
        </w:rPr>
        <w:t>7</w:t>
      </w:r>
      <w:r w:rsidRPr="00E678BE">
        <w:rPr>
          <w:rFonts w:asciiTheme="majorBidi" w:hAnsiTheme="majorBidi" w:cstheme="majorBidi"/>
          <w:sz w:val="22"/>
        </w:rPr>
        <w:t xml:space="preserve"> : </w:t>
      </w:r>
      <w:r w:rsidR="00E8089E" w:rsidRPr="00E678BE">
        <w:rPr>
          <w:rFonts w:asciiTheme="majorBidi" w:hAnsiTheme="majorBidi" w:cstheme="majorBidi"/>
          <w:bCs w:val="0"/>
          <w:sz w:val="22"/>
        </w:rPr>
        <w:t>Evolution de l'IPC</w:t>
      </w:r>
      <w:r w:rsidR="00D66C98">
        <w:rPr>
          <w:rFonts w:asciiTheme="majorBidi" w:hAnsiTheme="majorBidi" w:cstheme="majorBidi"/>
          <w:bCs w:val="0"/>
          <w:sz w:val="22"/>
        </w:rPr>
        <w:t xml:space="preserve"> </w:t>
      </w:r>
      <w:r w:rsidR="00B75327">
        <w:rPr>
          <w:rFonts w:asciiTheme="majorBidi" w:hAnsiTheme="majorBidi" w:cstheme="majorBidi"/>
          <w:bCs w:val="0"/>
          <w:sz w:val="22"/>
        </w:rPr>
        <w:t>(base 100 : 2017)</w:t>
      </w:r>
      <w:r w:rsidR="00E8089E" w:rsidRPr="00E678BE">
        <w:rPr>
          <w:rFonts w:asciiTheme="majorBidi" w:hAnsiTheme="majorBidi" w:cstheme="majorBidi"/>
          <w:bCs w:val="0"/>
          <w:sz w:val="22"/>
        </w:rPr>
        <w:t xml:space="preserve"> de la ville de </w:t>
      </w:r>
      <w:r w:rsidR="00D075F5" w:rsidRPr="00E678BE">
        <w:rPr>
          <w:rFonts w:asciiTheme="majorBidi" w:hAnsiTheme="majorBidi" w:cstheme="majorBidi"/>
          <w:bCs w:val="0"/>
          <w:sz w:val="22"/>
        </w:rPr>
        <w:t>Kenitra</w:t>
      </w:r>
      <w:r w:rsidR="00E8089E" w:rsidRPr="00E678BE">
        <w:rPr>
          <w:rFonts w:asciiTheme="majorBidi" w:hAnsiTheme="majorBidi" w:cstheme="majorBidi"/>
          <w:bCs w:val="0"/>
          <w:sz w:val="22"/>
        </w:rPr>
        <w:t xml:space="preserve"> entre 20</w:t>
      </w:r>
      <w:r w:rsidR="00B75327">
        <w:rPr>
          <w:rFonts w:asciiTheme="majorBidi" w:hAnsiTheme="majorBidi" w:cstheme="majorBidi"/>
          <w:bCs w:val="0"/>
          <w:sz w:val="22"/>
        </w:rPr>
        <w:t>1</w:t>
      </w:r>
      <w:r w:rsidR="00E8089E" w:rsidRPr="00E678BE">
        <w:rPr>
          <w:rFonts w:asciiTheme="majorBidi" w:hAnsiTheme="majorBidi" w:cstheme="majorBidi"/>
          <w:bCs w:val="0"/>
          <w:sz w:val="22"/>
        </w:rPr>
        <w:t>7 et 20</w:t>
      </w:r>
      <w:r w:rsidR="00B75327">
        <w:rPr>
          <w:rFonts w:asciiTheme="majorBidi" w:hAnsiTheme="majorBidi" w:cstheme="majorBidi"/>
          <w:bCs w:val="0"/>
          <w:sz w:val="22"/>
        </w:rPr>
        <w:t>20</w:t>
      </w:r>
      <w:r w:rsidR="00E8089E" w:rsidRPr="00E678BE">
        <w:rPr>
          <w:rFonts w:asciiTheme="majorBidi" w:hAnsiTheme="majorBidi" w:cstheme="majorBidi"/>
          <w:bCs w:val="0"/>
          <w:sz w:val="22"/>
        </w:rPr>
        <w:t xml:space="preserve"> par grande division</w:t>
      </w:r>
    </w:p>
    <w:tbl>
      <w:tblPr>
        <w:tblW w:w="9236" w:type="dxa"/>
        <w:tblInd w:w="70" w:type="dxa"/>
        <w:tblLayout w:type="fixed"/>
        <w:tblCellMar>
          <w:left w:w="70" w:type="dxa"/>
          <w:right w:w="70" w:type="dxa"/>
        </w:tblCellMar>
        <w:tblLook w:val="04A0"/>
      </w:tblPr>
      <w:tblGrid>
        <w:gridCol w:w="1916"/>
        <w:gridCol w:w="1830"/>
        <w:gridCol w:w="1830"/>
        <w:gridCol w:w="1830"/>
        <w:gridCol w:w="1830"/>
      </w:tblGrid>
      <w:tr w:rsidR="00B75327" w:rsidRPr="00B75327" w:rsidTr="00B75327">
        <w:trPr>
          <w:trHeight w:val="290"/>
        </w:trPr>
        <w:tc>
          <w:tcPr>
            <w:tcW w:w="1916" w:type="dxa"/>
            <w:tcBorders>
              <w:bottom w:val="single" w:sz="12" w:space="0" w:color="auto"/>
            </w:tcBorders>
            <w:shd w:val="clear" w:color="auto" w:fill="auto"/>
            <w:noWrap/>
            <w:vAlign w:val="bottom"/>
            <w:hideMark/>
          </w:tcPr>
          <w:p w:rsidR="00B75327" w:rsidRPr="00B75327" w:rsidRDefault="00B75327" w:rsidP="00B75327">
            <w:pPr>
              <w:spacing w:after="0" w:line="240" w:lineRule="auto"/>
              <w:rPr>
                <w:rFonts w:ascii="Calibri" w:eastAsia="Times New Roman" w:hAnsi="Calibri" w:cs="Calibri"/>
                <w:color w:val="000000"/>
                <w:lang w:eastAsia="fr-FR"/>
              </w:rPr>
            </w:pPr>
          </w:p>
        </w:tc>
        <w:tc>
          <w:tcPr>
            <w:tcW w:w="1830" w:type="dxa"/>
            <w:tcBorders>
              <w:top w:val="single" w:sz="12" w:space="0" w:color="auto"/>
              <w:bottom w:val="single" w:sz="12" w:space="0" w:color="auto"/>
            </w:tcBorders>
            <w:shd w:val="clear" w:color="auto" w:fill="A6A6A6" w:themeFill="background1" w:themeFillShade="A6"/>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color w:val="000000"/>
                <w:lang w:eastAsia="fr-FR"/>
              </w:rPr>
            </w:pPr>
            <w:r w:rsidRPr="00B75327">
              <w:rPr>
                <w:rFonts w:ascii="Times New Roman" w:eastAsia="Times New Roman" w:hAnsi="Times New Roman" w:cs="Times New Roman"/>
                <w:b/>
                <w:bCs/>
                <w:color w:val="000000"/>
                <w:lang w:eastAsia="fr-FR"/>
              </w:rPr>
              <w:t>2017</w:t>
            </w:r>
          </w:p>
        </w:tc>
        <w:tc>
          <w:tcPr>
            <w:tcW w:w="1830" w:type="dxa"/>
            <w:tcBorders>
              <w:top w:val="single" w:sz="12" w:space="0" w:color="auto"/>
              <w:bottom w:val="single" w:sz="12" w:space="0" w:color="auto"/>
            </w:tcBorders>
            <w:shd w:val="clear" w:color="auto" w:fill="A6A6A6" w:themeFill="background1" w:themeFillShade="A6"/>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color w:val="000000"/>
                <w:lang w:eastAsia="fr-FR"/>
              </w:rPr>
            </w:pPr>
            <w:r w:rsidRPr="00B75327">
              <w:rPr>
                <w:rFonts w:ascii="Times New Roman" w:eastAsia="Times New Roman" w:hAnsi="Times New Roman" w:cs="Times New Roman"/>
                <w:b/>
                <w:bCs/>
                <w:color w:val="000000"/>
                <w:lang w:eastAsia="fr-FR"/>
              </w:rPr>
              <w:t>2018</w:t>
            </w:r>
          </w:p>
        </w:tc>
        <w:tc>
          <w:tcPr>
            <w:tcW w:w="1830" w:type="dxa"/>
            <w:tcBorders>
              <w:top w:val="single" w:sz="12" w:space="0" w:color="auto"/>
              <w:bottom w:val="single" w:sz="12" w:space="0" w:color="auto"/>
            </w:tcBorders>
            <w:shd w:val="clear" w:color="auto" w:fill="A6A6A6" w:themeFill="background1" w:themeFillShade="A6"/>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color w:val="000000"/>
                <w:lang w:eastAsia="fr-FR"/>
              </w:rPr>
            </w:pPr>
            <w:r w:rsidRPr="00B75327">
              <w:rPr>
                <w:rFonts w:ascii="Times New Roman" w:eastAsia="Times New Roman" w:hAnsi="Times New Roman" w:cs="Times New Roman"/>
                <w:b/>
                <w:bCs/>
                <w:color w:val="000000"/>
                <w:lang w:eastAsia="fr-FR"/>
              </w:rPr>
              <w:t>2019</w:t>
            </w:r>
          </w:p>
        </w:tc>
        <w:tc>
          <w:tcPr>
            <w:tcW w:w="1830" w:type="dxa"/>
            <w:tcBorders>
              <w:top w:val="single" w:sz="12" w:space="0" w:color="auto"/>
              <w:bottom w:val="single" w:sz="12" w:space="0" w:color="auto"/>
            </w:tcBorders>
            <w:shd w:val="clear" w:color="auto" w:fill="A6A6A6" w:themeFill="background1" w:themeFillShade="A6"/>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color w:val="000000"/>
                <w:lang w:eastAsia="fr-FR"/>
              </w:rPr>
            </w:pPr>
            <w:r w:rsidRPr="00B75327">
              <w:rPr>
                <w:rFonts w:ascii="Times New Roman" w:eastAsia="Times New Roman" w:hAnsi="Times New Roman" w:cs="Times New Roman"/>
                <w:b/>
                <w:bCs/>
                <w:color w:val="000000"/>
                <w:lang w:eastAsia="fr-FR"/>
              </w:rPr>
              <w:t>2020</w:t>
            </w:r>
          </w:p>
        </w:tc>
      </w:tr>
      <w:tr w:rsidR="00B75327" w:rsidRPr="00B75327" w:rsidTr="00B75327">
        <w:trPr>
          <w:trHeight w:val="290"/>
        </w:trPr>
        <w:tc>
          <w:tcPr>
            <w:tcW w:w="1916" w:type="dxa"/>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rPr>
                <w:rFonts w:ascii="Calibri" w:eastAsia="Times New Roman" w:hAnsi="Calibri" w:cs="Calibri"/>
                <w:b/>
                <w:bCs/>
                <w:color w:val="000000"/>
                <w:lang w:eastAsia="fr-FR"/>
              </w:rPr>
            </w:pPr>
            <w:r w:rsidRPr="00B75327">
              <w:rPr>
                <w:rFonts w:ascii="Calibri" w:eastAsia="Times New Roman" w:hAnsi="Calibri" w:cs="Calibri"/>
                <w:b/>
                <w:bCs/>
                <w:color w:val="000000"/>
                <w:lang w:eastAsia="fr-FR"/>
              </w:rPr>
              <w:t>IAK</w:t>
            </w:r>
          </w:p>
        </w:tc>
        <w:tc>
          <w:tcPr>
            <w:tcW w:w="1830" w:type="dxa"/>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jc w:val="right"/>
              <w:rPr>
                <w:rFonts w:ascii="Calibri" w:eastAsia="Times New Roman" w:hAnsi="Calibri" w:cs="Calibri"/>
                <w:color w:val="000000"/>
                <w:lang w:eastAsia="fr-FR"/>
              </w:rPr>
            </w:pPr>
            <w:r w:rsidRPr="00B75327">
              <w:rPr>
                <w:rFonts w:ascii="Calibri" w:eastAsia="Times New Roman" w:hAnsi="Calibri" w:cs="Calibri"/>
                <w:color w:val="000000"/>
                <w:lang w:eastAsia="fr-FR"/>
              </w:rPr>
              <w:t>100,0</w:t>
            </w:r>
          </w:p>
        </w:tc>
        <w:tc>
          <w:tcPr>
            <w:tcW w:w="1830" w:type="dxa"/>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jc w:val="right"/>
              <w:rPr>
                <w:rFonts w:ascii="Calibri" w:eastAsia="Times New Roman" w:hAnsi="Calibri" w:cs="Calibri"/>
                <w:color w:val="000000"/>
                <w:lang w:eastAsia="fr-FR"/>
              </w:rPr>
            </w:pPr>
            <w:r w:rsidRPr="00B75327">
              <w:rPr>
                <w:rFonts w:ascii="Calibri" w:eastAsia="Times New Roman" w:hAnsi="Calibri" w:cs="Calibri"/>
                <w:color w:val="000000"/>
                <w:lang w:eastAsia="fr-FR"/>
              </w:rPr>
              <w:t>101,1</w:t>
            </w:r>
          </w:p>
        </w:tc>
        <w:tc>
          <w:tcPr>
            <w:tcW w:w="1830" w:type="dxa"/>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jc w:val="right"/>
              <w:rPr>
                <w:rFonts w:ascii="Calibri" w:eastAsia="Times New Roman" w:hAnsi="Calibri" w:cs="Calibri"/>
                <w:color w:val="000000"/>
                <w:lang w:eastAsia="fr-FR"/>
              </w:rPr>
            </w:pPr>
            <w:r w:rsidRPr="00B75327">
              <w:rPr>
                <w:rFonts w:ascii="Calibri" w:eastAsia="Times New Roman" w:hAnsi="Calibri" w:cs="Calibri"/>
                <w:color w:val="000000"/>
                <w:lang w:eastAsia="fr-FR"/>
              </w:rPr>
              <w:t>99,8</w:t>
            </w:r>
          </w:p>
        </w:tc>
        <w:tc>
          <w:tcPr>
            <w:tcW w:w="1830" w:type="dxa"/>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jc w:val="right"/>
              <w:rPr>
                <w:rFonts w:ascii="Calibri" w:eastAsia="Times New Roman" w:hAnsi="Calibri" w:cs="Calibri"/>
                <w:color w:val="000000"/>
                <w:lang w:eastAsia="fr-FR"/>
              </w:rPr>
            </w:pPr>
            <w:r w:rsidRPr="00B75327">
              <w:rPr>
                <w:rFonts w:ascii="Calibri" w:eastAsia="Times New Roman" w:hAnsi="Calibri" w:cs="Calibri"/>
                <w:color w:val="000000"/>
                <w:lang w:eastAsia="fr-FR"/>
              </w:rPr>
              <w:t>99,9</w:t>
            </w:r>
          </w:p>
        </w:tc>
      </w:tr>
      <w:tr w:rsidR="00B75327" w:rsidRPr="00B75327" w:rsidTr="00B75327">
        <w:trPr>
          <w:trHeight w:val="290"/>
        </w:trPr>
        <w:tc>
          <w:tcPr>
            <w:tcW w:w="1916" w:type="dxa"/>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rPr>
                <w:rFonts w:ascii="Calibri" w:eastAsia="Times New Roman" w:hAnsi="Calibri" w:cs="Calibri"/>
                <w:b/>
                <w:bCs/>
                <w:color w:val="000000"/>
                <w:lang w:eastAsia="fr-FR"/>
              </w:rPr>
            </w:pPr>
            <w:r w:rsidRPr="00B75327">
              <w:rPr>
                <w:rFonts w:ascii="Calibri" w:eastAsia="Times New Roman" w:hAnsi="Calibri" w:cs="Calibri"/>
                <w:b/>
                <w:bCs/>
                <w:color w:val="000000"/>
                <w:lang w:eastAsia="fr-FR"/>
              </w:rPr>
              <w:t>INAK</w:t>
            </w:r>
          </w:p>
        </w:tc>
        <w:tc>
          <w:tcPr>
            <w:tcW w:w="1830" w:type="dxa"/>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jc w:val="right"/>
              <w:rPr>
                <w:rFonts w:ascii="Calibri" w:eastAsia="Times New Roman" w:hAnsi="Calibri" w:cs="Calibri"/>
                <w:color w:val="000000"/>
                <w:lang w:eastAsia="fr-FR"/>
              </w:rPr>
            </w:pPr>
            <w:r w:rsidRPr="00B75327">
              <w:rPr>
                <w:rFonts w:ascii="Calibri" w:eastAsia="Times New Roman" w:hAnsi="Calibri" w:cs="Calibri"/>
                <w:color w:val="000000"/>
                <w:lang w:eastAsia="fr-FR"/>
              </w:rPr>
              <w:t>100,0</w:t>
            </w:r>
          </w:p>
        </w:tc>
        <w:tc>
          <w:tcPr>
            <w:tcW w:w="1830" w:type="dxa"/>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jc w:val="right"/>
              <w:rPr>
                <w:rFonts w:ascii="Calibri" w:eastAsia="Times New Roman" w:hAnsi="Calibri" w:cs="Calibri"/>
                <w:color w:val="000000"/>
                <w:lang w:eastAsia="fr-FR"/>
              </w:rPr>
            </w:pPr>
            <w:r w:rsidRPr="00B75327">
              <w:rPr>
                <w:rFonts w:ascii="Calibri" w:eastAsia="Times New Roman" w:hAnsi="Calibri" w:cs="Calibri"/>
                <w:color w:val="000000"/>
                <w:lang w:eastAsia="fr-FR"/>
              </w:rPr>
              <w:t>101,1</w:t>
            </w:r>
          </w:p>
        </w:tc>
        <w:tc>
          <w:tcPr>
            <w:tcW w:w="1830" w:type="dxa"/>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jc w:val="right"/>
              <w:rPr>
                <w:rFonts w:ascii="Calibri" w:eastAsia="Times New Roman" w:hAnsi="Calibri" w:cs="Calibri"/>
                <w:color w:val="000000"/>
                <w:lang w:eastAsia="fr-FR"/>
              </w:rPr>
            </w:pPr>
            <w:r w:rsidRPr="00B75327">
              <w:rPr>
                <w:rFonts w:ascii="Calibri" w:eastAsia="Times New Roman" w:hAnsi="Calibri" w:cs="Calibri"/>
                <w:color w:val="000000"/>
                <w:lang w:eastAsia="fr-FR"/>
              </w:rPr>
              <w:t>102,9</w:t>
            </w:r>
          </w:p>
        </w:tc>
        <w:tc>
          <w:tcPr>
            <w:tcW w:w="1830" w:type="dxa"/>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jc w:val="right"/>
              <w:rPr>
                <w:rFonts w:ascii="Calibri" w:eastAsia="Times New Roman" w:hAnsi="Calibri" w:cs="Calibri"/>
                <w:color w:val="000000"/>
                <w:lang w:eastAsia="fr-FR"/>
              </w:rPr>
            </w:pPr>
            <w:r w:rsidRPr="00B75327">
              <w:rPr>
                <w:rFonts w:ascii="Calibri" w:eastAsia="Times New Roman" w:hAnsi="Calibri" w:cs="Calibri"/>
                <w:color w:val="000000"/>
                <w:lang w:eastAsia="fr-FR"/>
              </w:rPr>
              <w:t>102,9</w:t>
            </w:r>
          </w:p>
        </w:tc>
      </w:tr>
      <w:tr w:rsidR="00B75327" w:rsidRPr="00B75327" w:rsidTr="00B75327">
        <w:trPr>
          <w:trHeight w:val="290"/>
        </w:trPr>
        <w:tc>
          <w:tcPr>
            <w:tcW w:w="1916" w:type="dxa"/>
            <w:tcBorders>
              <w:top w:val="single" w:sz="12" w:space="0" w:color="auto"/>
              <w:bottom w:val="single" w:sz="12" w:space="0" w:color="auto"/>
            </w:tcBorders>
            <w:shd w:val="clear" w:color="auto" w:fill="A6A6A6" w:themeFill="background1" w:themeFillShade="A6"/>
            <w:noWrap/>
            <w:vAlign w:val="bottom"/>
            <w:hideMark/>
          </w:tcPr>
          <w:p w:rsidR="00B75327" w:rsidRPr="00B75327" w:rsidRDefault="00B75327" w:rsidP="00B75327">
            <w:pPr>
              <w:spacing w:after="0" w:line="240" w:lineRule="auto"/>
              <w:rPr>
                <w:rFonts w:ascii="Calibri" w:eastAsia="Times New Roman" w:hAnsi="Calibri" w:cs="Calibri"/>
                <w:b/>
                <w:bCs/>
                <w:color w:val="000000"/>
                <w:lang w:eastAsia="fr-FR"/>
              </w:rPr>
            </w:pPr>
            <w:r w:rsidRPr="00B75327">
              <w:rPr>
                <w:rFonts w:ascii="Calibri" w:eastAsia="Times New Roman" w:hAnsi="Calibri" w:cs="Calibri"/>
                <w:b/>
                <w:bCs/>
                <w:color w:val="000000"/>
                <w:lang w:eastAsia="fr-FR"/>
              </w:rPr>
              <w:t>IGK</w:t>
            </w:r>
          </w:p>
        </w:tc>
        <w:tc>
          <w:tcPr>
            <w:tcW w:w="1830" w:type="dxa"/>
            <w:tcBorders>
              <w:top w:val="single" w:sz="12" w:space="0" w:color="auto"/>
              <w:bottom w:val="single" w:sz="12" w:space="0" w:color="auto"/>
            </w:tcBorders>
            <w:shd w:val="clear" w:color="auto" w:fill="A6A6A6" w:themeFill="background1" w:themeFillShade="A6"/>
            <w:noWrap/>
            <w:vAlign w:val="bottom"/>
            <w:hideMark/>
          </w:tcPr>
          <w:p w:rsidR="00B75327" w:rsidRPr="00B75327" w:rsidRDefault="00B75327" w:rsidP="00B75327">
            <w:pPr>
              <w:spacing w:after="0" w:line="240" w:lineRule="auto"/>
              <w:jc w:val="right"/>
              <w:rPr>
                <w:rFonts w:ascii="Calibri" w:eastAsia="Times New Roman" w:hAnsi="Calibri" w:cs="Calibri"/>
                <w:color w:val="000000"/>
                <w:lang w:eastAsia="fr-FR"/>
              </w:rPr>
            </w:pPr>
            <w:r w:rsidRPr="00B75327">
              <w:rPr>
                <w:rFonts w:ascii="Calibri" w:eastAsia="Times New Roman" w:hAnsi="Calibri" w:cs="Calibri"/>
                <w:color w:val="000000"/>
                <w:lang w:eastAsia="fr-FR"/>
              </w:rPr>
              <w:t>100,0</w:t>
            </w:r>
          </w:p>
        </w:tc>
        <w:tc>
          <w:tcPr>
            <w:tcW w:w="1830" w:type="dxa"/>
            <w:tcBorders>
              <w:top w:val="single" w:sz="12" w:space="0" w:color="auto"/>
              <w:bottom w:val="single" w:sz="12" w:space="0" w:color="auto"/>
            </w:tcBorders>
            <w:shd w:val="clear" w:color="auto" w:fill="A6A6A6" w:themeFill="background1" w:themeFillShade="A6"/>
            <w:noWrap/>
            <w:vAlign w:val="bottom"/>
            <w:hideMark/>
          </w:tcPr>
          <w:p w:rsidR="00B75327" w:rsidRPr="00B75327" w:rsidRDefault="00B75327" w:rsidP="00B75327">
            <w:pPr>
              <w:spacing w:after="0" w:line="240" w:lineRule="auto"/>
              <w:jc w:val="right"/>
              <w:rPr>
                <w:rFonts w:ascii="Calibri" w:eastAsia="Times New Roman" w:hAnsi="Calibri" w:cs="Calibri"/>
                <w:color w:val="000000"/>
                <w:lang w:eastAsia="fr-FR"/>
              </w:rPr>
            </w:pPr>
            <w:r w:rsidRPr="00B75327">
              <w:rPr>
                <w:rFonts w:ascii="Calibri" w:eastAsia="Times New Roman" w:hAnsi="Calibri" w:cs="Calibri"/>
                <w:color w:val="000000"/>
                <w:lang w:eastAsia="fr-FR"/>
              </w:rPr>
              <w:t>101,1</w:t>
            </w:r>
          </w:p>
        </w:tc>
        <w:tc>
          <w:tcPr>
            <w:tcW w:w="1830" w:type="dxa"/>
            <w:tcBorders>
              <w:top w:val="single" w:sz="12" w:space="0" w:color="auto"/>
              <w:bottom w:val="single" w:sz="12" w:space="0" w:color="auto"/>
            </w:tcBorders>
            <w:shd w:val="clear" w:color="auto" w:fill="A6A6A6" w:themeFill="background1" w:themeFillShade="A6"/>
            <w:noWrap/>
            <w:vAlign w:val="bottom"/>
            <w:hideMark/>
          </w:tcPr>
          <w:p w:rsidR="00B75327" w:rsidRPr="00B75327" w:rsidRDefault="00B75327" w:rsidP="00B75327">
            <w:pPr>
              <w:spacing w:after="0" w:line="240" w:lineRule="auto"/>
              <w:jc w:val="right"/>
              <w:rPr>
                <w:rFonts w:ascii="Calibri" w:eastAsia="Times New Roman" w:hAnsi="Calibri" w:cs="Calibri"/>
                <w:color w:val="000000"/>
                <w:lang w:eastAsia="fr-FR"/>
              </w:rPr>
            </w:pPr>
            <w:r w:rsidRPr="00B75327">
              <w:rPr>
                <w:rFonts w:ascii="Calibri" w:eastAsia="Times New Roman" w:hAnsi="Calibri" w:cs="Calibri"/>
                <w:color w:val="000000"/>
                <w:lang w:eastAsia="fr-FR"/>
              </w:rPr>
              <w:t>101,6</w:t>
            </w:r>
          </w:p>
        </w:tc>
        <w:tc>
          <w:tcPr>
            <w:tcW w:w="1830" w:type="dxa"/>
            <w:tcBorders>
              <w:top w:val="single" w:sz="12" w:space="0" w:color="auto"/>
              <w:bottom w:val="single" w:sz="12" w:space="0" w:color="auto"/>
            </w:tcBorders>
            <w:shd w:val="clear" w:color="auto" w:fill="A6A6A6" w:themeFill="background1" w:themeFillShade="A6"/>
            <w:noWrap/>
            <w:vAlign w:val="bottom"/>
            <w:hideMark/>
          </w:tcPr>
          <w:p w:rsidR="00B75327" w:rsidRPr="00B75327" w:rsidRDefault="00B75327" w:rsidP="00B75327">
            <w:pPr>
              <w:spacing w:after="0" w:line="240" w:lineRule="auto"/>
              <w:jc w:val="right"/>
              <w:rPr>
                <w:rFonts w:ascii="Calibri" w:eastAsia="Times New Roman" w:hAnsi="Calibri" w:cs="Calibri"/>
                <w:color w:val="000000"/>
                <w:lang w:eastAsia="fr-FR"/>
              </w:rPr>
            </w:pPr>
            <w:r w:rsidRPr="00B75327">
              <w:rPr>
                <w:rFonts w:ascii="Calibri" w:eastAsia="Times New Roman" w:hAnsi="Calibri" w:cs="Calibri"/>
                <w:color w:val="000000"/>
                <w:lang w:eastAsia="fr-FR"/>
              </w:rPr>
              <w:t>101,6</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E8089E" w:rsidRPr="00E678BE" w:rsidRDefault="00F67E78" w:rsidP="00F97AE7">
      <w:pPr>
        <w:pStyle w:val="Lgende"/>
        <w:spacing w:after="0"/>
        <w:rPr>
          <w:rFonts w:asciiTheme="majorBidi" w:hAnsiTheme="majorBidi" w:cstheme="majorBidi"/>
          <w:bCs w:val="0"/>
          <w:sz w:val="22"/>
        </w:rPr>
      </w:pPr>
      <w:r w:rsidRPr="00E678BE">
        <w:rPr>
          <w:rFonts w:asciiTheme="majorBidi" w:hAnsiTheme="majorBidi" w:cstheme="majorBidi"/>
          <w:sz w:val="22"/>
        </w:rPr>
        <w:t>Tableau A</w:t>
      </w:r>
      <w:r w:rsidR="00B75327">
        <w:rPr>
          <w:rFonts w:asciiTheme="majorBidi" w:hAnsiTheme="majorBidi" w:cstheme="majorBidi"/>
          <w:sz w:val="22"/>
        </w:rPr>
        <w:t>8</w:t>
      </w:r>
      <w:r w:rsidRPr="00E678BE">
        <w:rPr>
          <w:rFonts w:asciiTheme="majorBidi" w:hAnsiTheme="majorBidi" w:cstheme="majorBidi"/>
          <w:sz w:val="22"/>
        </w:rPr>
        <w:t xml:space="preserve"> : </w:t>
      </w:r>
      <w:r w:rsidR="00E8089E" w:rsidRPr="00E678BE">
        <w:rPr>
          <w:rFonts w:asciiTheme="majorBidi" w:hAnsiTheme="majorBidi" w:cstheme="majorBidi"/>
          <w:bCs w:val="0"/>
          <w:sz w:val="22"/>
        </w:rPr>
        <w:t>Evolution de l'inflation générale entre 20</w:t>
      </w:r>
      <w:r w:rsidR="00B75327">
        <w:rPr>
          <w:rFonts w:asciiTheme="majorBidi" w:hAnsiTheme="majorBidi" w:cstheme="majorBidi"/>
          <w:bCs w:val="0"/>
          <w:sz w:val="22"/>
        </w:rPr>
        <w:t>1</w:t>
      </w:r>
      <w:r w:rsidR="00E8089E" w:rsidRPr="00E678BE">
        <w:rPr>
          <w:rFonts w:asciiTheme="majorBidi" w:hAnsiTheme="majorBidi" w:cstheme="majorBidi"/>
          <w:bCs w:val="0"/>
          <w:sz w:val="22"/>
        </w:rPr>
        <w:t>7 et 20</w:t>
      </w:r>
      <w:r w:rsidR="00B75327">
        <w:rPr>
          <w:rFonts w:asciiTheme="majorBidi" w:hAnsiTheme="majorBidi" w:cstheme="majorBidi"/>
          <w:bCs w:val="0"/>
          <w:sz w:val="22"/>
        </w:rPr>
        <w:t>20</w:t>
      </w:r>
    </w:p>
    <w:tbl>
      <w:tblPr>
        <w:tblW w:w="5000" w:type="pct"/>
        <w:tblCellMar>
          <w:left w:w="70" w:type="dxa"/>
          <w:right w:w="70" w:type="dxa"/>
        </w:tblCellMar>
        <w:tblLook w:val="04A0"/>
      </w:tblPr>
      <w:tblGrid>
        <w:gridCol w:w="3250"/>
        <w:gridCol w:w="2035"/>
        <w:gridCol w:w="2035"/>
        <w:gridCol w:w="2034"/>
      </w:tblGrid>
      <w:tr w:rsidR="00B75327" w:rsidRPr="00B75327" w:rsidTr="00B75327">
        <w:trPr>
          <w:trHeight w:val="290"/>
        </w:trPr>
        <w:tc>
          <w:tcPr>
            <w:tcW w:w="1737" w:type="pct"/>
            <w:tcBorders>
              <w:bottom w:val="single" w:sz="12" w:space="0" w:color="auto"/>
            </w:tcBorders>
            <w:shd w:val="clear" w:color="auto" w:fill="auto"/>
            <w:noWrap/>
            <w:vAlign w:val="bottom"/>
            <w:hideMark/>
          </w:tcPr>
          <w:p w:rsidR="00B75327" w:rsidRPr="00B75327" w:rsidRDefault="00B75327" w:rsidP="00B75327">
            <w:pPr>
              <w:spacing w:after="0" w:line="240" w:lineRule="auto"/>
              <w:rPr>
                <w:rFonts w:ascii="Times New Roman" w:eastAsia="Times New Roman" w:hAnsi="Times New Roman" w:cs="Times New Roman"/>
                <w:color w:val="000000"/>
                <w:lang w:eastAsia="fr-FR"/>
              </w:rPr>
            </w:pPr>
          </w:p>
        </w:tc>
        <w:tc>
          <w:tcPr>
            <w:tcW w:w="1088" w:type="pct"/>
            <w:tcBorders>
              <w:top w:val="single" w:sz="12" w:space="0" w:color="auto"/>
              <w:bottom w:val="single" w:sz="12" w:space="0" w:color="auto"/>
            </w:tcBorders>
            <w:shd w:val="clear" w:color="auto" w:fill="A6A6A6" w:themeFill="background1" w:themeFillShade="A6"/>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color w:val="000000"/>
                <w:lang w:eastAsia="fr-FR"/>
              </w:rPr>
            </w:pPr>
            <w:r w:rsidRPr="00B75327">
              <w:rPr>
                <w:rFonts w:ascii="Times New Roman" w:eastAsia="Times New Roman" w:hAnsi="Times New Roman" w:cs="Times New Roman"/>
                <w:b/>
                <w:bCs/>
                <w:color w:val="000000"/>
                <w:lang w:eastAsia="fr-FR"/>
              </w:rPr>
              <w:t>2018</w:t>
            </w:r>
          </w:p>
        </w:tc>
        <w:tc>
          <w:tcPr>
            <w:tcW w:w="1088" w:type="pct"/>
            <w:tcBorders>
              <w:top w:val="single" w:sz="12" w:space="0" w:color="auto"/>
              <w:bottom w:val="single" w:sz="12" w:space="0" w:color="auto"/>
            </w:tcBorders>
            <w:shd w:val="clear" w:color="auto" w:fill="A6A6A6" w:themeFill="background1" w:themeFillShade="A6"/>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color w:val="000000"/>
                <w:lang w:eastAsia="fr-FR"/>
              </w:rPr>
            </w:pPr>
            <w:r w:rsidRPr="00B75327">
              <w:rPr>
                <w:rFonts w:ascii="Times New Roman" w:eastAsia="Times New Roman" w:hAnsi="Times New Roman" w:cs="Times New Roman"/>
                <w:b/>
                <w:bCs/>
                <w:color w:val="000000"/>
                <w:lang w:eastAsia="fr-FR"/>
              </w:rPr>
              <w:t>2019</w:t>
            </w:r>
          </w:p>
        </w:tc>
        <w:tc>
          <w:tcPr>
            <w:tcW w:w="1088" w:type="pct"/>
            <w:tcBorders>
              <w:top w:val="single" w:sz="12" w:space="0" w:color="auto"/>
              <w:bottom w:val="single" w:sz="12" w:space="0" w:color="auto"/>
            </w:tcBorders>
            <w:shd w:val="clear" w:color="auto" w:fill="A6A6A6" w:themeFill="background1" w:themeFillShade="A6"/>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color w:val="000000"/>
                <w:lang w:eastAsia="fr-FR"/>
              </w:rPr>
            </w:pPr>
            <w:r w:rsidRPr="00B75327">
              <w:rPr>
                <w:rFonts w:ascii="Times New Roman" w:eastAsia="Times New Roman" w:hAnsi="Times New Roman" w:cs="Times New Roman"/>
                <w:b/>
                <w:bCs/>
                <w:color w:val="000000"/>
                <w:lang w:eastAsia="fr-FR"/>
              </w:rPr>
              <w:t>2020</w:t>
            </w:r>
          </w:p>
        </w:tc>
      </w:tr>
      <w:tr w:rsidR="00B75327" w:rsidRPr="00B75327" w:rsidTr="00B75327">
        <w:trPr>
          <w:trHeight w:val="290"/>
        </w:trPr>
        <w:tc>
          <w:tcPr>
            <w:tcW w:w="1737" w:type="pct"/>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rPr>
                <w:rFonts w:ascii="Times New Roman" w:eastAsia="Times New Roman" w:hAnsi="Times New Roman" w:cs="Times New Roman"/>
                <w:b/>
                <w:bCs/>
                <w:color w:val="000000"/>
                <w:lang w:eastAsia="fr-FR"/>
              </w:rPr>
            </w:pPr>
            <w:r w:rsidRPr="00B75327">
              <w:rPr>
                <w:rFonts w:ascii="Times New Roman" w:eastAsia="Times New Roman" w:hAnsi="Times New Roman" w:cs="Times New Roman"/>
                <w:b/>
                <w:bCs/>
                <w:color w:val="000000"/>
                <w:lang w:eastAsia="fr-FR"/>
              </w:rPr>
              <w:t>IPC KENITRA</w:t>
            </w:r>
          </w:p>
        </w:tc>
        <w:tc>
          <w:tcPr>
            <w:tcW w:w="1088" w:type="pct"/>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color w:val="000000"/>
                <w:lang w:eastAsia="fr-FR"/>
              </w:rPr>
            </w:pPr>
            <w:r w:rsidRPr="00B75327">
              <w:rPr>
                <w:rFonts w:ascii="Times New Roman" w:eastAsia="Times New Roman" w:hAnsi="Times New Roman" w:cs="Times New Roman"/>
                <w:color w:val="000000"/>
                <w:lang w:eastAsia="fr-FR"/>
              </w:rPr>
              <w:t>1,1</w:t>
            </w:r>
          </w:p>
        </w:tc>
        <w:tc>
          <w:tcPr>
            <w:tcW w:w="1088" w:type="pct"/>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color w:val="000000"/>
                <w:lang w:eastAsia="fr-FR"/>
              </w:rPr>
            </w:pPr>
            <w:r w:rsidRPr="00B75327">
              <w:rPr>
                <w:rFonts w:ascii="Times New Roman" w:eastAsia="Times New Roman" w:hAnsi="Times New Roman" w:cs="Times New Roman"/>
                <w:color w:val="000000"/>
                <w:lang w:eastAsia="fr-FR"/>
              </w:rPr>
              <w:t>0,5</w:t>
            </w:r>
          </w:p>
        </w:tc>
        <w:tc>
          <w:tcPr>
            <w:tcW w:w="1088" w:type="pct"/>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color w:val="000000"/>
                <w:lang w:eastAsia="fr-FR"/>
              </w:rPr>
            </w:pPr>
            <w:r w:rsidRPr="00B75327">
              <w:rPr>
                <w:rFonts w:ascii="Times New Roman" w:eastAsia="Times New Roman" w:hAnsi="Times New Roman" w:cs="Times New Roman"/>
                <w:color w:val="000000"/>
                <w:lang w:eastAsia="fr-FR"/>
              </w:rPr>
              <w:t>0,1</w:t>
            </w:r>
          </w:p>
        </w:tc>
      </w:tr>
      <w:tr w:rsidR="00B75327" w:rsidRPr="00B75327" w:rsidTr="00B75327">
        <w:trPr>
          <w:trHeight w:val="290"/>
        </w:trPr>
        <w:tc>
          <w:tcPr>
            <w:tcW w:w="1737" w:type="pct"/>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rPr>
                <w:rFonts w:ascii="Times New Roman" w:eastAsia="Times New Roman" w:hAnsi="Times New Roman" w:cs="Times New Roman"/>
                <w:b/>
                <w:bCs/>
                <w:color w:val="000000"/>
                <w:lang w:eastAsia="fr-FR"/>
              </w:rPr>
            </w:pPr>
            <w:r w:rsidRPr="00B75327">
              <w:rPr>
                <w:rFonts w:ascii="Times New Roman" w:eastAsia="Times New Roman" w:hAnsi="Times New Roman" w:cs="Times New Roman"/>
                <w:b/>
                <w:bCs/>
                <w:color w:val="000000"/>
                <w:lang w:eastAsia="fr-FR"/>
              </w:rPr>
              <w:t>IPC NATIONAL</w:t>
            </w:r>
          </w:p>
        </w:tc>
        <w:tc>
          <w:tcPr>
            <w:tcW w:w="1088" w:type="pct"/>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color w:val="000000"/>
                <w:lang w:eastAsia="fr-FR"/>
              </w:rPr>
            </w:pPr>
            <w:r w:rsidRPr="00B75327">
              <w:rPr>
                <w:rFonts w:ascii="Times New Roman" w:eastAsia="Times New Roman" w:hAnsi="Times New Roman" w:cs="Times New Roman"/>
                <w:color w:val="000000"/>
                <w:lang w:eastAsia="fr-FR"/>
              </w:rPr>
              <w:t>1,6</w:t>
            </w:r>
          </w:p>
        </w:tc>
        <w:tc>
          <w:tcPr>
            <w:tcW w:w="1088" w:type="pct"/>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color w:val="000000"/>
                <w:lang w:eastAsia="fr-FR"/>
              </w:rPr>
            </w:pPr>
            <w:r w:rsidRPr="00B75327">
              <w:rPr>
                <w:rFonts w:ascii="Times New Roman" w:eastAsia="Times New Roman" w:hAnsi="Times New Roman" w:cs="Times New Roman"/>
                <w:color w:val="000000"/>
                <w:lang w:eastAsia="fr-FR"/>
              </w:rPr>
              <w:t>0,2</w:t>
            </w:r>
          </w:p>
        </w:tc>
        <w:tc>
          <w:tcPr>
            <w:tcW w:w="1088" w:type="pct"/>
            <w:tcBorders>
              <w:top w:val="single" w:sz="12" w:space="0" w:color="auto"/>
              <w:bottom w:val="single" w:sz="12" w:space="0" w:color="auto"/>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color w:val="000000"/>
                <w:lang w:eastAsia="fr-FR"/>
              </w:rPr>
            </w:pPr>
            <w:r w:rsidRPr="00B75327">
              <w:rPr>
                <w:rFonts w:ascii="Times New Roman" w:eastAsia="Times New Roman" w:hAnsi="Times New Roman" w:cs="Times New Roman"/>
                <w:color w:val="000000"/>
                <w:lang w:eastAsia="fr-FR"/>
              </w:rPr>
              <w:t>0,6</w:t>
            </w:r>
          </w:p>
        </w:tc>
      </w:tr>
    </w:tbl>
    <w:p w:rsidR="00BB5DB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9E0ECF" w:rsidRPr="009E0ECF" w:rsidRDefault="009E0ECF" w:rsidP="00F97AE7">
      <w:pPr>
        <w:rPr>
          <w:rFonts w:ascii="Times New Roman" w:hAnsi="Times New Roman" w:cs="Times New Roman"/>
          <w:b/>
          <w:color w:val="4F81BD" w:themeColor="accent1"/>
        </w:rPr>
      </w:pPr>
      <w:r w:rsidRPr="009E0ECF">
        <w:rPr>
          <w:rFonts w:ascii="Times New Roman" w:hAnsi="Times New Roman" w:cs="Times New Roman"/>
          <w:b/>
          <w:color w:val="4F81BD" w:themeColor="accent1"/>
        </w:rPr>
        <w:t>Tableau A9 : IPC général (base 100 : 2017) par mois et par ville, Année 2020</w:t>
      </w:r>
    </w:p>
    <w:tbl>
      <w:tblPr>
        <w:tblW w:w="5000" w:type="pct"/>
        <w:tblCellMar>
          <w:left w:w="70" w:type="dxa"/>
          <w:right w:w="70" w:type="dxa"/>
        </w:tblCellMar>
        <w:tblLook w:val="04A0"/>
      </w:tblPr>
      <w:tblGrid>
        <w:gridCol w:w="1096"/>
        <w:gridCol w:w="625"/>
        <w:gridCol w:w="625"/>
        <w:gridCol w:w="571"/>
        <w:gridCol w:w="571"/>
        <w:gridCol w:w="571"/>
        <w:gridCol w:w="571"/>
        <w:gridCol w:w="571"/>
        <w:gridCol w:w="571"/>
        <w:gridCol w:w="770"/>
        <w:gridCol w:w="571"/>
        <w:gridCol w:w="743"/>
        <w:gridCol w:w="743"/>
        <w:gridCol w:w="755"/>
      </w:tblGrid>
      <w:tr w:rsidR="009E0ECF" w:rsidRPr="009E0ECF" w:rsidTr="009E0ECF">
        <w:trPr>
          <w:trHeight w:val="310"/>
        </w:trPr>
        <w:tc>
          <w:tcPr>
            <w:tcW w:w="548" w:type="pct"/>
            <w:tcBorders>
              <w:top w:val="single" w:sz="12" w:space="0" w:color="auto"/>
              <w:left w:val="nil"/>
              <w:bottom w:val="single" w:sz="12" w:space="0" w:color="auto"/>
              <w:right w:val="nil"/>
            </w:tcBorders>
            <w:shd w:val="clear" w:color="000000" w:fill="C0C0C0"/>
            <w:noWrap/>
            <w:vAlign w:val="bottom"/>
            <w:hideMark/>
          </w:tcPr>
          <w:p w:rsidR="00B75327" w:rsidRPr="00B75327" w:rsidRDefault="00B75327" w:rsidP="00B75327">
            <w:pPr>
              <w:spacing w:after="0" w:line="240" w:lineRule="auto"/>
              <w:rPr>
                <w:rFonts w:ascii="Times New Roman" w:eastAsia="Times New Roman" w:hAnsi="Times New Roman" w:cs="Times New Roman"/>
                <w:b/>
                <w:bCs/>
                <w:sz w:val="16"/>
                <w:szCs w:val="16"/>
                <w:lang w:eastAsia="fr-FR"/>
              </w:rPr>
            </w:pPr>
            <w:r w:rsidRPr="00B75327">
              <w:rPr>
                <w:rFonts w:ascii="Times New Roman" w:eastAsia="Times New Roman" w:hAnsi="Times New Roman" w:cs="Times New Roman"/>
                <w:b/>
                <w:bCs/>
                <w:sz w:val="16"/>
                <w:szCs w:val="16"/>
                <w:lang w:eastAsia="fr-FR"/>
              </w:rPr>
              <w:t>NOM VILLE</w:t>
            </w:r>
          </w:p>
        </w:tc>
        <w:tc>
          <w:tcPr>
            <w:tcW w:w="337" w:type="pct"/>
            <w:tcBorders>
              <w:top w:val="single" w:sz="12" w:space="0" w:color="auto"/>
              <w:left w:val="nil"/>
              <w:bottom w:val="single" w:sz="12" w:space="0" w:color="auto"/>
              <w:right w:val="nil"/>
            </w:tcBorders>
            <w:shd w:val="clear" w:color="000000" w:fill="C0C0C0"/>
            <w:noWrap/>
            <w:vAlign w:val="bottom"/>
            <w:hideMark/>
          </w:tcPr>
          <w:p w:rsidR="00B75327" w:rsidRPr="00B75327" w:rsidRDefault="009E0ECF" w:rsidP="00B75327">
            <w:pPr>
              <w:spacing w:after="0" w:line="240" w:lineRule="auto"/>
              <w:jc w:val="center"/>
              <w:rPr>
                <w:rFonts w:ascii="Times New Roman" w:eastAsia="Times New Roman" w:hAnsi="Times New Roman" w:cs="Times New Roman"/>
                <w:b/>
                <w:bCs/>
                <w:sz w:val="16"/>
                <w:szCs w:val="16"/>
                <w:lang w:eastAsia="fr-FR"/>
              </w:rPr>
            </w:pPr>
            <w:r w:rsidRPr="009E0ECF">
              <w:rPr>
                <w:rFonts w:ascii="Times New Roman" w:eastAsia="Times New Roman" w:hAnsi="Times New Roman" w:cs="Times New Roman"/>
                <w:b/>
                <w:bCs/>
                <w:sz w:val="16"/>
                <w:szCs w:val="16"/>
                <w:lang w:eastAsia="fr-FR"/>
              </w:rPr>
              <w:t>JAN</w:t>
            </w:r>
          </w:p>
        </w:tc>
        <w:tc>
          <w:tcPr>
            <w:tcW w:w="337" w:type="pct"/>
            <w:tcBorders>
              <w:top w:val="single" w:sz="12" w:space="0" w:color="auto"/>
              <w:left w:val="nil"/>
              <w:bottom w:val="single" w:sz="12" w:space="0" w:color="auto"/>
              <w:right w:val="nil"/>
            </w:tcBorders>
            <w:shd w:val="clear" w:color="000000" w:fill="C0C0C0"/>
            <w:noWrap/>
            <w:vAlign w:val="bottom"/>
            <w:hideMark/>
          </w:tcPr>
          <w:p w:rsidR="00B75327" w:rsidRPr="00B75327" w:rsidRDefault="009E0ECF" w:rsidP="00B75327">
            <w:pPr>
              <w:spacing w:after="0" w:line="240" w:lineRule="auto"/>
              <w:jc w:val="center"/>
              <w:rPr>
                <w:rFonts w:ascii="Times New Roman" w:eastAsia="Times New Roman" w:hAnsi="Times New Roman" w:cs="Times New Roman"/>
                <w:b/>
                <w:bCs/>
                <w:sz w:val="16"/>
                <w:szCs w:val="16"/>
                <w:lang w:eastAsia="fr-FR"/>
              </w:rPr>
            </w:pPr>
            <w:r w:rsidRPr="009E0ECF">
              <w:rPr>
                <w:rFonts w:ascii="Times New Roman" w:eastAsia="Times New Roman" w:hAnsi="Times New Roman" w:cs="Times New Roman"/>
                <w:b/>
                <w:bCs/>
                <w:sz w:val="16"/>
                <w:szCs w:val="16"/>
                <w:lang w:eastAsia="fr-FR"/>
              </w:rPr>
              <w:t>FEV</w:t>
            </w:r>
          </w:p>
        </w:tc>
        <w:tc>
          <w:tcPr>
            <w:tcW w:w="308" w:type="pct"/>
            <w:tcBorders>
              <w:top w:val="single" w:sz="12" w:space="0" w:color="auto"/>
              <w:left w:val="nil"/>
              <w:bottom w:val="single" w:sz="12" w:space="0" w:color="auto"/>
              <w:right w:val="nil"/>
            </w:tcBorders>
            <w:shd w:val="clear" w:color="000000" w:fill="C0C0C0"/>
            <w:noWrap/>
            <w:vAlign w:val="bottom"/>
            <w:hideMark/>
          </w:tcPr>
          <w:p w:rsidR="00B75327" w:rsidRPr="00B75327" w:rsidRDefault="009E0ECF" w:rsidP="00B75327">
            <w:pPr>
              <w:spacing w:after="0" w:line="240" w:lineRule="auto"/>
              <w:jc w:val="center"/>
              <w:rPr>
                <w:rFonts w:ascii="Times New Roman" w:eastAsia="Times New Roman" w:hAnsi="Times New Roman" w:cs="Times New Roman"/>
                <w:b/>
                <w:bCs/>
                <w:sz w:val="16"/>
                <w:szCs w:val="16"/>
                <w:lang w:eastAsia="fr-FR"/>
              </w:rPr>
            </w:pPr>
            <w:r w:rsidRPr="009E0ECF">
              <w:rPr>
                <w:rFonts w:ascii="Times New Roman" w:eastAsia="Times New Roman" w:hAnsi="Times New Roman" w:cs="Times New Roman"/>
                <w:b/>
                <w:bCs/>
                <w:sz w:val="16"/>
                <w:szCs w:val="16"/>
                <w:lang w:eastAsia="fr-FR"/>
              </w:rPr>
              <w:t>MA</w:t>
            </w:r>
          </w:p>
        </w:tc>
        <w:tc>
          <w:tcPr>
            <w:tcW w:w="308" w:type="pct"/>
            <w:tcBorders>
              <w:top w:val="single" w:sz="12" w:space="0" w:color="auto"/>
              <w:left w:val="nil"/>
              <w:bottom w:val="single" w:sz="12" w:space="0" w:color="auto"/>
              <w:right w:val="nil"/>
            </w:tcBorders>
            <w:shd w:val="clear" w:color="000000" w:fill="C0C0C0"/>
            <w:noWrap/>
            <w:vAlign w:val="bottom"/>
            <w:hideMark/>
          </w:tcPr>
          <w:p w:rsidR="00B75327" w:rsidRPr="00B75327" w:rsidRDefault="009E0ECF" w:rsidP="00B75327">
            <w:pPr>
              <w:spacing w:after="0" w:line="240" w:lineRule="auto"/>
              <w:jc w:val="center"/>
              <w:rPr>
                <w:rFonts w:ascii="Times New Roman" w:eastAsia="Times New Roman" w:hAnsi="Times New Roman" w:cs="Times New Roman"/>
                <w:b/>
                <w:bCs/>
                <w:sz w:val="16"/>
                <w:szCs w:val="16"/>
                <w:lang w:eastAsia="fr-FR"/>
              </w:rPr>
            </w:pPr>
            <w:r w:rsidRPr="009E0ECF">
              <w:rPr>
                <w:rFonts w:ascii="Times New Roman" w:eastAsia="Times New Roman" w:hAnsi="Times New Roman" w:cs="Times New Roman"/>
                <w:b/>
                <w:bCs/>
                <w:sz w:val="16"/>
                <w:szCs w:val="16"/>
                <w:lang w:eastAsia="fr-FR"/>
              </w:rPr>
              <w:t>AVR</w:t>
            </w:r>
          </w:p>
        </w:tc>
        <w:tc>
          <w:tcPr>
            <w:tcW w:w="308" w:type="pct"/>
            <w:tcBorders>
              <w:top w:val="single" w:sz="12" w:space="0" w:color="auto"/>
              <w:left w:val="nil"/>
              <w:bottom w:val="single" w:sz="12" w:space="0" w:color="auto"/>
              <w:right w:val="nil"/>
            </w:tcBorders>
            <w:shd w:val="clear" w:color="000000" w:fill="C0C0C0"/>
            <w:noWrap/>
            <w:vAlign w:val="bottom"/>
            <w:hideMark/>
          </w:tcPr>
          <w:p w:rsidR="00B75327" w:rsidRPr="00B75327" w:rsidRDefault="00B75327" w:rsidP="00B75327">
            <w:pPr>
              <w:spacing w:after="0" w:line="240" w:lineRule="auto"/>
              <w:jc w:val="center"/>
              <w:rPr>
                <w:rFonts w:ascii="Times New Roman" w:eastAsia="Times New Roman" w:hAnsi="Times New Roman" w:cs="Times New Roman"/>
                <w:b/>
                <w:bCs/>
                <w:sz w:val="16"/>
                <w:szCs w:val="16"/>
                <w:lang w:eastAsia="fr-FR"/>
              </w:rPr>
            </w:pPr>
            <w:r w:rsidRPr="00B75327">
              <w:rPr>
                <w:rFonts w:ascii="Times New Roman" w:eastAsia="Times New Roman" w:hAnsi="Times New Roman" w:cs="Times New Roman"/>
                <w:b/>
                <w:bCs/>
                <w:sz w:val="16"/>
                <w:szCs w:val="16"/>
                <w:lang w:eastAsia="fr-FR"/>
              </w:rPr>
              <w:t>mai</w:t>
            </w:r>
          </w:p>
        </w:tc>
        <w:tc>
          <w:tcPr>
            <w:tcW w:w="308" w:type="pct"/>
            <w:tcBorders>
              <w:top w:val="single" w:sz="12" w:space="0" w:color="auto"/>
              <w:left w:val="nil"/>
              <w:bottom w:val="single" w:sz="12" w:space="0" w:color="auto"/>
              <w:right w:val="nil"/>
            </w:tcBorders>
            <w:shd w:val="clear" w:color="000000" w:fill="C0C0C0"/>
            <w:noWrap/>
            <w:vAlign w:val="bottom"/>
            <w:hideMark/>
          </w:tcPr>
          <w:p w:rsidR="00B75327" w:rsidRPr="00B75327" w:rsidRDefault="009E0ECF" w:rsidP="00B75327">
            <w:pPr>
              <w:spacing w:after="0" w:line="240" w:lineRule="auto"/>
              <w:jc w:val="center"/>
              <w:rPr>
                <w:rFonts w:ascii="Times New Roman" w:eastAsia="Times New Roman" w:hAnsi="Times New Roman" w:cs="Times New Roman"/>
                <w:b/>
                <w:bCs/>
                <w:sz w:val="16"/>
                <w:szCs w:val="16"/>
                <w:lang w:eastAsia="fr-FR"/>
              </w:rPr>
            </w:pPr>
            <w:r w:rsidRPr="009E0ECF">
              <w:rPr>
                <w:rFonts w:ascii="Times New Roman" w:eastAsia="Times New Roman" w:hAnsi="Times New Roman" w:cs="Times New Roman"/>
                <w:b/>
                <w:bCs/>
                <w:sz w:val="16"/>
                <w:szCs w:val="16"/>
                <w:lang w:eastAsia="fr-FR"/>
              </w:rPr>
              <w:t>JN</w:t>
            </w:r>
          </w:p>
        </w:tc>
        <w:tc>
          <w:tcPr>
            <w:tcW w:w="308" w:type="pct"/>
            <w:tcBorders>
              <w:top w:val="single" w:sz="12" w:space="0" w:color="auto"/>
              <w:left w:val="nil"/>
              <w:bottom w:val="single" w:sz="12" w:space="0" w:color="auto"/>
              <w:right w:val="nil"/>
            </w:tcBorders>
            <w:shd w:val="clear" w:color="000000" w:fill="C0C0C0"/>
            <w:noWrap/>
            <w:vAlign w:val="bottom"/>
            <w:hideMark/>
          </w:tcPr>
          <w:p w:rsidR="00B75327" w:rsidRPr="00B75327" w:rsidRDefault="009E0ECF" w:rsidP="00B75327">
            <w:pPr>
              <w:spacing w:after="0" w:line="240" w:lineRule="auto"/>
              <w:jc w:val="center"/>
              <w:rPr>
                <w:rFonts w:ascii="Times New Roman" w:eastAsia="Times New Roman" w:hAnsi="Times New Roman" w:cs="Times New Roman"/>
                <w:b/>
                <w:bCs/>
                <w:sz w:val="16"/>
                <w:szCs w:val="16"/>
                <w:lang w:eastAsia="fr-FR"/>
              </w:rPr>
            </w:pPr>
            <w:r w:rsidRPr="009E0ECF">
              <w:rPr>
                <w:rFonts w:ascii="Times New Roman" w:eastAsia="Times New Roman" w:hAnsi="Times New Roman" w:cs="Times New Roman"/>
                <w:b/>
                <w:bCs/>
                <w:sz w:val="16"/>
                <w:szCs w:val="16"/>
                <w:lang w:eastAsia="fr-FR"/>
              </w:rPr>
              <w:t>JL</w:t>
            </w:r>
          </w:p>
        </w:tc>
        <w:tc>
          <w:tcPr>
            <w:tcW w:w="308" w:type="pct"/>
            <w:tcBorders>
              <w:top w:val="single" w:sz="12" w:space="0" w:color="auto"/>
              <w:left w:val="nil"/>
              <w:bottom w:val="single" w:sz="12" w:space="0" w:color="auto"/>
              <w:right w:val="nil"/>
            </w:tcBorders>
            <w:shd w:val="clear" w:color="000000" w:fill="C0C0C0"/>
            <w:noWrap/>
            <w:vAlign w:val="bottom"/>
            <w:hideMark/>
          </w:tcPr>
          <w:p w:rsidR="00B75327" w:rsidRPr="00B75327" w:rsidRDefault="009E0ECF" w:rsidP="00B75327">
            <w:pPr>
              <w:spacing w:after="0" w:line="240" w:lineRule="auto"/>
              <w:jc w:val="center"/>
              <w:rPr>
                <w:rFonts w:ascii="Times New Roman" w:eastAsia="Times New Roman" w:hAnsi="Times New Roman" w:cs="Times New Roman"/>
                <w:b/>
                <w:bCs/>
                <w:sz w:val="16"/>
                <w:szCs w:val="16"/>
                <w:lang w:eastAsia="fr-FR"/>
              </w:rPr>
            </w:pPr>
            <w:r w:rsidRPr="009E0ECF">
              <w:rPr>
                <w:rFonts w:ascii="Times New Roman" w:eastAsia="Times New Roman" w:hAnsi="Times New Roman" w:cs="Times New Roman"/>
                <w:b/>
                <w:bCs/>
                <w:sz w:val="16"/>
                <w:szCs w:val="16"/>
                <w:lang w:eastAsia="fr-FR"/>
              </w:rPr>
              <w:t>AT</w:t>
            </w:r>
          </w:p>
        </w:tc>
        <w:tc>
          <w:tcPr>
            <w:tcW w:w="414" w:type="pct"/>
            <w:tcBorders>
              <w:top w:val="single" w:sz="12" w:space="0" w:color="auto"/>
              <w:left w:val="nil"/>
              <w:bottom w:val="single" w:sz="12" w:space="0" w:color="auto"/>
              <w:right w:val="nil"/>
            </w:tcBorders>
            <w:shd w:val="clear" w:color="000000" w:fill="C0C0C0"/>
            <w:noWrap/>
            <w:vAlign w:val="bottom"/>
            <w:hideMark/>
          </w:tcPr>
          <w:p w:rsidR="00B75327" w:rsidRPr="00B75327" w:rsidRDefault="009E0ECF" w:rsidP="00B75327">
            <w:pPr>
              <w:spacing w:after="0" w:line="240" w:lineRule="auto"/>
              <w:jc w:val="center"/>
              <w:rPr>
                <w:rFonts w:ascii="Times New Roman" w:eastAsia="Times New Roman" w:hAnsi="Times New Roman" w:cs="Times New Roman"/>
                <w:b/>
                <w:bCs/>
                <w:sz w:val="16"/>
                <w:szCs w:val="16"/>
                <w:lang w:eastAsia="fr-FR"/>
              </w:rPr>
            </w:pPr>
            <w:r w:rsidRPr="009E0ECF">
              <w:rPr>
                <w:rFonts w:ascii="Times New Roman" w:eastAsia="Times New Roman" w:hAnsi="Times New Roman" w:cs="Times New Roman"/>
                <w:b/>
                <w:bCs/>
                <w:sz w:val="16"/>
                <w:szCs w:val="16"/>
                <w:lang w:eastAsia="fr-FR"/>
              </w:rPr>
              <w:t>SEP</w:t>
            </w:r>
          </w:p>
        </w:tc>
        <w:tc>
          <w:tcPr>
            <w:tcW w:w="308" w:type="pct"/>
            <w:tcBorders>
              <w:top w:val="single" w:sz="12" w:space="0" w:color="auto"/>
              <w:left w:val="nil"/>
              <w:bottom w:val="single" w:sz="12" w:space="0" w:color="auto"/>
              <w:right w:val="nil"/>
            </w:tcBorders>
            <w:shd w:val="clear" w:color="000000" w:fill="C0C0C0"/>
            <w:noWrap/>
            <w:vAlign w:val="bottom"/>
            <w:hideMark/>
          </w:tcPr>
          <w:p w:rsidR="00B75327" w:rsidRPr="00B75327" w:rsidRDefault="009E0ECF" w:rsidP="00B75327">
            <w:pPr>
              <w:spacing w:after="0" w:line="240" w:lineRule="auto"/>
              <w:jc w:val="center"/>
              <w:rPr>
                <w:rFonts w:ascii="Times New Roman" w:eastAsia="Times New Roman" w:hAnsi="Times New Roman" w:cs="Times New Roman"/>
                <w:b/>
                <w:bCs/>
                <w:sz w:val="16"/>
                <w:szCs w:val="16"/>
                <w:lang w:eastAsia="fr-FR"/>
              </w:rPr>
            </w:pPr>
            <w:r w:rsidRPr="009E0ECF">
              <w:rPr>
                <w:rFonts w:ascii="Times New Roman" w:eastAsia="Times New Roman" w:hAnsi="Times New Roman" w:cs="Times New Roman"/>
                <w:b/>
                <w:bCs/>
                <w:sz w:val="16"/>
                <w:szCs w:val="16"/>
                <w:lang w:eastAsia="fr-FR"/>
              </w:rPr>
              <w:t>OCT</w:t>
            </w:r>
          </w:p>
        </w:tc>
        <w:tc>
          <w:tcPr>
            <w:tcW w:w="400" w:type="pct"/>
            <w:tcBorders>
              <w:top w:val="single" w:sz="12" w:space="0" w:color="auto"/>
              <w:left w:val="nil"/>
              <w:bottom w:val="single" w:sz="12" w:space="0" w:color="auto"/>
              <w:right w:val="nil"/>
            </w:tcBorders>
            <w:shd w:val="clear" w:color="000000" w:fill="C0C0C0"/>
            <w:noWrap/>
            <w:vAlign w:val="bottom"/>
            <w:hideMark/>
          </w:tcPr>
          <w:p w:rsidR="00B75327" w:rsidRPr="00B75327" w:rsidRDefault="009E0ECF" w:rsidP="00B75327">
            <w:pPr>
              <w:spacing w:after="0" w:line="240" w:lineRule="auto"/>
              <w:jc w:val="center"/>
              <w:rPr>
                <w:rFonts w:ascii="Times New Roman" w:eastAsia="Times New Roman" w:hAnsi="Times New Roman" w:cs="Times New Roman"/>
                <w:b/>
                <w:bCs/>
                <w:sz w:val="16"/>
                <w:szCs w:val="16"/>
                <w:lang w:eastAsia="fr-FR"/>
              </w:rPr>
            </w:pPr>
            <w:r w:rsidRPr="009E0ECF">
              <w:rPr>
                <w:rFonts w:ascii="Times New Roman" w:eastAsia="Times New Roman" w:hAnsi="Times New Roman" w:cs="Times New Roman"/>
                <w:b/>
                <w:bCs/>
                <w:sz w:val="16"/>
                <w:szCs w:val="16"/>
                <w:lang w:eastAsia="fr-FR"/>
              </w:rPr>
              <w:t>NOV</w:t>
            </w:r>
          </w:p>
        </w:tc>
        <w:tc>
          <w:tcPr>
            <w:tcW w:w="400" w:type="pct"/>
            <w:tcBorders>
              <w:top w:val="single" w:sz="12" w:space="0" w:color="auto"/>
              <w:left w:val="nil"/>
              <w:bottom w:val="single" w:sz="12" w:space="0" w:color="auto"/>
              <w:right w:val="nil"/>
            </w:tcBorders>
            <w:shd w:val="clear" w:color="000000" w:fill="C0C0C0"/>
            <w:noWrap/>
            <w:vAlign w:val="bottom"/>
            <w:hideMark/>
          </w:tcPr>
          <w:p w:rsidR="00B75327" w:rsidRPr="00B75327" w:rsidRDefault="009E0ECF" w:rsidP="00B75327">
            <w:pPr>
              <w:spacing w:after="0" w:line="240" w:lineRule="auto"/>
              <w:jc w:val="center"/>
              <w:rPr>
                <w:rFonts w:ascii="Times New Roman" w:eastAsia="Times New Roman" w:hAnsi="Times New Roman" w:cs="Times New Roman"/>
                <w:b/>
                <w:bCs/>
                <w:sz w:val="16"/>
                <w:szCs w:val="16"/>
                <w:lang w:eastAsia="fr-FR"/>
              </w:rPr>
            </w:pPr>
            <w:r w:rsidRPr="009E0ECF">
              <w:rPr>
                <w:rFonts w:ascii="Times New Roman" w:eastAsia="Times New Roman" w:hAnsi="Times New Roman" w:cs="Times New Roman"/>
                <w:b/>
                <w:bCs/>
                <w:sz w:val="16"/>
                <w:szCs w:val="16"/>
                <w:lang w:eastAsia="fr-FR"/>
              </w:rPr>
              <w:t>DEC</w:t>
            </w:r>
          </w:p>
        </w:tc>
        <w:tc>
          <w:tcPr>
            <w:tcW w:w="406" w:type="pct"/>
            <w:tcBorders>
              <w:top w:val="single" w:sz="12" w:space="0" w:color="auto"/>
              <w:left w:val="nil"/>
              <w:bottom w:val="single" w:sz="12" w:space="0" w:color="auto"/>
              <w:right w:val="nil"/>
            </w:tcBorders>
            <w:shd w:val="clear" w:color="000000" w:fill="C0C0C0"/>
            <w:noWrap/>
            <w:vAlign w:val="bottom"/>
            <w:hideMark/>
          </w:tcPr>
          <w:p w:rsidR="00B75327" w:rsidRPr="00B75327" w:rsidRDefault="009E0ECF" w:rsidP="00B75327">
            <w:pPr>
              <w:spacing w:after="0" w:line="240" w:lineRule="auto"/>
              <w:jc w:val="center"/>
              <w:rPr>
                <w:rFonts w:ascii="Times New Roman" w:eastAsia="Times New Roman" w:hAnsi="Times New Roman" w:cs="Times New Roman"/>
                <w:b/>
                <w:bCs/>
                <w:sz w:val="16"/>
                <w:szCs w:val="16"/>
                <w:lang w:eastAsia="fr-FR"/>
              </w:rPr>
            </w:pPr>
            <w:r w:rsidRPr="009E0ECF">
              <w:rPr>
                <w:rFonts w:ascii="Times New Roman" w:eastAsia="Times New Roman" w:hAnsi="Times New Roman" w:cs="Times New Roman"/>
                <w:b/>
                <w:bCs/>
                <w:sz w:val="16"/>
                <w:szCs w:val="16"/>
                <w:lang w:eastAsia="fr-FR"/>
              </w:rPr>
              <w:t>MOY</w:t>
            </w:r>
          </w:p>
        </w:tc>
      </w:tr>
      <w:tr w:rsidR="009E0ECF" w:rsidRPr="009E0ECF" w:rsidTr="009E0ECF">
        <w:trPr>
          <w:trHeight w:val="310"/>
        </w:trPr>
        <w:tc>
          <w:tcPr>
            <w:tcW w:w="548" w:type="pct"/>
            <w:tcBorders>
              <w:top w:val="single" w:sz="12" w:space="0" w:color="auto"/>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Agadir</w:t>
            </w:r>
          </w:p>
        </w:tc>
        <w:tc>
          <w:tcPr>
            <w:tcW w:w="337" w:type="pct"/>
            <w:tcBorders>
              <w:top w:val="single" w:sz="12" w:space="0" w:color="auto"/>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102,3</w:t>
            </w:r>
          </w:p>
        </w:tc>
        <w:tc>
          <w:tcPr>
            <w:tcW w:w="337" w:type="pct"/>
            <w:tcBorders>
              <w:top w:val="single" w:sz="12" w:space="0" w:color="auto"/>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102,2</w:t>
            </w:r>
          </w:p>
        </w:tc>
        <w:tc>
          <w:tcPr>
            <w:tcW w:w="308" w:type="pct"/>
            <w:tcBorders>
              <w:top w:val="single" w:sz="12" w:space="0" w:color="auto"/>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102,4</w:t>
            </w:r>
          </w:p>
        </w:tc>
        <w:tc>
          <w:tcPr>
            <w:tcW w:w="308" w:type="pct"/>
            <w:tcBorders>
              <w:top w:val="single" w:sz="12" w:space="0" w:color="auto"/>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102,2</w:t>
            </w:r>
          </w:p>
        </w:tc>
        <w:tc>
          <w:tcPr>
            <w:tcW w:w="308" w:type="pct"/>
            <w:tcBorders>
              <w:top w:val="single" w:sz="12" w:space="0" w:color="auto"/>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102,2</w:t>
            </w:r>
          </w:p>
        </w:tc>
        <w:tc>
          <w:tcPr>
            <w:tcW w:w="308" w:type="pct"/>
            <w:tcBorders>
              <w:top w:val="single" w:sz="12" w:space="0" w:color="auto"/>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102,1</w:t>
            </w:r>
          </w:p>
        </w:tc>
        <w:tc>
          <w:tcPr>
            <w:tcW w:w="308" w:type="pct"/>
            <w:tcBorders>
              <w:top w:val="single" w:sz="12" w:space="0" w:color="auto"/>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102,1</w:t>
            </w:r>
          </w:p>
        </w:tc>
        <w:tc>
          <w:tcPr>
            <w:tcW w:w="308" w:type="pct"/>
            <w:tcBorders>
              <w:top w:val="single" w:sz="12" w:space="0" w:color="auto"/>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103,6</w:t>
            </w:r>
          </w:p>
        </w:tc>
        <w:tc>
          <w:tcPr>
            <w:tcW w:w="414" w:type="pct"/>
            <w:tcBorders>
              <w:top w:val="single" w:sz="12" w:space="0" w:color="auto"/>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104,0</w:t>
            </w:r>
          </w:p>
        </w:tc>
        <w:tc>
          <w:tcPr>
            <w:tcW w:w="308" w:type="pct"/>
            <w:tcBorders>
              <w:top w:val="single" w:sz="12" w:space="0" w:color="auto"/>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103,6</w:t>
            </w:r>
          </w:p>
        </w:tc>
        <w:tc>
          <w:tcPr>
            <w:tcW w:w="400" w:type="pct"/>
            <w:tcBorders>
              <w:top w:val="single" w:sz="12" w:space="0" w:color="auto"/>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102,9</w:t>
            </w:r>
          </w:p>
        </w:tc>
        <w:tc>
          <w:tcPr>
            <w:tcW w:w="400" w:type="pct"/>
            <w:tcBorders>
              <w:top w:val="single" w:sz="12" w:space="0" w:color="auto"/>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102,5</w:t>
            </w:r>
          </w:p>
        </w:tc>
        <w:tc>
          <w:tcPr>
            <w:tcW w:w="406" w:type="pct"/>
            <w:tcBorders>
              <w:top w:val="single" w:sz="12" w:space="0" w:color="auto"/>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102,7</w:t>
            </w:r>
          </w:p>
        </w:tc>
      </w:tr>
      <w:tr w:rsidR="009E0ECF" w:rsidRPr="009E0ECF" w:rsidTr="009E0ECF">
        <w:trPr>
          <w:trHeight w:val="310"/>
        </w:trPr>
        <w:tc>
          <w:tcPr>
            <w:tcW w:w="54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Casa</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102,5</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102,3</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102,4</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102,4</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102,2</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101,7</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102,7</w:t>
            </w:r>
          </w:p>
        </w:tc>
        <w:tc>
          <w:tcPr>
            <w:tcW w:w="414"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102,9</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103,4</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103,1</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102,8</w:t>
            </w:r>
          </w:p>
        </w:tc>
        <w:tc>
          <w:tcPr>
            <w:tcW w:w="406"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102,5</w:t>
            </w:r>
          </w:p>
        </w:tc>
      </w:tr>
      <w:tr w:rsidR="009E0ECF" w:rsidRPr="009E0ECF" w:rsidTr="009E0ECF">
        <w:trPr>
          <w:trHeight w:val="310"/>
        </w:trPr>
        <w:tc>
          <w:tcPr>
            <w:tcW w:w="54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Fes</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103,0</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103,0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103,6</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103,4</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103,2</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102,5</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101,8</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103,1</w:t>
            </w:r>
          </w:p>
        </w:tc>
        <w:tc>
          <w:tcPr>
            <w:tcW w:w="414"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103,7</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103,3</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102,2</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102,2</w:t>
            </w:r>
          </w:p>
        </w:tc>
        <w:tc>
          <w:tcPr>
            <w:tcW w:w="406"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102,9</w:t>
            </w:r>
          </w:p>
        </w:tc>
      </w:tr>
      <w:tr w:rsidR="009E0ECF" w:rsidRPr="009E0ECF" w:rsidTr="009E0ECF">
        <w:trPr>
          <w:trHeight w:val="310"/>
        </w:trPr>
        <w:tc>
          <w:tcPr>
            <w:tcW w:w="54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Kenitra</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101,6</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101,6</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101,8</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101,8</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100,7</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102,4</w:t>
            </w:r>
          </w:p>
        </w:tc>
        <w:tc>
          <w:tcPr>
            <w:tcW w:w="414"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103,3</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102,5</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101,3</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100,7</w:t>
            </w:r>
          </w:p>
        </w:tc>
        <w:tc>
          <w:tcPr>
            <w:tcW w:w="406"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101,6</w:t>
            </w:r>
          </w:p>
        </w:tc>
      </w:tr>
      <w:tr w:rsidR="009E0ECF" w:rsidRPr="009E0ECF" w:rsidTr="009E0ECF">
        <w:trPr>
          <w:trHeight w:val="310"/>
        </w:trPr>
        <w:tc>
          <w:tcPr>
            <w:tcW w:w="54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Marrakech</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102,3</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102,5</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102,2</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102,1</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101,3</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101,1</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102,6</w:t>
            </w:r>
          </w:p>
        </w:tc>
        <w:tc>
          <w:tcPr>
            <w:tcW w:w="414"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103,2</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103,7</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102,9</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102,0</w:t>
            </w:r>
          </w:p>
        </w:tc>
        <w:tc>
          <w:tcPr>
            <w:tcW w:w="406"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102,3</w:t>
            </w:r>
          </w:p>
        </w:tc>
      </w:tr>
      <w:tr w:rsidR="009E0ECF" w:rsidRPr="009E0ECF" w:rsidTr="009E0ECF">
        <w:trPr>
          <w:trHeight w:val="310"/>
        </w:trPr>
        <w:tc>
          <w:tcPr>
            <w:tcW w:w="54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Oujda</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101,7</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101,3</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101,9</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101,9</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101,7</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100,6</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102,1</w:t>
            </w:r>
          </w:p>
        </w:tc>
        <w:tc>
          <w:tcPr>
            <w:tcW w:w="414"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102,3</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102,0</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101,8</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101,1</w:t>
            </w:r>
          </w:p>
        </w:tc>
        <w:tc>
          <w:tcPr>
            <w:tcW w:w="406"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101,7</w:t>
            </w:r>
          </w:p>
        </w:tc>
      </w:tr>
      <w:tr w:rsidR="009E0ECF" w:rsidRPr="009E0ECF" w:rsidTr="009E0ECF">
        <w:trPr>
          <w:trHeight w:val="310"/>
        </w:trPr>
        <w:tc>
          <w:tcPr>
            <w:tcW w:w="54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Rabat</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102,1</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102,2</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102,5</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102,3</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101,9</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102,9</w:t>
            </w:r>
          </w:p>
        </w:tc>
        <w:tc>
          <w:tcPr>
            <w:tcW w:w="414"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103,2</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102,8</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102,5</w:t>
            </w:r>
          </w:p>
        </w:tc>
        <w:tc>
          <w:tcPr>
            <w:tcW w:w="406"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102,5</w:t>
            </w:r>
          </w:p>
        </w:tc>
      </w:tr>
      <w:tr w:rsidR="009E0ECF" w:rsidRPr="009E0ECF" w:rsidTr="009E0ECF">
        <w:trPr>
          <w:trHeight w:val="310"/>
        </w:trPr>
        <w:tc>
          <w:tcPr>
            <w:tcW w:w="54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Tétouan</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101,4</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101,3</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102,1</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101,8</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102,2</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100,9</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103,1</w:t>
            </w:r>
          </w:p>
        </w:tc>
        <w:tc>
          <w:tcPr>
            <w:tcW w:w="414"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102,6</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102,3</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101,1</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100,6</w:t>
            </w:r>
          </w:p>
        </w:tc>
        <w:tc>
          <w:tcPr>
            <w:tcW w:w="406"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101,7</w:t>
            </w:r>
          </w:p>
        </w:tc>
      </w:tr>
      <w:tr w:rsidR="009E0ECF" w:rsidRPr="009E0ECF" w:rsidTr="009E0ECF">
        <w:trPr>
          <w:trHeight w:val="310"/>
        </w:trPr>
        <w:tc>
          <w:tcPr>
            <w:tcW w:w="54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Meknes</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101,8</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101,4</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101,6</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101,5</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101,7</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101,5</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102,9</w:t>
            </w:r>
          </w:p>
        </w:tc>
        <w:tc>
          <w:tcPr>
            <w:tcW w:w="414"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103,4</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103,6</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102,6</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102,0</w:t>
            </w:r>
          </w:p>
        </w:tc>
        <w:tc>
          <w:tcPr>
            <w:tcW w:w="406"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102,2</w:t>
            </w:r>
          </w:p>
        </w:tc>
      </w:tr>
      <w:tr w:rsidR="009E0ECF" w:rsidRPr="009E0ECF" w:rsidTr="009E0ECF">
        <w:trPr>
          <w:trHeight w:val="310"/>
        </w:trPr>
        <w:tc>
          <w:tcPr>
            <w:tcW w:w="54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Tanger</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102,4</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102,1</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102,5</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102,8</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102,4</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101,5</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102,8</w:t>
            </w:r>
          </w:p>
        </w:tc>
        <w:tc>
          <w:tcPr>
            <w:tcW w:w="414"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103,1</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103,0</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102,2</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101,7</w:t>
            </w:r>
          </w:p>
        </w:tc>
        <w:tc>
          <w:tcPr>
            <w:tcW w:w="406"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102,4</w:t>
            </w:r>
          </w:p>
        </w:tc>
      </w:tr>
      <w:tr w:rsidR="009E0ECF" w:rsidRPr="009E0ECF" w:rsidTr="009E0ECF">
        <w:trPr>
          <w:trHeight w:val="310"/>
        </w:trPr>
        <w:tc>
          <w:tcPr>
            <w:tcW w:w="54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Laayoune</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103,3</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103,5</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103,7</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102,9</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105,2</w:t>
            </w:r>
          </w:p>
        </w:tc>
        <w:tc>
          <w:tcPr>
            <w:tcW w:w="414"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105,2</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104,9</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104,3</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103,5</w:t>
            </w:r>
          </w:p>
        </w:tc>
        <w:tc>
          <w:tcPr>
            <w:tcW w:w="406"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103,8</w:t>
            </w:r>
          </w:p>
        </w:tc>
      </w:tr>
      <w:tr w:rsidR="009E0ECF" w:rsidRPr="009E0ECF" w:rsidTr="009E0ECF">
        <w:trPr>
          <w:trHeight w:val="310"/>
        </w:trPr>
        <w:tc>
          <w:tcPr>
            <w:tcW w:w="54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Dakhla</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103,3</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103,3</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103,2</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103,2</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102,9</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102,6</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103,1</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103,7</w:t>
            </w:r>
          </w:p>
        </w:tc>
        <w:tc>
          <w:tcPr>
            <w:tcW w:w="414"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103,9</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104,2</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103,6</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103,6</w:t>
            </w:r>
          </w:p>
        </w:tc>
        <w:tc>
          <w:tcPr>
            <w:tcW w:w="406"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103,4</w:t>
            </w:r>
          </w:p>
        </w:tc>
      </w:tr>
      <w:tr w:rsidR="009E0ECF" w:rsidRPr="009E0ECF" w:rsidTr="009E0ECF">
        <w:trPr>
          <w:trHeight w:val="310"/>
        </w:trPr>
        <w:tc>
          <w:tcPr>
            <w:tcW w:w="54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Guelmim</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104,6</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104,9</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105,6</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104,8</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104,8</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104,4</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104,7</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105,5</w:t>
            </w:r>
          </w:p>
        </w:tc>
        <w:tc>
          <w:tcPr>
            <w:tcW w:w="414"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106,4</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106,2</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105,5</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104,7</w:t>
            </w:r>
          </w:p>
        </w:tc>
        <w:tc>
          <w:tcPr>
            <w:tcW w:w="406"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105,2</w:t>
            </w:r>
          </w:p>
        </w:tc>
      </w:tr>
      <w:tr w:rsidR="009E0ECF" w:rsidRPr="009E0ECF" w:rsidTr="009E0ECF">
        <w:trPr>
          <w:trHeight w:val="310"/>
        </w:trPr>
        <w:tc>
          <w:tcPr>
            <w:tcW w:w="54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Settat</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101,1</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100,8</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101,5</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100,9</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101,5</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100,9</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100,6</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102,1</w:t>
            </w:r>
          </w:p>
        </w:tc>
        <w:tc>
          <w:tcPr>
            <w:tcW w:w="414"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103,5</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103,3</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102,8</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102,1</w:t>
            </w:r>
          </w:p>
        </w:tc>
        <w:tc>
          <w:tcPr>
            <w:tcW w:w="406"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101,8</w:t>
            </w:r>
          </w:p>
        </w:tc>
      </w:tr>
      <w:tr w:rsidR="009E0ECF" w:rsidRPr="009E0ECF" w:rsidTr="009E0ECF">
        <w:trPr>
          <w:trHeight w:val="310"/>
        </w:trPr>
        <w:tc>
          <w:tcPr>
            <w:tcW w:w="54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Safi</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105,2</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104,5</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104,5</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105,1</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104,8</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103,5</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103,6</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104,9</w:t>
            </w:r>
          </w:p>
        </w:tc>
        <w:tc>
          <w:tcPr>
            <w:tcW w:w="414"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106,4</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106,3</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104,6</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104,4</w:t>
            </w:r>
          </w:p>
        </w:tc>
        <w:tc>
          <w:tcPr>
            <w:tcW w:w="406"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104,8</w:t>
            </w:r>
          </w:p>
        </w:tc>
      </w:tr>
      <w:tr w:rsidR="009E0ECF" w:rsidRPr="009E0ECF" w:rsidTr="009E0ECF">
        <w:trPr>
          <w:trHeight w:val="310"/>
        </w:trPr>
        <w:tc>
          <w:tcPr>
            <w:tcW w:w="54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Beni mellal</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101,7</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101,4</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102,6</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101,1</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100,0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101,4</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104,2</w:t>
            </w:r>
          </w:p>
        </w:tc>
        <w:tc>
          <w:tcPr>
            <w:tcW w:w="414"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105,1</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105,0</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103,2</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102,1</w:t>
            </w:r>
          </w:p>
        </w:tc>
        <w:tc>
          <w:tcPr>
            <w:tcW w:w="406"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102,5</w:t>
            </w:r>
          </w:p>
        </w:tc>
      </w:tr>
      <w:tr w:rsidR="009E0ECF" w:rsidRPr="009E0ECF" w:rsidTr="009E0ECF">
        <w:trPr>
          <w:trHeight w:val="310"/>
        </w:trPr>
        <w:tc>
          <w:tcPr>
            <w:tcW w:w="54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El houceima</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100,9</w:t>
            </w:r>
          </w:p>
        </w:tc>
        <w:tc>
          <w:tcPr>
            <w:tcW w:w="337"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101,0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102,2</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103,4</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104,0</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101,9</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101,3</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103,0</w:t>
            </w:r>
          </w:p>
        </w:tc>
        <w:tc>
          <w:tcPr>
            <w:tcW w:w="414"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102,3</w:t>
            </w:r>
          </w:p>
        </w:tc>
        <w:tc>
          <w:tcPr>
            <w:tcW w:w="308"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102,5</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102,2</w:t>
            </w:r>
          </w:p>
        </w:tc>
        <w:tc>
          <w:tcPr>
            <w:tcW w:w="400"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101,3</w:t>
            </w:r>
          </w:p>
        </w:tc>
        <w:tc>
          <w:tcPr>
            <w:tcW w:w="406" w:type="pct"/>
            <w:tcBorders>
              <w:top w:val="nil"/>
              <w:left w:val="nil"/>
              <w:bottom w:val="nil"/>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102,2</w:t>
            </w:r>
          </w:p>
        </w:tc>
      </w:tr>
      <w:tr w:rsidR="009E0ECF" w:rsidRPr="009E0ECF" w:rsidTr="009E0ECF">
        <w:trPr>
          <w:trHeight w:val="290"/>
        </w:trPr>
        <w:tc>
          <w:tcPr>
            <w:tcW w:w="548" w:type="pct"/>
            <w:tcBorders>
              <w:top w:val="nil"/>
              <w:left w:val="nil"/>
              <w:bottom w:val="single" w:sz="12" w:space="0" w:color="auto"/>
              <w:right w:val="nil"/>
            </w:tcBorders>
            <w:shd w:val="clear" w:color="auto" w:fill="auto"/>
            <w:noWrap/>
            <w:vAlign w:val="center"/>
            <w:hideMark/>
          </w:tcPr>
          <w:p w:rsidR="00B75327" w:rsidRPr="00B75327" w:rsidRDefault="00B75327" w:rsidP="009E0ECF">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Errachidia</w:t>
            </w:r>
          </w:p>
        </w:tc>
        <w:tc>
          <w:tcPr>
            <w:tcW w:w="337" w:type="pct"/>
            <w:tcBorders>
              <w:top w:val="nil"/>
              <w:left w:val="nil"/>
              <w:bottom w:val="single" w:sz="12" w:space="0" w:color="auto"/>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101,2</w:t>
            </w:r>
          </w:p>
        </w:tc>
        <w:tc>
          <w:tcPr>
            <w:tcW w:w="337" w:type="pct"/>
            <w:tcBorders>
              <w:top w:val="nil"/>
              <w:left w:val="nil"/>
              <w:bottom w:val="single" w:sz="12" w:space="0" w:color="auto"/>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100,8</w:t>
            </w:r>
          </w:p>
        </w:tc>
        <w:tc>
          <w:tcPr>
            <w:tcW w:w="308" w:type="pct"/>
            <w:tcBorders>
              <w:top w:val="nil"/>
              <w:left w:val="nil"/>
              <w:bottom w:val="single" w:sz="12" w:space="0" w:color="auto"/>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sz w:val="18"/>
                <w:szCs w:val="18"/>
                <w:lang w:eastAsia="fr-FR"/>
              </w:rPr>
            </w:pPr>
            <w:r w:rsidRPr="00B75327">
              <w:rPr>
                <w:rFonts w:ascii="Times New Roman" w:eastAsia="Times New Roman" w:hAnsi="Times New Roman" w:cs="Times New Roman"/>
                <w:sz w:val="18"/>
                <w:szCs w:val="18"/>
                <w:lang w:eastAsia="fr-FR"/>
              </w:rPr>
              <w:t>101,3</w:t>
            </w:r>
          </w:p>
        </w:tc>
        <w:tc>
          <w:tcPr>
            <w:tcW w:w="308" w:type="pct"/>
            <w:tcBorders>
              <w:top w:val="nil"/>
              <w:left w:val="nil"/>
              <w:bottom w:val="single" w:sz="12" w:space="0" w:color="auto"/>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101,7</w:t>
            </w:r>
          </w:p>
        </w:tc>
        <w:tc>
          <w:tcPr>
            <w:tcW w:w="308" w:type="pct"/>
            <w:tcBorders>
              <w:top w:val="nil"/>
              <w:left w:val="nil"/>
              <w:bottom w:val="single" w:sz="12" w:space="0" w:color="auto"/>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101,3</w:t>
            </w:r>
          </w:p>
        </w:tc>
        <w:tc>
          <w:tcPr>
            <w:tcW w:w="308" w:type="pct"/>
            <w:tcBorders>
              <w:top w:val="nil"/>
              <w:left w:val="nil"/>
              <w:bottom w:val="single" w:sz="12" w:space="0" w:color="auto"/>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100,5</w:t>
            </w:r>
          </w:p>
        </w:tc>
        <w:tc>
          <w:tcPr>
            <w:tcW w:w="308" w:type="pct"/>
            <w:tcBorders>
              <w:top w:val="nil"/>
              <w:left w:val="nil"/>
              <w:bottom w:val="single" w:sz="12" w:space="0" w:color="auto"/>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100,5</w:t>
            </w:r>
          </w:p>
        </w:tc>
        <w:tc>
          <w:tcPr>
            <w:tcW w:w="308" w:type="pct"/>
            <w:tcBorders>
              <w:top w:val="nil"/>
              <w:left w:val="nil"/>
              <w:bottom w:val="single" w:sz="12" w:space="0" w:color="auto"/>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102,5</w:t>
            </w:r>
          </w:p>
        </w:tc>
        <w:tc>
          <w:tcPr>
            <w:tcW w:w="414" w:type="pct"/>
            <w:tcBorders>
              <w:top w:val="nil"/>
              <w:left w:val="nil"/>
              <w:bottom w:val="single" w:sz="12" w:space="0" w:color="auto"/>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103,0</w:t>
            </w:r>
          </w:p>
        </w:tc>
        <w:tc>
          <w:tcPr>
            <w:tcW w:w="308" w:type="pct"/>
            <w:tcBorders>
              <w:top w:val="nil"/>
              <w:left w:val="nil"/>
              <w:bottom w:val="single" w:sz="12" w:space="0" w:color="auto"/>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102,7</w:t>
            </w:r>
          </w:p>
        </w:tc>
        <w:tc>
          <w:tcPr>
            <w:tcW w:w="400" w:type="pct"/>
            <w:tcBorders>
              <w:top w:val="nil"/>
              <w:left w:val="nil"/>
              <w:bottom w:val="single" w:sz="12" w:space="0" w:color="auto"/>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101,4</w:t>
            </w:r>
          </w:p>
        </w:tc>
        <w:tc>
          <w:tcPr>
            <w:tcW w:w="400" w:type="pct"/>
            <w:tcBorders>
              <w:top w:val="nil"/>
              <w:left w:val="nil"/>
              <w:bottom w:val="single" w:sz="12" w:space="0" w:color="auto"/>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color w:val="000000"/>
                <w:sz w:val="18"/>
                <w:szCs w:val="18"/>
                <w:lang w:eastAsia="fr-FR"/>
              </w:rPr>
            </w:pPr>
            <w:r w:rsidRPr="00B75327">
              <w:rPr>
                <w:rFonts w:ascii="Times New Roman" w:eastAsia="Times New Roman" w:hAnsi="Times New Roman" w:cs="Times New Roman"/>
                <w:color w:val="000000"/>
                <w:sz w:val="18"/>
                <w:szCs w:val="18"/>
                <w:lang w:eastAsia="fr-FR"/>
              </w:rPr>
              <w:t>100,7</w:t>
            </w:r>
          </w:p>
        </w:tc>
        <w:tc>
          <w:tcPr>
            <w:tcW w:w="406" w:type="pct"/>
            <w:tcBorders>
              <w:top w:val="nil"/>
              <w:left w:val="nil"/>
              <w:bottom w:val="single" w:sz="12" w:space="0" w:color="auto"/>
              <w:right w:val="nil"/>
            </w:tcBorders>
            <w:shd w:val="clear" w:color="auto" w:fill="auto"/>
            <w:noWrap/>
            <w:vAlign w:val="center"/>
            <w:hideMark/>
          </w:tcPr>
          <w:p w:rsidR="00B75327" w:rsidRPr="00B75327" w:rsidRDefault="00B75327" w:rsidP="009E0ECF">
            <w:pPr>
              <w:spacing w:after="0" w:line="240" w:lineRule="auto"/>
              <w:jc w:val="right"/>
              <w:rPr>
                <w:rFonts w:ascii="Times New Roman" w:eastAsia="Times New Roman" w:hAnsi="Times New Roman" w:cs="Times New Roman"/>
                <w:b/>
                <w:color w:val="000000"/>
                <w:sz w:val="18"/>
                <w:szCs w:val="18"/>
                <w:lang w:eastAsia="fr-FR"/>
              </w:rPr>
            </w:pPr>
            <w:r w:rsidRPr="00B75327">
              <w:rPr>
                <w:rFonts w:ascii="Times New Roman" w:eastAsia="Times New Roman" w:hAnsi="Times New Roman" w:cs="Times New Roman"/>
                <w:b/>
                <w:color w:val="000000"/>
                <w:sz w:val="18"/>
                <w:szCs w:val="18"/>
                <w:lang w:eastAsia="fr-FR"/>
              </w:rPr>
              <w:t>101,5</w:t>
            </w:r>
          </w:p>
        </w:tc>
      </w:tr>
      <w:tr w:rsidR="009E0ECF" w:rsidRPr="009E0ECF" w:rsidTr="009E0ECF">
        <w:trPr>
          <w:trHeight w:val="350"/>
        </w:trPr>
        <w:tc>
          <w:tcPr>
            <w:tcW w:w="548" w:type="pct"/>
            <w:tcBorders>
              <w:top w:val="single" w:sz="12" w:space="0" w:color="auto"/>
              <w:left w:val="nil"/>
              <w:bottom w:val="single" w:sz="12" w:space="0" w:color="auto"/>
              <w:right w:val="nil"/>
            </w:tcBorders>
            <w:shd w:val="clear" w:color="auto" w:fill="auto"/>
            <w:noWrap/>
            <w:vAlign w:val="bottom"/>
            <w:hideMark/>
          </w:tcPr>
          <w:p w:rsidR="00B75327" w:rsidRPr="00B75327" w:rsidRDefault="00B75327" w:rsidP="00B75327">
            <w:pPr>
              <w:spacing w:after="0" w:line="240" w:lineRule="auto"/>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Ensemble</w:t>
            </w:r>
          </w:p>
        </w:tc>
        <w:tc>
          <w:tcPr>
            <w:tcW w:w="337" w:type="pct"/>
            <w:tcBorders>
              <w:top w:val="single" w:sz="12" w:space="0" w:color="auto"/>
              <w:left w:val="nil"/>
              <w:bottom w:val="single" w:sz="12" w:space="0" w:color="auto"/>
              <w:right w:val="nil"/>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102,3</w:t>
            </w:r>
          </w:p>
        </w:tc>
        <w:tc>
          <w:tcPr>
            <w:tcW w:w="337" w:type="pct"/>
            <w:tcBorders>
              <w:top w:val="single" w:sz="12" w:space="0" w:color="auto"/>
              <w:left w:val="nil"/>
              <w:bottom w:val="single" w:sz="12" w:space="0" w:color="auto"/>
              <w:right w:val="nil"/>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102,1</w:t>
            </w:r>
          </w:p>
        </w:tc>
        <w:tc>
          <w:tcPr>
            <w:tcW w:w="308" w:type="pct"/>
            <w:tcBorders>
              <w:top w:val="single" w:sz="12" w:space="0" w:color="auto"/>
              <w:left w:val="nil"/>
              <w:bottom w:val="single" w:sz="12" w:space="0" w:color="auto"/>
              <w:right w:val="nil"/>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102,5</w:t>
            </w:r>
          </w:p>
        </w:tc>
        <w:tc>
          <w:tcPr>
            <w:tcW w:w="308" w:type="pct"/>
            <w:tcBorders>
              <w:top w:val="single" w:sz="12" w:space="0" w:color="auto"/>
              <w:left w:val="nil"/>
              <w:bottom w:val="single" w:sz="12" w:space="0" w:color="auto"/>
              <w:right w:val="nil"/>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102,4</w:t>
            </w:r>
          </w:p>
        </w:tc>
        <w:tc>
          <w:tcPr>
            <w:tcW w:w="308" w:type="pct"/>
            <w:tcBorders>
              <w:top w:val="single" w:sz="12" w:space="0" w:color="auto"/>
              <w:left w:val="nil"/>
              <w:bottom w:val="single" w:sz="12" w:space="0" w:color="auto"/>
              <w:right w:val="nil"/>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102,2</w:t>
            </w:r>
          </w:p>
        </w:tc>
        <w:tc>
          <w:tcPr>
            <w:tcW w:w="308" w:type="pct"/>
            <w:tcBorders>
              <w:top w:val="single" w:sz="12" w:space="0" w:color="auto"/>
              <w:left w:val="nil"/>
              <w:bottom w:val="single" w:sz="12" w:space="0" w:color="auto"/>
              <w:right w:val="nil"/>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101,9</w:t>
            </w:r>
          </w:p>
        </w:tc>
        <w:tc>
          <w:tcPr>
            <w:tcW w:w="308" w:type="pct"/>
            <w:tcBorders>
              <w:top w:val="single" w:sz="12" w:space="0" w:color="auto"/>
              <w:left w:val="nil"/>
              <w:bottom w:val="single" w:sz="12" w:space="0" w:color="auto"/>
              <w:right w:val="nil"/>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101,6</w:t>
            </w:r>
          </w:p>
        </w:tc>
        <w:tc>
          <w:tcPr>
            <w:tcW w:w="308" w:type="pct"/>
            <w:tcBorders>
              <w:top w:val="single" w:sz="12" w:space="0" w:color="auto"/>
              <w:left w:val="nil"/>
              <w:bottom w:val="single" w:sz="12" w:space="0" w:color="auto"/>
              <w:right w:val="nil"/>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103,0</w:t>
            </w:r>
          </w:p>
        </w:tc>
        <w:tc>
          <w:tcPr>
            <w:tcW w:w="414" w:type="pct"/>
            <w:tcBorders>
              <w:top w:val="single" w:sz="12" w:space="0" w:color="auto"/>
              <w:left w:val="nil"/>
              <w:bottom w:val="single" w:sz="12" w:space="0" w:color="auto"/>
              <w:right w:val="nil"/>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103,3</w:t>
            </w:r>
          </w:p>
        </w:tc>
        <w:tc>
          <w:tcPr>
            <w:tcW w:w="308" w:type="pct"/>
            <w:tcBorders>
              <w:top w:val="single" w:sz="12" w:space="0" w:color="auto"/>
              <w:left w:val="nil"/>
              <w:bottom w:val="single" w:sz="12" w:space="0" w:color="auto"/>
              <w:right w:val="nil"/>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103,4</w:t>
            </w:r>
          </w:p>
        </w:tc>
        <w:tc>
          <w:tcPr>
            <w:tcW w:w="400" w:type="pct"/>
            <w:tcBorders>
              <w:top w:val="single" w:sz="12" w:space="0" w:color="auto"/>
              <w:left w:val="nil"/>
              <w:bottom w:val="single" w:sz="12" w:space="0" w:color="auto"/>
              <w:right w:val="nil"/>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102,7</w:t>
            </w:r>
          </w:p>
        </w:tc>
        <w:tc>
          <w:tcPr>
            <w:tcW w:w="400" w:type="pct"/>
            <w:tcBorders>
              <w:top w:val="single" w:sz="12" w:space="0" w:color="auto"/>
              <w:left w:val="nil"/>
              <w:bottom w:val="single" w:sz="12" w:space="0" w:color="auto"/>
              <w:right w:val="nil"/>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102,2</w:t>
            </w:r>
          </w:p>
        </w:tc>
        <w:tc>
          <w:tcPr>
            <w:tcW w:w="406" w:type="pct"/>
            <w:tcBorders>
              <w:top w:val="single" w:sz="12" w:space="0" w:color="auto"/>
              <w:left w:val="nil"/>
              <w:bottom w:val="single" w:sz="12" w:space="0" w:color="auto"/>
              <w:right w:val="nil"/>
            </w:tcBorders>
            <w:shd w:val="clear" w:color="auto" w:fill="auto"/>
            <w:noWrap/>
            <w:vAlign w:val="bottom"/>
            <w:hideMark/>
          </w:tcPr>
          <w:p w:rsidR="00B75327" w:rsidRPr="00B75327" w:rsidRDefault="00B75327" w:rsidP="00B75327">
            <w:pPr>
              <w:spacing w:after="0" w:line="240" w:lineRule="auto"/>
              <w:jc w:val="right"/>
              <w:rPr>
                <w:rFonts w:ascii="Times New Roman" w:eastAsia="Times New Roman" w:hAnsi="Times New Roman" w:cs="Times New Roman"/>
                <w:b/>
                <w:bCs/>
                <w:sz w:val="18"/>
                <w:szCs w:val="18"/>
                <w:lang w:eastAsia="fr-FR"/>
              </w:rPr>
            </w:pPr>
            <w:r w:rsidRPr="00B75327">
              <w:rPr>
                <w:rFonts w:ascii="Times New Roman" w:eastAsia="Times New Roman" w:hAnsi="Times New Roman" w:cs="Times New Roman"/>
                <w:b/>
                <w:bCs/>
                <w:sz w:val="18"/>
                <w:szCs w:val="18"/>
                <w:lang w:eastAsia="fr-FR"/>
              </w:rPr>
              <w:t>102,5</w:t>
            </w:r>
          </w:p>
        </w:tc>
      </w:tr>
    </w:tbl>
    <w:p w:rsidR="00BB5DB3" w:rsidRPr="00483003" w:rsidRDefault="00BB5DB3" w:rsidP="00BB5DB3">
      <w:pPr>
        <w:pStyle w:val="Lgende"/>
        <w:rPr>
          <w:rFonts w:ascii="Times New Roman" w:hAnsi="Times New Roman"/>
          <w:i/>
          <w:iCs/>
          <w:sz w:val="22"/>
        </w:rPr>
      </w:pPr>
      <w:r w:rsidRPr="00483003">
        <w:rPr>
          <w:rFonts w:ascii="Times New Roman" w:hAnsi="Times New Roman"/>
          <w:i/>
          <w:iCs/>
          <w:sz w:val="22"/>
        </w:rPr>
        <w:t>Source : HCP</w:t>
      </w:r>
    </w:p>
    <w:p w:rsidR="00CF570A" w:rsidRPr="00E678BE" w:rsidRDefault="00CF570A" w:rsidP="009E0ECF">
      <w:pPr>
        <w:rPr>
          <w:rFonts w:asciiTheme="majorBidi" w:hAnsiTheme="majorBidi" w:cstheme="majorBidi"/>
          <w:sz w:val="16"/>
          <w:szCs w:val="16"/>
        </w:rPr>
      </w:pPr>
    </w:p>
    <w:sectPr w:rsidR="00CF570A" w:rsidRPr="00E678BE" w:rsidSect="007B49E0">
      <w:pgSz w:w="11906" w:h="16838"/>
      <w:pgMar w:top="1701" w:right="1274"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ECD" w:rsidRDefault="00CC3ECD" w:rsidP="009E2412">
      <w:pPr>
        <w:spacing w:after="0" w:line="240" w:lineRule="auto"/>
      </w:pPr>
      <w:r>
        <w:separator/>
      </w:r>
    </w:p>
  </w:endnote>
  <w:endnote w:type="continuationSeparator" w:id="1">
    <w:p w:rsidR="00CC3ECD" w:rsidRDefault="00CC3ECD" w:rsidP="009E2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3688"/>
      <w:docPartObj>
        <w:docPartGallery w:val="Page Numbers (Bottom of Page)"/>
        <w:docPartUnique/>
      </w:docPartObj>
    </w:sdtPr>
    <w:sdtContent>
      <w:p w:rsidR="00B63F14" w:rsidRDefault="002966E3">
        <w:pPr>
          <w:pStyle w:val="Pieddepage"/>
          <w:jc w:val="center"/>
        </w:pPr>
        <w:fldSimple w:instr=" PAGE   \* MERGEFORMAT ">
          <w:r w:rsidR="00FC6563">
            <w:rPr>
              <w:noProof/>
            </w:rPr>
            <w:t>2</w:t>
          </w:r>
        </w:fldSimple>
      </w:p>
    </w:sdtContent>
  </w:sdt>
  <w:p w:rsidR="00B63F14" w:rsidRDefault="00B63F1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ECD" w:rsidRDefault="00CC3ECD" w:rsidP="009E2412">
      <w:pPr>
        <w:spacing w:after="0" w:line="240" w:lineRule="auto"/>
      </w:pPr>
      <w:r>
        <w:separator/>
      </w:r>
    </w:p>
  </w:footnote>
  <w:footnote w:type="continuationSeparator" w:id="1">
    <w:p w:rsidR="00CC3ECD" w:rsidRDefault="00CC3ECD" w:rsidP="009E24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1E8"/>
    <w:multiLevelType w:val="hybridMultilevel"/>
    <w:tmpl w:val="48FC642C"/>
    <w:lvl w:ilvl="0" w:tplc="54163708">
      <w:start w:val="1"/>
      <w:numFmt w:val="bullet"/>
      <w:lvlText w:val="•"/>
      <w:lvlJc w:val="left"/>
      <w:pPr>
        <w:tabs>
          <w:tab w:val="num" w:pos="720"/>
        </w:tabs>
        <w:ind w:left="720" w:hanging="360"/>
      </w:pPr>
      <w:rPr>
        <w:rFonts w:ascii="Times New Roman" w:hAnsi="Times New Roman" w:hint="default"/>
      </w:rPr>
    </w:lvl>
    <w:lvl w:ilvl="1" w:tplc="9ED6199C" w:tentative="1">
      <w:start w:val="1"/>
      <w:numFmt w:val="bullet"/>
      <w:lvlText w:val="•"/>
      <w:lvlJc w:val="left"/>
      <w:pPr>
        <w:tabs>
          <w:tab w:val="num" w:pos="1440"/>
        </w:tabs>
        <w:ind w:left="1440" w:hanging="360"/>
      </w:pPr>
      <w:rPr>
        <w:rFonts w:ascii="Times New Roman" w:hAnsi="Times New Roman" w:hint="default"/>
      </w:rPr>
    </w:lvl>
    <w:lvl w:ilvl="2" w:tplc="EA9617E4" w:tentative="1">
      <w:start w:val="1"/>
      <w:numFmt w:val="bullet"/>
      <w:lvlText w:val="•"/>
      <w:lvlJc w:val="left"/>
      <w:pPr>
        <w:tabs>
          <w:tab w:val="num" w:pos="2160"/>
        </w:tabs>
        <w:ind w:left="2160" w:hanging="360"/>
      </w:pPr>
      <w:rPr>
        <w:rFonts w:ascii="Times New Roman" w:hAnsi="Times New Roman" w:hint="default"/>
      </w:rPr>
    </w:lvl>
    <w:lvl w:ilvl="3" w:tplc="DEF64512" w:tentative="1">
      <w:start w:val="1"/>
      <w:numFmt w:val="bullet"/>
      <w:lvlText w:val="•"/>
      <w:lvlJc w:val="left"/>
      <w:pPr>
        <w:tabs>
          <w:tab w:val="num" w:pos="2880"/>
        </w:tabs>
        <w:ind w:left="2880" w:hanging="360"/>
      </w:pPr>
      <w:rPr>
        <w:rFonts w:ascii="Times New Roman" w:hAnsi="Times New Roman" w:hint="default"/>
      </w:rPr>
    </w:lvl>
    <w:lvl w:ilvl="4" w:tplc="3B92BB68" w:tentative="1">
      <w:start w:val="1"/>
      <w:numFmt w:val="bullet"/>
      <w:lvlText w:val="•"/>
      <w:lvlJc w:val="left"/>
      <w:pPr>
        <w:tabs>
          <w:tab w:val="num" w:pos="3600"/>
        </w:tabs>
        <w:ind w:left="3600" w:hanging="360"/>
      </w:pPr>
      <w:rPr>
        <w:rFonts w:ascii="Times New Roman" w:hAnsi="Times New Roman" w:hint="default"/>
      </w:rPr>
    </w:lvl>
    <w:lvl w:ilvl="5" w:tplc="1A047BFC" w:tentative="1">
      <w:start w:val="1"/>
      <w:numFmt w:val="bullet"/>
      <w:lvlText w:val="•"/>
      <w:lvlJc w:val="left"/>
      <w:pPr>
        <w:tabs>
          <w:tab w:val="num" w:pos="4320"/>
        </w:tabs>
        <w:ind w:left="4320" w:hanging="360"/>
      </w:pPr>
      <w:rPr>
        <w:rFonts w:ascii="Times New Roman" w:hAnsi="Times New Roman" w:hint="default"/>
      </w:rPr>
    </w:lvl>
    <w:lvl w:ilvl="6" w:tplc="FD4AC50A" w:tentative="1">
      <w:start w:val="1"/>
      <w:numFmt w:val="bullet"/>
      <w:lvlText w:val="•"/>
      <w:lvlJc w:val="left"/>
      <w:pPr>
        <w:tabs>
          <w:tab w:val="num" w:pos="5040"/>
        </w:tabs>
        <w:ind w:left="5040" w:hanging="360"/>
      </w:pPr>
      <w:rPr>
        <w:rFonts w:ascii="Times New Roman" w:hAnsi="Times New Roman" w:hint="default"/>
      </w:rPr>
    </w:lvl>
    <w:lvl w:ilvl="7" w:tplc="907EAB4C" w:tentative="1">
      <w:start w:val="1"/>
      <w:numFmt w:val="bullet"/>
      <w:lvlText w:val="•"/>
      <w:lvlJc w:val="left"/>
      <w:pPr>
        <w:tabs>
          <w:tab w:val="num" w:pos="5760"/>
        </w:tabs>
        <w:ind w:left="5760" w:hanging="360"/>
      </w:pPr>
      <w:rPr>
        <w:rFonts w:ascii="Times New Roman" w:hAnsi="Times New Roman" w:hint="default"/>
      </w:rPr>
    </w:lvl>
    <w:lvl w:ilvl="8" w:tplc="29D088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5B238D"/>
    <w:multiLevelType w:val="hybridMultilevel"/>
    <w:tmpl w:val="3A565988"/>
    <w:lvl w:ilvl="0" w:tplc="040C000F">
      <w:start w:val="1"/>
      <w:numFmt w:val="decimal"/>
      <w:lvlText w:val="%1."/>
      <w:lvlJc w:val="left"/>
      <w:pPr>
        <w:ind w:left="284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2">
    <w:nsid w:val="06B32696"/>
    <w:multiLevelType w:val="hybridMultilevel"/>
    <w:tmpl w:val="D07CE020"/>
    <w:lvl w:ilvl="0" w:tplc="D90090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B7224D"/>
    <w:multiLevelType w:val="hybridMultilevel"/>
    <w:tmpl w:val="54EE8FEC"/>
    <w:lvl w:ilvl="0" w:tplc="E44E3FA0">
      <w:start w:val="1"/>
      <w:numFmt w:val="bullet"/>
      <w:lvlText w:val="•"/>
      <w:lvlJc w:val="left"/>
      <w:pPr>
        <w:tabs>
          <w:tab w:val="num" w:pos="720"/>
        </w:tabs>
        <w:ind w:left="720" w:hanging="360"/>
      </w:pPr>
      <w:rPr>
        <w:rFonts w:ascii="Times New Roman" w:hAnsi="Times New Roman" w:hint="default"/>
      </w:rPr>
    </w:lvl>
    <w:lvl w:ilvl="1" w:tplc="5ADC051E" w:tentative="1">
      <w:start w:val="1"/>
      <w:numFmt w:val="bullet"/>
      <w:lvlText w:val="•"/>
      <w:lvlJc w:val="left"/>
      <w:pPr>
        <w:tabs>
          <w:tab w:val="num" w:pos="1440"/>
        </w:tabs>
        <w:ind w:left="1440" w:hanging="360"/>
      </w:pPr>
      <w:rPr>
        <w:rFonts w:ascii="Times New Roman" w:hAnsi="Times New Roman" w:hint="default"/>
      </w:rPr>
    </w:lvl>
    <w:lvl w:ilvl="2" w:tplc="C94C0DCE" w:tentative="1">
      <w:start w:val="1"/>
      <w:numFmt w:val="bullet"/>
      <w:lvlText w:val="•"/>
      <w:lvlJc w:val="left"/>
      <w:pPr>
        <w:tabs>
          <w:tab w:val="num" w:pos="2160"/>
        </w:tabs>
        <w:ind w:left="2160" w:hanging="360"/>
      </w:pPr>
      <w:rPr>
        <w:rFonts w:ascii="Times New Roman" w:hAnsi="Times New Roman" w:hint="default"/>
      </w:rPr>
    </w:lvl>
    <w:lvl w:ilvl="3" w:tplc="12385568" w:tentative="1">
      <w:start w:val="1"/>
      <w:numFmt w:val="bullet"/>
      <w:lvlText w:val="•"/>
      <w:lvlJc w:val="left"/>
      <w:pPr>
        <w:tabs>
          <w:tab w:val="num" w:pos="2880"/>
        </w:tabs>
        <w:ind w:left="2880" w:hanging="360"/>
      </w:pPr>
      <w:rPr>
        <w:rFonts w:ascii="Times New Roman" w:hAnsi="Times New Roman" w:hint="default"/>
      </w:rPr>
    </w:lvl>
    <w:lvl w:ilvl="4" w:tplc="07F824D2" w:tentative="1">
      <w:start w:val="1"/>
      <w:numFmt w:val="bullet"/>
      <w:lvlText w:val="•"/>
      <w:lvlJc w:val="left"/>
      <w:pPr>
        <w:tabs>
          <w:tab w:val="num" w:pos="3600"/>
        </w:tabs>
        <w:ind w:left="3600" w:hanging="360"/>
      </w:pPr>
      <w:rPr>
        <w:rFonts w:ascii="Times New Roman" w:hAnsi="Times New Roman" w:hint="default"/>
      </w:rPr>
    </w:lvl>
    <w:lvl w:ilvl="5" w:tplc="ED8239AC" w:tentative="1">
      <w:start w:val="1"/>
      <w:numFmt w:val="bullet"/>
      <w:lvlText w:val="•"/>
      <w:lvlJc w:val="left"/>
      <w:pPr>
        <w:tabs>
          <w:tab w:val="num" w:pos="4320"/>
        </w:tabs>
        <w:ind w:left="4320" w:hanging="360"/>
      </w:pPr>
      <w:rPr>
        <w:rFonts w:ascii="Times New Roman" w:hAnsi="Times New Roman" w:hint="default"/>
      </w:rPr>
    </w:lvl>
    <w:lvl w:ilvl="6" w:tplc="E86E4654" w:tentative="1">
      <w:start w:val="1"/>
      <w:numFmt w:val="bullet"/>
      <w:lvlText w:val="•"/>
      <w:lvlJc w:val="left"/>
      <w:pPr>
        <w:tabs>
          <w:tab w:val="num" w:pos="5040"/>
        </w:tabs>
        <w:ind w:left="5040" w:hanging="360"/>
      </w:pPr>
      <w:rPr>
        <w:rFonts w:ascii="Times New Roman" w:hAnsi="Times New Roman" w:hint="default"/>
      </w:rPr>
    </w:lvl>
    <w:lvl w:ilvl="7" w:tplc="5A140352" w:tentative="1">
      <w:start w:val="1"/>
      <w:numFmt w:val="bullet"/>
      <w:lvlText w:val="•"/>
      <w:lvlJc w:val="left"/>
      <w:pPr>
        <w:tabs>
          <w:tab w:val="num" w:pos="5760"/>
        </w:tabs>
        <w:ind w:left="5760" w:hanging="360"/>
      </w:pPr>
      <w:rPr>
        <w:rFonts w:ascii="Times New Roman" w:hAnsi="Times New Roman" w:hint="default"/>
      </w:rPr>
    </w:lvl>
    <w:lvl w:ilvl="8" w:tplc="DBFE4DF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4A1294"/>
    <w:multiLevelType w:val="hybridMultilevel"/>
    <w:tmpl w:val="DDE08B82"/>
    <w:lvl w:ilvl="0" w:tplc="6290CE8C">
      <w:start w:val="1"/>
      <w:numFmt w:val="bullet"/>
      <w:lvlText w:val="•"/>
      <w:lvlJc w:val="left"/>
      <w:pPr>
        <w:tabs>
          <w:tab w:val="num" w:pos="720"/>
        </w:tabs>
        <w:ind w:left="720" w:hanging="360"/>
      </w:pPr>
      <w:rPr>
        <w:rFonts w:ascii="Times New Roman" w:hAnsi="Times New Roman" w:hint="default"/>
      </w:rPr>
    </w:lvl>
    <w:lvl w:ilvl="1" w:tplc="59767266" w:tentative="1">
      <w:start w:val="1"/>
      <w:numFmt w:val="bullet"/>
      <w:lvlText w:val="•"/>
      <w:lvlJc w:val="left"/>
      <w:pPr>
        <w:tabs>
          <w:tab w:val="num" w:pos="1440"/>
        </w:tabs>
        <w:ind w:left="1440" w:hanging="360"/>
      </w:pPr>
      <w:rPr>
        <w:rFonts w:ascii="Times New Roman" w:hAnsi="Times New Roman" w:hint="default"/>
      </w:rPr>
    </w:lvl>
    <w:lvl w:ilvl="2" w:tplc="15E07180" w:tentative="1">
      <w:start w:val="1"/>
      <w:numFmt w:val="bullet"/>
      <w:lvlText w:val="•"/>
      <w:lvlJc w:val="left"/>
      <w:pPr>
        <w:tabs>
          <w:tab w:val="num" w:pos="2160"/>
        </w:tabs>
        <w:ind w:left="2160" w:hanging="360"/>
      </w:pPr>
      <w:rPr>
        <w:rFonts w:ascii="Times New Roman" w:hAnsi="Times New Roman" w:hint="default"/>
      </w:rPr>
    </w:lvl>
    <w:lvl w:ilvl="3" w:tplc="D64CA070" w:tentative="1">
      <w:start w:val="1"/>
      <w:numFmt w:val="bullet"/>
      <w:lvlText w:val="•"/>
      <w:lvlJc w:val="left"/>
      <w:pPr>
        <w:tabs>
          <w:tab w:val="num" w:pos="2880"/>
        </w:tabs>
        <w:ind w:left="2880" w:hanging="360"/>
      </w:pPr>
      <w:rPr>
        <w:rFonts w:ascii="Times New Roman" w:hAnsi="Times New Roman" w:hint="default"/>
      </w:rPr>
    </w:lvl>
    <w:lvl w:ilvl="4" w:tplc="61C65402" w:tentative="1">
      <w:start w:val="1"/>
      <w:numFmt w:val="bullet"/>
      <w:lvlText w:val="•"/>
      <w:lvlJc w:val="left"/>
      <w:pPr>
        <w:tabs>
          <w:tab w:val="num" w:pos="3600"/>
        </w:tabs>
        <w:ind w:left="3600" w:hanging="360"/>
      </w:pPr>
      <w:rPr>
        <w:rFonts w:ascii="Times New Roman" w:hAnsi="Times New Roman" w:hint="default"/>
      </w:rPr>
    </w:lvl>
    <w:lvl w:ilvl="5" w:tplc="3F6214C2" w:tentative="1">
      <w:start w:val="1"/>
      <w:numFmt w:val="bullet"/>
      <w:lvlText w:val="•"/>
      <w:lvlJc w:val="left"/>
      <w:pPr>
        <w:tabs>
          <w:tab w:val="num" w:pos="4320"/>
        </w:tabs>
        <w:ind w:left="4320" w:hanging="360"/>
      </w:pPr>
      <w:rPr>
        <w:rFonts w:ascii="Times New Roman" w:hAnsi="Times New Roman" w:hint="default"/>
      </w:rPr>
    </w:lvl>
    <w:lvl w:ilvl="6" w:tplc="99C23408" w:tentative="1">
      <w:start w:val="1"/>
      <w:numFmt w:val="bullet"/>
      <w:lvlText w:val="•"/>
      <w:lvlJc w:val="left"/>
      <w:pPr>
        <w:tabs>
          <w:tab w:val="num" w:pos="5040"/>
        </w:tabs>
        <w:ind w:left="5040" w:hanging="360"/>
      </w:pPr>
      <w:rPr>
        <w:rFonts w:ascii="Times New Roman" w:hAnsi="Times New Roman" w:hint="default"/>
      </w:rPr>
    </w:lvl>
    <w:lvl w:ilvl="7" w:tplc="6CC2DD84" w:tentative="1">
      <w:start w:val="1"/>
      <w:numFmt w:val="bullet"/>
      <w:lvlText w:val="•"/>
      <w:lvlJc w:val="left"/>
      <w:pPr>
        <w:tabs>
          <w:tab w:val="num" w:pos="5760"/>
        </w:tabs>
        <w:ind w:left="5760" w:hanging="360"/>
      </w:pPr>
      <w:rPr>
        <w:rFonts w:ascii="Times New Roman" w:hAnsi="Times New Roman" w:hint="default"/>
      </w:rPr>
    </w:lvl>
    <w:lvl w:ilvl="8" w:tplc="B3C400E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A075140"/>
    <w:multiLevelType w:val="hybridMultilevel"/>
    <w:tmpl w:val="7398FB8A"/>
    <w:lvl w:ilvl="0" w:tplc="9ECED240">
      <w:start w:val="1"/>
      <w:numFmt w:val="bullet"/>
      <w:lvlText w:val="•"/>
      <w:lvlJc w:val="left"/>
      <w:pPr>
        <w:tabs>
          <w:tab w:val="num" w:pos="720"/>
        </w:tabs>
        <w:ind w:left="720" w:hanging="360"/>
      </w:pPr>
      <w:rPr>
        <w:rFonts w:ascii="Times New Roman" w:hAnsi="Times New Roman" w:hint="default"/>
      </w:rPr>
    </w:lvl>
    <w:lvl w:ilvl="1" w:tplc="804A1BE4" w:tentative="1">
      <w:start w:val="1"/>
      <w:numFmt w:val="bullet"/>
      <w:lvlText w:val="•"/>
      <w:lvlJc w:val="left"/>
      <w:pPr>
        <w:tabs>
          <w:tab w:val="num" w:pos="1440"/>
        </w:tabs>
        <w:ind w:left="1440" w:hanging="360"/>
      </w:pPr>
      <w:rPr>
        <w:rFonts w:ascii="Times New Roman" w:hAnsi="Times New Roman" w:hint="default"/>
      </w:rPr>
    </w:lvl>
    <w:lvl w:ilvl="2" w:tplc="4E22D4D4" w:tentative="1">
      <w:start w:val="1"/>
      <w:numFmt w:val="bullet"/>
      <w:lvlText w:val="•"/>
      <w:lvlJc w:val="left"/>
      <w:pPr>
        <w:tabs>
          <w:tab w:val="num" w:pos="2160"/>
        </w:tabs>
        <w:ind w:left="2160" w:hanging="360"/>
      </w:pPr>
      <w:rPr>
        <w:rFonts w:ascii="Times New Roman" w:hAnsi="Times New Roman" w:hint="default"/>
      </w:rPr>
    </w:lvl>
    <w:lvl w:ilvl="3" w:tplc="81A8A4E0" w:tentative="1">
      <w:start w:val="1"/>
      <w:numFmt w:val="bullet"/>
      <w:lvlText w:val="•"/>
      <w:lvlJc w:val="left"/>
      <w:pPr>
        <w:tabs>
          <w:tab w:val="num" w:pos="2880"/>
        </w:tabs>
        <w:ind w:left="2880" w:hanging="360"/>
      </w:pPr>
      <w:rPr>
        <w:rFonts w:ascii="Times New Roman" w:hAnsi="Times New Roman" w:hint="default"/>
      </w:rPr>
    </w:lvl>
    <w:lvl w:ilvl="4" w:tplc="C06A42AC" w:tentative="1">
      <w:start w:val="1"/>
      <w:numFmt w:val="bullet"/>
      <w:lvlText w:val="•"/>
      <w:lvlJc w:val="left"/>
      <w:pPr>
        <w:tabs>
          <w:tab w:val="num" w:pos="3600"/>
        </w:tabs>
        <w:ind w:left="3600" w:hanging="360"/>
      </w:pPr>
      <w:rPr>
        <w:rFonts w:ascii="Times New Roman" w:hAnsi="Times New Roman" w:hint="default"/>
      </w:rPr>
    </w:lvl>
    <w:lvl w:ilvl="5" w:tplc="2F8A2E68" w:tentative="1">
      <w:start w:val="1"/>
      <w:numFmt w:val="bullet"/>
      <w:lvlText w:val="•"/>
      <w:lvlJc w:val="left"/>
      <w:pPr>
        <w:tabs>
          <w:tab w:val="num" w:pos="4320"/>
        </w:tabs>
        <w:ind w:left="4320" w:hanging="360"/>
      </w:pPr>
      <w:rPr>
        <w:rFonts w:ascii="Times New Roman" w:hAnsi="Times New Roman" w:hint="default"/>
      </w:rPr>
    </w:lvl>
    <w:lvl w:ilvl="6" w:tplc="CDE43400" w:tentative="1">
      <w:start w:val="1"/>
      <w:numFmt w:val="bullet"/>
      <w:lvlText w:val="•"/>
      <w:lvlJc w:val="left"/>
      <w:pPr>
        <w:tabs>
          <w:tab w:val="num" w:pos="5040"/>
        </w:tabs>
        <w:ind w:left="5040" w:hanging="360"/>
      </w:pPr>
      <w:rPr>
        <w:rFonts w:ascii="Times New Roman" w:hAnsi="Times New Roman" w:hint="default"/>
      </w:rPr>
    </w:lvl>
    <w:lvl w:ilvl="7" w:tplc="2D86FDFC" w:tentative="1">
      <w:start w:val="1"/>
      <w:numFmt w:val="bullet"/>
      <w:lvlText w:val="•"/>
      <w:lvlJc w:val="left"/>
      <w:pPr>
        <w:tabs>
          <w:tab w:val="num" w:pos="5760"/>
        </w:tabs>
        <w:ind w:left="5760" w:hanging="360"/>
      </w:pPr>
      <w:rPr>
        <w:rFonts w:ascii="Times New Roman" w:hAnsi="Times New Roman" w:hint="default"/>
      </w:rPr>
    </w:lvl>
    <w:lvl w:ilvl="8" w:tplc="4CD8610E"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324A5F"/>
    <w:multiLevelType w:val="hybridMultilevel"/>
    <w:tmpl w:val="D244189C"/>
    <w:lvl w:ilvl="0" w:tplc="86E8E5C6">
      <w:start w:val="1"/>
      <w:numFmt w:val="bullet"/>
      <w:lvlText w:val="•"/>
      <w:lvlJc w:val="left"/>
      <w:pPr>
        <w:tabs>
          <w:tab w:val="num" w:pos="720"/>
        </w:tabs>
        <w:ind w:left="720" w:hanging="360"/>
      </w:pPr>
      <w:rPr>
        <w:rFonts w:ascii="Times New Roman" w:hAnsi="Times New Roman" w:hint="default"/>
      </w:rPr>
    </w:lvl>
    <w:lvl w:ilvl="1" w:tplc="79180C5E" w:tentative="1">
      <w:start w:val="1"/>
      <w:numFmt w:val="bullet"/>
      <w:lvlText w:val="•"/>
      <w:lvlJc w:val="left"/>
      <w:pPr>
        <w:tabs>
          <w:tab w:val="num" w:pos="1440"/>
        </w:tabs>
        <w:ind w:left="1440" w:hanging="360"/>
      </w:pPr>
      <w:rPr>
        <w:rFonts w:ascii="Times New Roman" w:hAnsi="Times New Roman" w:hint="default"/>
      </w:rPr>
    </w:lvl>
    <w:lvl w:ilvl="2" w:tplc="DE38CB02" w:tentative="1">
      <w:start w:val="1"/>
      <w:numFmt w:val="bullet"/>
      <w:lvlText w:val="•"/>
      <w:lvlJc w:val="left"/>
      <w:pPr>
        <w:tabs>
          <w:tab w:val="num" w:pos="2160"/>
        </w:tabs>
        <w:ind w:left="2160" w:hanging="360"/>
      </w:pPr>
      <w:rPr>
        <w:rFonts w:ascii="Times New Roman" w:hAnsi="Times New Roman" w:hint="default"/>
      </w:rPr>
    </w:lvl>
    <w:lvl w:ilvl="3" w:tplc="8A546018" w:tentative="1">
      <w:start w:val="1"/>
      <w:numFmt w:val="bullet"/>
      <w:lvlText w:val="•"/>
      <w:lvlJc w:val="left"/>
      <w:pPr>
        <w:tabs>
          <w:tab w:val="num" w:pos="2880"/>
        </w:tabs>
        <w:ind w:left="2880" w:hanging="360"/>
      </w:pPr>
      <w:rPr>
        <w:rFonts w:ascii="Times New Roman" w:hAnsi="Times New Roman" w:hint="default"/>
      </w:rPr>
    </w:lvl>
    <w:lvl w:ilvl="4" w:tplc="012EA23E" w:tentative="1">
      <w:start w:val="1"/>
      <w:numFmt w:val="bullet"/>
      <w:lvlText w:val="•"/>
      <w:lvlJc w:val="left"/>
      <w:pPr>
        <w:tabs>
          <w:tab w:val="num" w:pos="3600"/>
        </w:tabs>
        <w:ind w:left="3600" w:hanging="360"/>
      </w:pPr>
      <w:rPr>
        <w:rFonts w:ascii="Times New Roman" w:hAnsi="Times New Roman" w:hint="default"/>
      </w:rPr>
    </w:lvl>
    <w:lvl w:ilvl="5" w:tplc="B7E2EFD0" w:tentative="1">
      <w:start w:val="1"/>
      <w:numFmt w:val="bullet"/>
      <w:lvlText w:val="•"/>
      <w:lvlJc w:val="left"/>
      <w:pPr>
        <w:tabs>
          <w:tab w:val="num" w:pos="4320"/>
        </w:tabs>
        <w:ind w:left="4320" w:hanging="360"/>
      </w:pPr>
      <w:rPr>
        <w:rFonts w:ascii="Times New Roman" w:hAnsi="Times New Roman" w:hint="default"/>
      </w:rPr>
    </w:lvl>
    <w:lvl w:ilvl="6" w:tplc="838AE8F6" w:tentative="1">
      <w:start w:val="1"/>
      <w:numFmt w:val="bullet"/>
      <w:lvlText w:val="•"/>
      <w:lvlJc w:val="left"/>
      <w:pPr>
        <w:tabs>
          <w:tab w:val="num" w:pos="5040"/>
        </w:tabs>
        <w:ind w:left="5040" w:hanging="360"/>
      </w:pPr>
      <w:rPr>
        <w:rFonts w:ascii="Times New Roman" w:hAnsi="Times New Roman" w:hint="default"/>
      </w:rPr>
    </w:lvl>
    <w:lvl w:ilvl="7" w:tplc="C49E958E" w:tentative="1">
      <w:start w:val="1"/>
      <w:numFmt w:val="bullet"/>
      <w:lvlText w:val="•"/>
      <w:lvlJc w:val="left"/>
      <w:pPr>
        <w:tabs>
          <w:tab w:val="num" w:pos="5760"/>
        </w:tabs>
        <w:ind w:left="5760" w:hanging="360"/>
      </w:pPr>
      <w:rPr>
        <w:rFonts w:ascii="Times New Roman" w:hAnsi="Times New Roman" w:hint="default"/>
      </w:rPr>
    </w:lvl>
    <w:lvl w:ilvl="8" w:tplc="FD2E549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0E968BD"/>
    <w:multiLevelType w:val="hybridMultilevel"/>
    <w:tmpl w:val="B324F09A"/>
    <w:lvl w:ilvl="0" w:tplc="CD68A0AE">
      <w:start w:val="1"/>
      <w:numFmt w:val="bullet"/>
      <w:lvlText w:val="•"/>
      <w:lvlJc w:val="left"/>
      <w:pPr>
        <w:tabs>
          <w:tab w:val="num" w:pos="720"/>
        </w:tabs>
        <w:ind w:left="720" w:hanging="360"/>
      </w:pPr>
      <w:rPr>
        <w:rFonts w:ascii="Times New Roman" w:hAnsi="Times New Roman" w:hint="default"/>
      </w:rPr>
    </w:lvl>
    <w:lvl w:ilvl="1" w:tplc="A6F0DD9A" w:tentative="1">
      <w:start w:val="1"/>
      <w:numFmt w:val="bullet"/>
      <w:lvlText w:val="•"/>
      <w:lvlJc w:val="left"/>
      <w:pPr>
        <w:tabs>
          <w:tab w:val="num" w:pos="1440"/>
        </w:tabs>
        <w:ind w:left="1440" w:hanging="360"/>
      </w:pPr>
      <w:rPr>
        <w:rFonts w:ascii="Times New Roman" w:hAnsi="Times New Roman" w:hint="default"/>
      </w:rPr>
    </w:lvl>
    <w:lvl w:ilvl="2" w:tplc="D62E4654" w:tentative="1">
      <w:start w:val="1"/>
      <w:numFmt w:val="bullet"/>
      <w:lvlText w:val="•"/>
      <w:lvlJc w:val="left"/>
      <w:pPr>
        <w:tabs>
          <w:tab w:val="num" w:pos="2160"/>
        </w:tabs>
        <w:ind w:left="2160" w:hanging="360"/>
      </w:pPr>
      <w:rPr>
        <w:rFonts w:ascii="Times New Roman" w:hAnsi="Times New Roman" w:hint="default"/>
      </w:rPr>
    </w:lvl>
    <w:lvl w:ilvl="3" w:tplc="648A6B74" w:tentative="1">
      <w:start w:val="1"/>
      <w:numFmt w:val="bullet"/>
      <w:lvlText w:val="•"/>
      <w:lvlJc w:val="left"/>
      <w:pPr>
        <w:tabs>
          <w:tab w:val="num" w:pos="2880"/>
        </w:tabs>
        <w:ind w:left="2880" w:hanging="360"/>
      </w:pPr>
      <w:rPr>
        <w:rFonts w:ascii="Times New Roman" w:hAnsi="Times New Roman" w:hint="default"/>
      </w:rPr>
    </w:lvl>
    <w:lvl w:ilvl="4" w:tplc="D8A6D514" w:tentative="1">
      <w:start w:val="1"/>
      <w:numFmt w:val="bullet"/>
      <w:lvlText w:val="•"/>
      <w:lvlJc w:val="left"/>
      <w:pPr>
        <w:tabs>
          <w:tab w:val="num" w:pos="3600"/>
        </w:tabs>
        <w:ind w:left="3600" w:hanging="360"/>
      </w:pPr>
      <w:rPr>
        <w:rFonts w:ascii="Times New Roman" w:hAnsi="Times New Roman" w:hint="default"/>
      </w:rPr>
    </w:lvl>
    <w:lvl w:ilvl="5" w:tplc="0E4E1DE6" w:tentative="1">
      <w:start w:val="1"/>
      <w:numFmt w:val="bullet"/>
      <w:lvlText w:val="•"/>
      <w:lvlJc w:val="left"/>
      <w:pPr>
        <w:tabs>
          <w:tab w:val="num" w:pos="4320"/>
        </w:tabs>
        <w:ind w:left="4320" w:hanging="360"/>
      </w:pPr>
      <w:rPr>
        <w:rFonts w:ascii="Times New Roman" w:hAnsi="Times New Roman" w:hint="default"/>
      </w:rPr>
    </w:lvl>
    <w:lvl w:ilvl="6" w:tplc="53CE93B6" w:tentative="1">
      <w:start w:val="1"/>
      <w:numFmt w:val="bullet"/>
      <w:lvlText w:val="•"/>
      <w:lvlJc w:val="left"/>
      <w:pPr>
        <w:tabs>
          <w:tab w:val="num" w:pos="5040"/>
        </w:tabs>
        <w:ind w:left="5040" w:hanging="360"/>
      </w:pPr>
      <w:rPr>
        <w:rFonts w:ascii="Times New Roman" w:hAnsi="Times New Roman" w:hint="default"/>
      </w:rPr>
    </w:lvl>
    <w:lvl w:ilvl="7" w:tplc="18E8C376" w:tentative="1">
      <w:start w:val="1"/>
      <w:numFmt w:val="bullet"/>
      <w:lvlText w:val="•"/>
      <w:lvlJc w:val="left"/>
      <w:pPr>
        <w:tabs>
          <w:tab w:val="num" w:pos="5760"/>
        </w:tabs>
        <w:ind w:left="5760" w:hanging="360"/>
      </w:pPr>
      <w:rPr>
        <w:rFonts w:ascii="Times New Roman" w:hAnsi="Times New Roman" w:hint="default"/>
      </w:rPr>
    </w:lvl>
    <w:lvl w:ilvl="8" w:tplc="3D86B0F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7461C22"/>
    <w:multiLevelType w:val="hybridMultilevel"/>
    <w:tmpl w:val="EF0C62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A92358"/>
    <w:multiLevelType w:val="hybridMultilevel"/>
    <w:tmpl w:val="29A051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3D42BD"/>
    <w:multiLevelType w:val="hybridMultilevel"/>
    <w:tmpl w:val="265C18FA"/>
    <w:lvl w:ilvl="0" w:tplc="7B226320">
      <w:start w:val="1"/>
      <w:numFmt w:val="bullet"/>
      <w:lvlText w:val="•"/>
      <w:lvlJc w:val="left"/>
      <w:pPr>
        <w:tabs>
          <w:tab w:val="num" w:pos="720"/>
        </w:tabs>
        <w:ind w:left="720" w:hanging="360"/>
      </w:pPr>
      <w:rPr>
        <w:rFonts w:ascii="Times New Roman" w:hAnsi="Times New Roman" w:hint="default"/>
      </w:rPr>
    </w:lvl>
    <w:lvl w:ilvl="1" w:tplc="5E100384" w:tentative="1">
      <w:start w:val="1"/>
      <w:numFmt w:val="bullet"/>
      <w:lvlText w:val="•"/>
      <w:lvlJc w:val="left"/>
      <w:pPr>
        <w:tabs>
          <w:tab w:val="num" w:pos="1440"/>
        </w:tabs>
        <w:ind w:left="1440" w:hanging="360"/>
      </w:pPr>
      <w:rPr>
        <w:rFonts w:ascii="Times New Roman" w:hAnsi="Times New Roman" w:hint="default"/>
      </w:rPr>
    </w:lvl>
    <w:lvl w:ilvl="2" w:tplc="61E889F4" w:tentative="1">
      <w:start w:val="1"/>
      <w:numFmt w:val="bullet"/>
      <w:lvlText w:val="•"/>
      <w:lvlJc w:val="left"/>
      <w:pPr>
        <w:tabs>
          <w:tab w:val="num" w:pos="2160"/>
        </w:tabs>
        <w:ind w:left="2160" w:hanging="360"/>
      </w:pPr>
      <w:rPr>
        <w:rFonts w:ascii="Times New Roman" w:hAnsi="Times New Roman" w:hint="default"/>
      </w:rPr>
    </w:lvl>
    <w:lvl w:ilvl="3" w:tplc="BCCA485A" w:tentative="1">
      <w:start w:val="1"/>
      <w:numFmt w:val="bullet"/>
      <w:lvlText w:val="•"/>
      <w:lvlJc w:val="left"/>
      <w:pPr>
        <w:tabs>
          <w:tab w:val="num" w:pos="2880"/>
        </w:tabs>
        <w:ind w:left="2880" w:hanging="360"/>
      </w:pPr>
      <w:rPr>
        <w:rFonts w:ascii="Times New Roman" w:hAnsi="Times New Roman" w:hint="default"/>
      </w:rPr>
    </w:lvl>
    <w:lvl w:ilvl="4" w:tplc="176C09B2" w:tentative="1">
      <w:start w:val="1"/>
      <w:numFmt w:val="bullet"/>
      <w:lvlText w:val="•"/>
      <w:lvlJc w:val="left"/>
      <w:pPr>
        <w:tabs>
          <w:tab w:val="num" w:pos="3600"/>
        </w:tabs>
        <w:ind w:left="3600" w:hanging="360"/>
      </w:pPr>
      <w:rPr>
        <w:rFonts w:ascii="Times New Roman" w:hAnsi="Times New Roman" w:hint="default"/>
      </w:rPr>
    </w:lvl>
    <w:lvl w:ilvl="5" w:tplc="6A0A7342" w:tentative="1">
      <w:start w:val="1"/>
      <w:numFmt w:val="bullet"/>
      <w:lvlText w:val="•"/>
      <w:lvlJc w:val="left"/>
      <w:pPr>
        <w:tabs>
          <w:tab w:val="num" w:pos="4320"/>
        </w:tabs>
        <w:ind w:left="4320" w:hanging="360"/>
      </w:pPr>
      <w:rPr>
        <w:rFonts w:ascii="Times New Roman" w:hAnsi="Times New Roman" w:hint="default"/>
      </w:rPr>
    </w:lvl>
    <w:lvl w:ilvl="6" w:tplc="30220956" w:tentative="1">
      <w:start w:val="1"/>
      <w:numFmt w:val="bullet"/>
      <w:lvlText w:val="•"/>
      <w:lvlJc w:val="left"/>
      <w:pPr>
        <w:tabs>
          <w:tab w:val="num" w:pos="5040"/>
        </w:tabs>
        <w:ind w:left="5040" w:hanging="360"/>
      </w:pPr>
      <w:rPr>
        <w:rFonts w:ascii="Times New Roman" w:hAnsi="Times New Roman" w:hint="default"/>
      </w:rPr>
    </w:lvl>
    <w:lvl w:ilvl="7" w:tplc="948E8CBA" w:tentative="1">
      <w:start w:val="1"/>
      <w:numFmt w:val="bullet"/>
      <w:lvlText w:val="•"/>
      <w:lvlJc w:val="left"/>
      <w:pPr>
        <w:tabs>
          <w:tab w:val="num" w:pos="5760"/>
        </w:tabs>
        <w:ind w:left="5760" w:hanging="360"/>
      </w:pPr>
      <w:rPr>
        <w:rFonts w:ascii="Times New Roman" w:hAnsi="Times New Roman" w:hint="default"/>
      </w:rPr>
    </w:lvl>
    <w:lvl w:ilvl="8" w:tplc="4776D62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26D5890"/>
    <w:multiLevelType w:val="hybridMultilevel"/>
    <w:tmpl w:val="9C34DCE8"/>
    <w:lvl w:ilvl="0" w:tplc="C4186F3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3A2436"/>
    <w:multiLevelType w:val="hybridMultilevel"/>
    <w:tmpl w:val="E93EA35C"/>
    <w:lvl w:ilvl="0" w:tplc="73EEE5F0">
      <w:start w:val="1"/>
      <w:numFmt w:val="bullet"/>
      <w:lvlText w:val="•"/>
      <w:lvlJc w:val="left"/>
      <w:pPr>
        <w:tabs>
          <w:tab w:val="num" w:pos="720"/>
        </w:tabs>
        <w:ind w:left="720" w:hanging="360"/>
      </w:pPr>
      <w:rPr>
        <w:rFonts w:ascii="Times New Roman" w:hAnsi="Times New Roman" w:hint="default"/>
      </w:rPr>
    </w:lvl>
    <w:lvl w:ilvl="1" w:tplc="B5784D38" w:tentative="1">
      <w:start w:val="1"/>
      <w:numFmt w:val="bullet"/>
      <w:lvlText w:val="•"/>
      <w:lvlJc w:val="left"/>
      <w:pPr>
        <w:tabs>
          <w:tab w:val="num" w:pos="1440"/>
        </w:tabs>
        <w:ind w:left="1440" w:hanging="360"/>
      </w:pPr>
      <w:rPr>
        <w:rFonts w:ascii="Times New Roman" w:hAnsi="Times New Roman" w:hint="default"/>
      </w:rPr>
    </w:lvl>
    <w:lvl w:ilvl="2" w:tplc="EF1ED054" w:tentative="1">
      <w:start w:val="1"/>
      <w:numFmt w:val="bullet"/>
      <w:lvlText w:val="•"/>
      <w:lvlJc w:val="left"/>
      <w:pPr>
        <w:tabs>
          <w:tab w:val="num" w:pos="2160"/>
        </w:tabs>
        <w:ind w:left="2160" w:hanging="360"/>
      </w:pPr>
      <w:rPr>
        <w:rFonts w:ascii="Times New Roman" w:hAnsi="Times New Roman" w:hint="default"/>
      </w:rPr>
    </w:lvl>
    <w:lvl w:ilvl="3" w:tplc="BEF09DAA" w:tentative="1">
      <w:start w:val="1"/>
      <w:numFmt w:val="bullet"/>
      <w:lvlText w:val="•"/>
      <w:lvlJc w:val="left"/>
      <w:pPr>
        <w:tabs>
          <w:tab w:val="num" w:pos="2880"/>
        </w:tabs>
        <w:ind w:left="2880" w:hanging="360"/>
      </w:pPr>
      <w:rPr>
        <w:rFonts w:ascii="Times New Roman" w:hAnsi="Times New Roman" w:hint="default"/>
      </w:rPr>
    </w:lvl>
    <w:lvl w:ilvl="4" w:tplc="1E0879F2" w:tentative="1">
      <w:start w:val="1"/>
      <w:numFmt w:val="bullet"/>
      <w:lvlText w:val="•"/>
      <w:lvlJc w:val="left"/>
      <w:pPr>
        <w:tabs>
          <w:tab w:val="num" w:pos="3600"/>
        </w:tabs>
        <w:ind w:left="3600" w:hanging="360"/>
      </w:pPr>
      <w:rPr>
        <w:rFonts w:ascii="Times New Roman" w:hAnsi="Times New Roman" w:hint="default"/>
      </w:rPr>
    </w:lvl>
    <w:lvl w:ilvl="5" w:tplc="95F42478" w:tentative="1">
      <w:start w:val="1"/>
      <w:numFmt w:val="bullet"/>
      <w:lvlText w:val="•"/>
      <w:lvlJc w:val="left"/>
      <w:pPr>
        <w:tabs>
          <w:tab w:val="num" w:pos="4320"/>
        </w:tabs>
        <w:ind w:left="4320" w:hanging="360"/>
      </w:pPr>
      <w:rPr>
        <w:rFonts w:ascii="Times New Roman" w:hAnsi="Times New Roman" w:hint="default"/>
      </w:rPr>
    </w:lvl>
    <w:lvl w:ilvl="6" w:tplc="9CD8A958" w:tentative="1">
      <w:start w:val="1"/>
      <w:numFmt w:val="bullet"/>
      <w:lvlText w:val="•"/>
      <w:lvlJc w:val="left"/>
      <w:pPr>
        <w:tabs>
          <w:tab w:val="num" w:pos="5040"/>
        </w:tabs>
        <w:ind w:left="5040" w:hanging="360"/>
      </w:pPr>
      <w:rPr>
        <w:rFonts w:ascii="Times New Roman" w:hAnsi="Times New Roman" w:hint="default"/>
      </w:rPr>
    </w:lvl>
    <w:lvl w:ilvl="7" w:tplc="06C4EF2A" w:tentative="1">
      <w:start w:val="1"/>
      <w:numFmt w:val="bullet"/>
      <w:lvlText w:val="•"/>
      <w:lvlJc w:val="left"/>
      <w:pPr>
        <w:tabs>
          <w:tab w:val="num" w:pos="5760"/>
        </w:tabs>
        <w:ind w:left="5760" w:hanging="360"/>
      </w:pPr>
      <w:rPr>
        <w:rFonts w:ascii="Times New Roman" w:hAnsi="Times New Roman" w:hint="default"/>
      </w:rPr>
    </w:lvl>
    <w:lvl w:ilvl="8" w:tplc="A498003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5D469F9"/>
    <w:multiLevelType w:val="hybridMultilevel"/>
    <w:tmpl w:val="F81CE536"/>
    <w:lvl w:ilvl="0" w:tplc="40A422E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1A6D21"/>
    <w:multiLevelType w:val="hybridMultilevel"/>
    <w:tmpl w:val="A9F49E7C"/>
    <w:lvl w:ilvl="0" w:tplc="9878E414">
      <w:start w:val="1"/>
      <w:numFmt w:val="bullet"/>
      <w:lvlText w:val="•"/>
      <w:lvlJc w:val="left"/>
      <w:pPr>
        <w:tabs>
          <w:tab w:val="num" w:pos="720"/>
        </w:tabs>
        <w:ind w:left="720" w:hanging="360"/>
      </w:pPr>
      <w:rPr>
        <w:rFonts w:ascii="Times New Roman" w:hAnsi="Times New Roman" w:hint="default"/>
      </w:rPr>
    </w:lvl>
    <w:lvl w:ilvl="1" w:tplc="652CABA8" w:tentative="1">
      <w:start w:val="1"/>
      <w:numFmt w:val="bullet"/>
      <w:lvlText w:val="•"/>
      <w:lvlJc w:val="left"/>
      <w:pPr>
        <w:tabs>
          <w:tab w:val="num" w:pos="1440"/>
        </w:tabs>
        <w:ind w:left="1440" w:hanging="360"/>
      </w:pPr>
      <w:rPr>
        <w:rFonts w:ascii="Times New Roman" w:hAnsi="Times New Roman" w:hint="default"/>
      </w:rPr>
    </w:lvl>
    <w:lvl w:ilvl="2" w:tplc="C09802B4" w:tentative="1">
      <w:start w:val="1"/>
      <w:numFmt w:val="bullet"/>
      <w:lvlText w:val="•"/>
      <w:lvlJc w:val="left"/>
      <w:pPr>
        <w:tabs>
          <w:tab w:val="num" w:pos="2160"/>
        </w:tabs>
        <w:ind w:left="2160" w:hanging="360"/>
      </w:pPr>
      <w:rPr>
        <w:rFonts w:ascii="Times New Roman" w:hAnsi="Times New Roman" w:hint="default"/>
      </w:rPr>
    </w:lvl>
    <w:lvl w:ilvl="3" w:tplc="2A46360E" w:tentative="1">
      <w:start w:val="1"/>
      <w:numFmt w:val="bullet"/>
      <w:lvlText w:val="•"/>
      <w:lvlJc w:val="left"/>
      <w:pPr>
        <w:tabs>
          <w:tab w:val="num" w:pos="2880"/>
        </w:tabs>
        <w:ind w:left="2880" w:hanging="360"/>
      </w:pPr>
      <w:rPr>
        <w:rFonts w:ascii="Times New Roman" w:hAnsi="Times New Roman" w:hint="default"/>
      </w:rPr>
    </w:lvl>
    <w:lvl w:ilvl="4" w:tplc="40487D1C" w:tentative="1">
      <w:start w:val="1"/>
      <w:numFmt w:val="bullet"/>
      <w:lvlText w:val="•"/>
      <w:lvlJc w:val="left"/>
      <w:pPr>
        <w:tabs>
          <w:tab w:val="num" w:pos="3600"/>
        </w:tabs>
        <w:ind w:left="3600" w:hanging="360"/>
      </w:pPr>
      <w:rPr>
        <w:rFonts w:ascii="Times New Roman" w:hAnsi="Times New Roman" w:hint="default"/>
      </w:rPr>
    </w:lvl>
    <w:lvl w:ilvl="5" w:tplc="F7425EA6" w:tentative="1">
      <w:start w:val="1"/>
      <w:numFmt w:val="bullet"/>
      <w:lvlText w:val="•"/>
      <w:lvlJc w:val="left"/>
      <w:pPr>
        <w:tabs>
          <w:tab w:val="num" w:pos="4320"/>
        </w:tabs>
        <w:ind w:left="4320" w:hanging="360"/>
      </w:pPr>
      <w:rPr>
        <w:rFonts w:ascii="Times New Roman" w:hAnsi="Times New Roman" w:hint="default"/>
      </w:rPr>
    </w:lvl>
    <w:lvl w:ilvl="6" w:tplc="82B24B3A" w:tentative="1">
      <w:start w:val="1"/>
      <w:numFmt w:val="bullet"/>
      <w:lvlText w:val="•"/>
      <w:lvlJc w:val="left"/>
      <w:pPr>
        <w:tabs>
          <w:tab w:val="num" w:pos="5040"/>
        </w:tabs>
        <w:ind w:left="5040" w:hanging="360"/>
      </w:pPr>
      <w:rPr>
        <w:rFonts w:ascii="Times New Roman" w:hAnsi="Times New Roman" w:hint="default"/>
      </w:rPr>
    </w:lvl>
    <w:lvl w:ilvl="7" w:tplc="88F6C9D2" w:tentative="1">
      <w:start w:val="1"/>
      <w:numFmt w:val="bullet"/>
      <w:lvlText w:val="•"/>
      <w:lvlJc w:val="left"/>
      <w:pPr>
        <w:tabs>
          <w:tab w:val="num" w:pos="5760"/>
        </w:tabs>
        <w:ind w:left="5760" w:hanging="360"/>
      </w:pPr>
      <w:rPr>
        <w:rFonts w:ascii="Times New Roman" w:hAnsi="Times New Roman" w:hint="default"/>
      </w:rPr>
    </w:lvl>
    <w:lvl w:ilvl="8" w:tplc="F79E33C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CFB4665"/>
    <w:multiLevelType w:val="hybridMultilevel"/>
    <w:tmpl w:val="865039F0"/>
    <w:lvl w:ilvl="0" w:tplc="FF0AF0B8">
      <w:start w:val="1"/>
      <w:numFmt w:val="bullet"/>
      <w:lvlText w:val="•"/>
      <w:lvlJc w:val="left"/>
      <w:pPr>
        <w:tabs>
          <w:tab w:val="num" w:pos="720"/>
        </w:tabs>
        <w:ind w:left="720" w:hanging="360"/>
      </w:pPr>
      <w:rPr>
        <w:rFonts w:ascii="Times New Roman" w:hAnsi="Times New Roman" w:hint="default"/>
      </w:rPr>
    </w:lvl>
    <w:lvl w:ilvl="1" w:tplc="77FEA722" w:tentative="1">
      <w:start w:val="1"/>
      <w:numFmt w:val="bullet"/>
      <w:lvlText w:val="•"/>
      <w:lvlJc w:val="left"/>
      <w:pPr>
        <w:tabs>
          <w:tab w:val="num" w:pos="1440"/>
        </w:tabs>
        <w:ind w:left="1440" w:hanging="360"/>
      </w:pPr>
      <w:rPr>
        <w:rFonts w:ascii="Times New Roman" w:hAnsi="Times New Roman" w:hint="default"/>
      </w:rPr>
    </w:lvl>
    <w:lvl w:ilvl="2" w:tplc="63286524" w:tentative="1">
      <w:start w:val="1"/>
      <w:numFmt w:val="bullet"/>
      <w:lvlText w:val="•"/>
      <w:lvlJc w:val="left"/>
      <w:pPr>
        <w:tabs>
          <w:tab w:val="num" w:pos="2160"/>
        </w:tabs>
        <w:ind w:left="2160" w:hanging="360"/>
      </w:pPr>
      <w:rPr>
        <w:rFonts w:ascii="Times New Roman" w:hAnsi="Times New Roman" w:hint="default"/>
      </w:rPr>
    </w:lvl>
    <w:lvl w:ilvl="3" w:tplc="70D04A38" w:tentative="1">
      <w:start w:val="1"/>
      <w:numFmt w:val="bullet"/>
      <w:lvlText w:val="•"/>
      <w:lvlJc w:val="left"/>
      <w:pPr>
        <w:tabs>
          <w:tab w:val="num" w:pos="2880"/>
        </w:tabs>
        <w:ind w:left="2880" w:hanging="360"/>
      </w:pPr>
      <w:rPr>
        <w:rFonts w:ascii="Times New Roman" w:hAnsi="Times New Roman" w:hint="default"/>
      </w:rPr>
    </w:lvl>
    <w:lvl w:ilvl="4" w:tplc="B7C82082" w:tentative="1">
      <w:start w:val="1"/>
      <w:numFmt w:val="bullet"/>
      <w:lvlText w:val="•"/>
      <w:lvlJc w:val="left"/>
      <w:pPr>
        <w:tabs>
          <w:tab w:val="num" w:pos="3600"/>
        </w:tabs>
        <w:ind w:left="3600" w:hanging="360"/>
      </w:pPr>
      <w:rPr>
        <w:rFonts w:ascii="Times New Roman" w:hAnsi="Times New Roman" w:hint="default"/>
      </w:rPr>
    </w:lvl>
    <w:lvl w:ilvl="5" w:tplc="6EA2D894" w:tentative="1">
      <w:start w:val="1"/>
      <w:numFmt w:val="bullet"/>
      <w:lvlText w:val="•"/>
      <w:lvlJc w:val="left"/>
      <w:pPr>
        <w:tabs>
          <w:tab w:val="num" w:pos="4320"/>
        </w:tabs>
        <w:ind w:left="4320" w:hanging="360"/>
      </w:pPr>
      <w:rPr>
        <w:rFonts w:ascii="Times New Roman" w:hAnsi="Times New Roman" w:hint="default"/>
      </w:rPr>
    </w:lvl>
    <w:lvl w:ilvl="6" w:tplc="3B3E3A0E" w:tentative="1">
      <w:start w:val="1"/>
      <w:numFmt w:val="bullet"/>
      <w:lvlText w:val="•"/>
      <w:lvlJc w:val="left"/>
      <w:pPr>
        <w:tabs>
          <w:tab w:val="num" w:pos="5040"/>
        </w:tabs>
        <w:ind w:left="5040" w:hanging="360"/>
      </w:pPr>
      <w:rPr>
        <w:rFonts w:ascii="Times New Roman" w:hAnsi="Times New Roman" w:hint="default"/>
      </w:rPr>
    </w:lvl>
    <w:lvl w:ilvl="7" w:tplc="A35CAEB8" w:tentative="1">
      <w:start w:val="1"/>
      <w:numFmt w:val="bullet"/>
      <w:lvlText w:val="•"/>
      <w:lvlJc w:val="left"/>
      <w:pPr>
        <w:tabs>
          <w:tab w:val="num" w:pos="5760"/>
        </w:tabs>
        <w:ind w:left="5760" w:hanging="360"/>
      </w:pPr>
      <w:rPr>
        <w:rFonts w:ascii="Times New Roman" w:hAnsi="Times New Roman" w:hint="default"/>
      </w:rPr>
    </w:lvl>
    <w:lvl w:ilvl="8" w:tplc="66CAB6A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E8E2942"/>
    <w:multiLevelType w:val="hybridMultilevel"/>
    <w:tmpl w:val="E1DA01D4"/>
    <w:lvl w:ilvl="0" w:tplc="89006AFC">
      <w:start w:val="1"/>
      <w:numFmt w:val="bullet"/>
      <w:lvlText w:val="•"/>
      <w:lvlJc w:val="left"/>
      <w:pPr>
        <w:tabs>
          <w:tab w:val="num" w:pos="720"/>
        </w:tabs>
        <w:ind w:left="720" w:hanging="360"/>
      </w:pPr>
      <w:rPr>
        <w:rFonts w:ascii="Times New Roman" w:hAnsi="Times New Roman" w:hint="default"/>
      </w:rPr>
    </w:lvl>
    <w:lvl w:ilvl="1" w:tplc="A552D9B2" w:tentative="1">
      <w:start w:val="1"/>
      <w:numFmt w:val="bullet"/>
      <w:lvlText w:val="•"/>
      <w:lvlJc w:val="left"/>
      <w:pPr>
        <w:tabs>
          <w:tab w:val="num" w:pos="1440"/>
        </w:tabs>
        <w:ind w:left="1440" w:hanging="360"/>
      </w:pPr>
      <w:rPr>
        <w:rFonts w:ascii="Times New Roman" w:hAnsi="Times New Roman" w:hint="default"/>
      </w:rPr>
    </w:lvl>
    <w:lvl w:ilvl="2" w:tplc="24CAC3E2" w:tentative="1">
      <w:start w:val="1"/>
      <w:numFmt w:val="bullet"/>
      <w:lvlText w:val="•"/>
      <w:lvlJc w:val="left"/>
      <w:pPr>
        <w:tabs>
          <w:tab w:val="num" w:pos="2160"/>
        </w:tabs>
        <w:ind w:left="2160" w:hanging="360"/>
      </w:pPr>
      <w:rPr>
        <w:rFonts w:ascii="Times New Roman" w:hAnsi="Times New Roman" w:hint="default"/>
      </w:rPr>
    </w:lvl>
    <w:lvl w:ilvl="3" w:tplc="61AEE224" w:tentative="1">
      <w:start w:val="1"/>
      <w:numFmt w:val="bullet"/>
      <w:lvlText w:val="•"/>
      <w:lvlJc w:val="left"/>
      <w:pPr>
        <w:tabs>
          <w:tab w:val="num" w:pos="2880"/>
        </w:tabs>
        <w:ind w:left="2880" w:hanging="360"/>
      </w:pPr>
      <w:rPr>
        <w:rFonts w:ascii="Times New Roman" w:hAnsi="Times New Roman" w:hint="default"/>
      </w:rPr>
    </w:lvl>
    <w:lvl w:ilvl="4" w:tplc="FE4A2262" w:tentative="1">
      <w:start w:val="1"/>
      <w:numFmt w:val="bullet"/>
      <w:lvlText w:val="•"/>
      <w:lvlJc w:val="left"/>
      <w:pPr>
        <w:tabs>
          <w:tab w:val="num" w:pos="3600"/>
        </w:tabs>
        <w:ind w:left="3600" w:hanging="360"/>
      </w:pPr>
      <w:rPr>
        <w:rFonts w:ascii="Times New Roman" w:hAnsi="Times New Roman" w:hint="default"/>
      </w:rPr>
    </w:lvl>
    <w:lvl w:ilvl="5" w:tplc="5E3822D8" w:tentative="1">
      <w:start w:val="1"/>
      <w:numFmt w:val="bullet"/>
      <w:lvlText w:val="•"/>
      <w:lvlJc w:val="left"/>
      <w:pPr>
        <w:tabs>
          <w:tab w:val="num" w:pos="4320"/>
        </w:tabs>
        <w:ind w:left="4320" w:hanging="360"/>
      </w:pPr>
      <w:rPr>
        <w:rFonts w:ascii="Times New Roman" w:hAnsi="Times New Roman" w:hint="default"/>
      </w:rPr>
    </w:lvl>
    <w:lvl w:ilvl="6" w:tplc="FAF65C3A" w:tentative="1">
      <w:start w:val="1"/>
      <w:numFmt w:val="bullet"/>
      <w:lvlText w:val="•"/>
      <w:lvlJc w:val="left"/>
      <w:pPr>
        <w:tabs>
          <w:tab w:val="num" w:pos="5040"/>
        </w:tabs>
        <w:ind w:left="5040" w:hanging="360"/>
      </w:pPr>
      <w:rPr>
        <w:rFonts w:ascii="Times New Roman" w:hAnsi="Times New Roman" w:hint="default"/>
      </w:rPr>
    </w:lvl>
    <w:lvl w:ilvl="7" w:tplc="8DAEE754" w:tentative="1">
      <w:start w:val="1"/>
      <w:numFmt w:val="bullet"/>
      <w:lvlText w:val="•"/>
      <w:lvlJc w:val="left"/>
      <w:pPr>
        <w:tabs>
          <w:tab w:val="num" w:pos="5760"/>
        </w:tabs>
        <w:ind w:left="5760" w:hanging="360"/>
      </w:pPr>
      <w:rPr>
        <w:rFonts w:ascii="Times New Roman" w:hAnsi="Times New Roman" w:hint="default"/>
      </w:rPr>
    </w:lvl>
    <w:lvl w:ilvl="8" w:tplc="201076E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0155731"/>
    <w:multiLevelType w:val="hybridMultilevel"/>
    <w:tmpl w:val="5590FF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70836"/>
    <w:multiLevelType w:val="hybridMultilevel"/>
    <w:tmpl w:val="D9CCF9D6"/>
    <w:lvl w:ilvl="0" w:tplc="C4186F3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B646B0"/>
    <w:multiLevelType w:val="hybridMultilevel"/>
    <w:tmpl w:val="1826DF80"/>
    <w:lvl w:ilvl="0" w:tplc="DDEAEE0A">
      <w:start w:val="1"/>
      <w:numFmt w:val="bullet"/>
      <w:lvlText w:val="•"/>
      <w:lvlJc w:val="left"/>
      <w:pPr>
        <w:tabs>
          <w:tab w:val="num" w:pos="720"/>
        </w:tabs>
        <w:ind w:left="720" w:hanging="360"/>
      </w:pPr>
      <w:rPr>
        <w:rFonts w:ascii="Times New Roman" w:hAnsi="Times New Roman" w:hint="default"/>
      </w:rPr>
    </w:lvl>
    <w:lvl w:ilvl="1" w:tplc="7A86D266" w:tentative="1">
      <w:start w:val="1"/>
      <w:numFmt w:val="bullet"/>
      <w:lvlText w:val="•"/>
      <w:lvlJc w:val="left"/>
      <w:pPr>
        <w:tabs>
          <w:tab w:val="num" w:pos="1440"/>
        </w:tabs>
        <w:ind w:left="1440" w:hanging="360"/>
      </w:pPr>
      <w:rPr>
        <w:rFonts w:ascii="Times New Roman" w:hAnsi="Times New Roman" w:hint="default"/>
      </w:rPr>
    </w:lvl>
    <w:lvl w:ilvl="2" w:tplc="4EF69742" w:tentative="1">
      <w:start w:val="1"/>
      <w:numFmt w:val="bullet"/>
      <w:lvlText w:val="•"/>
      <w:lvlJc w:val="left"/>
      <w:pPr>
        <w:tabs>
          <w:tab w:val="num" w:pos="2160"/>
        </w:tabs>
        <w:ind w:left="2160" w:hanging="360"/>
      </w:pPr>
      <w:rPr>
        <w:rFonts w:ascii="Times New Roman" w:hAnsi="Times New Roman" w:hint="default"/>
      </w:rPr>
    </w:lvl>
    <w:lvl w:ilvl="3" w:tplc="6EBEF700" w:tentative="1">
      <w:start w:val="1"/>
      <w:numFmt w:val="bullet"/>
      <w:lvlText w:val="•"/>
      <w:lvlJc w:val="left"/>
      <w:pPr>
        <w:tabs>
          <w:tab w:val="num" w:pos="2880"/>
        </w:tabs>
        <w:ind w:left="2880" w:hanging="360"/>
      </w:pPr>
      <w:rPr>
        <w:rFonts w:ascii="Times New Roman" w:hAnsi="Times New Roman" w:hint="default"/>
      </w:rPr>
    </w:lvl>
    <w:lvl w:ilvl="4" w:tplc="751E92FC" w:tentative="1">
      <w:start w:val="1"/>
      <w:numFmt w:val="bullet"/>
      <w:lvlText w:val="•"/>
      <w:lvlJc w:val="left"/>
      <w:pPr>
        <w:tabs>
          <w:tab w:val="num" w:pos="3600"/>
        </w:tabs>
        <w:ind w:left="3600" w:hanging="360"/>
      </w:pPr>
      <w:rPr>
        <w:rFonts w:ascii="Times New Roman" w:hAnsi="Times New Roman" w:hint="default"/>
      </w:rPr>
    </w:lvl>
    <w:lvl w:ilvl="5" w:tplc="65AC02DA" w:tentative="1">
      <w:start w:val="1"/>
      <w:numFmt w:val="bullet"/>
      <w:lvlText w:val="•"/>
      <w:lvlJc w:val="left"/>
      <w:pPr>
        <w:tabs>
          <w:tab w:val="num" w:pos="4320"/>
        </w:tabs>
        <w:ind w:left="4320" w:hanging="360"/>
      </w:pPr>
      <w:rPr>
        <w:rFonts w:ascii="Times New Roman" w:hAnsi="Times New Roman" w:hint="default"/>
      </w:rPr>
    </w:lvl>
    <w:lvl w:ilvl="6" w:tplc="D5547DBE" w:tentative="1">
      <w:start w:val="1"/>
      <w:numFmt w:val="bullet"/>
      <w:lvlText w:val="•"/>
      <w:lvlJc w:val="left"/>
      <w:pPr>
        <w:tabs>
          <w:tab w:val="num" w:pos="5040"/>
        </w:tabs>
        <w:ind w:left="5040" w:hanging="360"/>
      </w:pPr>
      <w:rPr>
        <w:rFonts w:ascii="Times New Roman" w:hAnsi="Times New Roman" w:hint="default"/>
      </w:rPr>
    </w:lvl>
    <w:lvl w:ilvl="7" w:tplc="643CDF28" w:tentative="1">
      <w:start w:val="1"/>
      <w:numFmt w:val="bullet"/>
      <w:lvlText w:val="•"/>
      <w:lvlJc w:val="left"/>
      <w:pPr>
        <w:tabs>
          <w:tab w:val="num" w:pos="5760"/>
        </w:tabs>
        <w:ind w:left="5760" w:hanging="360"/>
      </w:pPr>
      <w:rPr>
        <w:rFonts w:ascii="Times New Roman" w:hAnsi="Times New Roman" w:hint="default"/>
      </w:rPr>
    </w:lvl>
    <w:lvl w:ilvl="8" w:tplc="AAF8956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7266C34"/>
    <w:multiLevelType w:val="hybridMultilevel"/>
    <w:tmpl w:val="ACA6CB86"/>
    <w:lvl w:ilvl="0" w:tplc="8E92168A">
      <w:start w:val="1"/>
      <w:numFmt w:val="bullet"/>
      <w:lvlText w:val="•"/>
      <w:lvlJc w:val="left"/>
      <w:pPr>
        <w:tabs>
          <w:tab w:val="num" w:pos="720"/>
        </w:tabs>
        <w:ind w:left="720" w:hanging="360"/>
      </w:pPr>
      <w:rPr>
        <w:rFonts w:ascii="Times New Roman" w:hAnsi="Times New Roman" w:hint="default"/>
      </w:rPr>
    </w:lvl>
    <w:lvl w:ilvl="1" w:tplc="12244282" w:tentative="1">
      <w:start w:val="1"/>
      <w:numFmt w:val="bullet"/>
      <w:lvlText w:val="•"/>
      <w:lvlJc w:val="left"/>
      <w:pPr>
        <w:tabs>
          <w:tab w:val="num" w:pos="1440"/>
        </w:tabs>
        <w:ind w:left="1440" w:hanging="360"/>
      </w:pPr>
      <w:rPr>
        <w:rFonts w:ascii="Times New Roman" w:hAnsi="Times New Roman" w:hint="default"/>
      </w:rPr>
    </w:lvl>
    <w:lvl w:ilvl="2" w:tplc="F9F01224" w:tentative="1">
      <w:start w:val="1"/>
      <w:numFmt w:val="bullet"/>
      <w:lvlText w:val="•"/>
      <w:lvlJc w:val="left"/>
      <w:pPr>
        <w:tabs>
          <w:tab w:val="num" w:pos="2160"/>
        </w:tabs>
        <w:ind w:left="2160" w:hanging="360"/>
      </w:pPr>
      <w:rPr>
        <w:rFonts w:ascii="Times New Roman" w:hAnsi="Times New Roman" w:hint="default"/>
      </w:rPr>
    </w:lvl>
    <w:lvl w:ilvl="3" w:tplc="5F3C0240" w:tentative="1">
      <w:start w:val="1"/>
      <w:numFmt w:val="bullet"/>
      <w:lvlText w:val="•"/>
      <w:lvlJc w:val="left"/>
      <w:pPr>
        <w:tabs>
          <w:tab w:val="num" w:pos="2880"/>
        </w:tabs>
        <w:ind w:left="2880" w:hanging="360"/>
      </w:pPr>
      <w:rPr>
        <w:rFonts w:ascii="Times New Roman" w:hAnsi="Times New Roman" w:hint="default"/>
      </w:rPr>
    </w:lvl>
    <w:lvl w:ilvl="4" w:tplc="9E1ABB2C" w:tentative="1">
      <w:start w:val="1"/>
      <w:numFmt w:val="bullet"/>
      <w:lvlText w:val="•"/>
      <w:lvlJc w:val="left"/>
      <w:pPr>
        <w:tabs>
          <w:tab w:val="num" w:pos="3600"/>
        </w:tabs>
        <w:ind w:left="3600" w:hanging="360"/>
      </w:pPr>
      <w:rPr>
        <w:rFonts w:ascii="Times New Roman" w:hAnsi="Times New Roman" w:hint="default"/>
      </w:rPr>
    </w:lvl>
    <w:lvl w:ilvl="5" w:tplc="1A8A6890" w:tentative="1">
      <w:start w:val="1"/>
      <w:numFmt w:val="bullet"/>
      <w:lvlText w:val="•"/>
      <w:lvlJc w:val="left"/>
      <w:pPr>
        <w:tabs>
          <w:tab w:val="num" w:pos="4320"/>
        </w:tabs>
        <w:ind w:left="4320" w:hanging="360"/>
      </w:pPr>
      <w:rPr>
        <w:rFonts w:ascii="Times New Roman" w:hAnsi="Times New Roman" w:hint="default"/>
      </w:rPr>
    </w:lvl>
    <w:lvl w:ilvl="6" w:tplc="B66E38FA" w:tentative="1">
      <w:start w:val="1"/>
      <w:numFmt w:val="bullet"/>
      <w:lvlText w:val="•"/>
      <w:lvlJc w:val="left"/>
      <w:pPr>
        <w:tabs>
          <w:tab w:val="num" w:pos="5040"/>
        </w:tabs>
        <w:ind w:left="5040" w:hanging="360"/>
      </w:pPr>
      <w:rPr>
        <w:rFonts w:ascii="Times New Roman" w:hAnsi="Times New Roman" w:hint="default"/>
      </w:rPr>
    </w:lvl>
    <w:lvl w:ilvl="7" w:tplc="417A3700" w:tentative="1">
      <w:start w:val="1"/>
      <w:numFmt w:val="bullet"/>
      <w:lvlText w:val="•"/>
      <w:lvlJc w:val="left"/>
      <w:pPr>
        <w:tabs>
          <w:tab w:val="num" w:pos="5760"/>
        </w:tabs>
        <w:ind w:left="5760" w:hanging="360"/>
      </w:pPr>
      <w:rPr>
        <w:rFonts w:ascii="Times New Roman" w:hAnsi="Times New Roman" w:hint="default"/>
      </w:rPr>
    </w:lvl>
    <w:lvl w:ilvl="8" w:tplc="784671C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E451FDF"/>
    <w:multiLevelType w:val="hybridMultilevel"/>
    <w:tmpl w:val="4EB04DC8"/>
    <w:lvl w:ilvl="0" w:tplc="609C95F4">
      <w:start w:val="1"/>
      <w:numFmt w:val="lowerLetter"/>
      <w:lvlText w:val="%1-"/>
      <w:lvlJc w:val="left"/>
      <w:pPr>
        <w:ind w:left="1068" w:hanging="360"/>
      </w:pPr>
      <w:rPr>
        <w:rFonts w:hint="default"/>
        <w:b/>
        <w:bCs/>
        <w:i/>
        <w:i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nsid w:val="42CC524A"/>
    <w:multiLevelType w:val="hybridMultilevel"/>
    <w:tmpl w:val="47805E2E"/>
    <w:lvl w:ilvl="0" w:tplc="BB38DDA0">
      <w:start w:val="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5B15118"/>
    <w:multiLevelType w:val="hybridMultilevel"/>
    <w:tmpl w:val="9500B914"/>
    <w:lvl w:ilvl="0" w:tplc="ABA200A2">
      <w:start w:val="1"/>
      <w:numFmt w:val="bullet"/>
      <w:lvlText w:val="•"/>
      <w:lvlJc w:val="left"/>
      <w:pPr>
        <w:tabs>
          <w:tab w:val="num" w:pos="720"/>
        </w:tabs>
        <w:ind w:left="720" w:hanging="360"/>
      </w:pPr>
      <w:rPr>
        <w:rFonts w:ascii="Times New Roman" w:hAnsi="Times New Roman" w:hint="default"/>
      </w:rPr>
    </w:lvl>
    <w:lvl w:ilvl="1" w:tplc="9A588BDA" w:tentative="1">
      <w:start w:val="1"/>
      <w:numFmt w:val="bullet"/>
      <w:lvlText w:val="•"/>
      <w:lvlJc w:val="left"/>
      <w:pPr>
        <w:tabs>
          <w:tab w:val="num" w:pos="1440"/>
        </w:tabs>
        <w:ind w:left="1440" w:hanging="360"/>
      </w:pPr>
      <w:rPr>
        <w:rFonts w:ascii="Times New Roman" w:hAnsi="Times New Roman" w:hint="default"/>
      </w:rPr>
    </w:lvl>
    <w:lvl w:ilvl="2" w:tplc="AD4845D4" w:tentative="1">
      <w:start w:val="1"/>
      <w:numFmt w:val="bullet"/>
      <w:lvlText w:val="•"/>
      <w:lvlJc w:val="left"/>
      <w:pPr>
        <w:tabs>
          <w:tab w:val="num" w:pos="2160"/>
        </w:tabs>
        <w:ind w:left="2160" w:hanging="360"/>
      </w:pPr>
      <w:rPr>
        <w:rFonts w:ascii="Times New Roman" w:hAnsi="Times New Roman" w:hint="default"/>
      </w:rPr>
    </w:lvl>
    <w:lvl w:ilvl="3" w:tplc="42CA906A" w:tentative="1">
      <w:start w:val="1"/>
      <w:numFmt w:val="bullet"/>
      <w:lvlText w:val="•"/>
      <w:lvlJc w:val="left"/>
      <w:pPr>
        <w:tabs>
          <w:tab w:val="num" w:pos="2880"/>
        </w:tabs>
        <w:ind w:left="2880" w:hanging="360"/>
      </w:pPr>
      <w:rPr>
        <w:rFonts w:ascii="Times New Roman" w:hAnsi="Times New Roman" w:hint="default"/>
      </w:rPr>
    </w:lvl>
    <w:lvl w:ilvl="4" w:tplc="A184B0E4" w:tentative="1">
      <w:start w:val="1"/>
      <w:numFmt w:val="bullet"/>
      <w:lvlText w:val="•"/>
      <w:lvlJc w:val="left"/>
      <w:pPr>
        <w:tabs>
          <w:tab w:val="num" w:pos="3600"/>
        </w:tabs>
        <w:ind w:left="3600" w:hanging="360"/>
      </w:pPr>
      <w:rPr>
        <w:rFonts w:ascii="Times New Roman" w:hAnsi="Times New Roman" w:hint="default"/>
      </w:rPr>
    </w:lvl>
    <w:lvl w:ilvl="5" w:tplc="B0F662E2" w:tentative="1">
      <w:start w:val="1"/>
      <w:numFmt w:val="bullet"/>
      <w:lvlText w:val="•"/>
      <w:lvlJc w:val="left"/>
      <w:pPr>
        <w:tabs>
          <w:tab w:val="num" w:pos="4320"/>
        </w:tabs>
        <w:ind w:left="4320" w:hanging="360"/>
      </w:pPr>
      <w:rPr>
        <w:rFonts w:ascii="Times New Roman" w:hAnsi="Times New Roman" w:hint="default"/>
      </w:rPr>
    </w:lvl>
    <w:lvl w:ilvl="6" w:tplc="108E5C9C" w:tentative="1">
      <w:start w:val="1"/>
      <w:numFmt w:val="bullet"/>
      <w:lvlText w:val="•"/>
      <w:lvlJc w:val="left"/>
      <w:pPr>
        <w:tabs>
          <w:tab w:val="num" w:pos="5040"/>
        </w:tabs>
        <w:ind w:left="5040" w:hanging="360"/>
      </w:pPr>
      <w:rPr>
        <w:rFonts w:ascii="Times New Roman" w:hAnsi="Times New Roman" w:hint="default"/>
      </w:rPr>
    </w:lvl>
    <w:lvl w:ilvl="7" w:tplc="608675CA" w:tentative="1">
      <w:start w:val="1"/>
      <w:numFmt w:val="bullet"/>
      <w:lvlText w:val="•"/>
      <w:lvlJc w:val="left"/>
      <w:pPr>
        <w:tabs>
          <w:tab w:val="num" w:pos="5760"/>
        </w:tabs>
        <w:ind w:left="5760" w:hanging="360"/>
      </w:pPr>
      <w:rPr>
        <w:rFonts w:ascii="Times New Roman" w:hAnsi="Times New Roman" w:hint="default"/>
      </w:rPr>
    </w:lvl>
    <w:lvl w:ilvl="8" w:tplc="5AF8652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8A10CD7"/>
    <w:multiLevelType w:val="hybridMultilevel"/>
    <w:tmpl w:val="8B388EC0"/>
    <w:lvl w:ilvl="0" w:tplc="DAF23418">
      <w:start w:val="1"/>
      <w:numFmt w:val="bullet"/>
      <w:lvlText w:val="•"/>
      <w:lvlJc w:val="left"/>
      <w:pPr>
        <w:tabs>
          <w:tab w:val="num" w:pos="720"/>
        </w:tabs>
        <w:ind w:left="720" w:hanging="360"/>
      </w:pPr>
      <w:rPr>
        <w:rFonts w:ascii="Times New Roman" w:hAnsi="Times New Roman" w:hint="default"/>
      </w:rPr>
    </w:lvl>
    <w:lvl w:ilvl="1" w:tplc="F70E5C00" w:tentative="1">
      <w:start w:val="1"/>
      <w:numFmt w:val="bullet"/>
      <w:lvlText w:val="•"/>
      <w:lvlJc w:val="left"/>
      <w:pPr>
        <w:tabs>
          <w:tab w:val="num" w:pos="1440"/>
        </w:tabs>
        <w:ind w:left="1440" w:hanging="360"/>
      </w:pPr>
      <w:rPr>
        <w:rFonts w:ascii="Times New Roman" w:hAnsi="Times New Roman" w:hint="default"/>
      </w:rPr>
    </w:lvl>
    <w:lvl w:ilvl="2" w:tplc="C308A976" w:tentative="1">
      <w:start w:val="1"/>
      <w:numFmt w:val="bullet"/>
      <w:lvlText w:val="•"/>
      <w:lvlJc w:val="left"/>
      <w:pPr>
        <w:tabs>
          <w:tab w:val="num" w:pos="2160"/>
        </w:tabs>
        <w:ind w:left="2160" w:hanging="360"/>
      </w:pPr>
      <w:rPr>
        <w:rFonts w:ascii="Times New Roman" w:hAnsi="Times New Roman" w:hint="default"/>
      </w:rPr>
    </w:lvl>
    <w:lvl w:ilvl="3" w:tplc="A3C06B1C" w:tentative="1">
      <w:start w:val="1"/>
      <w:numFmt w:val="bullet"/>
      <w:lvlText w:val="•"/>
      <w:lvlJc w:val="left"/>
      <w:pPr>
        <w:tabs>
          <w:tab w:val="num" w:pos="2880"/>
        </w:tabs>
        <w:ind w:left="2880" w:hanging="360"/>
      </w:pPr>
      <w:rPr>
        <w:rFonts w:ascii="Times New Roman" w:hAnsi="Times New Roman" w:hint="default"/>
      </w:rPr>
    </w:lvl>
    <w:lvl w:ilvl="4" w:tplc="90D85314" w:tentative="1">
      <w:start w:val="1"/>
      <w:numFmt w:val="bullet"/>
      <w:lvlText w:val="•"/>
      <w:lvlJc w:val="left"/>
      <w:pPr>
        <w:tabs>
          <w:tab w:val="num" w:pos="3600"/>
        </w:tabs>
        <w:ind w:left="3600" w:hanging="360"/>
      </w:pPr>
      <w:rPr>
        <w:rFonts w:ascii="Times New Roman" w:hAnsi="Times New Roman" w:hint="default"/>
      </w:rPr>
    </w:lvl>
    <w:lvl w:ilvl="5" w:tplc="A3A2FB5C" w:tentative="1">
      <w:start w:val="1"/>
      <w:numFmt w:val="bullet"/>
      <w:lvlText w:val="•"/>
      <w:lvlJc w:val="left"/>
      <w:pPr>
        <w:tabs>
          <w:tab w:val="num" w:pos="4320"/>
        </w:tabs>
        <w:ind w:left="4320" w:hanging="360"/>
      </w:pPr>
      <w:rPr>
        <w:rFonts w:ascii="Times New Roman" w:hAnsi="Times New Roman" w:hint="default"/>
      </w:rPr>
    </w:lvl>
    <w:lvl w:ilvl="6" w:tplc="B3066916" w:tentative="1">
      <w:start w:val="1"/>
      <w:numFmt w:val="bullet"/>
      <w:lvlText w:val="•"/>
      <w:lvlJc w:val="left"/>
      <w:pPr>
        <w:tabs>
          <w:tab w:val="num" w:pos="5040"/>
        </w:tabs>
        <w:ind w:left="5040" w:hanging="360"/>
      </w:pPr>
      <w:rPr>
        <w:rFonts w:ascii="Times New Roman" w:hAnsi="Times New Roman" w:hint="default"/>
      </w:rPr>
    </w:lvl>
    <w:lvl w:ilvl="7" w:tplc="00423414" w:tentative="1">
      <w:start w:val="1"/>
      <w:numFmt w:val="bullet"/>
      <w:lvlText w:val="•"/>
      <w:lvlJc w:val="left"/>
      <w:pPr>
        <w:tabs>
          <w:tab w:val="num" w:pos="5760"/>
        </w:tabs>
        <w:ind w:left="5760" w:hanging="360"/>
      </w:pPr>
      <w:rPr>
        <w:rFonts w:ascii="Times New Roman" w:hAnsi="Times New Roman" w:hint="default"/>
      </w:rPr>
    </w:lvl>
    <w:lvl w:ilvl="8" w:tplc="35A0C6B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AF862A3"/>
    <w:multiLevelType w:val="hybridMultilevel"/>
    <w:tmpl w:val="A210DD7C"/>
    <w:lvl w:ilvl="0" w:tplc="6416130E">
      <w:start w:val="1"/>
      <w:numFmt w:val="bullet"/>
      <w:lvlText w:val="•"/>
      <w:lvlJc w:val="left"/>
      <w:pPr>
        <w:tabs>
          <w:tab w:val="num" w:pos="720"/>
        </w:tabs>
        <w:ind w:left="720" w:hanging="360"/>
      </w:pPr>
      <w:rPr>
        <w:rFonts w:ascii="Times New Roman" w:hAnsi="Times New Roman" w:hint="default"/>
      </w:rPr>
    </w:lvl>
    <w:lvl w:ilvl="1" w:tplc="81982520" w:tentative="1">
      <w:start w:val="1"/>
      <w:numFmt w:val="bullet"/>
      <w:lvlText w:val="•"/>
      <w:lvlJc w:val="left"/>
      <w:pPr>
        <w:tabs>
          <w:tab w:val="num" w:pos="1440"/>
        </w:tabs>
        <w:ind w:left="1440" w:hanging="360"/>
      </w:pPr>
      <w:rPr>
        <w:rFonts w:ascii="Times New Roman" w:hAnsi="Times New Roman" w:hint="default"/>
      </w:rPr>
    </w:lvl>
    <w:lvl w:ilvl="2" w:tplc="85C65BA0" w:tentative="1">
      <w:start w:val="1"/>
      <w:numFmt w:val="bullet"/>
      <w:lvlText w:val="•"/>
      <w:lvlJc w:val="left"/>
      <w:pPr>
        <w:tabs>
          <w:tab w:val="num" w:pos="2160"/>
        </w:tabs>
        <w:ind w:left="2160" w:hanging="360"/>
      </w:pPr>
      <w:rPr>
        <w:rFonts w:ascii="Times New Roman" w:hAnsi="Times New Roman" w:hint="default"/>
      </w:rPr>
    </w:lvl>
    <w:lvl w:ilvl="3" w:tplc="9376948E" w:tentative="1">
      <w:start w:val="1"/>
      <w:numFmt w:val="bullet"/>
      <w:lvlText w:val="•"/>
      <w:lvlJc w:val="left"/>
      <w:pPr>
        <w:tabs>
          <w:tab w:val="num" w:pos="2880"/>
        </w:tabs>
        <w:ind w:left="2880" w:hanging="360"/>
      </w:pPr>
      <w:rPr>
        <w:rFonts w:ascii="Times New Roman" w:hAnsi="Times New Roman" w:hint="default"/>
      </w:rPr>
    </w:lvl>
    <w:lvl w:ilvl="4" w:tplc="AEE2A506" w:tentative="1">
      <w:start w:val="1"/>
      <w:numFmt w:val="bullet"/>
      <w:lvlText w:val="•"/>
      <w:lvlJc w:val="left"/>
      <w:pPr>
        <w:tabs>
          <w:tab w:val="num" w:pos="3600"/>
        </w:tabs>
        <w:ind w:left="3600" w:hanging="360"/>
      </w:pPr>
      <w:rPr>
        <w:rFonts w:ascii="Times New Roman" w:hAnsi="Times New Roman" w:hint="default"/>
      </w:rPr>
    </w:lvl>
    <w:lvl w:ilvl="5" w:tplc="69F8C508" w:tentative="1">
      <w:start w:val="1"/>
      <w:numFmt w:val="bullet"/>
      <w:lvlText w:val="•"/>
      <w:lvlJc w:val="left"/>
      <w:pPr>
        <w:tabs>
          <w:tab w:val="num" w:pos="4320"/>
        </w:tabs>
        <w:ind w:left="4320" w:hanging="360"/>
      </w:pPr>
      <w:rPr>
        <w:rFonts w:ascii="Times New Roman" w:hAnsi="Times New Roman" w:hint="default"/>
      </w:rPr>
    </w:lvl>
    <w:lvl w:ilvl="6" w:tplc="743ECB64" w:tentative="1">
      <w:start w:val="1"/>
      <w:numFmt w:val="bullet"/>
      <w:lvlText w:val="•"/>
      <w:lvlJc w:val="left"/>
      <w:pPr>
        <w:tabs>
          <w:tab w:val="num" w:pos="5040"/>
        </w:tabs>
        <w:ind w:left="5040" w:hanging="360"/>
      </w:pPr>
      <w:rPr>
        <w:rFonts w:ascii="Times New Roman" w:hAnsi="Times New Roman" w:hint="default"/>
      </w:rPr>
    </w:lvl>
    <w:lvl w:ilvl="7" w:tplc="4CF495C4" w:tentative="1">
      <w:start w:val="1"/>
      <w:numFmt w:val="bullet"/>
      <w:lvlText w:val="•"/>
      <w:lvlJc w:val="left"/>
      <w:pPr>
        <w:tabs>
          <w:tab w:val="num" w:pos="5760"/>
        </w:tabs>
        <w:ind w:left="5760" w:hanging="360"/>
      </w:pPr>
      <w:rPr>
        <w:rFonts w:ascii="Times New Roman" w:hAnsi="Times New Roman" w:hint="default"/>
      </w:rPr>
    </w:lvl>
    <w:lvl w:ilvl="8" w:tplc="2D963F9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EFB4AAF"/>
    <w:multiLevelType w:val="hybridMultilevel"/>
    <w:tmpl w:val="6B0E5E24"/>
    <w:lvl w:ilvl="0" w:tplc="C25E1914">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FC91C5C"/>
    <w:multiLevelType w:val="hybridMultilevel"/>
    <w:tmpl w:val="5FA836E6"/>
    <w:lvl w:ilvl="0" w:tplc="7A30F144">
      <w:start w:val="1"/>
      <w:numFmt w:val="bullet"/>
      <w:lvlText w:val="•"/>
      <w:lvlJc w:val="left"/>
      <w:pPr>
        <w:tabs>
          <w:tab w:val="num" w:pos="720"/>
        </w:tabs>
        <w:ind w:left="720" w:hanging="360"/>
      </w:pPr>
      <w:rPr>
        <w:rFonts w:ascii="Times New Roman" w:hAnsi="Times New Roman" w:hint="default"/>
      </w:rPr>
    </w:lvl>
    <w:lvl w:ilvl="1" w:tplc="6382E7A4" w:tentative="1">
      <w:start w:val="1"/>
      <w:numFmt w:val="bullet"/>
      <w:lvlText w:val="•"/>
      <w:lvlJc w:val="left"/>
      <w:pPr>
        <w:tabs>
          <w:tab w:val="num" w:pos="1440"/>
        </w:tabs>
        <w:ind w:left="1440" w:hanging="360"/>
      </w:pPr>
      <w:rPr>
        <w:rFonts w:ascii="Times New Roman" w:hAnsi="Times New Roman" w:hint="default"/>
      </w:rPr>
    </w:lvl>
    <w:lvl w:ilvl="2" w:tplc="3D6CE078" w:tentative="1">
      <w:start w:val="1"/>
      <w:numFmt w:val="bullet"/>
      <w:lvlText w:val="•"/>
      <w:lvlJc w:val="left"/>
      <w:pPr>
        <w:tabs>
          <w:tab w:val="num" w:pos="2160"/>
        </w:tabs>
        <w:ind w:left="2160" w:hanging="360"/>
      </w:pPr>
      <w:rPr>
        <w:rFonts w:ascii="Times New Roman" w:hAnsi="Times New Roman" w:hint="default"/>
      </w:rPr>
    </w:lvl>
    <w:lvl w:ilvl="3" w:tplc="F50442D8" w:tentative="1">
      <w:start w:val="1"/>
      <w:numFmt w:val="bullet"/>
      <w:lvlText w:val="•"/>
      <w:lvlJc w:val="left"/>
      <w:pPr>
        <w:tabs>
          <w:tab w:val="num" w:pos="2880"/>
        </w:tabs>
        <w:ind w:left="2880" w:hanging="360"/>
      </w:pPr>
      <w:rPr>
        <w:rFonts w:ascii="Times New Roman" w:hAnsi="Times New Roman" w:hint="default"/>
      </w:rPr>
    </w:lvl>
    <w:lvl w:ilvl="4" w:tplc="BBC0386E" w:tentative="1">
      <w:start w:val="1"/>
      <w:numFmt w:val="bullet"/>
      <w:lvlText w:val="•"/>
      <w:lvlJc w:val="left"/>
      <w:pPr>
        <w:tabs>
          <w:tab w:val="num" w:pos="3600"/>
        </w:tabs>
        <w:ind w:left="3600" w:hanging="360"/>
      </w:pPr>
      <w:rPr>
        <w:rFonts w:ascii="Times New Roman" w:hAnsi="Times New Roman" w:hint="default"/>
      </w:rPr>
    </w:lvl>
    <w:lvl w:ilvl="5" w:tplc="51EC4C9E" w:tentative="1">
      <w:start w:val="1"/>
      <w:numFmt w:val="bullet"/>
      <w:lvlText w:val="•"/>
      <w:lvlJc w:val="left"/>
      <w:pPr>
        <w:tabs>
          <w:tab w:val="num" w:pos="4320"/>
        </w:tabs>
        <w:ind w:left="4320" w:hanging="360"/>
      </w:pPr>
      <w:rPr>
        <w:rFonts w:ascii="Times New Roman" w:hAnsi="Times New Roman" w:hint="default"/>
      </w:rPr>
    </w:lvl>
    <w:lvl w:ilvl="6" w:tplc="A2426B16" w:tentative="1">
      <w:start w:val="1"/>
      <w:numFmt w:val="bullet"/>
      <w:lvlText w:val="•"/>
      <w:lvlJc w:val="left"/>
      <w:pPr>
        <w:tabs>
          <w:tab w:val="num" w:pos="5040"/>
        </w:tabs>
        <w:ind w:left="5040" w:hanging="360"/>
      </w:pPr>
      <w:rPr>
        <w:rFonts w:ascii="Times New Roman" w:hAnsi="Times New Roman" w:hint="default"/>
      </w:rPr>
    </w:lvl>
    <w:lvl w:ilvl="7" w:tplc="AC76D0A4" w:tentative="1">
      <w:start w:val="1"/>
      <w:numFmt w:val="bullet"/>
      <w:lvlText w:val="•"/>
      <w:lvlJc w:val="left"/>
      <w:pPr>
        <w:tabs>
          <w:tab w:val="num" w:pos="5760"/>
        </w:tabs>
        <w:ind w:left="5760" w:hanging="360"/>
      </w:pPr>
      <w:rPr>
        <w:rFonts w:ascii="Times New Roman" w:hAnsi="Times New Roman" w:hint="default"/>
      </w:rPr>
    </w:lvl>
    <w:lvl w:ilvl="8" w:tplc="B3BA964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1131157"/>
    <w:multiLevelType w:val="hybridMultilevel"/>
    <w:tmpl w:val="E1CCE7DA"/>
    <w:lvl w:ilvl="0" w:tplc="BB38DDA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2AD0E19"/>
    <w:multiLevelType w:val="hybridMultilevel"/>
    <w:tmpl w:val="9BC8ED7E"/>
    <w:lvl w:ilvl="0" w:tplc="DA8E3B7E">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67D53C5"/>
    <w:multiLevelType w:val="hybridMultilevel"/>
    <w:tmpl w:val="FD88D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435B4C"/>
    <w:multiLevelType w:val="hybridMultilevel"/>
    <w:tmpl w:val="9378C5AA"/>
    <w:lvl w:ilvl="0" w:tplc="ABD0EA5C">
      <w:start w:val="1"/>
      <w:numFmt w:val="bullet"/>
      <w:lvlText w:val="•"/>
      <w:lvlJc w:val="left"/>
      <w:pPr>
        <w:tabs>
          <w:tab w:val="num" w:pos="720"/>
        </w:tabs>
        <w:ind w:left="720" w:hanging="360"/>
      </w:pPr>
      <w:rPr>
        <w:rFonts w:ascii="Times New Roman" w:hAnsi="Times New Roman" w:hint="default"/>
      </w:rPr>
    </w:lvl>
    <w:lvl w:ilvl="1" w:tplc="4D0895AE" w:tentative="1">
      <w:start w:val="1"/>
      <w:numFmt w:val="bullet"/>
      <w:lvlText w:val="•"/>
      <w:lvlJc w:val="left"/>
      <w:pPr>
        <w:tabs>
          <w:tab w:val="num" w:pos="1440"/>
        </w:tabs>
        <w:ind w:left="1440" w:hanging="360"/>
      </w:pPr>
      <w:rPr>
        <w:rFonts w:ascii="Times New Roman" w:hAnsi="Times New Roman" w:hint="default"/>
      </w:rPr>
    </w:lvl>
    <w:lvl w:ilvl="2" w:tplc="BD366AF0" w:tentative="1">
      <w:start w:val="1"/>
      <w:numFmt w:val="bullet"/>
      <w:lvlText w:val="•"/>
      <w:lvlJc w:val="left"/>
      <w:pPr>
        <w:tabs>
          <w:tab w:val="num" w:pos="2160"/>
        </w:tabs>
        <w:ind w:left="2160" w:hanging="360"/>
      </w:pPr>
      <w:rPr>
        <w:rFonts w:ascii="Times New Roman" w:hAnsi="Times New Roman" w:hint="default"/>
      </w:rPr>
    </w:lvl>
    <w:lvl w:ilvl="3" w:tplc="DC5400FC" w:tentative="1">
      <w:start w:val="1"/>
      <w:numFmt w:val="bullet"/>
      <w:lvlText w:val="•"/>
      <w:lvlJc w:val="left"/>
      <w:pPr>
        <w:tabs>
          <w:tab w:val="num" w:pos="2880"/>
        </w:tabs>
        <w:ind w:left="2880" w:hanging="360"/>
      </w:pPr>
      <w:rPr>
        <w:rFonts w:ascii="Times New Roman" w:hAnsi="Times New Roman" w:hint="default"/>
      </w:rPr>
    </w:lvl>
    <w:lvl w:ilvl="4" w:tplc="1FC41A5C" w:tentative="1">
      <w:start w:val="1"/>
      <w:numFmt w:val="bullet"/>
      <w:lvlText w:val="•"/>
      <w:lvlJc w:val="left"/>
      <w:pPr>
        <w:tabs>
          <w:tab w:val="num" w:pos="3600"/>
        </w:tabs>
        <w:ind w:left="3600" w:hanging="360"/>
      </w:pPr>
      <w:rPr>
        <w:rFonts w:ascii="Times New Roman" w:hAnsi="Times New Roman" w:hint="default"/>
      </w:rPr>
    </w:lvl>
    <w:lvl w:ilvl="5" w:tplc="978E898A" w:tentative="1">
      <w:start w:val="1"/>
      <w:numFmt w:val="bullet"/>
      <w:lvlText w:val="•"/>
      <w:lvlJc w:val="left"/>
      <w:pPr>
        <w:tabs>
          <w:tab w:val="num" w:pos="4320"/>
        </w:tabs>
        <w:ind w:left="4320" w:hanging="360"/>
      </w:pPr>
      <w:rPr>
        <w:rFonts w:ascii="Times New Roman" w:hAnsi="Times New Roman" w:hint="default"/>
      </w:rPr>
    </w:lvl>
    <w:lvl w:ilvl="6" w:tplc="F0AA432C" w:tentative="1">
      <w:start w:val="1"/>
      <w:numFmt w:val="bullet"/>
      <w:lvlText w:val="•"/>
      <w:lvlJc w:val="left"/>
      <w:pPr>
        <w:tabs>
          <w:tab w:val="num" w:pos="5040"/>
        </w:tabs>
        <w:ind w:left="5040" w:hanging="360"/>
      </w:pPr>
      <w:rPr>
        <w:rFonts w:ascii="Times New Roman" w:hAnsi="Times New Roman" w:hint="default"/>
      </w:rPr>
    </w:lvl>
    <w:lvl w:ilvl="7" w:tplc="70281082" w:tentative="1">
      <w:start w:val="1"/>
      <w:numFmt w:val="bullet"/>
      <w:lvlText w:val="•"/>
      <w:lvlJc w:val="left"/>
      <w:pPr>
        <w:tabs>
          <w:tab w:val="num" w:pos="5760"/>
        </w:tabs>
        <w:ind w:left="5760" w:hanging="360"/>
      </w:pPr>
      <w:rPr>
        <w:rFonts w:ascii="Times New Roman" w:hAnsi="Times New Roman" w:hint="default"/>
      </w:rPr>
    </w:lvl>
    <w:lvl w:ilvl="8" w:tplc="AA82C96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96B396F"/>
    <w:multiLevelType w:val="hybridMultilevel"/>
    <w:tmpl w:val="20DC0D28"/>
    <w:lvl w:ilvl="0" w:tplc="31805396">
      <w:start w:val="1"/>
      <w:numFmt w:val="bullet"/>
      <w:lvlText w:val="•"/>
      <w:lvlJc w:val="left"/>
      <w:pPr>
        <w:tabs>
          <w:tab w:val="num" w:pos="786"/>
        </w:tabs>
        <w:ind w:left="786" w:hanging="360"/>
      </w:pPr>
      <w:rPr>
        <w:rFonts w:ascii="Times New Roman" w:hAnsi="Times New Roman" w:hint="default"/>
      </w:rPr>
    </w:lvl>
    <w:lvl w:ilvl="1" w:tplc="F482DC2A" w:tentative="1">
      <w:start w:val="1"/>
      <w:numFmt w:val="bullet"/>
      <w:lvlText w:val="•"/>
      <w:lvlJc w:val="left"/>
      <w:pPr>
        <w:tabs>
          <w:tab w:val="num" w:pos="1506"/>
        </w:tabs>
        <w:ind w:left="1506" w:hanging="360"/>
      </w:pPr>
      <w:rPr>
        <w:rFonts w:ascii="Times New Roman" w:hAnsi="Times New Roman" w:hint="default"/>
      </w:rPr>
    </w:lvl>
    <w:lvl w:ilvl="2" w:tplc="ED8A68C4" w:tentative="1">
      <w:start w:val="1"/>
      <w:numFmt w:val="bullet"/>
      <w:lvlText w:val="•"/>
      <w:lvlJc w:val="left"/>
      <w:pPr>
        <w:tabs>
          <w:tab w:val="num" w:pos="2226"/>
        </w:tabs>
        <w:ind w:left="2226" w:hanging="360"/>
      </w:pPr>
      <w:rPr>
        <w:rFonts w:ascii="Times New Roman" w:hAnsi="Times New Roman" w:hint="default"/>
      </w:rPr>
    </w:lvl>
    <w:lvl w:ilvl="3" w:tplc="C0306414" w:tentative="1">
      <w:start w:val="1"/>
      <w:numFmt w:val="bullet"/>
      <w:lvlText w:val="•"/>
      <w:lvlJc w:val="left"/>
      <w:pPr>
        <w:tabs>
          <w:tab w:val="num" w:pos="2946"/>
        </w:tabs>
        <w:ind w:left="2946" w:hanging="360"/>
      </w:pPr>
      <w:rPr>
        <w:rFonts w:ascii="Times New Roman" w:hAnsi="Times New Roman" w:hint="default"/>
      </w:rPr>
    </w:lvl>
    <w:lvl w:ilvl="4" w:tplc="C8E6CE2A" w:tentative="1">
      <w:start w:val="1"/>
      <w:numFmt w:val="bullet"/>
      <w:lvlText w:val="•"/>
      <w:lvlJc w:val="left"/>
      <w:pPr>
        <w:tabs>
          <w:tab w:val="num" w:pos="3666"/>
        </w:tabs>
        <w:ind w:left="3666" w:hanging="360"/>
      </w:pPr>
      <w:rPr>
        <w:rFonts w:ascii="Times New Roman" w:hAnsi="Times New Roman" w:hint="default"/>
      </w:rPr>
    </w:lvl>
    <w:lvl w:ilvl="5" w:tplc="BF887A5C" w:tentative="1">
      <w:start w:val="1"/>
      <w:numFmt w:val="bullet"/>
      <w:lvlText w:val="•"/>
      <w:lvlJc w:val="left"/>
      <w:pPr>
        <w:tabs>
          <w:tab w:val="num" w:pos="4386"/>
        </w:tabs>
        <w:ind w:left="4386" w:hanging="360"/>
      </w:pPr>
      <w:rPr>
        <w:rFonts w:ascii="Times New Roman" w:hAnsi="Times New Roman" w:hint="default"/>
      </w:rPr>
    </w:lvl>
    <w:lvl w:ilvl="6" w:tplc="B66A8788" w:tentative="1">
      <w:start w:val="1"/>
      <w:numFmt w:val="bullet"/>
      <w:lvlText w:val="•"/>
      <w:lvlJc w:val="left"/>
      <w:pPr>
        <w:tabs>
          <w:tab w:val="num" w:pos="5106"/>
        </w:tabs>
        <w:ind w:left="5106" w:hanging="360"/>
      </w:pPr>
      <w:rPr>
        <w:rFonts w:ascii="Times New Roman" w:hAnsi="Times New Roman" w:hint="default"/>
      </w:rPr>
    </w:lvl>
    <w:lvl w:ilvl="7" w:tplc="F2345172" w:tentative="1">
      <w:start w:val="1"/>
      <w:numFmt w:val="bullet"/>
      <w:lvlText w:val="•"/>
      <w:lvlJc w:val="left"/>
      <w:pPr>
        <w:tabs>
          <w:tab w:val="num" w:pos="5826"/>
        </w:tabs>
        <w:ind w:left="5826" w:hanging="360"/>
      </w:pPr>
      <w:rPr>
        <w:rFonts w:ascii="Times New Roman" w:hAnsi="Times New Roman" w:hint="default"/>
      </w:rPr>
    </w:lvl>
    <w:lvl w:ilvl="8" w:tplc="FFD8A55E" w:tentative="1">
      <w:start w:val="1"/>
      <w:numFmt w:val="bullet"/>
      <w:lvlText w:val="•"/>
      <w:lvlJc w:val="left"/>
      <w:pPr>
        <w:tabs>
          <w:tab w:val="num" w:pos="6546"/>
        </w:tabs>
        <w:ind w:left="6546" w:hanging="360"/>
      </w:pPr>
      <w:rPr>
        <w:rFonts w:ascii="Times New Roman" w:hAnsi="Times New Roman" w:hint="default"/>
      </w:rPr>
    </w:lvl>
  </w:abstractNum>
  <w:abstractNum w:abstractNumId="33">
    <w:nsid w:val="5CB96A59"/>
    <w:multiLevelType w:val="hybridMultilevel"/>
    <w:tmpl w:val="6DA4CD2E"/>
    <w:lvl w:ilvl="0" w:tplc="E65882FE">
      <w:start w:val="1"/>
      <w:numFmt w:val="bullet"/>
      <w:lvlText w:val=""/>
      <w:lvlJc w:val="left"/>
      <w:pPr>
        <w:tabs>
          <w:tab w:val="num" w:pos="720"/>
        </w:tabs>
        <w:ind w:left="720" w:hanging="360"/>
      </w:pPr>
      <w:rPr>
        <w:rFonts w:ascii="Wingdings" w:hAnsi="Wingdings" w:hint="default"/>
        <w:color w:val="auto"/>
      </w:rPr>
    </w:lvl>
    <w:lvl w:ilvl="1" w:tplc="7688BB02" w:tentative="1">
      <w:start w:val="1"/>
      <w:numFmt w:val="bullet"/>
      <w:lvlText w:val="•"/>
      <w:lvlJc w:val="left"/>
      <w:pPr>
        <w:tabs>
          <w:tab w:val="num" w:pos="1440"/>
        </w:tabs>
        <w:ind w:left="1440" w:hanging="360"/>
      </w:pPr>
      <w:rPr>
        <w:rFonts w:ascii="Times New Roman" w:hAnsi="Times New Roman" w:hint="default"/>
      </w:rPr>
    </w:lvl>
    <w:lvl w:ilvl="2" w:tplc="AB9AB484" w:tentative="1">
      <w:start w:val="1"/>
      <w:numFmt w:val="bullet"/>
      <w:lvlText w:val="•"/>
      <w:lvlJc w:val="left"/>
      <w:pPr>
        <w:tabs>
          <w:tab w:val="num" w:pos="2160"/>
        </w:tabs>
        <w:ind w:left="2160" w:hanging="360"/>
      </w:pPr>
      <w:rPr>
        <w:rFonts w:ascii="Times New Roman" w:hAnsi="Times New Roman" w:hint="default"/>
      </w:rPr>
    </w:lvl>
    <w:lvl w:ilvl="3" w:tplc="CFBCDAE0" w:tentative="1">
      <w:start w:val="1"/>
      <w:numFmt w:val="bullet"/>
      <w:lvlText w:val="•"/>
      <w:lvlJc w:val="left"/>
      <w:pPr>
        <w:tabs>
          <w:tab w:val="num" w:pos="2880"/>
        </w:tabs>
        <w:ind w:left="2880" w:hanging="360"/>
      </w:pPr>
      <w:rPr>
        <w:rFonts w:ascii="Times New Roman" w:hAnsi="Times New Roman" w:hint="default"/>
      </w:rPr>
    </w:lvl>
    <w:lvl w:ilvl="4" w:tplc="83B06E6C" w:tentative="1">
      <w:start w:val="1"/>
      <w:numFmt w:val="bullet"/>
      <w:lvlText w:val="•"/>
      <w:lvlJc w:val="left"/>
      <w:pPr>
        <w:tabs>
          <w:tab w:val="num" w:pos="3600"/>
        </w:tabs>
        <w:ind w:left="3600" w:hanging="360"/>
      </w:pPr>
      <w:rPr>
        <w:rFonts w:ascii="Times New Roman" w:hAnsi="Times New Roman" w:hint="default"/>
      </w:rPr>
    </w:lvl>
    <w:lvl w:ilvl="5" w:tplc="BFC231C0" w:tentative="1">
      <w:start w:val="1"/>
      <w:numFmt w:val="bullet"/>
      <w:lvlText w:val="•"/>
      <w:lvlJc w:val="left"/>
      <w:pPr>
        <w:tabs>
          <w:tab w:val="num" w:pos="4320"/>
        </w:tabs>
        <w:ind w:left="4320" w:hanging="360"/>
      </w:pPr>
      <w:rPr>
        <w:rFonts w:ascii="Times New Roman" w:hAnsi="Times New Roman" w:hint="default"/>
      </w:rPr>
    </w:lvl>
    <w:lvl w:ilvl="6" w:tplc="F12E17FA" w:tentative="1">
      <w:start w:val="1"/>
      <w:numFmt w:val="bullet"/>
      <w:lvlText w:val="•"/>
      <w:lvlJc w:val="left"/>
      <w:pPr>
        <w:tabs>
          <w:tab w:val="num" w:pos="5040"/>
        </w:tabs>
        <w:ind w:left="5040" w:hanging="360"/>
      </w:pPr>
      <w:rPr>
        <w:rFonts w:ascii="Times New Roman" w:hAnsi="Times New Roman" w:hint="default"/>
      </w:rPr>
    </w:lvl>
    <w:lvl w:ilvl="7" w:tplc="11A69262" w:tentative="1">
      <w:start w:val="1"/>
      <w:numFmt w:val="bullet"/>
      <w:lvlText w:val="•"/>
      <w:lvlJc w:val="left"/>
      <w:pPr>
        <w:tabs>
          <w:tab w:val="num" w:pos="5760"/>
        </w:tabs>
        <w:ind w:left="5760" w:hanging="360"/>
      </w:pPr>
      <w:rPr>
        <w:rFonts w:ascii="Times New Roman" w:hAnsi="Times New Roman" w:hint="default"/>
      </w:rPr>
    </w:lvl>
    <w:lvl w:ilvl="8" w:tplc="4D72A7A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F870A8C"/>
    <w:multiLevelType w:val="hybridMultilevel"/>
    <w:tmpl w:val="AA0C2A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5744E60"/>
    <w:multiLevelType w:val="hybridMultilevel"/>
    <w:tmpl w:val="7B921A8E"/>
    <w:lvl w:ilvl="0" w:tplc="EC7C1816">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E00513B"/>
    <w:multiLevelType w:val="hybridMultilevel"/>
    <w:tmpl w:val="CB249C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19413A8"/>
    <w:multiLevelType w:val="hybridMultilevel"/>
    <w:tmpl w:val="AC3ACCAA"/>
    <w:lvl w:ilvl="0" w:tplc="33000DE0">
      <w:start w:val="1"/>
      <w:numFmt w:val="bullet"/>
      <w:lvlText w:val="•"/>
      <w:lvlJc w:val="left"/>
      <w:pPr>
        <w:tabs>
          <w:tab w:val="num" w:pos="720"/>
        </w:tabs>
        <w:ind w:left="720" w:hanging="360"/>
      </w:pPr>
      <w:rPr>
        <w:rFonts w:ascii="Times New Roman" w:hAnsi="Times New Roman" w:hint="default"/>
      </w:rPr>
    </w:lvl>
    <w:lvl w:ilvl="1" w:tplc="90405C0E" w:tentative="1">
      <w:start w:val="1"/>
      <w:numFmt w:val="bullet"/>
      <w:lvlText w:val="•"/>
      <w:lvlJc w:val="left"/>
      <w:pPr>
        <w:tabs>
          <w:tab w:val="num" w:pos="1440"/>
        </w:tabs>
        <w:ind w:left="1440" w:hanging="360"/>
      </w:pPr>
      <w:rPr>
        <w:rFonts w:ascii="Times New Roman" w:hAnsi="Times New Roman" w:hint="default"/>
      </w:rPr>
    </w:lvl>
    <w:lvl w:ilvl="2" w:tplc="14C63052" w:tentative="1">
      <w:start w:val="1"/>
      <w:numFmt w:val="bullet"/>
      <w:lvlText w:val="•"/>
      <w:lvlJc w:val="left"/>
      <w:pPr>
        <w:tabs>
          <w:tab w:val="num" w:pos="2160"/>
        </w:tabs>
        <w:ind w:left="2160" w:hanging="360"/>
      </w:pPr>
      <w:rPr>
        <w:rFonts w:ascii="Times New Roman" w:hAnsi="Times New Roman" w:hint="default"/>
      </w:rPr>
    </w:lvl>
    <w:lvl w:ilvl="3" w:tplc="3466B48A" w:tentative="1">
      <w:start w:val="1"/>
      <w:numFmt w:val="bullet"/>
      <w:lvlText w:val="•"/>
      <w:lvlJc w:val="left"/>
      <w:pPr>
        <w:tabs>
          <w:tab w:val="num" w:pos="2880"/>
        </w:tabs>
        <w:ind w:left="2880" w:hanging="360"/>
      </w:pPr>
      <w:rPr>
        <w:rFonts w:ascii="Times New Roman" w:hAnsi="Times New Roman" w:hint="default"/>
      </w:rPr>
    </w:lvl>
    <w:lvl w:ilvl="4" w:tplc="84009958" w:tentative="1">
      <w:start w:val="1"/>
      <w:numFmt w:val="bullet"/>
      <w:lvlText w:val="•"/>
      <w:lvlJc w:val="left"/>
      <w:pPr>
        <w:tabs>
          <w:tab w:val="num" w:pos="3600"/>
        </w:tabs>
        <w:ind w:left="3600" w:hanging="360"/>
      </w:pPr>
      <w:rPr>
        <w:rFonts w:ascii="Times New Roman" w:hAnsi="Times New Roman" w:hint="default"/>
      </w:rPr>
    </w:lvl>
    <w:lvl w:ilvl="5" w:tplc="5AACDFAC" w:tentative="1">
      <w:start w:val="1"/>
      <w:numFmt w:val="bullet"/>
      <w:lvlText w:val="•"/>
      <w:lvlJc w:val="left"/>
      <w:pPr>
        <w:tabs>
          <w:tab w:val="num" w:pos="4320"/>
        </w:tabs>
        <w:ind w:left="4320" w:hanging="360"/>
      </w:pPr>
      <w:rPr>
        <w:rFonts w:ascii="Times New Roman" w:hAnsi="Times New Roman" w:hint="default"/>
      </w:rPr>
    </w:lvl>
    <w:lvl w:ilvl="6" w:tplc="5FC8D014" w:tentative="1">
      <w:start w:val="1"/>
      <w:numFmt w:val="bullet"/>
      <w:lvlText w:val="•"/>
      <w:lvlJc w:val="left"/>
      <w:pPr>
        <w:tabs>
          <w:tab w:val="num" w:pos="5040"/>
        </w:tabs>
        <w:ind w:left="5040" w:hanging="360"/>
      </w:pPr>
      <w:rPr>
        <w:rFonts w:ascii="Times New Roman" w:hAnsi="Times New Roman" w:hint="default"/>
      </w:rPr>
    </w:lvl>
    <w:lvl w:ilvl="7" w:tplc="2550E6A4" w:tentative="1">
      <w:start w:val="1"/>
      <w:numFmt w:val="bullet"/>
      <w:lvlText w:val="•"/>
      <w:lvlJc w:val="left"/>
      <w:pPr>
        <w:tabs>
          <w:tab w:val="num" w:pos="5760"/>
        </w:tabs>
        <w:ind w:left="5760" w:hanging="360"/>
      </w:pPr>
      <w:rPr>
        <w:rFonts w:ascii="Times New Roman" w:hAnsi="Times New Roman" w:hint="default"/>
      </w:rPr>
    </w:lvl>
    <w:lvl w:ilvl="8" w:tplc="E14A9200"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1C55EF8"/>
    <w:multiLevelType w:val="hybridMultilevel"/>
    <w:tmpl w:val="400EB6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30E33AE"/>
    <w:multiLevelType w:val="hybridMultilevel"/>
    <w:tmpl w:val="AF3AC0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4AD6D3A"/>
    <w:multiLevelType w:val="hybridMultilevel"/>
    <w:tmpl w:val="213AF646"/>
    <w:lvl w:ilvl="0" w:tplc="5C409D24">
      <w:start w:val="1"/>
      <w:numFmt w:val="bullet"/>
      <w:lvlText w:val="•"/>
      <w:lvlJc w:val="left"/>
      <w:pPr>
        <w:tabs>
          <w:tab w:val="num" w:pos="720"/>
        </w:tabs>
        <w:ind w:left="720" w:hanging="360"/>
      </w:pPr>
      <w:rPr>
        <w:rFonts w:ascii="Times New Roman" w:hAnsi="Times New Roman" w:hint="default"/>
      </w:rPr>
    </w:lvl>
    <w:lvl w:ilvl="1" w:tplc="F698D7A6" w:tentative="1">
      <w:start w:val="1"/>
      <w:numFmt w:val="bullet"/>
      <w:lvlText w:val="•"/>
      <w:lvlJc w:val="left"/>
      <w:pPr>
        <w:tabs>
          <w:tab w:val="num" w:pos="1440"/>
        </w:tabs>
        <w:ind w:left="1440" w:hanging="360"/>
      </w:pPr>
      <w:rPr>
        <w:rFonts w:ascii="Times New Roman" w:hAnsi="Times New Roman" w:hint="default"/>
      </w:rPr>
    </w:lvl>
    <w:lvl w:ilvl="2" w:tplc="77B4CDA0" w:tentative="1">
      <w:start w:val="1"/>
      <w:numFmt w:val="bullet"/>
      <w:lvlText w:val="•"/>
      <w:lvlJc w:val="left"/>
      <w:pPr>
        <w:tabs>
          <w:tab w:val="num" w:pos="2160"/>
        </w:tabs>
        <w:ind w:left="2160" w:hanging="360"/>
      </w:pPr>
      <w:rPr>
        <w:rFonts w:ascii="Times New Roman" w:hAnsi="Times New Roman" w:hint="default"/>
      </w:rPr>
    </w:lvl>
    <w:lvl w:ilvl="3" w:tplc="FFB2E6A8" w:tentative="1">
      <w:start w:val="1"/>
      <w:numFmt w:val="bullet"/>
      <w:lvlText w:val="•"/>
      <w:lvlJc w:val="left"/>
      <w:pPr>
        <w:tabs>
          <w:tab w:val="num" w:pos="2880"/>
        </w:tabs>
        <w:ind w:left="2880" w:hanging="360"/>
      </w:pPr>
      <w:rPr>
        <w:rFonts w:ascii="Times New Roman" w:hAnsi="Times New Roman" w:hint="default"/>
      </w:rPr>
    </w:lvl>
    <w:lvl w:ilvl="4" w:tplc="63982D6C" w:tentative="1">
      <w:start w:val="1"/>
      <w:numFmt w:val="bullet"/>
      <w:lvlText w:val="•"/>
      <w:lvlJc w:val="left"/>
      <w:pPr>
        <w:tabs>
          <w:tab w:val="num" w:pos="3600"/>
        </w:tabs>
        <w:ind w:left="3600" w:hanging="360"/>
      </w:pPr>
      <w:rPr>
        <w:rFonts w:ascii="Times New Roman" w:hAnsi="Times New Roman" w:hint="default"/>
      </w:rPr>
    </w:lvl>
    <w:lvl w:ilvl="5" w:tplc="F97EFE94" w:tentative="1">
      <w:start w:val="1"/>
      <w:numFmt w:val="bullet"/>
      <w:lvlText w:val="•"/>
      <w:lvlJc w:val="left"/>
      <w:pPr>
        <w:tabs>
          <w:tab w:val="num" w:pos="4320"/>
        </w:tabs>
        <w:ind w:left="4320" w:hanging="360"/>
      </w:pPr>
      <w:rPr>
        <w:rFonts w:ascii="Times New Roman" w:hAnsi="Times New Roman" w:hint="default"/>
      </w:rPr>
    </w:lvl>
    <w:lvl w:ilvl="6" w:tplc="3EF6B61C" w:tentative="1">
      <w:start w:val="1"/>
      <w:numFmt w:val="bullet"/>
      <w:lvlText w:val="•"/>
      <w:lvlJc w:val="left"/>
      <w:pPr>
        <w:tabs>
          <w:tab w:val="num" w:pos="5040"/>
        </w:tabs>
        <w:ind w:left="5040" w:hanging="360"/>
      </w:pPr>
      <w:rPr>
        <w:rFonts w:ascii="Times New Roman" w:hAnsi="Times New Roman" w:hint="default"/>
      </w:rPr>
    </w:lvl>
    <w:lvl w:ilvl="7" w:tplc="C5803DD8" w:tentative="1">
      <w:start w:val="1"/>
      <w:numFmt w:val="bullet"/>
      <w:lvlText w:val="•"/>
      <w:lvlJc w:val="left"/>
      <w:pPr>
        <w:tabs>
          <w:tab w:val="num" w:pos="5760"/>
        </w:tabs>
        <w:ind w:left="5760" w:hanging="360"/>
      </w:pPr>
      <w:rPr>
        <w:rFonts w:ascii="Times New Roman" w:hAnsi="Times New Roman" w:hint="default"/>
      </w:rPr>
    </w:lvl>
    <w:lvl w:ilvl="8" w:tplc="DAEAF986"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5674DE3"/>
    <w:multiLevelType w:val="hybridMultilevel"/>
    <w:tmpl w:val="6A1652D4"/>
    <w:lvl w:ilvl="0" w:tplc="0A00E058">
      <w:start w:val="1"/>
      <w:numFmt w:val="bullet"/>
      <w:lvlText w:val="•"/>
      <w:lvlJc w:val="left"/>
      <w:pPr>
        <w:tabs>
          <w:tab w:val="num" w:pos="720"/>
        </w:tabs>
        <w:ind w:left="720" w:hanging="360"/>
      </w:pPr>
      <w:rPr>
        <w:rFonts w:ascii="Times New Roman" w:hAnsi="Times New Roman" w:hint="default"/>
      </w:rPr>
    </w:lvl>
    <w:lvl w:ilvl="1" w:tplc="18ACC448" w:tentative="1">
      <w:start w:val="1"/>
      <w:numFmt w:val="bullet"/>
      <w:lvlText w:val="•"/>
      <w:lvlJc w:val="left"/>
      <w:pPr>
        <w:tabs>
          <w:tab w:val="num" w:pos="1440"/>
        </w:tabs>
        <w:ind w:left="1440" w:hanging="360"/>
      </w:pPr>
      <w:rPr>
        <w:rFonts w:ascii="Times New Roman" w:hAnsi="Times New Roman" w:hint="default"/>
      </w:rPr>
    </w:lvl>
    <w:lvl w:ilvl="2" w:tplc="72849CCE" w:tentative="1">
      <w:start w:val="1"/>
      <w:numFmt w:val="bullet"/>
      <w:lvlText w:val="•"/>
      <w:lvlJc w:val="left"/>
      <w:pPr>
        <w:tabs>
          <w:tab w:val="num" w:pos="2160"/>
        </w:tabs>
        <w:ind w:left="2160" w:hanging="360"/>
      </w:pPr>
      <w:rPr>
        <w:rFonts w:ascii="Times New Roman" w:hAnsi="Times New Roman" w:hint="default"/>
      </w:rPr>
    </w:lvl>
    <w:lvl w:ilvl="3" w:tplc="3B42BE12" w:tentative="1">
      <w:start w:val="1"/>
      <w:numFmt w:val="bullet"/>
      <w:lvlText w:val="•"/>
      <w:lvlJc w:val="left"/>
      <w:pPr>
        <w:tabs>
          <w:tab w:val="num" w:pos="2880"/>
        </w:tabs>
        <w:ind w:left="2880" w:hanging="360"/>
      </w:pPr>
      <w:rPr>
        <w:rFonts w:ascii="Times New Roman" w:hAnsi="Times New Roman" w:hint="default"/>
      </w:rPr>
    </w:lvl>
    <w:lvl w:ilvl="4" w:tplc="32B018B6" w:tentative="1">
      <w:start w:val="1"/>
      <w:numFmt w:val="bullet"/>
      <w:lvlText w:val="•"/>
      <w:lvlJc w:val="left"/>
      <w:pPr>
        <w:tabs>
          <w:tab w:val="num" w:pos="3600"/>
        </w:tabs>
        <w:ind w:left="3600" w:hanging="360"/>
      </w:pPr>
      <w:rPr>
        <w:rFonts w:ascii="Times New Roman" w:hAnsi="Times New Roman" w:hint="default"/>
      </w:rPr>
    </w:lvl>
    <w:lvl w:ilvl="5" w:tplc="4D10F558" w:tentative="1">
      <w:start w:val="1"/>
      <w:numFmt w:val="bullet"/>
      <w:lvlText w:val="•"/>
      <w:lvlJc w:val="left"/>
      <w:pPr>
        <w:tabs>
          <w:tab w:val="num" w:pos="4320"/>
        </w:tabs>
        <w:ind w:left="4320" w:hanging="360"/>
      </w:pPr>
      <w:rPr>
        <w:rFonts w:ascii="Times New Roman" w:hAnsi="Times New Roman" w:hint="default"/>
      </w:rPr>
    </w:lvl>
    <w:lvl w:ilvl="6" w:tplc="E5E8B56A" w:tentative="1">
      <w:start w:val="1"/>
      <w:numFmt w:val="bullet"/>
      <w:lvlText w:val="•"/>
      <w:lvlJc w:val="left"/>
      <w:pPr>
        <w:tabs>
          <w:tab w:val="num" w:pos="5040"/>
        </w:tabs>
        <w:ind w:left="5040" w:hanging="360"/>
      </w:pPr>
      <w:rPr>
        <w:rFonts w:ascii="Times New Roman" w:hAnsi="Times New Roman" w:hint="default"/>
      </w:rPr>
    </w:lvl>
    <w:lvl w:ilvl="7" w:tplc="544E8E52" w:tentative="1">
      <w:start w:val="1"/>
      <w:numFmt w:val="bullet"/>
      <w:lvlText w:val="•"/>
      <w:lvlJc w:val="left"/>
      <w:pPr>
        <w:tabs>
          <w:tab w:val="num" w:pos="5760"/>
        </w:tabs>
        <w:ind w:left="5760" w:hanging="360"/>
      </w:pPr>
      <w:rPr>
        <w:rFonts w:ascii="Times New Roman" w:hAnsi="Times New Roman" w:hint="default"/>
      </w:rPr>
    </w:lvl>
    <w:lvl w:ilvl="8" w:tplc="6660EE60"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A265A9F"/>
    <w:multiLevelType w:val="hybridMultilevel"/>
    <w:tmpl w:val="ACAEFD0A"/>
    <w:lvl w:ilvl="0" w:tplc="2878D5AE">
      <w:start w:val="1"/>
      <w:numFmt w:val="bullet"/>
      <w:lvlText w:val="•"/>
      <w:lvlJc w:val="left"/>
      <w:pPr>
        <w:tabs>
          <w:tab w:val="num" w:pos="720"/>
        </w:tabs>
        <w:ind w:left="720" w:hanging="360"/>
      </w:pPr>
      <w:rPr>
        <w:rFonts w:ascii="Times New Roman" w:hAnsi="Times New Roman" w:hint="default"/>
      </w:rPr>
    </w:lvl>
    <w:lvl w:ilvl="1" w:tplc="0550080A" w:tentative="1">
      <w:start w:val="1"/>
      <w:numFmt w:val="bullet"/>
      <w:lvlText w:val="•"/>
      <w:lvlJc w:val="left"/>
      <w:pPr>
        <w:tabs>
          <w:tab w:val="num" w:pos="1440"/>
        </w:tabs>
        <w:ind w:left="1440" w:hanging="360"/>
      </w:pPr>
      <w:rPr>
        <w:rFonts w:ascii="Times New Roman" w:hAnsi="Times New Roman" w:hint="default"/>
      </w:rPr>
    </w:lvl>
    <w:lvl w:ilvl="2" w:tplc="D7DCCC52" w:tentative="1">
      <w:start w:val="1"/>
      <w:numFmt w:val="bullet"/>
      <w:lvlText w:val="•"/>
      <w:lvlJc w:val="left"/>
      <w:pPr>
        <w:tabs>
          <w:tab w:val="num" w:pos="2160"/>
        </w:tabs>
        <w:ind w:left="2160" w:hanging="360"/>
      </w:pPr>
      <w:rPr>
        <w:rFonts w:ascii="Times New Roman" w:hAnsi="Times New Roman" w:hint="default"/>
      </w:rPr>
    </w:lvl>
    <w:lvl w:ilvl="3" w:tplc="0C94E780" w:tentative="1">
      <w:start w:val="1"/>
      <w:numFmt w:val="bullet"/>
      <w:lvlText w:val="•"/>
      <w:lvlJc w:val="left"/>
      <w:pPr>
        <w:tabs>
          <w:tab w:val="num" w:pos="2880"/>
        </w:tabs>
        <w:ind w:left="2880" w:hanging="360"/>
      </w:pPr>
      <w:rPr>
        <w:rFonts w:ascii="Times New Roman" w:hAnsi="Times New Roman" w:hint="default"/>
      </w:rPr>
    </w:lvl>
    <w:lvl w:ilvl="4" w:tplc="ACCA6436" w:tentative="1">
      <w:start w:val="1"/>
      <w:numFmt w:val="bullet"/>
      <w:lvlText w:val="•"/>
      <w:lvlJc w:val="left"/>
      <w:pPr>
        <w:tabs>
          <w:tab w:val="num" w:pos="3600"/>
        </w:tabs>
        <w:ind w:left="3600" w:hanging="360"/>
      </w:pPr>
      <w:rPr>
        <w:rFonts w:ascii="Times New Roman" w:hAnsi="Times New Roman" w:hint="default"/>
      </w:rPr>
    </w:lvl>
    <w:lvl w:ilvl="5" w:tplc="C7B2A71A" w:tentative="1">
      <w:start w:val="1"/>
      <w:numFmt w:val="bullet"/>
      <w:lvlText w:val="•"/>
      <w:lvlJc w:val="left"/>
      <w:pPr>
        <w:tabs>
          <w:tab w:val="num" w:pos="4320"/>
        </w:tabs>
        <w:ind w:left="4320" w:hanging="360"/>
      </w:pPr>
      <w:rPr>
        <w:rFonts w:ascii="Times New Roman" w:hAnsi="Times New Roman" w:hint="default"/>
      </w:rPr>
    </w:lvl>
    <w:lvl w:ilvl="6" w:tplc="0F0CB2BA" w:tentative="1">
      <w:start w:val="1"/>
      <w:numFmt w:val="bullet"/>
      <w:lvlText w:val="•"/>
      <w:lvlJc w:val="left"/>
      <w:pPr>
        <w:tabs>
          <w:tab w:val="num" w:pos="5040"/>
        </w:tabs>
        <w:ind w:left="5040" w:hanging="360"/>
      </w:pPr>
      <w:rPr>
        <w:rFonts w:ascii="Times New Roman" w:hAnsi="Times New Roman" w:hint="default"/>
      </w:rPr>
    </w:lvl>
    <w:lvl w:ilvl="7" w:tplc="02A611AE" w:tentative="1">
      <w:start w:val="1"/>
      <w:numFmt w:val="bullet"/>
      <w:lvlText w:val="•"/>
      <w:lvlJc w:val="left"/>
      <w:pPr>
        <w:tabs>
          <w:tab w:val="num" w:pos="5760"/>
        </w:tabs>
        <w:ind w:left="5760" w:hanging="360"/>
      </w:pPr>
      <w:rPr>
        <w:rFonts w:ascii="Times New Roman" w:hAnsi="Times New Roman" w:hint="default"/>
      </w:rPr>
    </w:lvl>
    <w:lvl w:ilvl="8" w:tplc="B492DCAC"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C8A181C"/>
    <w:multiLevelType w:val="hybridMultilevel"/>
    <w:tmpl w:val="51F6CF38"/>
    <w:lvl w:ilvl="0" w:tplc="2050ED50">
      <w:start w:val="1"/>
      <w:numFmt w:val="bullet"/>
      <w:lvlText w:val="•"/>
      <w:lvlJc w:val="left"/>
      <w:pPr>
        <w:tabs>
          <w:tab w:val="num" w:pos="720"/>
        </w:tabs>
        <w:ind w:left="720" w:hanging="360"/>
      </w:pPr>
      <w:rPr>
        <w:rFonts w:ascii="Times New Roman" w:hAnsi="Times New Roman" w:hint="default"/>
      </w:rPr>
    </w:lvl>
    <w:lvl w:ilvl="1" w:tplc="A3CA07AA" w:tentative="1">
      <w:start w:val="1"/>
      <w:numFmt w:val="bullet"/>
      <w:lvlText w:val="•"/>
      <w:lvlJc w:val="left"/>
      <w:pPr>
        <w:tabs>
          <w:tab w:val="num" w:pos="1440"/>
        </w:tabs>
        <w:ind w:left="1440" w:hanging="360"/>
      </w:pPr>
      <w:rPr>
        <w:rFonts w:ascii="Times New Roman" w:hAnsi="Times New Roman" w:hint="default"/>
      </w:rPr>
    </w:lvl>
    <w:lvl w:ilvl="2" w:tplc="5C1C3AE8" w:tentative="1">
      <w:start w:val="1"/>
      <w:numFmt w:val="bullet"/>
      <w:lvlText w:val="•"/>
      <w:lvlJc w:val="left"/>
      <w:pPr>
        <w:tabs>
          <w:tab w:val="num" w:pos="2160"/>
        </w:tabs>
        <w:ind w:left="2160" w:hanging="360"/>
      </w:pPr>
      <w:rPr>
        <w:rFonts w:ascii="Times New Roman" w:hAnsi="Times New Roman" w:hint="default"/>
      </w:rPr>
    </w:lvl>
    <w:lvl w:ilvl="3" w:tplc="603A19BC" w:tentative="1">
      <w:start w:val="1"/>
      <w:numFmt w:val="bullet"/>
      <w:lvlText w:val="•"/>
      <w:lvlJc w:val="left"/>
      <w:pPr>
        <w:tabs>
          <w:tab w:val="num" w:pos="2880"/>
        </w:tabs>
        <w:ind w:left="2880" w:hanging="360"/>
      </w:pPr>
      <w:rPr>
        <w:rFonts w:ascii="Times New Roman" w:hAnsi="Times New Roman" w:hint="default"/>
      </w:rPr>
    </w:lvl>
    <w:lvl w:ilvl="4" w:tplc="B0D6AB14" w:tentative="1">
      <w:start w:val="1"/>
      <w:numFmt w:val="bullet"/>
      <w:lvlText w:val="•"/>
      <w:lvlJc w:val="left"/>
      <w:pPr>
        <w:tabs>
          <w:tab w:val="num" w:pos="3600"/>
        </w:tabs>
        <w:ind w:left="3600" w:hanging="360"/>
      </w:pPr>
      <w:rPr>
        <w:rFonts w:ascii="Times New Roman" w:hAnsi="Times New Roman" w:hint="default"/>
      </w:rPr>
    </w:lvl>
    <w:lvl w:ilvl="5" w:tplc="D14036D4" w:tentative="1">
      <w:start w:val="1"/>
      <w:numFmt w:val="bullet"/>
      <w:lvlText w:val="•"/>
      <w:lvlJc w:val="left"/>
      <w:pPr>
        <w:tabs>
          <w:tab w:val="num" w:pos="4320"/>
        </w:tabs>
        <w:ind w:left="4320" w:hanging="360"/>
      </w:pPr>
      <w:rPr>
        <w:rFonts w:ascii="Times New Roman" w:hAnsi="Times New Roman" w:hint="default"/>
      </w:rPr>
    </w:lvl>
    <w:lvl w:ilvl="6" w:tplc="CB2CE966" w:tentative="1">
      <w:start w:val="1"/>
      <w:numFmt w:val="bullet"/>
      <w:lvlText w:val="•"/>
      <w:lvlJc w:val="left"/>
      <w:pPr>
        <w:tabs>
          <w:tab w:val="num" w:pos="5040"/>
        </w:tabs>
        <w:ind w:left="5040" w:hanging="360"/>
      </w:pPr>
      <w:rPr>
        <w:rFonts w:ascii="Times New Roman" w:hAnsi="Times New Roman" w:hint="default"/>
      </w:rPr>
    </w:lvl>
    <w:lvl w:ilvl="7" w:tplc="A746AF48" w:tentative="1">
      <w:start w:val="1"/>
      <w:numFmt w:val="bullet"/>
      <w:lvlText w:val="•"/>
      <w:lvlJc w:val="left"/>
      <w:pPr>
        <w:tabs>
          <w:tab w:val="num" w:pos="5760"/>
        </w:tabs>
        <w:ind w:left="5760" w:hanging="360"/>
      </w:pPr>
      <w:rPr>
        <w:rFonts w:ascii="Times New Roman" w:hAnsi="Times New Roman" w:hint="default"/>
      </w:rPr>
    </w:lvl>
    <w:lvl w:ilvl="8" w:tplc="D00254B2"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CC13A91"/>
    <w:multiLevelType w:val="hybridMultilevel"/>
    <w:tmpl w:val="30FA5AA4"/>
    <w:lvl w:ilvl="0" w:tplc="AB9E3F9A">
      <w:start w:val="1"/>
      <w:numFmt w:val="bullet"/>
      <w:lvlText w:val="•"/>
      <w:lvlJc w:val="left"/>
      <w:pPr>
        <w:tabs>
          <w:tab w:val="num" w:pos="720"/>
        </w:tabs>
        <w:ind w:left="720" w:hanging="360"/>
      </w:pPr>
      <w:rPr>
        <w:rFonts w:ascii="Times New Roman" w:hAnsi="Times New Roman" w:hint="default"/>
      </w:rPr>
    </w:lvl>
    <w:lvl w:ilvl="1" w:tplc="429CB69E" w:tentative="1">
      <w:start w:val="1"/>
      <w:numFmt w:val="bullet"/>
      <w:lvlText w:val="•"/>
      <w:lvlJc w:val="left"/>
      <w:pPr>
        <w:tabs>
          <w:tab w:val="num" w:pos="1440"/>
        </w:tabs>
        <w:ind w:left="1440" w:hanging="360"/>
      </w:pPr>
      <w:rPr>
        <w:rFonts w:ascii="Times New Roman" w:hAnsi="Times New Roman" w:hint="default"/>
      </w:rPr>
    </w:lvl>
    <w:lvl w:ilvl="2" w:tplc="75ACE938" w:tentative="1">
      <w:start w:val="1"/>
      <w:numFmt w:val="bullet"/>
      <w:lvlText w:val="•"/>
      <w:lvlJc w:val="left"/>
      <w:pPr>
        <w:tabs>
          <w:tab w:val="num" w:pos="2160"/>
        </w:tabs>
        <w:ind w:left="2160" w:hanging="360"/>
      </w:pPr>
      <w:rPr>
        <w:rFonts w:ascii="Times New Roman" w:hAnsi="Times New Roman" w:hint="default"/>
      </w:rPr>
    </w:lvl>
    <w:lvl w:ilvl="3" w:tplc="D08635D2" w:tentative="1">
      <w:start w:val="1"/>
      <w:numFmt w:val="bullet"/>
      <w:lvlText w:val="•"/>
      <w:lvlJc w:val="left"/>
      <w:pPr>
        <w:tabs>
          <w:tab w:val="num" w:pos="2880"/>
        </w:tabs>
        <w:ind w:left="2880" w:hanging="360"/>
      </w:pPr>
      <w:rPr>
        <w:rFonts w:ascii="Times New Roman" w:hAnsi="Times New Roman" w:hint="default"/>
      </w:rPr>
    </w:lvl>
    <w:lvl w:ilvl="4" w:tplc="2F3A2C4C" w:tentative="1">
      <w:start w:val="1"/>
      <w:numFmt w:val="bullet"/>
      <w:lvlText w:val="•"/>
      <w:lvlJc w:val="left"/>
      <w:pPr>
        <w:tabs>
          <w:tab w:val="num" w:pos="3600"/>
        </w:tabs>
        <w:ind w:left="3600" w:hanging="360"/>
      </w:pPr>
      <w:rPr>
        <w:rFonts w:ascii="Times New Roman" w:hAnsi="Times New Roman" w:hint="default"/>
      </w:rPr>
    </w:lvl>
    <w:lvl w:ilvl="5" w:tplc="BC42B388" w:tentative="1">
      <w:start w:val="1"/>
      <w:numFmt w:val="bullet"/>
      <w:lvlText w:val="•"/>
      <w:lvlJc w:val="left"/>
      <w:pPr>
        <w:tabs>
          <w:tab w:val="num" w:pos="4320"/>
        </w:tabs>
        <w:ind w:left="4320" w:hanging="360"/>
      </w:pPr>
      <w:rPr>
        <w:rFonts w:ascii="Times New Roman" w:hAnsi="Times New Roman" w:hint="default"/>
      </w:rPr>
    </w:lvl>
    <w:lvl w:ilvl="6" w:tplc="1FBE008E" w:tentative="1">
      <w:start w:val="1"/>
      <w:numFmt w:val="bullet"/>
      <w:lvlText w:val="•"/>
      <w:lvlJc w:val="left"/>
      <w:pPr>
        <w:tabs>
          <w:tab w:val="num" w:pos="5040"/>
        </w:tabs>
        <w:ind w:left="5040" w:hanging="360"/>
      </w:pPr>
      <w:rPr>
        <w:rFonts w:ascii="Times New Roman" w:hAnsi="Times New Roman" w:hint="default"/>
      </w:rPr>
    </w:lvl>
    <w:lvl w:ilvl="7" w:tplc="A3F0DE2E" w:tentative="1">
      <w:start w:val="1"/>
      <w:numFmt w:val="bullet"/>
      <w:lvlText w:val="•"/>
      <w:lvlJc w:val="left"/>
      <w:pPr>
        <w:tabs>
          <w:tab w:val="num" w:pos="5760"/>
        </w:tabs>
        <w:ind w:left="5760" w:hanging="360"/>
      </w:pPr>
      <w:rPr>
        <w:rFonts w:ascii="Times New Roman" w:hAnsi="Times New Roman" w:hint="default"/>
      </w:rPr>
    </w:lvl>
    <w:lvl w:ilvl="8" w:tplc="48CE93B0"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F775737"/>
    <w:multiLevelType w:val="hybridMultilevel"/>
    <w:tmpl w:val="54582E8E"/>
    <w:lvl w:ilvl="0" w:tplc="6F4E787A">
      <w:start w:val="1"/>
      <w:numFmt w:val="bullet"/>
      <w:lvlText w:val=""/>
      <w:lvlJc w:val="left"/>
      <w:pPr>
        <w:tabs>
          <w:tab w:val="num" w:pos="720"/>
        </w:tabs>
        <w:ind w:left="720" w:hanging="360"/>
      </w:pPr>
      <w:rPr>
        <w:rFonts w:ascii="Marlett" w:hAnsi="Marlett" w:hint="default"/>
      </w:rPr>
    </w:lvl>
    <w:lvl w:ilvl="1" w:tplc="598226BE" w:tentative="1">
      <w:start w:val="1"/>
      <w:numFmt w:val="bullet"/>
      <w:lvlText w:val=""/>
      <w:lvlJc w:val="left"/>
      <w:pPr>
        <w:tabs>
          <w:tab w:val="num" w:pos="1440"/>
        </w:tabs>
        <w:ind w:left="1440" w:hanging="360"/>
      </w:pPr>
      <w:rPr>
        <w:rFonts w:ascii="Marlett" w:hAnsi="Marlett" w:hint="default"/>
      </w:rPr>
    </w:lvl>
    <w:lvl w:ilvl="2" w:tplc="91365184" w:tentative="1">
      <w:start w:val="1"/>
      <w:numFmt w:val="bullet"/>
      <w:lvlText w:val=""/>
      <w:lvlJc w:val="left"/>
      <w:pPr>
        <w:tabs>
          <w:tab w:val="num" w:pos="2160"/>
        </w:tabs>
        <w:ind w:left="2160" w:hanging="360"/>
      </w:pPr>
      <w:rPr>
        <w:rFonts w:ascii="Marlett" w:hAnsi="Marlett" w:hint="default"/>
      </w:rPr>
    </w:lvl>
    <w:lvl w:ilvl="3" w:tplc="87ECEDE2" w:tentative="1">
      <w:start w:val="1"/>
      <w:numFmt w:val="bullet"/>
      <w:lvlText w:val=""/>
      <w:lvlJc w:val="left"/>
      <w:pPr>
        <w:tabs>
          <w:tab w:val="num" w:pos="2880"/>
        </w:tabs>
        <w:ind w:left="2880" w:hanging="360"/>
      </w:pPr>
      <w:rPr>
        <w:rFonts w:ascii="Marlett" w:hAnsi="Marlett" w:hint="default"/>
      </w:rPr>
    </w:lvl>
    <w:lvl w:ilvl="4" w:tplc="8F8A4306" w:tentative="1">
      <w:start w:val="1"/>
      <w:numFmt w:val="bullet"/>
      <w:lvlText w:val=""/>
      <w:lvlJc w:val="left"/>
      <w:pPr>
        <w:tabs>
          <w:tab w:val="num" w:pos="3600"/>
        </w:tabs>
        <w:ind w:left="3600" w:hanging="360"/>
      </w:pPr>
      <w:rPr>
        <w:rFonts w:ascii="Marlett" w:hAnsi="Marlett" w:hint="default"/>
      </w:rPr>
    </w:lvl>
    <w:lvl w:ilvl="5" w:tplc="B35C48CE" w:tentative="1">
      <w:start w:val="1"/>
      <w:numFmt w:val="bullet"/>
      <w:lvlText w:val=""/>
      <w:lvlJc w:val="left"/>
      <w:pPr>
        <w:tabs>
          <w:tab w:val="num" w:pos="4320"/>
        </w:tabs>
        <w:ind w:left="4320" w:hanging="360"/>
      </w:pPr>
      <w:rPr>
        <w:rFonts w:ascii="Marlett" w:hAnsi="Marlett" w:hint="default"/>
      </w:rPr>
    </w:lvl>
    <w:lvl w:ilvl="6" w:tplc="5A56F9EC" w:tentative="1">
      <w:start w:val="1"/>
      <w:numFmt w:val="bullet"/>
      <w:lvlText w:val=""/>
      <w:lvlJc w:val="left"/>
      <w:pPr>
        <w:tabs>
          <w:tab w:val="num" w:pos="5040"/>
        </w:tabs>
        <w:ind w:left="5040" w:hanging="360"/>
      </w:pPr>
      <w:rPr>
        <w:rFonts w:ascii="Marlett" w:hAnsi="Marlett" w:hint="default"/>
      </w:rPr>
    </w:lvl>
    <w:lvl w:ilvl="7" w:tplc="6A3CF252" w:tentative="1">
      <w:start w:val="1"/>
      <w:numFmt w:val="bullet"/>
      <w:lvlText w:val=""/>
      <w:lvlJc w:val="left"/>
      <w:pPr>
        <w:tabs>
          <w:tab w:val="num" w:pos="5760"/>
        </w:tabs>
        <w:ind w:left="5760" w:hanging="360"/>
      </w:pPr>
      <w:rPr>
        <w:rFonts w:ascii="Marlett" w:hAnsi="Marlett" w:hint="default"/>
      </w:rPr>
    </w:lvl>
    <w:lvl w:ilvl="8" w:tplc="E814EACA" w:tentative="1">
      <w:start w:val="1"/>
      <w:numFmt w:val="bullet"/>
      <w:lvlText w:val=""/>
      <w:lvlJc w:val="left"/>
      <w:pPr>
        <w:tabs>
          <w:tab w:val="num" w:pos="6480"/>
        </w:tabs>
        <w:ind w:left="6480" w:hanging="360"/>
      </w:pPr>
      <w:rPr>
        <w:rFonts w:ascii="Marlett" w:hAnsi="Marlett" w:hint="default"/>
      </w:rPr>
    </w:lvl>
  </w:abstractNum>
  <w:num w:numId="1">
    <w:abstractNumId w:val="6"/>
  </w:num>
  <w:num w:numId="2">
    <w:abstractNumId w:val="44"/>
  </w:num>
  <w:num w:numId="3">
    <w:abstractNumId w:val="10"/>
  </w:num>
  <w:num w:numId="4">
    <w:abstractNumId w:val="31"/>
  </w:num>
  <w:num w:numId="5">
    <w:abstractNumId w:val="43"/>
  </w:num>
  <w:num w:numId="6">
    <w:abstractNumId w:val="7"/>
  </w:num>
  <w:num w:numId="7">
    <w:abstractNumId w:val="0"/>
  </w:num>
  <w:num w:numId="8">
    <w:abstractNumId w:val="37"/>
  </w:num>
  <w:num w:numId="9">
    <w:abstractNumId w:val="25"/>
  </w:num>
  <w:num w:numId="10">
    <w:abstractNumId w:val="45"/>
  </w:num>
  <w:num w:numId="11">
    <w:abstractNumId w:val="5"/>
  </w:num>
  <w:num w:numId="12">
    <w:abstractNumId w:val="15"/>
  </w:num>
  <w:num w:numId="13">
    <w:abstractNumId w:val="20"/>
  </w:num>
  <w:num w:numId="14">
    <w:abstractNumId w:val="19"/>
  </w:num>
  <w:num w:numId="15">
    <w:abstractNumId w:val="41"/>
  </w:num>
  <w:num w:numId="16">
    <w:abstractNumId w:val="3"/>
  </w:num>
  <w:num w:numId="17">
    <w:abstractNumId w:val="4"/>
  </w:num>
  <w:num w:numId="18">
    <w:abstractNumId w:val="23"/>
  </w:num>
  <w:num w:numId="19">
    <w:abstractNumId w:val="27"/>
  </w:num>
  <w:num w:numId="20">
    <w:abstractNumId w:val="24"/>
  </w:num>
  <w:num w:numId="21">
    <w:abstractNumId w:val="12"/>
  </w:num>
  <w:num w:numId="22">
    <w:abstractNumId w:val="32"/>
  </w:num>
  <w:num w:numId="23">
    <w:abstractNumId w:val="42"/>
  </w:num>
  <w:num w:numId="24">
    <w:abstractNumId w:val="16"/>
  </w:num>
  <w:num w:numId="25">
    <w:abstractNumId w:val="14"/>
  </w:num>
  <w:num w:numId="26">
    <w:abstractNumId w:val="33"/>
  </w:num>
  <w:num w:numId="27">
    <w:abstractNumId w:val="40"/>
  </w:num>
  <w:num w:numId="28">
    <w:abstractNumId w:val="36"/>
  </w:num>
  <w:num w:numId="29">
    <w:abstractNumId w:val="2"/>
  </w:num>
  <w:num w:numId="30">
    <w:abstractNumId w:val="9"/>
  </w:num>
  <w:num w:numId="31">
    <w:abstractNumId w:val="21"/>
  </w:num>
  <w:num w:numId="32">
    <w:abstractNumId w:val="18"/>
  </w:num>
  <w:num w:numId="33">
    <w:abstractNumId w:val="11"/>
  </w:num>
  <w:num w:numId="34">
    <w:abstractNumId w:val="34"/>
  </w:num>
  <w:num w:numId="35">
    <w:abstractNumId w:val="39"/>
  </w:num>
  <w:num w:numId="36">
    <w:abstractNumId w:val="8"/>
  </w:num>
  <w:num w:numId="37">
    <w:abstractNumId w:val="38"/>
  </w:num>
  <w:num w:numId="38">
    <w:abstractNumId w:val="28"/>
  </w:num>
  <w:num w:numId="39">
    <w:abstractNumId w:val="1"/>
  </w:num>
  <w:num w:numId="40">
    <w:abstractNumId w:val="17"/>
  </w:num>
  <w:num w:numId="41">
    <w:abstractNumId w:val="29"/>
  </w:num>
  <w:num w:numId="42">
    <w:abstractNumId w:val="30"/>
  </w:num>
  <w:num w:numId="43">
    <w:abstractNumId w:val="22"/>
  </w:num>
  <w:num w:numId="44">
    <w:abstractNumId w:val="13"/>
  </w:num>
  <w:num w:numId="45">
    <w:abstractNumId w:val="35"/>
  </w:num>
  <w:num w:numId="46">
    <w:abstractNumId w:val="2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1"/>
  <w:activeWritingStyle w:appName="MSWord" w:lang="en-US" w:vendorID="64" w:dllVersion="131078" w:nlCheck="1" w:checkStyle="1"/>
  <w:activeWritingStyle w:appName="MSWord" w:lang="fr-MA" w:vendorID="64" w:dllVersion="131078" w:nlCheck="1" w:checkStyle="1"/>
  <w:defaultTabStop w:val="708"/>
  <w:hyphenationZone w:val="425"/>
  <w:drawingGridHorizontalSpacing w:val="110"/>
  <w:displayHorizontalDrawingGridEvery w:val="2"/>
  <w:characterSpacingControl w:val="doNotCompress"/>
  <w:hdrShapeDefaults>
    <o:shapedefaults v:ext="edit" spidmax="267266"/>
  </w:hdrShapeDefaults>
  <w:footnotePr>
    <w:footnote w:id="0"/>
    <w:footnote w:id="1"/>
  </w:footnotePr>
  <w:endnotePr>
    <w:endnote w:id="0"/>
    <w:endnote w:id="1"/>
  </w:endnotePr>
  <w:compat/>
  <w:rsids>
    <w:rsidRoot w:val="00A976B6"/>
    <w:rsid w:val="00000178"/>
    <w:rsid w:val="00002361"/>
    <w:rsid w:val="00005159"/>
    <w:rsid w:val="00005466"/>
    <w:rsid w:val="00007386"/>
    <w:rsid w:val="000105FF"/>
    <w:rsid w:val="000145D6"/>
    <w:rsid w:val="00017FA6"/>
    <w:rsid w:val="0002091A"/>
    <w:rsid w:val="000247A5"/>
    <w:rsid w:val="000310F5"/>
    <w:rsid w:val="00035FE6"/>
    <w:rsid w:val="000451C9"/>
    <w:rsid w:val="00047638"/>
    <w:rsid w:val="0005094B"/>
    <w:rsid w:val="00051067"/>
    <w:rsid w:val="00051130"/>
    <w:rsid w:val="000536BF"/>
    <w:rsid w:val="00054868"/>
    <w:rsid w:val="00057E0F"/>
    <w:rsid w:val="00060240"/>
    <w:rsid w:val="00061A6A"/>
    <w:rsid w:val="00061A6B"/>
    <w:rsid w:val="00065EE7"/>
    <w:rsid w:val="000665DB"/>
    <w:rsid w:val="00066B5A"/>
    <w:rsid w:val="000673ED"/>
    <w:rsid w:val="0007624A"/>
    <w:rsid w:val="00083CBA"/>
    <w:rsid w:val="00086B20"/>
    <w:rsid w:val="000937FE"/>
    <w:rsid w:val="000977A7"/>
    <w:rsid w:val="000A1F70"/>
    <w:rsid w:val="000A4CFE"/>
    <w:rsid w:val="000A6B5F"/>
    <w:rsid w:val="000A76AE"/>
    <w:rsid w:val="000C7807"/>
    <w:rsid w:val="000C7C67"/>
    <w:rsid w:val="000E1F3F"/>
    <w:rsid w:val="000E1F79"/>
    <w:rsid w:val="000E36AD"/>
    <w:rsid w:val="000E3DA5"/>
    <w:rsid w:val="000F16C3"/>
    <w:rsid w:val="000F2E4F"/>
    <w:rsid w:val="000F66F0"/>
    <w:rsid w:val="001022E9"/>
    <w:rsid w:val="00105F6E"/>
    <w:rsid w:val="00111371"/>
    <w:rsid w:val="001133B9"/>
    <w:rsid w:val="00120BDC"/>
    <w:rsid w:val="00123405"/>
    <w:rsid w:val="00123A41"/>
    <w:rsid w:val="001241B7"/>
    <w:rsid w:val="001301A8"/>
    <w:rsid w:val="00132051"/>
    <w:rsid w:val="00132F7B"/>
    <w:rsid w:val="00133C02"/>
    <w:rsid w:val="00145925"/>
    <w:rsid w:val="00145995"/>
    <w:rsid w:val="0015021F"/>
    <w:rsid w:val="00152181"/>
    <w:rsid w:val="001531F8"/>
    <w:rsid w:val="00156489"/>
    <w:rsid w:val="00156FC8"/>
    <w:rsid w:val="00157295"/>
    <w:rsid w:val="00164C1F"/>
    <w:rsid w:val="00164EE6"/>
    <w:rsid w:val="00166FC7"/>
    <w:rsid w:val="00170E99"/>
    <w:rsid w:val="001763A7"/>
    <w:rsid w:val="00176713"/>
    <w:rsid w:val="0018105E"/>
    <w:rsid w:val="0018193B"/>
    <w:rsid w:val="00181E8D"/>
    <w:rsid w:val="001832D5"/>
    <w:rsid w:val="00183627"/>
    <w:rsid w:val="001848E9"/>
    <w:rsid w:val="00184920"/>
    <w:rsid w:val="0018502C"/>
    <w:rsid w:val="00187FB8"/>
    <w:rsid w:val="001959A7"/>
    <w:rsid w:val="00196B9E"/>
    <w:rsid w:val="001A0684"/>
    <w:rsid w:val="001A1C29"/>
    <w:rsid w:val="001A2CBC"/>
    <w:rsid w:val="001A6445"/>
    <w:rsid w:val="001A6800"/>
    <w:rsid w:val="001B06AF"/>
    <w:rsid w:val="001B51D3"/>
    <w:rsid w:val="001B6B38"/>
    <w:rsid w:val="001B70C7"/>
    <w:rsid w:val="001B7DCD"/>
    <w:rsid w:val="001D187B"/>
    <w:rsid w:val="001D5CD4"/>
    <w:rsid w:val="001D6339"/>
    <w:rsid w:val="001D68BF"/>
    <w:rsid w:val="001E3F22"/>
    <w:rsid w:val="001E5503"/>
    <w:rsid w:val="001E7FDE"/>
    <w:rsid w:val="001F1549"/>
    <w:rsid w:val="001F2DA4"/>
    <w:rsid w:val="001F4C9E"/>
    <w:rsid w:val="001F4DDA"/>
    <w:rsid w:val="002007CB"/>
    <w:rsid w:val="00200E66"/>
    <w:rsid w:val="00210E4B"/>
    <w:rsid w:val="0021250C"/>
    <w:rsid w:val="0021273B"/>
    <w:rsid w:val="00220C72"/>
    <w:rsid w:val="002251E1"/>
    <w:rsid w:val="00230D28"/>
    <w:rsid w:val="0024792B"/>
    <w:rsid w:val="002517EE"/>
    <w:rsid w:val="002519A6"/>
    <w:rsid w:val="00252B2A"/>
    <w:rsid w:val="00253EF6"/>
    <w:rsid w:val="00255B85"/>
    <w:rsid w:val="002567F0"/>
    <w:rsid w:val="00257737"/>
    <w:rsid w:val="00270227"/>
    <w:rsid w:val="00275B2F"/>
    <w:rsid w:val="0028731E"/>
    <w:rsid w:val="002945E8"/>
    <w:rsid w:val="002966E3"/>
    <w:rsid w:val="002B024D"/>
    <w:rsid w:val="002B0CD0"/>
    <w:rsid w:val="002B6F2A"/>
    <w:rsid w:val="002C00BB"/>
    <w:rsid w:val="002C0F59"/>
    <w:rsid w:val="002C1558"/>
    <w:rsid w:val="002C2ACF"/>
    <w:rsid w:val="002C3C7C"/>
    <w:rsid w:val="002D3D25"/>
    <w:rsid w:val="002D58AC"/>
    <w:rsid w:val="002E37CC"/>
    <w:rsid w:val="002E6062"/>
    <w:rsid w:val="002F1959"/>
    <w:rsid w:val="002F1A8B"/>
    <w:rsid w:val="002F61D4"/>
    <w:rsid w:val="00302B06"/>
    <w:rsid w:val="003042FE"/>
    <w:rsid w:val="00304496"/>
    <w:rsid w:val="00306250"/>
    <w:rsid w:val="00313558"/>
    <w:rsid w:val="003146FA"/>
    <w:rsid w:val="0031503A"/>
    <w:rsid w:val="00315D32"/>
    <w:rsid w:val="00316A31"/>
    <w:rsid w:val="003256C9"/>
    <w:rsid w:val="00331369"/>
    <w:rsid w:val="00331969"/>
    <w:rsid w:val="00333B2A"/>
    <w:rsid w:val="00334A33"/>
    <w:rsid w:val="00334B3A"/>
    <w:rsid w:val="00340701"/>
    <w:rsid w:val="0034283F"/>
    <w:rsid w:val="00342BBE"/>
    <w:rsid w:val="003456E8"/>
    <w:rsid w:val="00357FF8"/>
    <w:rsid w:val="00363237"/>
    <w:rsid w:val="00364F79"/>
    <w:rsid w:val="00365271"/>
    <w:rsid w:val="0036690E"/>
    <w:rsid w:val="0037461F"/>
    <w:rsid w:val="00380377"/>
    <w:rsid w:val="003834F1"/>
    <w:rsid w:val="00383E31"/>
    <w:rsid w:val="00385AC3"/>
    <w:rsid w:val="0039136B"/>
    <w:rsid w:val="0039510C"/>
    <w:rsid w:val="003A0305"/>
    <w:rsid w:val="003A073F"/>
    <w:rsid w:val="003A1EC8"/>
    <w:rsid w:val="003A533C"/>
    <w:rsid w:val="003A5708"/>
    <w:rsid w:val="003A5AA4"/>
    <w:rsid w:val="003A778E"/>
    <w:rsid w:val="003B26D7"/>
    <w:rsid w:val="003B69EC"/>
    <w:rsid w:val="003C05C9"/>
    <w:rsid w:val="003C424B"/>
    <w:rsid w:val="003C5404"/>
    <w:rsid w:val="003C6FAB"/>
    <w:rsid w:val="003C7E79"/>
    <w:rsid w:val="003D21FB"/>
    <w:rsid w:val="003D61A2"/>
    <w:rsid w:val="003D66B4"/>
    <w:rsid w:val="003E24FF"/>
    <w:rsid w:val="003F2793"/>
    <w:rsid w:val="003F3EF2"/>
    <w:rsid w:val="003F5F7D"/>
    <w:rsid w:val="003F7D9C"/>
    <w:rsid w:val="0040187C"/>
    <w:rsid w:val="00401D11"/>
    <w:rsid w:val="00405E66"/>
    <w:rsid w:val="004119FD"/>
    <w:rsid w:val="00412C5F"/>
    <w:rsid w:val="00412CB7"/>
    <w:rsid w:val="00414E1F"/>
    <w:rsid w:val="004201B8"/>
    <w:rsid w:val="0042286B"/>
    <w:rsid w:val="00422A54"/>
    <w:rsid w:val="00425F0E"/>
    <w:rsid w:val="00426C43"/>
    <w:rsid w:val="004328F8"/>
    <w:rsid w:val="004349E2"/>
    <w:rsid w:val="00444E17"/>
    <w:rsid w:val="004507EB"/>
    <w:rsid w:val="004545AB"/>
    <w:rsid w:val="00455F18"/>
    <w:rsid w:val="00456B00"/>
    <w:rsid w:val="00462F63"/>
    <w:rsid w:val="00466917"/>
    <w:rsid w:val="00471C13"/>
    <w:rsid w:val="00473DF5"/>
    <w:rsid w:val="004747C1"/>
    <w:rsid w:val="004766B3"/>
    <w:rsid w:val="00477549"/>
    <w:rsid w:val="00477D9E"/>
    <w:rsid w:val="00480BB6"/>
    <w:rsid w:val="00483003"/>
    <w:rsid w:val="004841B9"/>
    <w:rsid w:val="00486BC8"/>
    <w:rsid w:val="00490BAB"/>
    <w:rsid w:val="00490E4F"/>
    <w:rsid w:val="004927E7"/>
    <w:rsid w:val="004A49D7"/>
    <w:rsid w:val="004A53FE"/>
    <w:rsid w:val="004A7CCA"/>
    <w:rsid w:val="004B1065"/>
    <w:rsid w:val="004B1AD1"/>
    <w:rsid w:val="004B71F7"/>
    <w:rsid w:val="004C6096"/>
    <w:rsid w:val="004D1B47"/>
    <w:rsid w:val="004D1E59"/>
    <w:rsid w:val="004D244E"/>
    <w:rsid w:val="004D31AF"/>
    <w:rsid w:val="004D55CD"/>
    <w:rsid w:val="004D65AF"/>
    <w:rsid w:val="004D7A6B"/>
    <w:rsid w:val="004E5AE2"/>
    <w:rsid w:val="004F2410"/>
    <w:rsid w:val="004F39E8"/>
    <w:rsid w:val="004F7C81"/>
    <w:rsid w:val="00510322"/>
    <w:rsid w:val="00511678"/>
    <w:rsid w:val="005117CA"/>
    <w:rsid w:val="005131BA"/>
    <w:rsid w:val="0051438A"/>
    <w:rsid w:val="0051719B"/>
    <w:rsid w:val="005209B4"/>
    <w:rsid w:val="00522B41"/>
    <w:rsid w:val="00523CEA"/>
    <w:rsid w:val="005266EA"/>
    <w:rsid w:val="0052758D"/>
    <w:rsid w:val="00527B38"/>
    <w:rsid w:val="00530B4A"/>
    <w:rsid w:val="005317F6"/>
    <w:rsid w:val="005405A4"/>
    <w:rsid w:val="0054185E"/>
    <w:rsid w:val="00542398"/>
    <w:rsid w:val="00543B0F"/>
    <w:rsid w:val="0054446B"/>
    <w:rsid w:val="00545AB8"/>
    <w:rsid w:val="00552826"/>
    <w:rsid w:val="0055527A"/>
    <w:rsid w:val="00556109"/>
    <w:rsid w:val="0056229E"/>
    <w:rsid w:val="005664EF"/>
    <w:rsid w:val="005677DF"/>
    <w:rsid w:val="00567B9C"/>
    <w:rsid w:val="00572D21"/>
    <w:rsid w:val="00575A91"/>
    <w:rsid w:val="005803EF"/>
    <w:rsid w:val="005824DB"/>
    <w:rsid w:val="005863A5"/>
    <w:rsid w:val="00586B08"/>
    <w:rsid w:val="00590216"/>
    <w:rsid w:val="00596625"/>
    <w:rsid w:val="005A2857"/>
    <w:rsid w:val="005A6C4D"/>
    <w:rsid w:val="005B044B"/>
    <w:rsid w:val="005B19E9"/>
    <w:rsid w:val="005B3ABC"/>
    <w:rsid w:val="005B3CB9"/>
    <w:rsid w:val="005B507B"/>
    <w:rsid w:val="005B5C23"/>
    <w:rsid w:val="005B73EA"/>
    <w:rsid w:val="005C2C54"/>
    <w:rsid w:val="005C33ED"/>
    <w:rsid w:val="005C67A0"/>
    <w:rsid w:val="005D2FD6"/>
    <w:rsid w:val="005D5073"/>
    <w:rsid w:val="005E1D2E"/>
    <w:rsid w:val="005E2393"/>
    <w:rsid w:val="005E4720"/>
    <w:rsid w:val="005F24BA"/>
    <w:rsid w:val="005F4314"/>
    <w:rsid w:val="005F4D1E"/>
    <w:rsid w:val="005F6AF9"/>
    <w:rsid w:val="00601279"/>
    <w:rsid w:val="0060561D"/>
    <w:rsid w:val="00610776"/>
    <w:rsid w:val="00612B9A"/>
    <w:rsid w:val="00613CDE"/>
    <w:rsid w:val="0062383C"/>
    <w:rsid w:val="0062641C"/>
    <w:rsid w:val="00626DB8"/>
    <w:rsid w:val="00626E20"/>
    <w:rsid w:val="00627DAA"/>
    <w:rsid w:val="00631841"/>
    <w:rsid w:val="00635FC5"/>
    <w:rsid w:val="00641564"/>
    <w:rsid w:val="006536C2"/>
    <w:rsid w:val="006544F9"/>
    <w:rsid w:val="00654B5D"/>
    <w:rsid w:val="0065655F"/>
    <w:rsid w:val="00662B97"/>
    <w:rsid w:val="0066312D"/>
    <w:rsid w:val="00663FA2"/>
    <w:rsid w:val="0066598F"/>
    <w:rsid w:val="00667392"/>
    <w:rsid w:val="006749E7"/>
    <w:rsid w:val="00681AB0"/>
    <w:rsid w:val="0068776B"/>
    <w:rsid w:val="00695CE7"/>
    <w:rsid w:val="00695E72"/>
    <w:rsid w:val="0069696C"/>
    <w:rsid w:val="00696F35"/>
    <w:rsid w:val="006A0596"/>
    <w:rsid w:val="006A180B"/>
    <w:rsid w:val="006A1838"/>
    <w:rsid w:val="006A3751"/>
    <w:rsid w:val="006A3E0C"/>
    <w:rsid w:val="006A40CB"/>
    <w:rsid w:val="006A6D2B"/>
    <w:rsid w:val="006A6E55"/>
    <w:rsid w:val="006B1064"/>
    <w:rsid w:val="006B2FBA"/>
    <w:rsid w:val="006B511C"/>
    <w:rsid w:val="006C0B65"/>
    <w:rsid w:val="006C41F1"/>
    <w:rsid w:val="006C5E58"/>
    <w:rsid w:val="006C68C8"/>
    <w:rsid w:val="006D408A"/>
    <w:rsid w:val="006D44FA"/>
    <w:rsid w:val="006D53FD"/>
    <w:rsid w:val="006E1AC8"/>
    <w:rsid w:val="006E2789"/>
    <w:rsid w:val="006E3866"/>
    <w:rsid w:val="006E71A6"/>
    <w:rsid w:val="006E78B7"/>
    <w:rsid w:val="006F17CD"/>
    <w:rsid w:val="006F1A2C"/>
    <w:rsid w:val="006F4290"/>
    <w:rsid w:val="006F61F8"/>
    <w:rsid w:val="00703C69"/>
    <w:rsid w:val="00704EDD"/>
    <w:rsid w:val="0071069E"/>
    <w:rsid w:val="00713A3A"/>
    <w:rsid w:val="007156BC"/>
    <w:rsid w:val="0072135F"/>
    <w:rsid w:val="007235ED"/>
    <w:rsid w:val="00723A2E"/>
    <w:rsid w:val="0072565D"/>
    <w:rsid w:val="00725E87"/>
    <w:rsid w:val="00727CBF"/>
    <w:rsid w:val="00730661"/>
    <w:rsid w:val="007310F4"/>
    <w:rsid w:val="00731117"/>
    <w:rsid w:val="0073372C"/>
    <w:rsid w:val="00744204"/>
    <w:rsid w:val="007448B5"/>
    <w:rsid w:val="00753183"/>
    <w:rsid w:val="00754997"/>
    <w:rsid w:val="00754C35"/>
    <w:rsid w:val="0075655F"/>
    <w:rsid w:val="00756AA5"/>
    <w:rsid w:val="007577EB"/>
    <w:rsid w:val="00761596"/>
    <w:rsid w:val="0076411A"/>
    <w:rsid w:val="00764ECF"/>
    <w:rsid w:val="00767BA0"/>
    <w:rsid w:val="00770F15"/>
    <w:rsid w:val="007748EF"/>
    <w:rsid w:val="007762C4"/>
    <w:rsid w:val="00777338"/>
    <w:rsid w:val="00777D90"/>
    <w:rsid w:val="0078031A"/>
    <w:rsid w:val="00780A7D"/>
    <w:rsid w:val="00781029"/>
    <w:rsid w:val="007914BB"/>
    <w:rsid w:val="00792CEF"/>
    <w:rsid w:val="00793797"/>
    <w:rsid w:val="00794CED"/>
    <w:rsid w:val="00794E72"/>
    <w:rsid w:val="007B1645"/>
    <w:rsid w:val="007B181C"/>
    <w:rsid w:val="007B2C2A"/>
    <w:rsid w:val="007B49E0"/>
    <w:rsid w:val="007B4F5E"/>
    <w:rsid w:val="007B7828"/>
    <w:rsid w:val="007C0158"/>
    <w:rsid w:val="007C0BAE"/>
    <w:rsid w:val="007C2DE3"/>
    <w:rsid w:val="007C44A4"/>
    <w:rsid w:val="007C5E15"/>
    <w:rsid w:val="007D1684"/>
    <w:rsid w:val="007D21C9"/>
    <w:rsid w:val="007D43FD"/>
    <w:rsid w:val="007D4DCA"/>
    <w:rsid w:val="007D6D8B"/>
    <w:rsid w:val="007E04CF"/>
    <w:rsid w:val="007E1D21"/>
    <w:rsid w:val="007E2973"/>
    <w:rsid w:val="007E29B6"/>
    <w:rsid w:val="007E3684"/>
    <w:rsid w:val="007E7EF9"/>
    <w:rsid w:val="007F01F3"/>
    <w:rsid w:val="007F58C6"/>
    <w:rsid w:val="00800B7B"/>
    <w:rsid w:val="00801A7A"/>
    <w:rsid w:val="008109F5"/>
    <w:rsid w:val="00813316"/>
    <w:rsid w:val="0081657F"/>
    <w:rsid w:val="00816B0B"/>
    <w:rsid w:val="0082206A"/>
    <w:rsid w:val="00823463"/>
    <w:rsid w:val="00826056"/>
    <w:rsid w:val="00827EF6"/>
    <w:rsid w:val="00832702"/>
    <w:rsid w:val="0083379B"/>
    <w:rsid w:val="008445F3"/>
    <w:rsid w:val="00850485"/>
    <w:rsid w:val="00851A82"/>
    <w:rsid w:val="00853AE6"/>
    <w:rsid w:val="0085673B"/>
    <w:rsid w:val="008578CB"/>
    <w:rsid w:val="00861415"/>
    <w:rsid w:val="00861B6B"/>
    <w:rsid w:val="0086253C"/>
    <w:rsid w:val="00862AC8"/>
    <w:rsid w:val="00864523"/>
    <w:rsid w:val="00864A16"/>
    <w:rsid w:val="00866276"/>
    <w:rsid w:val="00867AE9"/>
    <w:rsid w:val="00875351"/>
    <w:rsid w:val="00875B17"/>
    <w:rsid w:val="0088341C"/>
    <w:rsid w:val="008862EF"/>
    <w:rsid w:val="0088739E"/>
    <w:rsid w:val="008A01ED"/>
    <w:rsid w:val="008A219D"/>
    <w:rsid w:val="008A51D4"/>
    <w:rsid w:val="008A5292"/>
    <w:rsid w:val="008A77DA"/>
    <w:rsid w:val="008B1B4C"/>
    <w:rsid w:val="008B52D0"/>
    <w:rsid w:val="008B74DA"/>
    <w:rsid w:val="008C4EB6"/>
    <w:rsid w:val="008C7719"/>
    <w:rsid w:val="008D1547"/>
    <w:rsid w:val="008D20A3"/>
    <w:rsid w:val="008D25B9"/>
    <w:rsid w:val="008D45BD"/>
    <w:rsid w:val="008E39B0"/>
    <w:rsid w:val="008E4BB9"/>
    <w:rsid w:val="008E7393"/>
    <w:rsid w:val="008F5D5B"/>
    <w:rsid w:val="00905A5F"/>
    <w:rsid w:val="00905A63"/>
    <w:rsid w:val="00905C64"/>
    <w:rsid w:val="0091059D"/>
    <w:rsid w:val="00916C5F"/>
    <w:rsid w:val="009231CD"/>
    <w:rsid w:val="00925A91"/>
    <w:rsid w:val="00925F8A"/>
    <w:rsid w:val="0093096C"/>
    <w:rsid w:val="0093306C"/>
    <w:rsid w:val="00942C73"/>
    <w:rsid w:val="00951E73"/>
    <w:rsid w:val="0095221C"/>
    <w:rsid w:val="00957500"/>
    <w:rsid w:val="009620B3"/>
    <w:rsid w:val="0096274A"/>
    <w:rsid w:val="009629CD"/>
    <w:rsid w:val="00964184"/>
    <w:rsid w:val="0097310B"/>
    <w:rsid w:val="0097330D"/>
    <w:rsid w:val="00974B0E"/>
    <w:rsid w:val="009755AE"/>
    <w:rsid w:val="00985540"/>
    <w:rsid w:val="009860E6"/>
    <w:rsid w:val="009868EB"/>
    <w:rsid w:val="00992285"/>
    <w:rsid w:val="00993861"/>
    <w:rsid w:val="0099742C"/>
    <w:rsid w:val="009A2747"/>
    <w:rsid w:val="009A2F11"/>
    <w:rsid w:val="009A505A"/>
    <w:rsid w:val="009A54B6"/>
    <w:rsid w:val="009A58F8"/>
    <w:rsid w:val="009B04CF"/>
    <w:rsid w:val="009C0A81"/>
    <w:rsid w:val="009C15D0"/>
    <w:rsid w:val="009C25F6"/>
    <w:rsid w:val="009C2EF3"/>
    <w:rsid w:val="009C5270"/>
    <w:rsid w:val="009C5A88"/>
    <w:rsid w:val="009D0EE4"/>
    <w:rsid w:val="009D1A48"/>
    <w:rsid w:val="009D2F34"/>
    <w:rsid w:val="009D3BBC"/>
    <w:rsid w:val="009D56C4"/>
    <w:rsid w:val="009D6838"/>
    <w:rsid w:val="009D68BD"/>
    <w:rsid w:val="009D68D5"/>
    <w:rsid w:val="009D7830"/>
    <w:rsid w:val="009E0ECF"/>
    <w:rsid w:val="009E2412"/>
    <w:rsid w:val="009E6687"/>
    <w:rsid w:val="009F04B8"/>
    <w:rsid w:val="009F0C5F"/>
    <w:rsid w:val="009F2287"/>
    <w:rsid w:val="009F33D5"/>
    <w:rsid w:val="009F6A38"/>
    <w:rsid w:val="009F7A57"/>
    <w:rsid w:val="00A0555F"/>
    <w:rsid w:val="00A05B69"/>
    <w:rsid w:val="00A10391"/>
    <w:rsid w:val="00A12EEA"/>
    <w:rsid w:val="00A14C8D"/>
    <w:rsid w:val="00A15D45"/>
    <w:rsid w:val="00A230E8"/>
    <w:rsid w:val="00A24939"/>
    <w:rsid w:val="00A279D5"/>
    <w:rsid w:val="00A36821"/>
    <w:rsid w:val="00A37B89"/>
    <w:rsid w:val="00A37E89"/>
    <w:rsid w:val="00A41048"/>
    <w:rsid w:val="00A46239"/>
    <w:rsid w:val="00A47BF6"/>
    <w:rsid w:val="00A520A3"/>
    <w:rsid w:val="00A52866"/>
    <w:rsid w:val="00A5342F"/>
    <w:rsid w:val="00A56E40"/>
    <w:rsid w:val="00A574D2"/>
    <w:rsid w:val="00A60052"/>
    <w:rsid w:val="00A60CAF"/>
    <w:rsid w:val="00A62422"/>
    <w:rsid w:val="00A6546A"/>
    <w:rsid w:val="00A81AE7"/>
    <w:rsid w:val="00A85F3F"/>
    <w:rsid w:val="00A86F7B"/>
    <w:rsid w:val="00A905C6"/>
    <w:rsid w:val="00A90DFB"/>
    <w:rsid w:val="00A92F9E"/>
    <w:rsid w:val="00A9472A"/>
    <w:rsid w:val="00A976B6"/>
    <w:rsid w:val="00A97818"/>
    <w:rsid w:val="00AA0990"/>
    <w:rsid w:val="00AA0DE5"/>
    <w:rsid w:val="00AA33EC"/>
    <w:rsid w:val="00AA440E"/>
    <w:rsid w:val="00AA55BA"/>
    <w:rsid w:val="00AA5A3D"/>
    <w:rsid w:val="00AA777D"/>
    <w:rsid w:val="00AB0027"/>
    <w:rsid w:val="00AB1BE9"/>
    <w:rsid w:val="00AB23EE"/>
    <w:rsid w:val="00AB38D1"/>
    <w:rsid w:val="00AB553C"/>
    <w:rsid w:val="00AB5696"/>
    <w:rsid w:val="00AC0F53"/>
    <w:rsid w:val="00AD6362"/>
    <w:rsid w:val="00AE02FA"/>
    <w:rsid w:val="00AE10DA"/>
    <w:rsid w:val="00AE1AFA"/>
    <w:rsid w:val="00AE27AC"/>
    <w:rsid w:val="00AE30A8"/>
    <w:rsid w:val="00AE5389"/>
    <w:rsid w:val="00AF3072"/>
    <w:rsid w:val="00AF5C86"/>
    <w:rsid w:val="00AF6395"/>
    <w:rsid w:val="00AF6D2F"/>
    <w:rsid w:val="00AF739F"/>
    <w:rsid w:val="00B00A00"/>
    <w:rsid w:val="00B01C51"/>
    <w:rsid w:val="00B01FBA"/>
    <w:rsid w:val="00B035D3"/>
    <w:rsid w:val="00B03C01"/>
    <w:rsid w:val="00B03E8F"/>
    <w:rsid w:val="00B0574E"/>
    <w:rsid w:val="00B12328"/>
    <w:rsid w:val="00B12946"/>
    <w:rsid w:val="00B13B3F"/>
    <w:rsid w:val="00B20315"/>
    <w:rsid w:val="00B20F5C"/>
    <w:rsid w:val="00B21BDB"/>
    <w:rsid w:val="00B21D3B"/>
    <w:rsid w:val="00B30F0E"/>
    <w:rsid w:val="00B35401"/>
    <w:rsid w:val="00B35B37"/>
    <w:rsid w:val="00B40311"/>
    <w:rsid w:val="00B432FD"/>
    <w:rsid w:val="00B43C18"/>
    <w:rsid w:val="00B4635B"/>
    <w:rsid w:val="00B5106E"/>
    <w:rsid w:val="00B57256"/>
    <w:rsid w:val="00B610A1"/>
    <w:rsid w:val="00B6365A"/>
    <w:rsid w:val="00B63F14"/>
    <w:rsid w:val="00B714E3"/>
    <w:rsid w:val="00B71871"/>
    <w:rsid w:val="00B73CF7"/>
    <w:rsid w:val="00B75327"/>
    <w:rsid w:val="00B76CC0"/>
    <w:rsid w:val="00B77F31"/>
    <w:rsid w:val="00B83B60"/>
    <w:rsid w:val="00B84604"/>
    <w:rsid w:val="00B92318"/>
    <w:rsid w:val="00B9288C"/>
    <w:rsid w:val="00B933BF"/>
    <w:rsid w:val="00B9509A"/>
    <w:rsid w:val="00BA0527"/>
    <w:rsid w:val="00BA4A1B"/>
    <w:rsid w:val="00BA650D"/>
    <w:rsid w:val="00BA65B3"/>
    <w:rsid w:val="00BB3687"/>
    <w:rsid w:val="00BB4527"/>
    <w:rsid w:val="00BB5DB3"/>
    <w:rsid w:val="00BB71C1"/>
    <w:rsid w:val="00BC220A"/>
    <w:rsid w:val="00BC2DF5"/>
    <w:rsid w:val="00BC2F08"/>
    <w:rsid w:val="00BC3C48"/>
    <w:rsid w:val="00BC3E6C"/>
    <w:rsid w:val="00BC7C44"/>
    <w:rsid w:val="00BD279E"/>
    <w:rsid w:val="00BD574E"/>
    <w:rsid w:val="00BD5911"/>
    <w:rsid w:val="00BD6612"/>
    <w:rsid w:val="00BD73FD"/>
    <w:rsid w:val="00BE2444"/>
    <w:rsid w:val="00BE4E39"/>
    <w:rsid w:val="00BE5B1B"/>
    <w:rsid w:val="00BF12CD"/>
    <w:rsid w:val="00BF1CF4"/>
    <w:rsid w:val="00BF3B56"/>
    <w:rsid w:val="00BF48B4"/>
    <w:rsid w:val="00BF5636"/>
    <w:rsid w:val="00BF575C"/>
    <w:rsid w:val="00C07512"/>
    <w:rsid w:val="00C173BC"/>
    <w:rsid w:val="00C21E98"/>
    <w:rsid w:val="00C23A8E"/>
    <w:rsid w:val="00C2411B"/>
    <w:rsid w:val="00C25EE4"/>
    <w:rsid w:val="00C275AB"/>
    <w:rsid w:val="00C27FD7"/>
    <w:rsid w:val="00C31139"/>
    <w:rsid w:val="00C32398"/>
    <w:rsid w:val="00C32B41"/>
    <w:rsid w:val="00C34D70"/>
    <w:rsid w:val="00C372E4"/>
    <w:rsid w:val="00C37B5D"/>
    <w:rsid w:val="00C4189C"/>
    <w:rsid w:val="00C4542D"/>
    <w:rsid w:val="00C4568C"/>
    <w:rsid w:val="00C51F59"/>
    <w:rsid w:val="00C52263"/>
    <w:rsid w:val="00C52886"/>
    <w:rsid w:val="00C76BFB"/>
    <w:rsid w:val="00C815CD"/>
    <w:rsid w:val="00C81710"/>
    <w:rsid w:val="00C817AD"/>
    <w:rsid w:val="00C83E05"/>
    <w:rsid w:val="00C84305"/>
    <w:rsid w:val="00C84D24"/>
    <w:rsid w:val="00C9629F"/>
    <w:rsid w:val="00CA6B51"/>
    <w:rsid w:val="00CB275A"/>
    <w:rsid w:val="00CB3B7B"/>
    <w:rsid w:val="00CC3ECD"/>
    <w:rsid w:val="00CC4351"/>
    <w:rsid w:val="00CC4C41"/>
    <w:rsid w:val="00CC4EFD"/>
    <w:rsid w:val="00CD04F0"/>
    <w:rsid w:val="00CD488F"/>
    <w:rsid w:val="00CE1BC8"/>
    <w:rsid w:val="00CE722C"/>
    <w:rsid w:val="00CF0570"/>
    <w:rsid w:val="00CF0904"/>
    <w:rsid w:val="00CF3FEF"/>
    <w:rsid w:val="00CF570A"/>
    <w:rsid w:val="00CF75CB"/>
    <w:rsid w:val="00D02128"/>
    <w:rsid w:val="00D02F59"/>
    <w:rsid w:val="00D075F5"/>
    <w:rsid w:val="00D14C3B"/>
    <w:rsid w:val="00D172E5"/>
    <w:rsid w:val="00D23B05"/>
    <w:rsid w:val="00D24CD7"/>
    <w:rsid w:val="00D31780"/>
    <w:rsid w:val="00D33759"/>
    <w:rsid w:val="00D34483"/>
    <w:rsid w:val="00D3631D"/>
    <w:rsid w:val="00D4044E"/>
    <w:rsid w:val="00D44CAB"/>
    <w:rsid w:val="00D478B4"/>
    <w:rsid w:val="00D5577B"/>
    <w:rsid w:val="00D55F5A"/>
    <w:rsid w:val="00D562EA"/>
    <w:rsid w:val="00D616C5"/>
    <w:rsid w:val="00D637B7"/>
    <w:rsid w:val="00D665A6"/>
    <w:rsid w:val="00D66C98"/>
    <w:rsid w:val="00D6737D"/>
    <w:rsid w:val="00D81889"/>
    <w:rsid w:val="00D81F10"/>
    <w:rsid w:val="00D84C7A"/>
    <w:rsid w:val="00D91721"/>
    <w:rsid w:val="00D92095"/>
    <w:rsid w:val="00D9369D"/>
    <w:rsid w:val="00D95EBD"/>
    <w:rsid w:val="00D96790"/>
    <w:rsid w:val="00D97AE9"/>
    <w:rsid w:val="00D97E85"/>
    <w:rsid w:val="00DA0416"/>
    <w:rsid w:val="00DA14BE"/>
    <w:rsid w:val="00DB5004"/>
    <w:rsid w:val="00DC32F0"/>
    <w:rsid w:val="00DC674B"/>
    <w:rsid w:val="00DD194C"/>
    <w:rsid w:val="00DD3665"/>
    <w:rsid w:val="00DD418E"/>
    <w:rsid w:val="00DD5D35"/>
    <w:rsid w:val="00DE0E05"/>
    <w:rsid w:val="00DE4E35"/>
    <w:rsid w:val="00DE657D"/>
    <w:rsid w:val="00DE78CE"/>
    <w:rsid w:val="00DF46E3"/>
    <w:rsid w:val="00DF65E2"/>
    <w:rsid w:val="00DF6E09"/>
    <w:rsid w:val="00E01D12"/>
    <w:rsid w:val="00E024E0"/>
    <w:rsid w:val="00E029F3"/>
    <w:rsid w:val="00E10768"/>
    <w:rsid w:val="00E1172F"/>
    <w:rsid w:val="00E15ABD"/>
    <w:rsid w:val="00E16A41"/>
    <w:rsid w:val="00E17784"/>
    <w:rsid w:val="00E2154A"/>
    <w:rsid w:val="00E22F4D"/>
    <w:rsid w:val="00E25D71"/>
    <w:rsid w:val="00E26CAA"/>
    <w:rsid w:val="00E30AD8"/>
    <w:rsid w:val="00E32499"/>
    <w:rsid w:val="00E40488"/>
    <w:rsid w:val="00E4492A"/>
    <w:rsid w:val="00E44F68"/>
    <w:rsid w:val="00E527E3"/>
    <w:rsid w:val="00E550EA"/>
    <w:rsid w:val="00E55B51"/>
    <w:rsid w:val="00E66090"/>
    <w:rsid w:val="00E678BE"/>
    <w:rsid w:val="00E76069"/>
    <w:rsid w:val="00E8089E"/>
    <w:rsid w:val="00E81F27"/>
    <w:rsid w:val="00E82E8A"/>
    <w:rsid w:val="00E867C5"/>
    <w:rsid w:val="00E871A3"/>
    <w:rsid w:val="00E87DD0"/>
    <w:rsid w:val="00E91048"/>
    <w:rsid w:val="00E954D3"/>
    <w:rsid w:val="00E9562F"/>
    <w:rsid w:val="00E95877"/>
    <w:rsid w:val="00E975D0"/>
    <w:rsid w:val="00EA124A"/>
    <w:rsid w:val="00EA2340"/>
    <w:rsid w:val="00EA32BD"/>
    <w:rsid w:val="00EA5C34"/>
    <w:rsid w:val="00EA702A"/>
    <w:rsid w:val="00EB06FB"/>
    <w:rsid w:val="00EB07BD"/>
    <w:rsid w:val="00EB34D5"/>
    <w:rsid w:val="00EB40CB"/>
    <w:rsid w:val="00EB48A0"/>
    <w:rsid w:val="00EB69BD"/>
    <w:rsid w:val="00EC15A6"/>
    <w:rsid w:val="00EC4C19"/>
    <w:rsid w:val="00EC5DAC"/>
    <w:rsid w:val="00ED3500"/>
    <w:rsid w:val="00ED3F2F"/>
    <w:rsid w:val="00ED779D"/>
    <w:rsid w:val="00EE3275"/>
    <w:rsid w:val="00EE632C"/>
    <w:rsid w:val="00EF1296"/>
    <w:rsid w:val="00EF315C"/>
    <w:rsid w:val="00F079F4"/>
    <w:rsid w:val="00F14818"/>
    <w:rsid w:val="00F24C82"/>
    <w:rsid w:val="00F255F4"/>
    <w:rsid w:val="00F26E24"/>
    <w:rsid w:val="00F301B0"/>
    <w:rsid w:val="00F3295D"/>
    <w:rsid w:val="00F32B3F"/>
    <w:rsid w:val="00F432AB"/>
    <w:rsid w:val="00F4339C"/>
    <w:rsid w:val="00F467F1"/>
    <w:rsid w:val="00F468CD"/>
    <w:rsid w:val="00F46CAF"/>
    <w:rsid w:val="00F46FA6"/>
    <w:rsid w:val="00F47F9E"/>
    <w:rsid w:val="00F51D94"/>
    <w:rsid w:val="00F52154"/>
    <w:rsid w:val="00F52873"/>
    <w:rsid w:val="00F67555"/>
    <w:rsid w:val="00F67B0C"/>
    <w:rsid w:val="00F67E78"/>
    <w:rsid w:val="00F7045D"/>
    <w:rsid w:val="00F70A11"/>
    <w:rsid w:val="00F70C3D"/>
    <w:rsid w:val="00F71098"/>
    <w:rsid w:val="00F7495D"/>
    <w:rsid w:val="00F821A1"/>
    <w:rsid w:val="00F84A22"/>
    <w:rsid w:val="00F853F1"/>
    <w:rsid w:val="00F857C6"/>
    <w:rsid w:val="00F85862"/>
    <w:rsid w:val="00F91653"/>
    <w:rsid w:val="00F93525"/>
    <w:rsid w:val="00F93EA8"/>
    <w:rsid w:val="00F97AE7"/>
    <w:rsid w:val="00FA1553"/>
    <w:rsid w:val="00FA2772"/>
    <w:rsid w:val="00FA3A2C"/>
    <w:rsid w:val="00FA4900"/>
    <w:rsid w:val="00FA6CEF"/>
    <w:rsid w:val="00FB3E9B"/>
    <w:rsid w:val="00FB6DAC"/>
    <w:rsid w:val="00FC0AFA"/>
    <w:rsid w:val="00FC191A"/>
    <w:rsid w:val="00FC2599"/>
    <w:rsid w:val="00FC2FEF"/>
    <w:rsid w:val="00FC4512"/>
    <w:rsid w:val="00FC5811"/>
    <w:rsid w:val="00FC6563"/>
    <w:rsid w:val="00FD0F9A"/>
    <w:rsid w:val="00FD10A2"/>
    <w:rsid w:val="00FD512B"/>
    <w:rsid w:val="00FD620E"/>
    <w:rsid w:val="00FD6E70"/>
    <w:rsid w:val="00FE0D44"/>
    <w:rsid w:val="00FE1193"/>
    <w:rsid w:val="00FE291C"/>
    <w:rsid w:val="00FE3C0E"/>
    <w:rsid w:val="00FE6453"/>
    <w:rsid w:val="00FE6A9B"/>
    <w:rsid w:val="00FE6F0C"/>
    <w:rsid w:val="00FE7C18"/>
    <w:rsid w:val="00FE7F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D11"/>
  </w:style>
  <w:style w:type="paragraph" w:styleId="Titre1">
    <w:name w:val="heading 1"/>
    <w:basedOn w:val="Normal"/>
    <w:next w:val="Normal"/>
    <w:link w:val="Titre1Car"/>
    <w:uiPriority w:val="9"/>
    <w:qFormat/>
    <w:rsid w:val="008327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86B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86B0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586B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5D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DAC"/>
    <w:rPr>
      <w:rFonts w:ascii="Tahoma" w:hAnsi="Tahoma" w:cs="Tahoma"/>
      <w:sz w:val="16"/>
      <w:szCs w:val="16"/>
    </w:rPr>
  </w:style>
  <w:style w:type="paragraph" w:styleId="NormalWeb">
    <w:name w:val="Normal (Web)"/>
    <w:basedOn w:val="Normal"/>
    <w:uiPriority w:val="99"/>
    <w:semiHidden/>
    <w:unhideWhenUsed/>
    <w:rsid w:val="00490BA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51A82"/>
    <w:pPr>
      <w:ind w:left="720"/>
      <w:contextualSpacing/>
    </w:pPr>
  </w:style>
  <w:style w:type="table" w:styleId="Grilledutableau">
    <w:name w:val="Table Grid"/>
    <w:basedOn w:val="TableauNormal"/>
    <w:uiPriority w:val="59"/>
    <w:rsid w:val="0096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E2412"/>
    <w:pPr>
      <w:tabs>
        <w:tab w:val="center" w:pos="4536"/>
        <w:tab w:val="right" w:pos="9072"/>
      </w:tabs>
      <w:spacing w:after="0" w:line="240" w:lineRule="auto"/>
    </w:pPr>
  </w:style>
  <w:style w:type="character" w:customStyle="1" w:styleId="En-tteCar">
    <w:name w:val="En-tête Car"/>
    <w:basedOn w:val="Policepardfaut"/>
    <w:link w:val="En-tte"/>
    <w:uiPriority w:val="99"/>
    <w:rsid w:val="009E2412"/>
  </w:style>
  <w:style w:type="paragraph" w:styleId="Pieddepage">
    <w:name w:val="footer"/>
    <w:basedOn w:val="Normal"/>
    <w:link w:val="PieddepageCar"/>
    <w:uiPriority w:val="99"/>
    <w:unhideWhenUsed/>
    <w:rsid w:val="009E2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2412"/>
  </w:style>
  <w:style w:type="character" w:styleId="Lienhypertexte">
    <w:name w:val="Hyperlink"/>
    <w:basedOn w:val="Policepardfaut"/>
    <w:uiPriority w:val="99"/>
    <w:rsid w:val="00A05B69"/>
    <w:rPr>
      <w:color w:val="0000FF"/>
      <w:u w:val="single"/>
    </w:rPr>
  </w:style>
  <w:style w:type="character" w:customStyle="1" w:styleId="Titre1Car">
    <w:name w:val="Titre 1 Car"/>
    <w:basedOn w:val="Policepardfaut"/>
    <w:link w:val="Titre1"/>
    <w:uiPriority w:val="9"/>
    <w:rsid w:val="00832702"/>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32702"/>
    <w:pPr>
      <w:outlineLvl w:val="9"/>
    </w:pPr>
  </w:style>
  <w:style w:type="paragraph" w:styleId="TM1">
    <w:name w:val="toc 1"/>
    <w:basedOn w:val="Normal"/>
    <w:next w:val="Normal"/>
    <w:autoRedefine/>
    <w:uiPriority w:val="39"/>
    <w:unhideWhenUsed/>
    <w:rsid w:val="00832702"/>
    <w:pPr>
      <w:spacing w:after="100"/>
    </w:pPr>
  </w:style>
  <w:style w:type="paragraph" w:styleId="Lgende">
    <w:name w:val="caption"/>
    <w:basedOn w:val="Normal"/>
    <w:next w:val="Normal"/>
    <w:uiPriority w:val="35"/>
    <w:unhideWhenUsed/>
    <w:qFormat/>
    <w:rsid w:val="00832702"/>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832702"/>
    <w:pPr>
      <w:spacing w:after="0"/>
    </w:pPr>
  </w:style>
  <w:style w:type="character" w:customStyle="1" w:styleId="Titre2Car">
    <w:name w:val="Titre 2 Car"/>
    <w:basedOn w:val="Policepardfaut"/>
    <w:link w:val="Titre2"/>
    <w:uiPriority w:val="9"/>
    <w:semiHidden/>
    <w:rsid w:val="00586B0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86B08"/>
    <w:rPr>
      <w:rFonts w:asciiTheme="majorHAnsi" w:eastAsiaTheme="majorEastAsia" w:hAnsiTheme="majorHAnsi" w:cstheme="majorBidi"/>
      <w:b/>
      <w:bCs/>
      <w:color w:val="4F81BD" w:themeColor="accent1"/>
    </w:rPr>
  </w:style>
  <w:style w:type="paragraph" w:styleId="TM2">
    <w:name w:val="toc 2"/>
    <w:basedOn w:val="Normal"/>
    <w:next w:val="Normal"/>
    <w:autoRedefine/>
    <w:uiPriority w:val="39"/>
    <w:unhideWhenUsed/>
    <w:rsid w:val="00586B08"/>
    <w:pPr>
      <w:spacing w:after="100"/>
      <w:ind w:left="220"/>
    </w:pPr>
  </w:style>
  <w:style w:type="paragraph" w:styleId="TM3">
    <w:name w:val="toc 3"/>
    <w:basedOn w:val="Normal"/>
    <w:next w:val="Normal"/>
    <w:autoRedefine/>
    <w:uiPriority w:val="39"/>
    <w:unhideWhenUsed/>
    <w:rsid w:val="00586B08"/>
    <w:pPr>
      <w:spacing w:after="100"/>
      <w:ind w:left="440"/>
    </w:pPr>
  </w:style>
  <w:style w:type="character" w:customStyle="1" w:styleId="Titre4Car">
    <w:name w:val="Titre 4 Car"/>
    <w:basedOn w:val="Policepardfaut"/>
    <w:link w:val="Titre4"/>
    <w:uiPriority w:val="9"/>
    <w:semiHidden/>
    <w:rsid w:val="00586B08"/>
    <w:rPr>
      <w:rFonts w:asciiTheme="majorHAnsi" w:eastAsiaTheme="majorEastAsia" w:hAnsiTheme="majorHAnsi" w:cstheme="majorBidi"/>
      <w:b/>
      <w:bCs/>
      <w:i/>
      <w:iCs/>
      <w:color w:val="4F81BD" w:themeColor="accent1"/>
    </w:rPr>
  </w:style>
  <w:style w:type="paragraph" w:styleId="TM4">
    <w:name w:val="toc 4"/>
    <w:basedOn w:val="Normal"/>
    <w:next w:val="Normal"/>
    <w:autoRedefine/>
    <w:uiPriority w:val="39"/>
    <w:unhideWhenUsed/>
    <w:rsid w:val="003D21FB"/>
    <w:pPr>
      <w:spacing w:after="100"/>
      <w:ind w:left="660"/>
    </w:pPr>
  </w:style>
  <w:style w:type="paragraph" w:styleId="Sansinterligne">
    <w:name w:val="No Spacing"/>
    <w:link w:val="SansinterligneCar"/>
    <w:uiPriority w:val="1"/>
    <w:qFormat/>
    <w:rsid w:val="007B49E0"/>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B49E0"/>
    <w:rPr>
      <w:rFonts w:eastAsiaTheme="minorEastAsia"/>
    </w:rPr>
  </w:style>
</w:styles>
</file>

<file path=word/webSettings.xml><?xml version="1.0" encoding="utf-8"?>
<w:webSettings xmlns:r="http://schemas.openxmlformats.org/officeDocument/2006/relationships" xmlns:w="http://schemas.openxmlformats.org/wordprocessingml/2006/main">
  <w:divs>
    <w:div w:id="26029463">
      <w:bodyDiv w:val="1"/>
      <w:marLeft w:val="0"/>
      <w:marRight w:val="0"/>
      <w:marTop w:val="0"/>
      <w:marBottom w:val="0"/>
      <w:divBdr>
        <w:top w:val="none" w:sz="0" w:space="0" w:color="auto"/>
        <w:left w:val="none" w:sz="0" w:space="0" w:color="auto"/>
        <w:bottom w:val="none" w:sz="0" w:space="0" w:color="auto"/>
        <w:right w:val="none" w:sz="0" w:space="0" w:color="auto"/>
      </w:divBdr>
      <w:divsChild>
        <w:div w:id="839083687">
          <w:marLeft w:val="547"/>
          <w:marRight w:val="0"/>
          <w:marTop w:val="134"/>
          <w:marBottom w:val="0"/>
          <w:divBdr>
            <w:top w:val="none" w:sz="0" w:space="0" w:color="auto"/>
            <w:left w:val="none" w:sz="0" w:space="0" w:color="auto"/>
            <w:bottom w:val="none" w:sz="0" w:space="0" w:color="auto"/>
            <w:right w:val="none" w:sz="0" w:space="0" w:color="auto"/>
          </w:divBdr>
        </w:div>
        <w:div w:id="1210722717">
          <w:marLeft w:val="547"/>
          <w:marRight w:val="0"/>
          <w:marTop w:val="134"/>
          <w:marBottom w:val="0"/>
          <w:divBdr>
            <w:top w:val="none" w:sz="0" w:space="0" w:color="auto"/>
            <w:left w:val="none" w:sz="0" w:space="0" w:color="auto"/>
            <w:bottom w:val="none" w:sz="0" w:space="0" w:color="auto"/>
            <w:right w:val="none" w:sz="0" w:space="0" w:color="auto"/>
          </w:divBdr>
        </w:div>
        <w:div w:id="1447963939">
          <w:marLeft w:val="547"/>
          <w:marRight w:val="0"/>
          <w:marTop w:val="134"/>
          <w:marBottom w:val="0"/>
          <w:divBdr>
            <w:top w:val="none" w:sz="0" w:space="0" w:color="auto"/>
            <w:left w:val="none" w:sz="0" w:space="0" w:color="auto"/>
            <w:bottom w:val="none" w:sz="0" w:space="0" w:color="auto"/>
            <w:right w:val="none" w:sz="0" w:space="0" w:color="auto"/>
          </w:divBdr>
        </w:div>
        <w:div w:id="2004701582">
          <w:marLeft w:val="547"/>
          <w:marRight w:val="0"/>
          <w:marTop w:val="134"/>
          <w:marBottom w:val="0"/>
          <w:divBdr>
            <w:top w:val="none" w:sz="0" w:space="0" w:color="auto"/>
            <w:left w:val="none" w:sz="0" w:space="0" w:color="auto"/>
            <w:bottom w:val="none" w:sz="0" w:space="0" w:color="auto"/>
            <w:right w:val="none" w:sz="0" w:space="0" w:color="auto"/>
          </w:divBdr>
        </w:div>
      </w:divsChild>
    </w:div>
    <w:div w:id="33114974">
      <w:bodyDiv w:val="1"/>
      <w:marLeft w:val="0"/>
      <w:marRight w:val="0"/>
      <w:marTop w:val="0"/>
      <w:marBottom w:val="0"/>
      <w:divBdr>
        <w:top w:val="none" w:sz="0" w:space="0" w:color="auto"/>
        <w:left w:val="none" w:sz="0" w:space="0" w:color="auto"/>
        <w:bottom w:val="none" w:sz="0" w:space="0" w:color="auto"/>
        <w:right w:val="none" w:sz="0" w:space="0" w:color="auto"/>
      </w:divBdr>
      <w:divsChild>
        <w:div w:id="1963993911">
          <w:marLeft w:val="547"/>
          <w:marRight w:val="0"/>
          <w:marTop w:val="154"/>
          <w:marBottom w:val="0"/>
          <w:divBdr>
            <w:top w:val="none" w:sz="0" w:space="0" w:color="auto"/>
            <w:left w:val="none" w:sz="0" w:space="0" w:color="auto"/>
            <w:bottom w:val="none" w:sz="0" w:space="0" w:color="auto"/>
            <w:right w:val="none" w:sz="0" w:space="0" w:color="auto"/>
          </w:divBdr>
        </w:div>
      </w:divsChild>
    </w:div>
    <w:div w:id="37125654">
      <w:bodyDiv w:val="1"/>
      <w:marLeft w:val="0"/>
      <w:marRight w:val="0"/>
      <w:marTop w:val="0"/>
      <w:marBottom w:val="0"/>
      <w:divBdr>
        <w:top w:val="none" w:sz="0" w:space="0" w:color="auto"/>
        <w:left w:val="none" w:sz="0" w:space="0" w:color="auto"/>
        <w:bottom w:val="none" w:sz="0" w:space="0" w:color="auto"/>
        <w:right w:val="none" w:sz="0" w:space="0" w:color="auto"/>
      </w:divBdr>
    </w:div>
    <w:div w:id="44303051">
      <w:bodyDiv w:val="1"/>
      <w:marLeft w:val="0"/>
      <w:marRight w:val="0"/>
      <w:marTop w:val="0"/>
      <w:marBottom w:val="0"/>
      <w:divBdr>
        <w:top w:val="none" w:sz="0" w:space="0" w:color="auto"/>
        <w:left w:val="none" w:sz="0" w:space="0" w:color="auto"/>
        <w:bottom w:val="none" w:sz="0" w:space="0" w:color="auto"/>
        <w:right w:val="none" w:sz="0" w:space="0" w:color="auto"/>
      </w:divBdr>
    </w:div>
    <w:div w:id="73742884">
      <w:bodyDiv w:val="1"/>
      <w:marLeft w:val="0"/>
      <w:marRight w:val="0"/>
      <w:marTop w:val="0"/>
      <w:marBottom w:val="0"/>
      <w:divBdr>
        <w:top w:val="none" w:sz="0" w:space="0" w:color="auto"/>
        <w:left w:val="none" w:sz="0" w:space="0" w:color="auto"/>
        <w:bottom w:val="none" w:sz="0" w:space="0" w:color="auto"/>
        <w:right w:val="none" w:sz="0" w:space="0" w:color="auto"/>
      </w:divBdr>
    </w:div>
    <w:div w:id="94130930">
      <w:bodyDiv w:val="1"/>
      <w:marLeft w:val="0"/>
      <w:marRight w:val="0"/>
      <w:marTop w:val="0"/>
      <w:marBottom w:val="0"/>
      <w:divBdr>
        <w:top w:val="none" w:sz="0" w:space="0" w:color="auto"/>
        <w:left w:val="none" w:sz="0" w:space="0" w:color="auto"/>
        <w:bottom w:val="none" w:sz="0" w:space="0" w:color="auto"/>
        <w:right w:val="none" w:sz="0" w:space="0" w:color="auto"/>
      </w:divBdr>
    </w:div>
    <w:div w:id="103427057">
      <w:bodyDiv w:val="1"/>
      <w:marLeft w:val="0"/>
      <w:marRight w:val="0"/>
      <w:marTop w:val="0"/>
      <w:marBottom w:val="0"/>
      <w:divBdr>
        <w:top w:val="none" w:sz="0" w:space="0" w:color="auto"/>
        <w:left w:val="none" w:sz="0" w:space="0" w:color="auto"/>
        <w:bottom w:val="none" w:sz="0" w:space="0" w:color="auto"/>
        <w:right w:val="none" w:sz="0" w:space="0" w:color="auto"/>
      </w:divBdr>
    </w:div>
    <w:div w:id="106044462">
      <w:bodyDiv w:val="1"/>
      <w:marLeft w:val="0"/>
      <w:marRight w:val="0"/>
      <w:marTop w:val="0"/>
      <w:marBottom w:val="0"/>
      <w:divBdr>
        <w:top w:val="none" w:sz="0" w:space="0" w:color="auto"/>
        <w:left w:val="none" w:sz="0" w:space="0" w:color="auto"/>
        <w:bottom w:val="none" w:sz="0" w:space="0" w:color="auto"/>
        <w:right w:val="none" w:sz="0" w:space="0" w:color="auto"/>
      </w:divBdr>
      <w:divsChild>
        <w:div w:id="1949893556">
          <w:marLeft w:val="547"/>
          <w:marRight w:val="0"/>
          <w:marTop w:val="134"/>
          <w:marBottom w:val="0"/>
          <w:divBdr>
            <w:top w:val="none" w:sz="0" w:space="0" w:color="auto"/>
            <w:left w:val="none" w:sz="0" w:space="0" w:color="auto"/>
            <w:bottom w:val="none" w:sz="0" w:space="0" w:color="auto"/>
            <w:right w:val="none" w:sz="0" w:space="0" w:color="auto"/>
          </w:divBdr>
        </w:div>
      </w:divsChild>
    </w:div>
    <w:div w:id="118187059">
      <w:bodyDiv w:val="1"/>
      <w:marLeft w:val="0"/>
      <w:marRight w:val="0"/>
      <w:marTop w:val="0"/>
      <w:marBottom w:val="0"/>
      <w:divBdr>
        <w:top w:val="none" w:sz="0" w:space="0" w:color="auto"/>
        <w:left w:val="none" w:sz="0" w:space="0" w:color="auto"/>
        <w:bottom w:val="none" w:sz="0" w:space="0" w:color="auto"/>
        <w:right w:val="none" w:sz="0" w:space="0" w:color="auto"/>
      </w:divBdr>
      <w:divsChild>
        <w:div w:id="6446397">
          <w:marLeft w:val="547"/>
          <w:marRight w:val="0"/>
          <w:marTop w:val="134"/>
          <w:marBottom w:val="0"/>
          <w:divBdr>
            <w:top w:val="none" w:sz="0" w:space="0" w:color="auto"/>
            <w:left w:val="none" w:sz="0" w:space="0" w:color="auto"/>
            <w:bottom w:val="none" w:sz="0" w:space="0" w:color="auto"/>
            <w:right w:val="none" w:sz="0" w:space="0" w:color="auto"/>
          </w:divBdr>
        </w:div>
        <w:div w:id="856650515">
          <w:marLeft w:val="547"/>
          <w:marRight w:val="0"/>
          <w:marTop w:val="134"/>
          <w:marBottom w:val="0"/>
          <w:divBdr>
            <w:top w:val="none" w:sz="0" w:space="0" w:color="auto"/>
            <w:left w:val="none" w:sz="0" w:space="0" w:color="auto"/>
            <w:bottom w:val="none" w:sz="0" w:space="0" w:color="auto"/>
            <w:right w:val="none" w:sz="0" w:space="0" w:color="auto"/>
          </w:divBdr>
        </w:div>
        <w:div w:id="1126118347">
          <w:marLeft w:val="547"/>
          <w:marRight w:val="0"/>
          <w:marTop w:val="134"/>
          <w:marBottom w:val="0"/>
          <w:divBdr>
            <w:top w:val="none" w:sz="0" w:space="0" w:color="auto"/>
            <w:left w:val="none" w:sz="0" w:space="0" w:color="auto"/>
            <w:bottom w:val="none" w:sz="0" w:space="0" w:color="auto"/>
            <w:right w:val="none" w:sz="0" w:space="0" w:color="auto"/>
          </w:divBdr>
        </w:div>
        <w:div w:id="1765414286">
          <w:marLeft w:val="547"/>
          <w:marRight w:val="0"/>
          <w:marTop w:val="134"/>
          <w:marBottom w:val="0"/>
          <w:divBdr>
            <w:top w:val="none" w:sz="0" w:space="0" w:color="auto"/>
            <w:left w:val="none" w:sz="0" w:space="0" w:color="auto"/>
            <w:bottom w:val="none" w:sz="0" w:space="0" w:color="auto"/>
            <w:right w:val="none" w:sz="0" w:space="0" w:color="auto"/>
          </w:divBdr>
        </w:div>
        <w:div w:id="2048095752">
          <w:marLeft w:val="547"/>
          <w:marRight w:val="0"/>
          <w:marTop w:val="134"/>
          <w:marBottom w:val="0"/>
          <w:divBdr>
            <w:top w:val="none" w:sz="0" w:space="0" w:color="auto"/>
            <w:left w:val="none" w:sz="0" w:space="0" w:color="auto"/>
            <w:bottom w:val="none" w:sz="0" w:space="0" w:color="auto"/>
            <w:right w:val="none" w:sz="0" w:space="0" w:color="auto"/>
          </w:divBdr>
        </w:div>
        <w:div w:id="2098791254">
          <w:marLeft w:val="547"/>
          <w:marRight w:val="0"/>
          <w:marTop w:val="134"/>
          <w:marBottom w:val="0"/>
          <w:divBdr>
            <w:top w:val="none" w:sz="0" w:space="0" w:color="auto"/>
            <w:left w:val="none" w:sz="0" w:space="0" w:color="auto"/>
            <w:bottom w:val="none" w:sz="0" w:space="0" w:color="auto"/>
            <w:right w:val="none" w:sz="0" w:space="0" w:color="auto"/>
          </w:divBdr>
        </w:div>
      </w:divsChild>
    </w:div>
    <w:div w:id="129708080">
      <w:bodyDiv w:val="1"/>
      <w:marLeft w:val="0"/>
      <w:marRight w:val="0"/>
      <w:marTop w:val="0"/>
      <w:marBottom w:val="0"/>
      <w:divBdr>
        <w:top w:val="none" w:sz="0" w:space="0" w:color="auto"/>
        <w:left w:val="none" w:sz="0" w:space="0" w:color="auto"/>
        <w:bottom w:val="none" w:sz="0" w:space="0" w:color="auto"/>
        <w:right w:val="none" w:sz="0" w:space="0" w:color="auto"/>
      </w:divBdr>
    </w:div>
    <w:div w:id="130484021">
      <w:bodyDiv w:val="1"/>
      <w:marLeft w:val="0"/>
      <w:marRight w:val="0"/>
      <w:marTop w:val="0"/>
      <w:marBottom w:val="0"/>
      <w:divBdr>
        <w:top w:val="none" w:sz="0" w:space="0" w:color="auto"/>
        <w:left w:val="none" w:sz="0" w:space="0" w:color="auto"/>
        <w:bottom w:val="none" w:sz="0" w:space="0" w:color="auto"/>
        <w:right w:val="none" w:sz="0" w:space="0" w:color="auto"/>
      </w:divBdr>
    </w:div>
    <w:div w:id="144900222">
      <w:bodyDiv w:val="1"/>
      <w:marLeft w:val="0"/>
      <w:marRight w:val="0"/>
      <w:marTop w:val="0"/>
      <w:marBottom w:val="0"/>
      <w:divBdr>
        <w:top w:val="none" w:sz="0" w:space="0" w:color="auto"/>
        <w:left w:val="none" w:sz="0" w:space="0" w:color="auto"/>
        <w:bottom w:val="none" w:sz="0" w:space="0" w:color="auto"/>
        <w:right w:val="none" w:sz="0" w:space="0" w:color="auto"/>
      </w:divBdr>
      <w:divsChild>
        <w:div w:id="1239513866">
          <w:marLeft w:val="547"/>
          <w:marRight w:val="0"/>
          <w:marTop w:val="134"/>
          <w:marBottom w:val="0"/>
          <w:divBdr>
            <w:top w:val="none" w:sz="0" w:space="0" w:color="auto"/>
            <w:left w:val="none" w:sz="0" w:space="0" w:color="auto"/>
            <w:bottom w:val="none" w:sz="0" w:space="0" w:color="auto"/>
            <w:right w:val="none" w:sz="0" w:space="0" w:color="auto"/>
          </w:divBdr>
        </w:div>
        <w:div w:id="1529101566">
          <w:marLeft w:val="547"/>
          <w:marRight w:val="0"/>
          <w:marTop w:val="134"/>
          <w:marBottom w:val="0"/>
          <w:divBdr>
            <w:top w:val="none" w:sz="0" w:space="0" w:color="auto"/>
            <w:left w:val="none" w:sz="0" w:space="0" w:color="auto"/>
            <w:bottom w:val="none" w:sz="0" w:space="0" w:color="auto"/>
            <w:right w:val="none" w:sz="0" w:space="0" w:color="auto"/>
          </w:divBdr>
        </w:div>
      </w:divsChild>
    </w:div>
    <w:div w:id="145826941">
      <w:bodyDiv w:val="1"/>
      <w:marLeft w:val="0"/>
      <w:marRight w:val="0"/>
      <w:marTop w:val="0"/>
      <w:marBottom w:val="0"/>
      <w:divBdr>
        <w:top w:val="none" w:sz="0" w:space="0" w:color="auto"/>
        <w:left w:val="none" w:sz="0" w:space="0" w:color="auto"/>
        <w:bottom w:val="none" w:sz="0" w:space="0" w:color="auto"/>
        <w:right w:val="none" w:sz="0" w:space="0" w:color="auto"/>
      </w:divBdr>
    </w:div>
    <w:div w:id="146669953">
      <w:bodyDiv w:val="1"/>
      <w:marLeft w:val="0"/>
      <w:marRight w:val="0"/>
      <w:marTop w:val="0"/>
      <w:marBottom w:val="0"/>
      <w:divBdr>
        <w:top w:val="none" w:sz="0" w:space="0" w:color="auto"/>
        <w:left w:val="none" w:sz="0" w:space="0" w:color="auto"/>
        <w:bottom w:val="none" w:sz="0" w:space="0" w:color="auto"/>
        <w:right w:val="none" w:sz="0" w:space="0" w:color="auto"/>
      </w:divBdr>
    </w:div>
    <w:div w:id="158078861">
      <w:bodyDiv w:val="1"/>
      <w:marLeft w:val="0"/>
      <w:marRight w:val="0"/>
      <w:marTop w:val="0"/>
      <w:marBottom w:val="0"/>
      <w:divBdr>
        <w:top w:val="none" w:sz="0" w:space="0" w:color="auto"/>
        <w:left w:val="none" w:sz="0" w:space="0" w:color="auto"/>
        <w:bottom w:val="none" w:sz="0" w:space="0" w:color="auto"/>
        <w:right w:val="none" w:sz="0" w:space="0" w:color="auto"/>
      </w:divBdr>
      <w:divsChild>
        <w:div w:id="98181230">
          <w:marLeft w:val="547"/>
          <w:marRight w:val="0"/>
          <w:marTop w:val="134"/>
          <w:marBottom w:val="0"/>
          <w:divBdr>
            <w:top w:val="none" w:sz="0" w:space="0" w:color="auto"/>
            <w:left w:val="none" w:sz="0" w:space="0" w:color="auto"/>
            <w:bottom w:val="none" w:sz="0" w:space="0" w:color="auto"/>
            <w:right w:val="none" w:sz="0" w:space="0" w:color="auto"/>
          </w:divBdr>
        </w:div>
        <w:div w:id="673725710">
          <w:marLeft w:val="547"/>
          <w:marRight w:val="0"/>
          <w:marTop w:val="134"/>
          <w:marBottom w:val="0"/>
          <w:divBdr>
            <w:top w:val="none" w:sz="0" w:space="0" w:color="auto"/>
            <w:left w:val="none" w:sz="0" w:space="0" w:color="auto"/>
            <w:bottom w:val="none" w:sz="0" w:space="0" w:color="auto"/>
            <w:right w:val="none" w:sz="0" w:space="0" w:color="auto"/>
          </w:divBdr>
        </w:div>
        <w:div w:id="1303346527">
          <w:marLeft w:val="547"/>
          <w:marRight w:val="0"/>
          <w:marTop w:val="134"/>
          <w:marBottom w:val="0"/>
          <w:divBdr>
            <w:top w:val="none" w:sz="0" w:space="0" w:color="auto"/>
            <w:left w:val="none" w:sz="0" w:space="0" w:color="auto"/>
            <w:bottom w:val="none" w:sz="0" w:space="0" w:color="auto"/>
            <w:right w:val="none" w:sz="0" w:space="0" w:color="auto"/>
          </w:divBdr>
        </w:div>
        <w:div w:id="1316837479">
          <w:marLeft w:val="547"/>
          <w:marRight w:val="0"/>
          <w:marTop w:val="134"/>
          <w:marBottom w:val="0"/>
          <w:divBdr>
            <w:top w:val="none" w:sz="0" w:space="0" w:color="auto"/>
            <w:left w:val="none" w:sz="0" w:space="0" w:color="auto"/>
            <w:bottom w:val="none" w:sz="0" w:space="0" w:color="auto"/>
            <w:right w:val="none" w:sz="0" w:space="0" w:color="auto"/>
          </w:divBdr>
        </w:div>
        <w:div w:id="1698967415">
          <w:marLeft w:val="547"/>
          <w:marRight w:val="0"/>
          <w:marTop w:val="134"/>
          <w:marBottom w:val="0"/>
          <w:divBdr>
            <w:top w:val="none" w:sz="0" w:space="0" w:color="auto"/>
            <w:left w:val="none" w:sz="0" w:space="0" w:color="auto"/>
            <w:bottom w:val="none" w:sz="0" w:space="0" w:color="auto"/>
            <w:right w:val="none" w:sz="0" w:space="0" w:color="auto"/>
          </w:divBdr>
        </w:div>
      </w:divsChild>
    </w:div>
    <w:div w:id="161357710">
      <w:bodyDiv w:val="1"/>
      <w:marLeft w:val="0"/>
      <w:marRight w:val="0"/>
      <w:marTop w:val="0"/>
      <w:marBottom w:val="0"/>
      <w:divBdr>
        <w:top w:val="none" w:sz="0" w:space="0" w:color="auto"/>
        <w:left w:val="none" w:sz="0" w:space="0" w:color="auto"/>
        <w:bottom w:val="none" w:sz="0" w:space="0" w:color="auto"/>
        <w:right w:val="none" w:sz="0" w:space="0" w:color="auto"/>
      </w:divBdr>
    </w:div>
    <w:div w:id="166134574">
      <w:bodyDiv w:val="1"/>
      <w:marLeft w:val="0"/>
      <w:marRight w:val="0"/>
      <w:marTop w:val="0"/>
      <w:marBottom w:val="0"/>
      <w:divBdr>
        <w:top w:val="none" w:sz="0" w:space="0" w:color="auto"/>
        <w:left w:val="none" w:sz="0" w:space="0" w:color="auto"/>
        <w:bottom w:val="none" w:sz="0" w:space="0" w:color="auto"/>
        <w:right w:val="none" w:sz="0" w:space="0" w:color="auto"/>
      </w:divBdr>
    </w:div>
    <w:div w:id="170265215">
      <w:bodyDiv w:val="1"/>
      <w:marLeft w:val="0"/>
      <w:marRight w:val="0"/>
      <w:marTop w:val="0"/>
      <w:marBottom w:val="0"/>
      <w:divBdr>
        <w:top w:val="none" w:sz="0" w:space="0" w:color="auto"/>
        <w:left w:val="none" w:sz="0" w:space="0" w:color="auto"/>
        <w:bottom w:val="none" w:sz="0" w:space="0" w:color="auto"/>
        <w:right w:val="none" w:sz="0" w:space="0" w:color="auto"/>
      </w:divBdr>
      <w:divsChild>
        <w:div w:id="1003899536">
          <w:marLeft w:val="547"/>
          <w:marRight w:val="0"/>
          <w:marTop w:val="134"/>
          <w:marBottom w:val="0"/>
          <w:divBdr>
            <w:top w:val="none" w:sz="0" w:space="0" w:color="auto"/>
            <w:left w:val="none" w:sz="0" w:space="0" w:color="auto"/>
            <w:bottom w:val="none" w:sz="0" w:space="0" w:color="auto"/>
            <w:right w:val="none" w:sz="0" w:space="0" w:color="auto"/>
          </w:divBdr>
        </w:div>
      </w:divsChild>
    </w:div>
    <w:div w:id="170682281">
      <w:bodyDiv w:val="1"/>
      <w:marLeft w:val="0"/>
      <w:marRight w:val="0"/>
      <w:marTop w:val="0"/>
      <w:marBottom w:val="0"/>
      <w:divBdr>
        <w:top w:val="none" w:sz="0" w:space="0" w:color="auto"/>
        <w:left w:val="none" w:sz="0" w:space="0" w:color="auto"/>
        <w:bottom w:val="none" w:sz="0" w:space="0" w:color="auto"/>
        <w:right w:val="none" w:sz="0" w:space="0" w:color="auto"/>
      </w:divBdr>
      <w:divsChild>
        <w:div w:id="611012876">
          <w:marLeft w:val="1800"/>
          <w:marRight w:val="0"/>
          <w:marTop w:val="134"/>
          <w:marBottom w:val="0"/>
          <w:divBdr>
            <w:top w:val="none" w:sz="0" w:space="0" w:color="auto"/>
            <w:left w:val="none" w:sz="0" w:space="0" w:color="auto"/>
            <w:bottom w:val="none" w:sz="0" w:space="0" w:color="auto"/>
            <w:right w:val="none" w:sz="0" w:space="0" w:color="auto"/>
          </w:divBdr>
        </w:div>
        <w:div w:id="1189367917">
          <w:marLeft w:val="1800"/>
          <w:marRight w:val="0"/>
          <w:marTop w:val="134"/>
          <w:marBottom w:val="0"/>
          <w:divBdr>
            <w:top w:val="none" w:sz="0" w:space="0" w:color="auto"/>
            <w:left w:val="none" w:sz="0" w:space="0" w:color="auto"/>
            <w:bottom w:val="none" w:sz="0" w:space="0" w:color="auto"/>
            <w:right w:val="none" w:sz="0" w:space="0" w:color="auto"/>
          </w:divBdr>
        </w:div>
      </w:divsChild>
    </w:div>
    <w:div w:id="197089020">
      <w:bodyDiv w:val="1"/>
      <w:marLeft w:val="0"/>
      <w:marRight w:val="0"/>
      <w:marTop w:val="0"/>
      <w:marBottom w:val="0"/>
      <w:divBdr>
        <w:top w:val="none" w:sz="0" w:space="0" w:color="auto"/>
        <w:left w:val="none" w:sz="0" w:space="0" w:color="auto"/>
        <w:bottom w:val="none" w:sz="0" w:space="0" w:color="auto"/>
        <w:right w:val="none" w:sz="0" w:space="0" w:color="auto"/>
      </w:divBdr>
      <w:divsChild>
        <w:div w:id="433477555">
          <w:marLeft w:val="547"/>
          <w:marRight w:val="0"/>
          <w:marTop w:val="154"/>
          <w:marBottom w:val="0"/>
          <w:divBdr>
            <w:top w:val="none" w:sz="0" w:space="0" w:color="auto"/>
            <w:left w:val="none" w:sz="0" w:space="0" w:color="auto"/>
            <w:bottom w:val="none" w:sz="0" w:space="0" w:color="auto"/>
            <w:right w:val="none" w:sz="0" w:space="0" w:color="auto"/>
          </w:divBdr>
        </w:div>
        <w:div w:id="450251811">
          <w:marLeft w:val="547"/>
          <w:marRight w:val="0"/>
          <w:marTop w:val="154"/>
          <w:marBottom w:val="0"/>
          <w:divBdr>
            <w:top w:val="none" w:sz="0" w:space="0" w:color="auto"/>
            <w:left w:val="none" w:sz="0" w:space="0" w:color="auto"/>
            <w:bottom w:val="none" w:sz="0" w:space="0" w:color="auto"/>
            <w:right w:val="none" w:sz="0" w:space="0" w:color="auto"/>
          </w:divBdr>
        </w:div>
      </w:divsChild>
    </w:div>
    <w:div w:id="201210500">
      <w:bodyDiv w:val="1"/>
      <w:marLeft w:val="0"/>
      <w:marRight w:val="0"/>
      <w:marTop w:val="0"/>
      <w:marBottom w:val="0"/>
      <w:divBdr>
        <w:top w:val="none" w:sz="0" w:space="0" w:color="auto"/>
        <w:left w:val="none" w:sz="0" w:space="0" w:color="auto"/>
        <w:bottom w:val="none" w:sz="0" w:space="0" w:color="auto"/>
        <w:right w:val="none" w:sz="0" w:space="0" w:color="auto"/>
      </w:divBdr>
    </w:div>
    <w:div w:id="201601049">
      <w:bodyDiv w:val="1"/>
      <w:marLeft w:val="0"/>
      <w:marRight w:val="0"/>
      <w:marTop w:val="0"/>
      <w:marBottom w:val="0"/>
      <w:divBdr>
        <w:top w:val="none" w:sz="0" w:space="0" w:color="auto"/>
        <w:left w:val="none" w:sz="0" w:space="0" w:color="auto"/>
        <w:bottom w:val="none" w:sz="0" w:space="0" w:color="auto"/>
        <w:right w:val="none" w:sz="0" w:space="0" w:color="auto"/>
      </w:divBdr>
    </w:div>
    <w:div w:id="212888169">
      <w:bodyDiv w:val="1"/>
      <w:marLeft w:val="0"/>
      <w:marRight w:val="0"/>
      <w:marTop w:val="0"/>
      <w:marBottom w:val="0"/>
      <w:divBdr>
        <w:top w:val="none" w:sz="0" w:space="0" w:color="auto"/>
        <w:left w:val="none" w:sz="0" w:space="0" w:color="auto"/>
        <w:bottom w:val="none" w:sz="0" w:space="0" w:color="auto"/>
        <w:right w:val="none" w:sz="0" w:space="0" w:color="auto"/>
      </w:divBdr>
      <w:divsChild>
        <w:div w:id="299773702">
          <w:marLeft w:val="547"/>
          <w:marRight w:val="0"/>
          <w:marTop w:val="154"/>
          <w:marBottom w:val="0"/>
          <w:divBdr>
            <w:top w:val="none" w:sz="0" w:space="0" w:color="auto"/>
            <w:left w:val="none" w:sz="0" w:space="0" w:color="auto"/>
            <w:bottom w:val="none" w:sz="0" w:space="0" w:color="auto"/>
            <w:right w:val="none" w:sz="0" w:space="0" w:color="auto"/>
          </w:divBdr>
        </w:div>
        <w:div w:id="1032264276">
          <w:marLeft w:val="547"/>
          <w:marRight w:val="0"/>
          <w:marTop w:val="154"/>
          <w:marBottom w:val="0"/>
          <w:divBdr>
            <w:top w:val="none" w:sz="0" w:space="0" w:color="auto"/>
            <w:left w:val="none" w:sz="0" w:space="0" w:color="auto"/>
            <w:bottom w:val="none" w:sz="0" w:space="0" w:color="auto"/>
            <w:right w:val="none" w:sz="0" w:space="0" w:color="auto"/>
          </w:divBdr>
        </w:div>
      </w:divsChild>
    </w:div>
    <w:div w:id="225266068">
      <w:bodyDiv w:val="1"/>
      <w:marLeft w:val="0"/>
      <w:marRight w:val="0"/>
      <w:marTop w:val="0"/>
      <w:marBottom w:val="0"/>
      <w:divBdr>
        <w:top w:val="none" w:sz="0" w:space="0" w:color="auto"/>
        <w:left w:val="none" w:sz="0" w:space="0" w:color="auto"/>
        <w:bottom w:val="none" w:sz="0" w:space="0" w:color="auto"/>
        <w:right w:val="none" w:sz="0" w:space="0" w:color="auto"/>
      </w:divBdr>
    </w:div>
    <w:div w:id="231697808">
      <w:bodyDiv w:val="1"/>
      <w:marLeft w:val="0"/>
      <w:marRight w:val="0"/>
      <w:marTop w:val="0"/>
      <w:marBottom w:val="0"/>
      <w:divBdr>
        <w:top w:val="none" w:sz="0" w:space="0" w:color="auto"/>
        <w:left w:val="none" w:sz="0" w:space="0" w:color="auto"/>
        <w:bottom w:val="none" w:sz="0" w:space="0" w:color="auto"/>
        <w:right w:val="none" w:sz="0" w:space="0" w:color="auto"/>
      </w:divBdr>
      <w:divsChild>
        <w:div w:id="1594776175">
          <w:marLeft w:val="547"/>
          <w:marRight w:val="0"/>
          <w:marTop w:val="154"/>
          <w:marBottom w:val="0"/>
          <w:divBdr>
            <w:top w:val="none" w:sz="0" w:space="0" w:color="auto"/>
            <w:left w:val="none" w:sz="0" w:space="0" w:color="auto"/>
            <w:bottom w:val="none" w:sz="0" w:space="0" w:color="auto"/>
            <w:right w:val="none" w:sz="0" w:space="0" w:color="auto"/>
          </w:divBdr>
        </w:div>
        <w:div w:id="1984921102">
          <w:marLeft w:val="547"/>
          <w:marRight w:val="0"/>
          <w:marTop w:val="154"/>
          <w:marBottom w:val="0"/>
          <w:divBdr>
            <w:top w:val="none" w:sz="0" w:space="0" w:color="auto"/>
            <w:left w:val="none" w:sz="0" w:space="0" w:color="auto"/>
            <w:bottom w:val="none" w:sz="0" w:space="0" w:color="auto"/>
            <w:right w:val="none" w:sz="0" w:space="0" w:color="auto"/>
          </w:divBdr>
        </w:div>
      </w:divsChild>
    </w:div>
    <w:div w:id="236523754">
      <w:bodyDiv w:val="1"/>
      <w:marLeft w:val="0"/>
      <w:marRight w:val="0"/>
      <w:marTop w:val="0"/>
      <w:marBottom w:val="0"/>
      <w:divBdr>
        <w:top w:val="none" w:sz="0" w:space="0" w:color="auto"/>
        <w:left w:val="none" w:sz="0" w:space="0" w:color="auto"/>
        <w:bottom w:val="none" w:sz="0" w:space="0" w:color="auto"/>
        <w:right w:val="none" w:sz="0" w:space="0" w:color="auto"/>
      </w:divBdr>
    </w:div>
    <w:div w:id="238058885">
      <w:bodyDiv w:val="1"/>
      <w:marLeft w:val="0"/>
      <w:marRight w:val="0"/>
      <w:marTop w:val="0"/>
      <w:marBottom w:val="0"/>
      <w:divBdr>
        <w:top w:val="none" w:sz="0" w:space="0" w:color="auto"/>
        <w:left w:val="none" w:sz="0" w:space="0" w:color="auto"/>
        <w:bottom w:val="none" w:sz="0" w:space="0" w:color="auto"/>
        <w:right w:val="none" w:sz="0" w:space="0" w:color="auto"/>
      </w:divBdr>
    </w:div>
    <w:div w:id="257252097">
      <w:bodyDiv w:val="1"/>
      <w:marLeft w:val="0"/>
      <w:marRight w:val="0"/>
      <w:marTop w:val="0"/>
      <w:marBottom w:val="0"/>
      <w:divBdr>
        <w:top w:val="none" w:sz="0" w:space="0" w:color="auto"/>
        <w:left w:val="none" w:sz="0" w:space="0" w:color="auto"/>
        <w:bottom w:val="none" w:sz="0" w:space="0" w:color="auto"/>
        <w:right w:val="none" w:sz="0" w:space="0" w:color="auto"/>
      </w:divBdr>
      <w:divsChild>
        <w:div w:id="355428296">
          <w:marLeft w:val="547"/>
          <w:marRight w:val="0"/>
          <w:marTop w:val="115"/>
          <w:marBottom w:val="0"/>
          <w:divBdr>
            <w:top w:val="none" w:sz="0" w:space="0" w:color="auto"/>
            <w:left w:val="none" w:sz="0" w:space="0" w:color="auto"/>
            <w:bottom w:val="none" w:sz="0" w:space="0" w:color="auto"/>
            <w:right w:val="none" w:sz="0" w:space="0" w:color="auto"/>
          </w:divBdr>
        </w:div>
      </w:divsChild>
    </w:div>
    <w:div w:id="257832318">
      <w:bodyDiv w:val="1"/>
      <w:marLeft w:val="0"/>
      <w:marRight w:val="0"/>
      <w:marTop w:val="0"/>
      <w:marBottom w:val="0"/>
      <w:divBdr>
        <w:top w:val="none" w:sz="0" w:space="0" w:color="auto"/>
        <w:left w:val="none" w:sz="0" w:space="0" w:color="auto"/>
        <w:bottom w:val="none" w:sz="0" w:space="0" w:color="auto"/>
        <w:right w:val="none" w:sz="0" w:space="0" w:color="auto"/>
      </w:divBdr>
    </w:div>
    <w:div w:id="284308582">
      <w:bodyDiv w:val="1"/>
      <w:marLeft w:val="0"/>
      <w:marRight w:val="0"/>
      <w:marTop w:val="0"/>
      <w:marBottom w:val="0"/>
      <w:divBdr>
        <w:top w:val="none" w:sz="0" w:space="0" w:color="auto"/>
        <w:left w:val="none" w:sz="0" w:space="0" w:color="auto"/>
        <w:bottom w:val="none" w:sz="0" w:space="0" w:color="auto"/>
        <w:right w:val="none" w:sz="0" w:space="0" w:color="auto"/>
      </w:divBdr>
    </w:div>
    <w:div w:id="340355818">
      <w:bodyDiv w:val="1"/>
      <w:marLeft w:val="0"/>
      <w:marRight w:val="0"/>
      <w:marTop w:val="0"/>
      <w:marBottom w:val="0"/>
      <w:divBdr>
        <w:top w:val="none" w:sz="0" w:space="0" w:color="auto"/>
        <w:left w:val="none" w:sz="0" w:space="0" w:color="auto"/>
        <w:bottom w:val="none" w:sz="0" w:space="0" w:color="auto"/>
        <w:right w:val="none" w:sz="0" w:space="0" w:color="auto"/>
      </w:divBdr>
    </w:div>
    <w:div w:id="357858371">
      <w:bodyDiv w:val="1"/>
      <w:marLeft w:val="0"/>
      <w:marRight w:val="0"/>
      <w:marTop w:val="0"/>
      <w:marBottom w:val="0"/>
      <w:divBdr>
        <w:top w:val="none" w:sz="0" w:space="0" w:color="auto"/>
        <w:left w:val="none" w:sz="0" w:space="0" w:color="auto"/>
        <w:bottom w:val="none" w:sz="0" w:space="0" w:color="auto"/>
        <w:right w:val="none" w:sz="0" w:space="0" w:color="auto"/>
      </w:divBdr>
    </w:div>
    <w:div w:id="380979196">
      <w:bodyDiv w:val="1"/>
      <w:marLeft w:val="0"/>
      <w:marRight w:val="0"/>
      <w:marTop w:val="0"/>
      <w:marBottom w:val="0"/>
      <w:divBdr>
        <w:top w:val="none" w:sz="0" w:space="0" w:color="auto"/>
        <w:left w:val="none" w:sz="0" w:space="0" w:color="auto"/>
        <w:bottom w:val="none" w:sz="0" w:space="0" w:color="auto"/>
        <w:right w:val="none" w:sz="0" w:space="0" w:color="auto"/>
      </w:divBdr>
    </w:div>
    <w:div w:id="397558289">
      <w:bodyDiv w:val="1"/>
      <w:marLeft w:val="0"/>
      <w:marRight w:val="0"/>
      <w:marTop w:val="0"/>
      <w:marBottom w:val="0"/>
      <w:divBdr>
        <w:top w:val="none" w:sz="0" w:space="0" w:color="auto"/>
        <w:left w:val="none" w:sz="0" w:space="0" w:color="auto"/>
        <w:bottom w:val="none" w:sz="0" w:space="0" w:color="auto"/>
        <w:right w:val="none" w:sz="0" w:space="0" w:color="auto"/>
      </w:divBdr>
    </w:div>
    <w:div w:id="405497600">
      <w:bodyDiv w:val="1"/>
      <w:marLeft w:val="0"/>
      <w:marRight w:val="0"/>
      <w:marTop w:val="0"/>
      <w:marBottom w:val="0"/>
      <w:divBdr>
        <w:top w:val="none" w:sz="0" w:space="0" w:color="auto"/>
        <w:left w:val="none" w:sz="0" w:space="0" w:color="auto"/>
        <w:bottom w:val="none" w:sz="0" w:space="0" w:color="auto"/>
        <w:right w:val="none" w:sz="0" w:space="0" w:color="auto"/>
      </w:divBdr>
      <w:divsChild>
        <w:div w:id="574825827">
          <w:marLeft w:val="547"/>
          <w:marRight w:val="0"/>
          <w:marTop w:val="154"/>
          <w:marBottom w:val="0"/>
          <w:divBdr>
            <w:top w:val="none" w:sz="0" w:space="0" w:color="auto"/>
            <w:left w:val="none" w:sz="0" w:space="0" w:color="auto"/>
            <w:bottom w:val="none" w:sz="0" w:space="0" w:color="auto"/>
            <w:right w:val="none" w:sz="0" w:space="0" w:color="auto"/>
          </w:divBdr>
        </w:div>
        <w:div w:id="765467601">
          <w:marLeft w:val="547"/>
          <w:marRight w:val="0"/>
          <w:marTop w:val="154"/>
          <w:marBottom w:val="0"/>
          <w:divBdr>
            <w:top w:val="none" w:sz="0" w:space="0" w:color="auto"/>
            <w:left w:val="none" w:sz="0" w:space="0" w:color="auto"/>
            <w:bottom w:val="none" w:sz="0" w:space="0" w:color="auto"/>
            <w:right w:val="none" w:sz="0" w:space="0" w:color="auto"/>
          </w:divBdr>
        </w:div>
        <w:div w:id="1326205137">
          <w:marLeft w:val="547"/>
          <w:marRight w:val="0"/>
          <w:marTop w:val="154"/>
          <w:marBottom w:val="0"/>
          <w:divBdr>
            <w:top w:val="none" w:sz="0" w:space="0" w:color="auto"/>
            <w:left w:val="none" w:sz="0" w:space="0" w:color="auto"/>
            <w:bottom w:val="none" w:sz="0" w:space="0" w:color="auto"/>
            <w:right w:val="none" w:sz="0" w:space="0" w:color="auto"/>
          </w:divBdr>
        </w:div>
      </w:divsChild>
    </w:div>
    <w:div w:id="414669387">
      <w:bodyDiv w:val="1"/>
      <w:marLeft w:val="0"/>
      <w:marRight w:val="0"/>
      <w:marTop w:val="0"/>
      <w:marBottom w:val="0"/>
      <w:divBdr>
        <w:top w:val="none" w:sz="0" w:space="0" w:color="auto"/>
        <w:left w:val="none" w:sz="0" w:space="0" w:color="auto"/>
        <w:bottom w:val="none" w:sz="0" w:space="0" w:color="auto"/>
        <w:right w:val="none" w:sz="0" w:space="0" w:color="auto"/>
      </w:divBdr>
    </w:div>
    <w:div w:id="429280367">
      <w:bodyDiv w:val="1"/>
      <w:marLeft w:val="0"/>
      <w:marRight w:val="0"/>
      <w:marTop w:val="0"/>
      <w:marBottom w:val="0"/>
      <w:divBdr>
        <w:top w:val="none" w:sz="0" w:space="0" w:color="auto"/>
        <w:left w:val="none" w:sz="0" w:space="0" w:color="auto"/>
        <w:bottom w:val="none" w:sz="0" w:space="0" w:color="auto"/>
        <w:right w:val="none" w:sz="0" w:space="0" w:color="auto"/>
      </w:divBdr>
    </w:div>
    <w:div w:id="447549315">
      <w:bodyDiv w:val="1"/>
      <w:marLeft w:val="0"/>
      <w:marRight w:val="0"/>
      <w:marTop w:val="0"/>
      <w:marBottom w:val="0"/>
      <w:divBdr>
        <w:top w:val="none" w:sz="0" w:space="0" w:color="auto"/>
        <w:left w:val="none" w:sz="0" w:space="0" w:color="auto"/>
        <w:bottom w:val="none" w:sz="0" w:space="0" w:color="auto"/>
        <w:right w:val="none" w:sz="0" w:space="0" w:color="auto"/>
      </w:divBdr>
    </w:div>
    <w:div w:id="532617359">
      <w:bodyDiv w:val="1"/>
      <w:marLeft w:val="0"/>
      <w:marRight w:val="0"/>
      <w:marTop w:val="0"/>
      <w:marBottom w:val="0"/>
      <w:divBdr>
        <w:top w:val="none" w:sz="0" w:space="0" w:color="auto"/>
        <w:left w:val="none" w:sz="0" w:space="0" w:color="auto"/>
        <w:bottom w:val="none" w:sz="0" w:space="0" w:color="auto"/>
        <w:right w:val="none" w:sz="0" w:space="0" w:color="auto"/>
      </w:divBdr>
    </w:div>
    <w:div w:id="572814940">
      <w:bodyDiv w:val="1"/>
      <w:marLeft w:val="0"/>
      <w:marRight w:val="0"/>
      <w:marTop w:val="0"/>
      <w:marBottom w:val="0"/>
      <w:divBdr>
        <w:top w:val="none" w:sz="0" w:space="0" w:color="auto"/>
        <w:left w:val="none" w:sz="0" w:space="0" w:color="auto"/>
        <w:bottom w:val="none" w:sz="0" w:space="0" w:color="auto"/>
        <w:right w:val="none" w:sz="0" w:space="0" w:color="auto"/>
      </w:divBdr>
    </w:div>
    <w:div w:id="583608556">
      <w:bodyDiv w:val="1"/>
      <w:marLeft w:val="0"/>
      <w:marRight w:val="0"/>
      <w:marTop w:val="0"/>
      <w:marBottom w:val="0"/>
      <w:divBdr>
        <w:top w:val="none" w:sz="0" w:space="0" w:color="auto"/>
        <w:left w:val="none" w:sz="0" w:space="0" w:color="auto"/>
        <w:bottom w:val="none" w:sz="0" w:space="0" w:color="auto"/>
        <w:right w:val="none" w:sz="0" w:space="0" w:color="auto"/>
      </w:divBdr>
    </w:div>
    <w:div w:id="585111864">
      <w:bodyDiv w:val="1"/>
      <w:marLeft w:val="0"/>
      <w:marRight w:val="0"/>
      <w:marTop w:val="0"/>
      <w:marBottom w:val="0"/>
      <w:divBdr>
        <w:top w:val="none" w:sz="0" w:space="0" w:color="auto"/>
        <w:left w:val="none" w:sz="0" w:space="0" w:color="auto"/>
        <w:bottom w:val="none" w:sz="0" w:space="0" w:color="auto"/>
        <w:right w:val="none" w:sz="0" w:space="0" w:color="auto"/>
      </w:divBdr>
    </w:div>
    <w:div w:id="611865909">
      <w:bodyDiv w:val="1"/>
      <w:marLeft w:val="0"/>
      <w:marRight w:val="0"/>
      <w:marTop w:val="0"/>
      <w:marBottom w:val="0"/>
      <w:divBdr>
        <w:top w:val="none" w:sz="0" w:space="0" w:color="auto"/>
        <w:left w:val="none" w:sz="0" w:space="0" w:color="auto"/>
        <w:bottom w:val="none" w:sz="0" w:space="0" w:color="auto"/>
        <w:right w:val="none" w:sz="0" w:space="0" w:color="auto"/>
      </w:divBdr>
    </w:div>
    <w:div w:id="615795293">
      <w:bodyDiv w:val="1"/>
      <w:marLeft w:val="0"/>
      <w:marRight w:val="0"/>
      <w:marTop w:val="0"/>
      <w:marBottom w:val="0"/>
      <w:divBdr>
        <w:top w:val="none" w:sz="0" w:space="0" w:color="auto"/>
        <w:left w:val="none" w:sz="0" w:space="0" w:color="auto"/>
        <w:bottom w:val="none" w:sz="0" w:space="0" w:color="auto"/>
        <w:right w:val="none" w:sz="0" w:space="0" w:color="auto"/>
      </w:divBdr>
      <w:divsChild>
        <w:div w:id="1014457872">
          <w:marLeft w:val="547"/>
          <w:marRight w:val="0"/>
          <w:marTop w:val="154"/>
          <w:marBottom w:val="0"/>
          <w:divBdr>
            <w:top w:val="none" w:sz="0" w:space="0" w:color="auto"/>
            <w:left w:val="none" w:sz="0" w:space="0" w:color="auto"/>
            <w:bottom w:val="none" w:sz="0" w:space="0" w:color="auto"/>
            <w:right w:val="none" w:sz="0" w:space="0" w:color="auto"/>
          </w:divBdr>
        </w:div>
      </w:divsChild>
    </w:div>
    <w:div w:id="616063147">
      <w:bodyDiv w:val="1"/>
      <w:marLeft w:val="0"/>
      <w:marRight w:val="0"/>
      <w:marTop w:val="0"/>
      <w:marBottom w:val="0"/>
      <w:divBdr>
        <w:top w:val="none" w:sz="0" w:space="0" w:color="auto"/>
        <w:left w:val="none" w:sz="0" w:space="0" w:color="auto"/>
        <w:bottom w:val="none" w:sz="0" w:space="0" w:color="auto"/>
        <w:right w:val="none" w:sz="0" w:space="0" w:color="auto"/>
      </w:divBdr>
    </w:div>
    <w:div w:id="623855411">
      <w:bodyDiv w:val="1"/>
      <w:marLeft w:val="0"/>
      <w:marRight w:val="0"/>
      <w:marTop w:val="0"/>
      <w:marBottom w:val="0"/>
      <w:divBdr>
        <w:top w:val="none" w:sz="0" w:space="0" w:color="auto"/>
        <w:left w:val="none" w:sz="0" w:space="0" w:color="auto"/>
        <w:bottom w:val="none" w:sz="0" w:space="0" w:color="auto"/>
        <w:right w:val="none" w:sz="0" w:space="0" w:color="auto"/>
      </w:divBdr>
    </w:div>
    <w:div w:id="629439892">
      <w:bodyDiv w:val="1"/>
      <w:marLeft w:val="0"/>
      <w:marRight w:val="0"/>
      <w:marTop w:val="0"/>
      <w:marBottom w:val="0"/>
      <w:divBdr>
        <w:top w:val="none" w:sz="0" w:space="0" w:color="auto"/>
        <w:left w:val="none" w:sz="0" w:space="0" w:color="auto"/>
        <w:bottom w:val="none" w:sz="0" w:space="0" w:color="auto"/>
        <w:right w:val="none" w:sz="0" w:space="0" w:color="auto"/>
      </w:divBdr>
    </w:div>
    <w:div w:id="649403428">
      <w:bodyDiv w:val="1"/>
      <w:marLeft w:val="0"/>
      <w:marRight w:val="0"/>
      <w:marTop w:val="0"/>
      <w:marBottom w:val="0"/>
      <w:divBdr>
        <w:top w:val="none" w:sz="0" w:space="0" w:color="auto"/>
        <w:left w:val="none" w:sz="0" w:space="0" w:color="auto"/>
        <w:bottom w:val="none" w:sz="0" w:space="0" w:color="auto"/>
        <w:right w:val="none" w:sz="0" w:space="0" w:color="auto"/>
      </w:divBdr>
    </w:div>
    <w:div w:id="663977767">
      <w:bodyDiv w:val="1"/>
      <w:marLeft w:val="0"/>
      <w:marRight w:val="0"/>
      <w:marTop w:val="0"/>
      <w:marBottom w:val="0"/>
      <w:divBdr>
        <w:top w:val="none" w:sz="0" w:space="0" w:color="auto"/>
        <w:left w:val="none" w:sz="0" w:space="0" w:color="auto"/>
        <w:bottom w:val="none" w:sz="0" w:space="0" w:color="auto"/>
        <w:right w:val="none" w:sz="0" w:space="0" w:color="auto"/>
      </w:divBdr>
    </w:div>
    <w:div w:id="671645624">
      <w:bodyDiv w:val="1"/>
      <w:marLeft w:val="0"/>
      <w:marRight w:val="0"/>
      <w:marTop w:val="0"/>
      <w:marBottom w:val="0"/>
      <w:divBdr>
        <w:top w:val="none" w:sz="0" w:space="0" w:color="auto"/>
        <w:left w:val="none" w:sz="0" w:space="0" w:color="auto"/>
        <w:bottom w:val="none" w:sz="0" w:space="0" w:color="auto"/>
        <w:right w:val="none" w:sz="0" w:space="0" w:color="auto"/>
      </w:divBdr>
      <w:divsChild>
        <w:div w:id="867373709">
          <w:marLeft w:val="547"/>
          <w:marRight w:val="0"/>
          <w:marTop w:val="154"/>
          <w:marBottom w:val="0"/>
          <w:divBdr>
            <w:top w:val="none" w:sz="0" w:space="0" w:color="auto"/>
            <w:left w:val="none" w:sz="0" w:space="0" w:color="auto"/>
            <w:bottom w:val="none" w:sz="0" w:space="0" w:color="auto"/>
            <w:right w:val="none" w:sz="0" w:space="0" w:color="auto"/>
          </w:divBdr>
        </w:div>
      </w:divsChild>
    </w:div>
    <w:div w:id="701516994">
      <w:bodyDiv w:val="1"/>
      <w:marLeft w:val="0"/>
      <w:marRight w:val="0"/>
      <w:marTop w:val="0"/>
      <w:marBottom w:val="0"/>
      <w:divBdr>
        <w:top w:val="none" w:sz="0" w:space="0" w:color="auto"/>
        <w:left w:val="none" w:sz="0" w:space="0" w:color="auto"/>
        <w:bottom w:val="none" w:sz="0" w:space="0" w:color="auto"/>
        <w:right w:val="none" w:sz="0" w:space="0" w:color="auto"/>
      </w:divBdr>
    </w:div>
    <w:div w:id="735126915">
      <w:bodyDiv w:val="1"/>
      <w:marLeft w:val="0"/>
      <w:marRight w:val="0"/>
      <w:marTop w:val="0"/>
      <w:marBottom w:val="0"/>
      <w:divBdr>
        <w:top w:val="none" w:sz="0" w:space="0" w:color="auto"/>
        <w:left w:val="none" w:sz="0" w:space="0" w:color="auto"/>
        <w:bottom w:val="none" w:sz="0" w:space="0" w:color="auto"/>
        <w:right w:val="none" w:sz="0" w:space="0" w:color="auto"/>
      </w:divBdr>
      <w:divsChild>
        <w:div w:id="109252440">
          <w:marLeft w:val="547"/>
          <w:marRight w:val="0"/>
          <w:marTop w:val="134"/>
          <w:marBottom w:val="0"/>
          <w:divBdr>
            <w:top w:val="none" w:sz="0" w:space="0" w:color="auto"/>
            <w:left w:val="none" w:sz="0" w:space="0" w:color="auto"/>
            <w:bottom w:val="none" w:sz="0" w:space="0" w:color="auto"/>
            <w:right w:val="none" w:sz="0" w:space="0" w:color="auto"/>
          </w:divBdr>
        </w:div>
        <w:div w:id="170486093">
          <w:marLeft w:val="547"/>
          <w:marRight w:val="0"/>
          <w:marTop w:val="134"/>
          <w:marBottom w:val="0"/>
          <w:divBdr>
            <w:top w:val="none" w:sz="0" w:space="0" w:color="auto"/>
            <w:left w:val="none" w:sz="0" w:space="0" w:color="auto"/>
            <w:bottom w:val="none" w:sz="0" w:space="0" w:color="auto"/>
            <w:right w:val="none" w:sz="0" w:space="0" w:color="auto"/>
          </w:divBdr>
        </w:div>
        <w:div w:id="1100877969">
          <w:marLeft w:val="547"/>
          <w:marRight w:val="0"/>
          <w:marTop w:val="134"/>
          <w:marBottom w:val="0"/>
          <w:divBdr>
            <w:top w:val="none" w:sz="0" w:space="0" w:color="auto"/>
            <w:left w:val="none" w:sz="0" w:space="0" w:color="auto"/>
            <w:bottom w:val="none" w:sz="0" w:space="0" w:color="auto"/>
            <w:right w:val="none" w:sz="0" w:space="0" w:color="auto"/>
          </w:divBdr>
        </w:div>
        <w:div w:id="1647854488">
          <w:marLeft w:val="547"/>
          <w:marRight w:val="0"/>
          <w:marTop w:val="134"/>
          <w:marBottom w:val="0"/>
          <w:divBdr>
            <w:top w:val="none" w:sz="0" w:space="0" w:color="auto"/>
            <w:left w:val="none" w:sz="0" w:space="0" w:color="auto"/>
            <w:bottom w:val="none" w:sz="0" w:space="0" w:color="auto"/>
            <w:right w:val="none" w:sz="0" w:space="0" w:color="auto"/>
          </w:divBdr>
        </w:div>
      </w:divsChild>
    </w:div>
    <w:div w:id="741609296">
      <w:bodyDiv w:val="1"/>
      <w:marLeft w:val="0"/>
      <w:marRight w:val="0"/>
      <w:marTop w:val="0"/>
      <w:marBottom w:val="0"/>
      <w:divBdr>
        <w:top w:val="none" w:sz="0" w:space="0" w:color="auto"/>
        <w:left w:val="none" w:sz="0" w:space="0" w:color="auto"/>
        <w:bottom w:val="none" w:sz="0" w:space="0" w:color="auto"/>
        <w:right w:val="none" w:sz="0" w:space="0" w:color="auto"/>
      </w:divBdr>
    </w:div>
    <w:div w:id="751856468">
      <w:bodyDiv w:val="1"/>
      <w:marLeft w:val="0"/>
      <w:marRight w:val="0"/>
      <w:marTop w:val="0"/>
      <w:marBottom w:val="0"/>
      <w:divBdr>
        <w:top w:val="none" w:sz="0" w:space="0" w:color="auto"/>
        <w:left w:val="none" w:sz="0" w:space="0" w:color="auto"/>
        <w:bottom w:val="none" w:sz="0" w:space="0" w:color="auto"/>
        <w:right w:val="none" w:sz="0" w:space="0" w:color="auto"/>
      </w:divBdr>
    </w:div>
    <w:div w:id="753281283">
      <w:bodyDiv w:val="1"/>
      <w:marLeft w:val="0"/>
      <w:marRight w:val="0"/>
      <w:marTop w:val="0"/>
      <w:marBottom w:val="0"/>
      <w:divBdr>
        <w:top w:val="none" w:sz="0" w:space="0" w:color="auto"/>
        <w:left w:val="none" w:sz="0" w:space="0" w:color="auto"/>
        <w:bottom w:val="none" w:sz="0" w:space="0" w:color="auto"/>
        <w:right w:val="none" w:sz="0" w:space="0" w:color="auto"/>
      </w:divBdr>
    </w:div>
    <w:div w:id="758982446">
      <w:bodyDiv w:val="1"/>
      <w:marLeft w:val="0"/>
      <w:marRight w:val="0"/>
      <w:marTop w:val="0"/>
      <w:marBottom w:val="0"/>
      <w:divBdr>
        <w:top w:val="none" w:sz="0" w:space="0" w:color="auto"/>
        <w:left w:val="none" w:sz="0" w:space="0" w:color="auto"/>
        <w:bottom w:val="none" w:sz="0" w:space="0" w:color="auto"/>
        <w:right w:val="none" w:sz="0" w:space="0" w:color="auto"/>
      </w:divBdr>
    </w:div>
    <w:div w:id="763694551">
      <w:bodyDiv w:val="1"/>
      <w:marLeft w:val="0"/>
      <w:marRight w:val="0"/>
      <w:marTop w:val="0"/>
      <w:marBottom w:val="0"/>
      <w:divBdr>
        <w:top w:val="none" w:sz="0" w:space="0" w:color="auto"/>
        <w:left w:val="none" w:sz="0" w:space="0" w:color="auto"/>
        <w:bottom w:val="none" w:sz="0" w:space="0" w:color="auto"/>
        <w:right w:val="none" w:sz="0" w:space="0" w:color="auto"/>
      </w:divBdr>
    </w:div>
    <w:div w:id="776945870">
      <w:bodyDiv w:val="1"/>
      <w:marLeft w:val="0"/>
      <w:marRight w:val="0"/>
      <w:marTop w:val="0"/>
      <w:marBottom w:val="0"/>
      <w:divBdr>
        <w:top w:val="none" w:sz="0" w:space="0" w:color="auto"/>
        <w:left w:val="none" w:sz="0" w:space="0" w:color="auto"/>
        <w:bottom w:val="none" w:sz="0" w:space="0" w:color="auto"/>
        <w:right w:val="none" w:sz="0" w:space="0" w:color="auto"/>
      </w:divBdr>
      <w:divsChild>
        <w:div w:id="17783310">
          <w:marLeft w:val="1800"/>
          <w:marRight w:val="0"/>
          <w:marTop w:val="115"/>
          <w:marBottom w:val="0"/>
          <w:divBdr>
            <w:top w:val="none" w:sz="0" w:space="0" w:color="auto"/>
            <w:left w:val="none" w:sz="0" w:space="0" w:color="auto"/>
            <w:bottom w:val="none" w:sz="0" w:space="0" w:color="auto"/>
            <w:right w:val="none" w:sz="0" w:space="0" w:color="auto"/>
          </w:divBdr>
        </w:div>
        <w:div w:id="1616597427">
          <w:marLeft w:val="1800"/>
          <w:marRight w:val="0"/>
          <w:marTop w:val="115"/>
          <w:marBottom w:val="0"/>
          <w:divBdr>
            <w:top w:val="none" w:sz="0" w:space="0" w:color="auto"/>
            <w:left w:val="none" w:sz="0" w:space="0" w:color="auto"/>
            <w:bottom w:val="none" w:sz="0" w:space="0" w:color="auto"/>
            <w:right w:val="none" w:sz="0" w:space="0" w:color="auto"/>
          </w:divBdr>
        </w:div>
        <w:div w:id="1806969067">
          <w:marLeft w:val="1800"/>
          <w:marRight w:val="0"/>
          <w:marTop w:val="115"/>
          <w:marBottom w:val="0"/>
          <w:divBdr>
            <w:top w:val="none" w:sz="0" w:space="0" w:color="auto"/>
            <w:left w:val="none" w:sz="0" w:space="0" w:color="auto"/>
            <w:bottom w:val="none" w:sz="0" w:space="0" w:color="auto"/>
            <w:right w:val="none" w:sz="0" w:space="0" w:color="auto"/>
          </w:divBdr>
        </w:div>
        <w:div w:id="1852910613">
          <w:marLeft w:val="1800"/>
          <w:marRight w:val="0"/>
          <w:marTop w:val="115"/>
          <w:marBottom w:val="0"/>
          <w:divBdr>
            <w:top w:val="none" w:sz="0" w:space="0" w:color="auto"/>
            <w:left w:val="none" w:sz="0" w:space="0" w:color="auto"/>
            <w:bottom w:val="none" w:sz="0" w:space="0" w:color="auto"/>
            <w:right w:val="none" w:sz="0" w:space="0" w:color="auto"/>
          </w:divBdr>
        </w:div>
        <w:div w:id="1959749545">
          <w:marLeft w:val="1800"/>
          <w:marRight w:val="0"/>
          <w:marTop w:val="115"/>
          <w:marBottom w:val="0"/>
          <w:divBdr>
            <w:top w:val="none" w:sz="0" w:space="0" w:color="auto"/>
            <w:left w:val="none" w:sz="0" w:space="0" w:color="auto"/>
            <w:bottom w:val="none" w:sz="0" w:space="0" w:color="auto"/>
            <w:right w:val="none" w:sz="0" w:space="0" w:color="auto"/>
          </w:divBdr>
        </w:div>
      </w:divsChild>
    </w:div>
    <w:div w:id="780998008">
      <w:bodyDiv w:val="1"/>
      <w:marLeft w:val="0"/>
      <w:marRight w:val="0"/>
      <w:marTop w:val="0"/>
      <w:marBottom w:val="0"/>
      <w:divBdr>
        <w:top w:val="none" w:sz="0" w:space="0" w:color="auto"/>
        <w:left w:val="none" w:sz="0" w:space="0" w:color="auto"/>
        <w:bottom w:val="none" w:sz="0" w:space="0" w:color="auto"/>
        <w:right w:val="none" w:sz="0" w:space="0" w:color="auto"/>
      </w:divBdr>
    </w:div>
    <w:div w:id="796293966">
      <w:bodyDiv w:val="1"/>
      <w:marLeft w:val="0"/>
      <w:marRight w:val="0"/>
      <w:marTop w:val="0"/>
      <w:marBottom w:val="0"/>
      <w:divBdr>
        <w:top w:val="none" w:sz="0" w:space="0" w:color="auto"/>
        <w:left w:val="none" w:sz="0" w:space="0" w:color="auto"/>
        <w:bottom w:val="none" w:sz="0" w:space="0" w:color="auto"/>
        <w:right w:val="none" w:sz="0" w:space="0" w:color="auto"/>
      </w:divBdr>
      <w:divsChild>
        <w:div w:id="1339892072">
          <w:marLeft w:val="547"/>
          <w:marRight w:val="0"/>
          <w:marTop w:val="154"/>
          <w:marBottom w:val="0"/>
          <w:divBdr>
            <w:top w:val="none" w:sz="0" w:space="0" w:color="auto"/>
            <w:left w:val="none" w:sz="0" w:space="0" w:color="auto"/>
            <w:bottom w:val="none" w:sz="0" w:space="0" w:color="auto"/>
            <w:right w:val="none" w:sz="0" w:space="0" w:color="auto"/>
          </w:divBdr>
        </w:div>
      </w:divsChild>
    </w:div>
    <w:div w:id="822086550">
      <w:bodyDiv w:val="1"/>
      <w:marLeft w:val="0"/>
      <w:marRight w:val="0"/>
      <w:marTop w:val="0"/>
      <w:marBottom w:val="0"/>
      <w:divBdr>
        <w:top w:val="none" w:sz="0" w:space="0" w:color="auto"/>
        <w:left w:val="none" w:sz="0" w:space="0" w:color="auto"/>
        <w:bottom w:val="none" w:sz="0" w:space="0" w:color="auto"/>
        <w:right w:val="none" w:sz="0" w:space="0" w:color="auto"/>
      </w:divBdr>
    </w:div>
    <w:div w:id="862280274">
      <w:bodyDiv w:val="1"/>
      <w:marLeft w:val="0"/>
      <w:marRight w:val="0"/>
      <w:marTop w:val="0"/>
      <w:marBottom w:val="0"/>
      <w:divBdr>
        <w:top w:val="none" w:sz="0" w:space="0" w:color="auto"/>
        <w:left w:val="none" w:sz="0" w:space="0" w:color="auto"/>
        <w:bottom w:val="none" w:sz="0" w:space="0" w:color="auto"/>
        <w:right w:val="none" w:sz="0" w:space="0" w:color="auto"/>
      </w:divBdr>
    </w:div>
    <w:div w:id="869029977">
      <w:bodyDiv w:val="1"/>
      <w:marLeft w:val="0"/>
      <w:marRight w:val="0"/>
      <w:marTop w:val="0"/>
      <w:marBottom w:val="0"/>
      <w:divBdr>
        <w:top w:val="none" w:sz="0" w:space="0" w:color="auto"/>
        <w:left w:val="none" w:sz="0" w:space="0" w:color="auto"/>
        <w:bottom w:val="none" w:sz="0" w:space="0" w:color="auto"/>
        <w:right w:val="none" w:sz="0" w:space="0" w:color="auto"/>
      </w:divBdr>
    </w:div>
    <w:div w:id="874972987">
      <w:bodyDiv w:val="1"/>
      <w:marLeft w:val="0"/>
      <w:marRight w:val="0"/>
      <w:marTop w:val="0"/>
      <w:marBottom w:val="0"/>
      <w:divBdr>
        <w:top w:val="none" w:sz="0" w:space="0" w:color="auto"/>
        <w:left w:val="none" w:sz="0" w:space="0" w:color="auto"/>
        <w:bottom w:val="none" w:sz="0" w:space="0" w:color="auto"/>
        <w:right w:val="none" w:sz="0" w:space="0" w:color="auto"/>
      </w:divBdr>
      <w:divsChild>
        <w:div w:id="257759677">
          <w:marLeft w:val="1166"/>
          <w:marRight w:val="0"/>
          <w:marTop w:val="134"/>
          <w:marBottom w:val="0"/>
          <w:divBdr>
            <w:top w:val="none" w:sz="0" w:space="0" w:color="auto"/>
            <w:left w:val="none" w:sz="0" w:space="0" w:color="auto"/>
            <w:bottom w:val="none" w:sz="0" w:space="0" w:color="auto"/>
            <w:right w:val="none" w:sz="0" w:space="0" w:color="auto"/>
          </w:divBdr>
        </w:div>
        <w:div w:id="1667199601">
          <w:marLeft w:val="1166"/>
          <w:marRight w:val="0"/>
          <w:marTop w:val="134"/>
          <w:marBottom w:val="0"/>
          <w:divBdr>
            <w:top w:val="none" w:sz="0" w:space="0" w:color="auto"/>
            <w:left w:val="none" w:sz="0" w:space="0" w:color="auto"/>
            <w:bottom w:val="none" w:sz="0" w:space="0" w:color="auto"/>
            <w:right w:val="none" w:sz="0" w:space="0" w:color="auto"/>
          </w:divBdr>
        </w:div>
        <w:div w:id="1770195675">
          <w:marLeft w:val="1166"/>
          <w:marRight w:val="0"/>
          <w:marTop w:val="134"/>
          <w:marBottom w:val="0"/>
          <w:divBdr>
            <w:top w:val="none" w:sz="0" w:space="0" w:color="auto"/>
            <w:left w:val="none" w:sz="0" w:space="0" w:color="auto"/>
            <w:bottom w:val="none" w:sz="0" w:space="0" w:color="auto"/>
            <w:right w:val="none" w:sz="0" w:space="0" w:color="auto"/>
          </w:divBdr>
        </w:div>
        <w:div w:id="1864978345">
          <w:marLeft w:val="1166"/>
          <w:marRight w:val="0"/>
          <w:marTop w:val="134"/>
          <w:marBottom w:val="0"/>
          <w:divBdr>
            <w:top w:val="none" w:sz="0" w:space="0" w:color="auto"/>
            <w:left w:val="none" w:sz="0" w:space="0" w:color="auto"/>
            <w:bottom w:val="none" w:sz="0" w:space="0" w:color="auto"/>
            <w:right w:val="none" w:sz="0" w:space="0" w:color="auto"/>
          </w:divBdr>
        </w:div>
        <w:div w:id="2023972670">
          <w:marLeft w:val="1166"/>
          <w:marRight w:val="0"/>
          <w:marTop w:val="134"/>
          <w:marBottom w:val="0"/>
          <w:divBdr>
            <w:top w:val="none" w:sz="0" w:space="0" w:color="auto"/>
            <w:left w:val="none" w:sz="0" w:space="0" w:color="auto"/>
            <w:bottom w:val="none" w:sz="0" w:space="0" w:color="auto"/>
            <w:right w:val="none" w:sz="0" w:space="0" w:color="auto"/>
          </w:divBdr>
        </w:div>
        <w:div w:id="2087680671">
          <w:marLeft w:val="1166"/>
          <w:marRight w:val="0"/>
          <w:marTop w:val="134"/>
          <w:marBottom w:val="0"/>
          <w:divBdr>
            <w:top w:val="none" w:sz="0" w:space="0" w:color="auto"/>
            <w:left w:val="none" w:sz="0" w:space="0" w:color="auto"/>
            <w:bottom w:val="none" w:sz="0" w:space="0" w:color="auto"/>
            <w:right w:val="none" w:sz="0" w:space="0" w:color="auto"/>
          </w:divBdr>
        </w:div>
      </w:divsChild>
    </w:div>
    <w:div w:id="875044617">
      <w:bodyDiv w:val="1"/>
      <w:marLeft w:val="0"/>
      <w:marRight w:val="0"/>
      <w:marTop w:val="0"/>
      <w:marBottom w:val="0"/>
      <w:divBdr>
        <w:top w:val="none" w:sz="0" w:space="0" w:color="auto"/>
        <w:left w:val="none" w:sz="0" w:space="0" w:color="auto"/>
        <w:bottom w:val="none" w:sz="0" w:space="0" w:color="auto"/>
        <w:right w:val="none" w:sz="0" w:space="0" w:color="auto"/>
      </w:divBdr>
    </w:div>
    <w:div w:id="879587991">
      <w:bodyDiv w:val="1"/>
      <w:marLeft w:val="0"/>
      <w:marRight w:val="0"/>
      <w:marTop w:val="0"/>
      <w:marBottom w:val="0"/>
      <w:divBdr>
        <w:top w:val="none" w:sz="0" w:space="0" w:color="auto"/>
        <w:left w:val="none" w:sz="0" w:space="0" w:color="auto"/>
        <w:bottom w:val="none" w:sz="0" w:space="0" w:color="auto"/>
        <w:right w:val="none" w:sz="0" w:space="0" w:color="auto"/>
      </w:divBdr>
      <w:divsChild>
        <w:div w:id="1196965196">
          <w:marLeft w:val="547"/>
          <w:marRight w:val="0"/>
          <w:marTop w:val="154"/>
          <w:marBottom w:val="0"/>
          <w:divBdr>
            <w:top w:val="none" w:sz="0" w:space="0" w:color="auto"/>
            <w:left w:val="none" w:sz="0" w:space="0" w:color="auto"/>
            <w:bottom w:val="none" w:sz="0" w:space="0" w:color="auto"/>
            <w:right w:val="none" w:sz="0" w:space="0" w:color="auto"/>
          </w:divBdr>
        </w:div>
      </w:divsChild>
    </w:div>
    <w:div w:id="881481409">
      <w:bodyDiv w:val="1"/>
      <w:marLeft w:val="0"/>
      <w:marRight w:val="0"/>
      <w:marTop w:val="0"/>
      <w:marBottom w:val="0"/>
      <w:divBdr>
        <w:top w:val="none" w:sz="0" w:space="0" w:color="auto"/>
        <w:left w:val="none" w:sz="0" w:space="0" w:color="auto"/>
        <w:bottom w:val="none" w:sz="0" w:space="0" w:color="auto"/>
        <w:right w:val="none" w:sz="0" w:space="0" w:color="auto"/>
      </w:divBdr>
    </w:div>
    <w:div w:id="882137381">
      <w:bodyDiv w:val="1"/>
      <w:marLeft w:val="0"/>
      <w:marRight w:val="0"/>
      <w:marTop w:val="0"/>
      <w:marBottom w:val="0"/>
      <w:divBdr>
        <w:top w:val="none" w:sz="0" w:space="0" w:color="auto"/>
        <w:left w:val="none" w:sz="0" w:space="0" w:color="auto"/>
        <w:bottom w:val="none" w:sz="0" w:space="0" w:color="auto"/>
        <w:right w:val="none" w:sz="0" w:space="0" w:color="auto"/>
      </w:divBdr>
    </w:div>
    <w:div w:id="885261041">
      <w:bodyDiv w:val="1"/>
      <w:marLeft w:val="0"/>
      <w:marRight w:val="0"/>
      <w:marTop w:val="0"/>
      <w:marBottom w:val="0"/>
      <w:divBdr>
        <w:top w:val="none" w:sz="0" w:space="0" w:color="auto"/>
        <w:left w:val="none" w:sz="0" w:space="0" w:color="auto"/>
        <w:bottom w:val="none" w:sz="0" w:space="0" w:color="auto"/>
        <w:right w:val="none" w:sz="0" w:space="0" w:color="auto"/>
      </w:divBdr>
      <w:divsChild>
        <w:div w:id="1155607359">
          <w:marLeft w:val="547"/>
          <w:marRight w:val="0"/>
          <w:marTop w:val="115"/>
          <w:marBottom w:val="0"/>
          <w:divBdr>
            <w:top w:val="none" w:sz="0" w:space="0" w:color="auto"/>
            <w:left w:val="none" w:sz="0" w:space="0" w:color="auto"/>
            <w:bottom w:val="none" w:sz="0" w:space="0" w:color="auto"/>
            <w:right w:val="none" w:sz="0" w:space="0" w:color="auto"/>
          </w:divBdr>
        </w:div>
        <w:div w:id="1264024356">
          <w:marLeft w:val="547"/>
          <w:marRight w:val="0"/>
          <w:marTop w:val="115"/>
          <w:marBottom w:val="0"/>
          <w:divBdr>
            <w:top w:val="none" w:sz="0" w:space="0" w:color="auto"/>
            <w:left w:val="none" w:sz="0" w:space="0" w:color="auto"/>
            <w:bottom w:val="none" w:sz="0" w:space="0" w:color="auto"/>
            <w:right w:val="none" w:sz="0" w:space="0" w:color="auto"/>
          </w:divBdr>
        </w:div>
        <w:div w:id="1460950231">
          <w:marLeft w:val="547"/>
          <w:marRight w:val="0"/>
          <w:marTop w:val="115"/>
          <w:marBottom w:val="0"/>
          <w:divBdr>
            <w:top w:val="none" w:sz="0" w:space="0" w:color="auto"/>
            <w:left w:val="none" w:sz="0" w:space="0" w:color="auto"/>
            <w:bottom w:val="none" w:sz="0" w:space="0" w:color="auto"/>
            <w:right w:val="none" w:sz="0" w:space="0" w:color="auto"/>
          </w:divBdr>
        </w:div>
      </w:divsChild>
    </w:div>
    <w:div w:id="886264175">
      <w:bodyDiv w:val="1"/>
      <w:marLeft w:val="0"/>
      <w:marRight w:val="0"/>
      <w:marTop w:val="0"/>
      <w:marBottom w:val="0"/>
      <w:divBdr>
        <w:top w:val="none" w:sz="0" w:space="0" w:color="auto"/>
        <w:left w:val="none" w:sz="0" w:space="0" w:color="auto"/>
        <w:bottom w:val="none" w:sz="0" w:space="0" w:color="auto"/>
        <w:right w:val="none" w:sz="0" w:space="0" w:color="auto"/>
      </w:divBdr>
    </w:div>
    <w:div w:id="899366089">
      <w:bodyDiv w:val="1"/>
      <w:marLeft w:val="0"/>
      <w:marRight w:val="0"/>
      <w:marTop w:val="0"/>
      <w:marBottom w:val="0"/>
      <w:divBdr>
        <w:top w:val="none" w:sz="0" w:space="0" w:color="auto"/>
        <w:left w:val="none" w:sz="0" w:space="0" w:color="auto"/>
        <w:bottom w:val="none" w:sz="0" w:space="0" w:color="auto"/>
        <w:right w:val="none" w:sz="0" w:space="0" w:color="auto"/>
      </w:divBdr>
      <w:divsChild>
        <w:div w:id="495153582">
          <w:marLeft w:val="547"/>
          <w:marRight w:val="0"/>
          <w:marTop w:val="154"/>
          <w:marBottom w:val="0"/>
          <w:divBdr>
            <w:top w:val="none" w:sz="0" w:space="0" w:color="auto"/>
            <w:left w:val="none" w:sz="0" w:space="0" w:color="auto"/>
            <w:bottom w:val="none" w:sz="0" w:space="0" w:color="auto"/>
            <w:right w:val="none" w:sz="0" w:space="0" w:color="auto"/>
          </w:divBdr>
        </w:div>
        <w:div w:id="1127049815">
          <w:marLeft w:val="547"/>
          <w:marRight w:val="0"/>
          <w:marTop w:val="154"/>
          <w:marBottom w:val="0"/>
          <w:divBdr>
            <w:top w:val="none" w:sz="0" w:space="0" w:color="auto"/>
            <w:left w:val="none" w:sz="0" w:space="0" w:color="auto"/>
            <w:bottom w:val="none" w:sz="0" w:space="0" w:color="auto"/>
            <w:right w:val="none" w:sz="0" w:space="0" w:color="auto"/>
          </w:divBdr>
        </w:div>
      </w:divsChild>
    </w:div>
    <w:div w:id="903443252">
      <w:bodyDiv w:val="1"/>
      <w:marLeft w:val="0"/>
      <w:marRight w:val="0"/>
      <w:marTop w:val="0"/>
      <w:marBottom w:val="0"/>
      <w:divBdr>
        <w:top w:val="none" w:sz="0" w:space="0" w:color="auto"/>
        <w:left w:val="none" w:sz="0" w:space="0" w:color="auto"/>
        <w:bottom w:val="none" w:sz="0" w:space="0" w:color="auto"/>
        <w:right w:val="none" w:sz="0" w:space="0" w:color="auto"/>
      </w:divBdr>
    </w:div>
    <w:div w:id="927689371">
      <w:bodyDiv w:val="1"/>
      <w:marLeft w:val="0"/>
      <w:marRight w:val="0"/>
      <w:marTop w:val="0"/>
      <w:marBottom w:val="0"/>
      <w:divBdr>
        <w:top w:val="none" w:sz="0" w:space="0" w:color="auto"/>
        <w:left w:val="none" w:sz="0" w:space="0" w:color="auto"/>
        <w:bottom w:val="none" w:sz="0" w:space="0" w:color="auto"/>
        <w:right w:val="none" w:sz="0" w:space="0" w:color="auto"/>
      </w:divBdr>
    </w:div>
    <w:div w:id="928349617">
      <w:bodyDiv w:val="1"/>
      <w:marLeft w:val="0"/>
      <w:marRight w:val="0"/>
      <w:marTop w:val="0"/>
      <w:marBottom w:val="0"/>
      <w:divBdr>
        <w:top w:val="none" w:sz="0" w:space="0" w:color="auto"/>
        <w:left w:val="none" w:sz="0" w:space="0" w:color="auto"/>
        <w:bottom w:val="none" w:sz="0" w:space="0" w:color="auto"/>
        <w:right w:val="none" w:sz="0" w:space="0" w:color="auto"/>
      </w:divBdr>
      <w:divsChild>
        <w:div w:id="1319187074">
          <w:marLeft w:val="547"/>
          <w:marRight w:val="0"/>
          <w:marTop w:val="154"/>
          <w:marBottom w:val="0"/>
          <w:divBdr>
            <w:top w:val="none" w:sz="0" w:space="0" w:color="auto"/>
            <w:left w:val="none" w:sz="0" w:space="0" w:color="auto"/>
            <w:bottom w:val="none" w:sz="0" w:space="0" w:color="auto"/>
            <w:right w:val="none" w:sz="0" w:space="0" w:color="auto"/>
          </w:divBdr>
        </w:div>
      </w:divsChild>
    </w:div>
    <w:div w:id="939871459">
      <w:bodyDiv w:val="1"/>
      <w:marLeft w:val="0"/>
      <w:marRight w:val="0"/>
      <w:marTop w:val="0"/>
      <w:marBottom w:val="0"/>
      <w:divBdr>
        <w:top w:val="none" w:sz="0" w:space="0" w:color="auto"/>
        <w:left w:val="none" w:sz="0" w:space="0" w:color="auto"/>
        <w:bottom w:val="none" w:sz="0" w:space="0" w:color="auto"/>
        <w:right w:val="none" w:sz="0" w:space="0" w:color="auto"/>
      </w:divBdr>
      <w:divsChild>
        <w:div w:id="339938700">
          <w:marLeft w:val="547"/>
          <w:marRight w:val="0"/>
          <w:marTop w:val="154"/>
          <w:marBottom w:val="0"/>
          <w:divBdr>
            <w:top w:val="none" w:sz="0" w:space="0" w:color="auto"/>
            <w:left w:val="none" w:sz="0" w:space="0" w:color="auto"/>
            <w:bottom w:val="none" w:sz="0" w:space="0" w:color="auto"/>
            <w:right w:val="none" w:sz="0" w:space="0" w:color="auto"/>
          </w:divBdr>
        </w:div>
        <w:div w:id="946277181">
          <w:marLeft w:val="547"/>
          <w:marRight w:val="0"/>
          <w:marTop w:val="154"/>
          <w:marBottom w:val="0"/>
          <w:divBdr>
            <w:top w:val="none" w:sz="0" w:space="0" w:color="auto"/>
            <w:left w:val="none" w:sz="0" w:space="0" w:color="auto"/>
            <w:bottom w:val="none" w:sz="0" w:space="0" w:color="auto"/>
            <w:right w:val="none" w:sz="0" w:space="0" w:color="auto"/>
          </w:divBdr>
        </w:div>
        <w:div w:id="1214852523">
          <w:marLeft w:val="547"/>
          <w:marRight w:val="0"/>
          <w:marTop w:val="154"/>
          <w:marBottom w:val="0"/>
          <w:divBdr>
            <w:top w:val="none" w:sz="0" w:space="0" w:color="auto"/>
            <w:left w:val="none" w:sz="0" w:space="0" w:color="auto"/>
            <w:bottom w:val="none" w:sz="0" w:space="0" w:color="auto"/>
            <w:right w:val="none" w:sz="0" w:space="0" w:color="auto"/>
          </w:divBdr>
        </w:div>
        <w:div w:id="1521040613">
          <w:marLeft w:val="547"/>
          <w:marRight w:val="0"/>
          <w:marTop w:val="154"/>
          <w:marBottom w:val="0"/>
          <w:divBdr>
            <w:top w:val="none" w:sz="0" w:space="0" w:color="auto"/>
            <w:left w:val="none" w:sz="0" w:space="0" w:color="auto"/>
            <w:bottom w:val="none" w:sz="0" w:space="0" w:color="auto"/>
            <w:right w:val="none" w:sz="0" w:space="0" w:color="auto"/>
          </w:divBdr>
        </w:div>
      </w:divsChild>
    </w:div>
    <w:div w:id="1030228716">
      <w:bodyDiv w:val="1"/>
      <w:marLeft w:val="0"/>
      <w:marRight w:val="0"/>
      <w:marTop w:val="0"/>
      <w:marBottom w:val="0"/>
      <w:divBdr>
        <w:top w:val="none" w:sz="0" w:space="0" w:color="auto"/>
        <w:left w:val="none" w:sz="0" w:space="0" w:color="auto"/>
        <w:bottom w:val="none" w:sz="0" w:space="0" w:color="auto"/>
        <w:right w:val="none" w:sz="0" w:space="0" w:color="auto"/>
      </w:divBdr>
    </w:div>
    <w:div w:id="1087314320">
      <w:bodyDiv w:val="1"/>
      <w:marLeft w:val="0"/>
      <w:marRight w:val="0"/>
      <w:marTop w:val="0"/>
      <w:marBottom w:val="0"/>
      <w:divBdr>
        <w:top w:val="none" w:sz="0" w:space="0" w:color="auto"/>
        <w:left w:val="none" w:sz="0" w:space="0" w:color="auto"/>
        <w:bottom w:val="none" w:sz="0" w:space="0" w:color="auto"/>
        <w:right w:val="none" w:sz="0" w:space="0" w:color="auto"/>
      </w:divBdr>
    </w:div>
    <w:div w:id="1091194803">
      <w:bodyDiv w:val="1"/>
      <w:marLeft w:val="0"/>
      <w:marRight w:val="0"/>
      <w:marTop w:val="0"/>
      <w:marBottom w:val="0"/>
      <w:divBdr>
        <w:top w:val="none" w:sz="0" w:space="0" w:color="auto"/>
        <w:left w:val="none" w:sz="0" w:space="0" w:color="auto"/>
        <w:bottom w:val="none" w:sz="0" w:space="0" w:color="auto"/>
        <w:right w:val="none" w:sz="0" w:space="0" w:color="auto"/>
      </w:divBdr>
    </w:div>
    <w:div w:id="1092774661">
      <w:bodyDiv w:val="1"/>
      <w:marLeft w:val="0"/>
      <w:marRight w:val="0"/>
      <w:marTop w:val="0"/>
      <w:marBottom w:val="0"/>
      <w:divBdr>
        <w:top w:val="none" w:sz="0" w:space="0" w:color="auto"/>
        <w:left w:val="none" w:sz="0" w:space="0" w:color="auto"/>
        <w:bottom w:val="none" w:sz="0" w:space="0" w:color="auto"/>
        <w:right w:val="none" w:sz="0" w:space="0" w:color="auto"/>
      </w:divBdr>
      <w:divsChild>
        <w:div w:id="1513182302">
          <w:marLeft w:val="547"/>
          <w:marRight w:val="0"/>
          <w:marTop w:val="154"/>
          <w:marBottom w:val="0"/>
          <w:divBdr>
            <w:top w:val="none" w:sz="0" w:space="0" w:color="auto"/>
            <w:left w:val="none" w:sz="0" w:space="0" w:color="auto"/>
            <w:bottom w:val="none" w:sz="0" w:space="0" w:color="auto"/>
            <w:right w:val="none" w:sz="0" w:space="0" w:color="auto"/>
          </w:divBdr>
        </w:div>
      </w:divsChild>
    </w:div>
    <w:div w:id="1104304696">
      <w:bodyDiv w:val="1"/>
      <w:marLeft w:val="0"/>
      <w:marRight w:val="0"/>
      <w:marTop w:val="0"/>
      <w:marBottom w:val="0"/>
      <w:divBdr>
        <w:top w:val="none" w:sz="0" w:space="0" w:color="auto"/>
        <w:left w:val="none" w:sz="0" w:space="0" w:color="auto"/>
        <w:bottom w:val="none" w:sz="0" w:space="0" w:color="auto"/>
        <w:right w:val="none" w:sz="0" w:space="0" w:color="auto"/>
      </w:divBdr>
      <w:divsChild>
        <w:div w:id="22681712">
          <w:marLeft w:val="1800"/>
          <w:marRight w:val="0"/>
          <w:marTop w:val="134"/>
          <w:marBottom w:val="0"/>
          <w:divBdr>
            <w:top w:val="none" w:sz="0" w:space="0" w:color="auto"/>
            <w:left w:val="none" w:sz="0" w:space="0" w:color="auto"/>
            <w:bottom w:val="none" w:sz="0" w:space="0" w:color="auto"/>
            <w:right w:val="none" w:sz="0" w:space="0" w:color="auto"/>
          </w:divBdr>
        </w:div>
        <w:div w:id="283777783">
          <w:marLeft w:val="1800"/>
          <w:marRight w:val="0"/>
          <w:marTop w:val="134"/>
          <w:marBottom w:val="0"/>
          <w:divBdr>
            <w:top w:val="none" w:sz="0" w:space="0" w:color="auto"/>
            <w:left w:val="none" w:sz="0" w:space="0" w:color="auto"/>
            <w:bottom w:val="none" w:sz="0" w:space="0" w:color="auto"/>
            <w:right w:val="none" w:sz="0" w:space="0" w:color="auto"/>
          </w:divBdr>
        </w:div>
        <w:div w:id="1946569812">
          <w:marLeft w:val="1800"/>
          <w:marRight w:val="0"/>
          <w:marTop w:val="134"/>
          <w:marBottom w:val="0"/>
          <w:divBdr>
            <w:top w:val="none" w:sz="0" w:space="0" w:color="auto"/>
            <w:left w:val="none" w:sz="0" w:space="0" w:color="auto"/>
            <w:bottom w:val="none" w:sz="0" w:space="0" w:color="auto"/>
            <w:right w:val="none" w:sz="0" w:space="0" w:color="auto"/>
          </w:divBdr>
        </w:div>
      </w:divsChild>
    </w:div>
    <w:div w:id="1119644372">
      <w:bodyDiv w:val="1"/>
      <w:marLeft w:val="0"/>
      <w:marRight w:val="0"/>
      <w:marTop w:val="0"/>
      <w:marBottom w:val="0"/>
      <w:divBdr>
        <w:top w:val="none" w:sz="0" w:space="0" w:color="auto"/>
        <w:left w:val="none" w:sz="0" w:space="0" w:color="auto"/>
        <w:bottom w:val="none" w:sz="0" w:space="0" w:color="auto"/>
        <w:right w:val="none" w:sz="0" w:space="0" w:color="auto"/>
      </w:divBdr>
      <w:divsChild>
        <w:div w:id="607346743">
          <w:marLeft w:val="547"/>
          <w:marRight w:val="0"/>
          <w:marTop w:val="115"/>
          <w:marBottom w:val="0"/>
          <w:divBdr>
            <w:top w:val="none" w:sz="0" w:space="0" w:color="auto"/>
            <w:left w:val="none" w:sz="0" w:space="0" w:color="auto"/>
            <w:bottom w:val="none" w:sz="0" w:space="0" w:color="auto"/>
            <w:right w:val="none" w:sz="0" w:space="0" w:color="auto"/>
          </w:divBdr>
        </w:div>
      </w:divsChild>
    </w:div>
    <w:div w:id="1119646466">
      <w:bodyDiv w:val="1"/>
      <w:marLeft w:val="0"/>
      <w:marRight w:val="0"/>
      <w:marTop w:val="0"/>
      <w:marBottom w:val="0"/>
      <w:divBdr>
        <w:top w:val="none" w:sz="0" w:space="0" w:color="auto"/>
        <w:left w:val="none" w:sz="0" w:space="0" w:color="auto"/>
        <w:bottom w:val="none" w:sz="0" w:space="0" w:color="auto"/>
        <w:right w:val="none" w:sz="0" w:space="0" w:color="auto"/>
      </w:divBdr>
      <w:divsChild>
        <w:div w:id="868110017">
          <w:marLeft w:val="547"/>
          <w:marRight w:val="0"/>
          <w:marTop w:val="134"/>
          <w:marBottom w:val="0"/>
          <w:divBdr>
            <w:top w:val="none" w:sz="0" w:space="0" w:color="auto"/>
            <w:left w:val="none" w:sz="0" w:space="0" w:color="auto"/>
            <w:bottom w:val="none" w:sz="0" w:space="0" w:color="auto"/>
            <w:right w:val="none" w:sz="0" w:space="0" w:color="auto"/>
          </w:divBdr>
        </w:div>
        <w:div w:id="1045562718">
          <w:marLeft w:val="547"/>
          <w:marRight w:val="0"/>
          <w:marTop w:val="134"/>
          <w:marBottom w:val="0"/>
          <w:divBdr>
            <w:top w:val="none" w:sz="0" w:space="0" w:color="auto"/>
            <w:left w:val="none" w:sz="0" w:space="0" w:color="auto"/>
            <w:bottom w:val="none" w:sz="0" w:space="0" w:color="auto"/>
            <w:right w:val="none" w:sz="0" w:space="0" w:color="auto"/>
          </w:divBdr>
        </w:div>
        <w:div w:id="1109740668">
          <w:marLeft w:val="547"/>
          <w:marRight w:val="0"/>
          <w:marTop w:val="134"/>
          <w:marBottom w:val="0"/>
          <w:divBdr>
            <w:top w:val="none" w:sz="0" w:space="0" w:color="auto"/>
            <w:left w:val="none" w:sz="0" w:space="0" w:color="auto"/>
            <w:bottom w:val="none" w:sz="0" w:space="0" w:color="auto"/>
            <w:right w:val="none" w:sz="0" w:space="0" w:color="auto"/>
          </w:divBdr>
        </w:div>
        <w:div w:id="1453134958">
          <w:marLeft w:val="547"/>
          <w:marRight w:val="0"/>
          <w:marTop w:val="134"/>
          <w:marBottom w:val="0"/>
          <w:divBdr>
            <w:top w:val="none" w:sz="0" w:space="0" w:color="auto"/>
            <w:left w:val="none" w:sz="0" w:space="0" w:color="auto"/>
            <w:bottom w:val="none" w:sz="0" w:space="0" w:color="auto"/>
            <w:right w:val="none" w:sz="0" w:space="0" w:color="auto"/>
          </w:divBdr>
        </w:div>
        <w:div w:id="1608384850">
          <w:marLeft w:val="547"/>
          <w:marRight w:val="0"/>
          <w:marTop w:val="134"/>
          <w:marBottom w:val="0"/>
          <w:divBdr>
            <w:top w:val="none" w:sz="0" w:space="0" w:color="auto"/>
            <w:left w:val="none" w:sz="0" w:space="0" w:color="auto"/>
            <w:bottom w:val="none" w:sz="0" w:space="0" w:color="auto"/>
            <w:right w:val="none" w:sz="0" w:space="0" w:color="auto"/>
          </w:divBdr>
        </w:div>
      </w:divsChild>
    </w:div>
    <w:div w:id="1154682882">
      <w:bodyDiv w:val="1"/>
      <w:marLeft w:val="0"/>
      <w:marRight w:val="0"/>
      <w:marTop w:val="0"/>
      <w:marBottom w:val="0"/>
      <w:divBdr>
        <w:top w:val="none" w:sz="0" w:space="0" w:color="auto"/>
        <w:left w:val="none" w:sz="0" w:space="0" w:color="auto"/>
        <w:bottom w:val="none" w:sz="0" w:space="0" w:color="auto"/>
        <w:right w:val="none" w:sz="0" w:space="0" w:color="auto"/>
      </w:divBdr>
    </w:div>
    <w:div w:id="1160192585">
      <w:bodyDiv w:val="1"/>
      <w:marLeft w:val="0"/>
      <w:marRight w:val="0"/>
      <w:marTop w:val="0"/>
      <w:marBottom w:val="0"/>
      <w:divBdr>
        <w:top w:val="none" w:sz="0" w:space="0" w:color="auto"/>
        <w:left w:val="none" w:sz="0" w:space="0" w:color="auto"/>
        <w:bottom w:val="none" w:sz="0" w:space="0" w:color="auto"/>
        <w:right w:val="none" w:sz="0" w:space="0" w:color="auto"/>
      </w:divBdr>
    </w:div>
    <w:div w:id="1183741153">
      <w:bodyDiv w:val="1"/>
      <w:marLeft w:val="0"/>
      <w:marRight w:val="0"/>
      <w:marTop w:val="0"/>
      <w:marBottom w:val="0"/>
      <w:divBdr>
        <w:top w:val="none" w:sz="0" w:space="0" w:color="auto"/>
        <w:left w:val="none" w:sz="0" w:space="0" w:color="auto"/>
        <w:bottom w:val="none" w:sz="0" w:space="0" w:color="auto"/>
        <w:right w:val="none" w:sz="0" w:space="0" w:color="auto"/>
      </w:divBdr>
    </w:div>
    <w:div w:id="1203440911">
      <w:bodyDiv w:val="1"/>
      <w:marLeft w:val="0"/>
      <w:marRight w:val="0"/>
      <w:marTop w:val="0"/>
      <w:marBottom w:val="0"/>
      <w:divBdr>
        <w:top w:val="none" w:sz="0" w:space="0" w:color="auto"/>
        <w:left w:val="none" w:sz="0" w:space="0" w:color="auto"/>
        <w:bottom w:val="none" w:sz="0" w:space="0" w:color="auto"/>
        <w:right w:val="none" w:sz="0" w:space="0" w:color="auto"/>
      </w:divBdr>
      <w:divsChild>
        <w:div w:id="551230358">
          <w:marLeft w:val="547"/>
          <w:marRight w:val="0"/>
          <w:marTop w:val="134"/>
          <w:marBottom w:val="0"/>
          <w:divBdr>
            <w:top w:val="none" w:sz="0" w:space="0" w:color="auto"/>
            <w:left w:val="none" w:sz="0" w:space="0" w:color="auto"/>
            <w:bottom w:val="none" w:sz="0" w:space="0" w:color="auto"/>
            <w:right w:val="none" w:sz="0" w:space="0" w:color="auto"/>
          </w:divBdr>
        </w:div>
        <w:div w:id="1285038248">
          <w:marLeft w:val="547"/>
          <w:marRight w:val="0"/>
          <w:marTop w:val="134"/>
          <w:marBottom w:val="0"/>
          <w:divBdr>
            <w:top w:val="none" w:sz="0" w:space="0" w:color="auto"/>
            <w:left w:val="none" w:sz="0" w:space="0" w:color="auto"/>
            <w:bottom w:val="none" w:sz="0" w:space="0" w:color="auto"/>
            <w:right w:val="none" w:sz="0" w:space="0" w:color="auto"/>
          </w:divBdr>
        </w:div>
        <w:div w:id="1665821252">
          <w:marLeft w:val="547"/>
          <w:marRight w:val="0"/>
          <w:marTop w:val="134"/>
          <w:marBottom w:val="0"/>
          <w:divBdr>
            <w:top w:val="none" w:sz="0" w:space="0" w:color="auto"/>
            <w:left w:val="none" w:sz="0" w:space="0" w:color="auto"/>
            <w:bottom w:val="none" w:sz="0" w:space="0" w:color="auto"/>
            <w:right w:val="none" w:sz="0" w:space="0" w:color="auto"/>
          </w:divBdr>
        </w:div>
        <w:div w:id="1740057577">
          <w:marLeft w:val="547"/>
          <w:marRight w:val="0"/>
          <w:marTop w:val="134"/>
          <w:marBottom w:val="0"/>
          <w:divBdr>
            <w:top w:val="none" w:sz="0" w:space="0" w:color="auto"/>
            <w:left w:val="none" w:sz="0" w:space="0" w:color="auto"/>
            <w:bottom w:val="none" w:sz="0" w:space="0" w:color="auto"/>
            <w:right w:val="none" w:sz="0" w:space="0" w:color="auto"/>
          </w:divBdr>
        </w:div>
      </w:divsChild>
    </w:div>
    <w:div w:id="1213347110">
      <w:bodyDiv w:val="1"/>
      <w:marLeft w:val="0"/>
      <w:marRight w:val="0"/>
      <w:marTop w:val="0"/>
      <w:marBottom w:val="0"/>
      <w:divBdr>
        <w:top w:val="none" w:sz="0" w:space="0" w:color="auto"/>
        <w:left w:val="none" w:sz="0" w:space="0" w:color="auto"/>
        <w:bottom w:val="none" w:sz="0" w:space="0" w:color="auto"/>
        <w:right w:val="none" w:sz="0" w:space="0" w:color="auto"/>
      </w:divBdr>
      <w:divsChild>
        <w:div w:id="1696466990">
          <w:marLeft w:val="547"/>
          <w:marRight w:val="0"/>
          <w:marTop w:val="115"/>
          <w:marBottom w:val="0"/>
          <w:divBdr>
            <w:top w:val="none" w:sz="0" w:space="0" w:color="auto"/>
            <w:left w:val="none" w:sz="0" w:space="0" w:color="auto"/>
            <w:bottom w:val="none" w:sz="0" w:space="0" w:color="auto"/>
            <w:right w:val="none" w:sz="0" w:space="0" w:color="auto"/>
          </w:divBdr>
        </w:div>
      </w:divsChild>
    </w:div>
    <w:div w:id="1236819108">
      <w:bodyDiv w:val="1"/>
      <w:marLeft w:val="0"/>
      <w:marRight w:val="0"/>
      <w:marTop w:val="0"/>
      <w:marBottom w:val="0"/>
      <w:divBdr>
        <w:top w:val="none" w:sz="0" w:space="0" w:color="auto"/>
        <w:left w:val="none" w:sz="0" w:space="0" w:color="auto"/>
        <w:bottom w:val="none" w:sz="0" w:space="0" w:color="auto"/>
        <w:right w:val="none" w:sz="0" w:space="0" w:color="auto"/>
      </w:divBdr>
    </w:div>
    <w:div w:id="1260524976">
      <w:bodyDiv w:val="1"/>
      <w:marLeft w:val="0"/>
      <w:marRight w:val="0"/>
      <w:marTop w:val="0"/>
      <w:marBottom w:val="0"/>
      <w:divBdr>
        <w:top w:val="none" w:sz="0" w:space="0" w:color="auto"/>
        <w:left w:val="none" w:sz="0" w:space="0" w:color="auto"/>
        <w:bottom w:val="none" w:sz="0" w:space="0" w:color="auto"/>
        <w:right w:val="none" w:sz="0" w:space="0" w:color="auto"/>
      </w:divBdr>
    </w:div>
    <w:div w:id="1267890192">
      <w:bodyDiv w:val="1"/>
      <w:marLeft w:val="0"/>
      <w:marRight w:val="0"/>
      <w:marTop w:val="0"/>
      <w:marBottom w:val="0"/>
      <w:divBdr>
        <w:top w:val="none" w:sz="0" w:space="0" w:color="auto"/>
        <w:left w:val="none" w:sz="0" w:space="0" w:color="auto"/>
        <w:bottom w:val="none" w:sz="0" w:space="0" w:color="auto"/>
        <w:right w:val="none" w:sz="0" w:space="0" w:color="auto"/>
      </w:divBdr>
    </w:div>
    <w:div w:id="1285817023">
      <w:bodyDiv w:val="1"/>
      <w:marLeft w:val="0"/>
      <w:marRight w:val="0"/>
      <w:marTop w:val="0"/>
      <w:marBottom w:val="0"/>
      <w:divBdr>
        <w:top w:val="none" w:sz="0" w:space="0" w:color="auto"/>
        <w:left w:val="none" w:sz="0" w:space="0" w:color="auto"/>
        <w:bottom w:val="none" w:sz="0" w:space="0" w:color="auto"/>
        <w:right w:val="none" w:sz="0" w:space="0" w:color="auto"/>
      </w:divBdr>
      <w:divsChild>
        <w:div w:id="275453865">
          <w:marLeft w:val="547"/>
          <w:marRight w:val="0"/>
          <w:marTop w:val="154"/>
          <w:marBottom w:val="0"/>
          <w:divBdr>
            <w:top w:val="none" w:sz="0" w:space="0" w:color="auto"/>
            <w:left w:val="none" w:sz="0" w:space="0" w:color="auto"/>
            <w:bottom w:val="none" w:sz="0" w:space="0" w:color="auto"/>
            <w:right w:val="none" w:sz="0" w:space="0" w:color="auto"/>
          </w:divBdr>
        </w:div>
      </w:divsChild>
    </w:div>
    <w:div w:id="1293750704">
      <w:bodyDiv w:val="1"/>
      <w:marLeft w:val="0"/>
      <w:marRight w:val="0"/>
      <w:marTop w:val="0"/>
      <w:marBottom w:val="0"/>
      <w:divBdr>
        <w:top w:val="none" w:sz="0" w:space="0" w:color="auto"/>
        <w:left w:val="none" w:sz="0" w:space="0" w:color="auto"/>
        <w:bottom w:val="none" w:sz="0" w:space="0" w:color="auto"/>
        <w:right w:val="none" w:sz="0" w:space="0" w:color="auto"/>
      </w:divBdr>
    </w:div>
    <w:div w:id="1295480075">
      <w:bodyDiv w:val="1"/>
      <w:marLeft w:val="0"/>
      <w:marRight w:val="0"/>
      <w:marTop w:val="0"/>
      <w:marBottom w:val="0"/>
      <w:divBdr>
        <w:top w:val="none" w:sz="0" w:space="0" w:color="auto"/>
        <w:left w:val="none" w:sz="0" w:space="0" w:color="auto"/>
        <w:bottom w:val="none" w:sz="0" w:space="0" w:color="auto"/>
        <w:right w:val="none" w:sz="0" w:space="0" w:color="auto"/>
      </w:divBdr>
    </w:div>
    <w:div w:id="1327781776">
      <w:bodyDiv w:val="1"/>
      <w:marLeft w:val="0"/>
      <w:marRight w:val="0"/>
      <w:marTop w:val="0"/>
      <w:marBottom w:val="0"/>
      <w:divBdr>
        <w:top w:val="none" w:sz="0" w:space="0" w:color="auto"/>
        <w:left w:val="none" w:sz="0" w:space="0" w:color="auto"/>
        <w:bottom w:val="none" w:sz="0" w:space="0" w:color="auto"/>
        <w:right w:val="none" w:sz="0" w:space="0" w:color="auto"/>
      </w:divBdr>
    </w:div>
    <w:div w:id="1341934784">
      <w:bodyDiv w:val="1"/>
      <w:marLeft w:val="0"/>
      <w:marRight w:val="0"/>
      <w:marTop w:val="0"/>
      <w:marBottom w:val="0"/>
      <w:divBdr>
        <w:top w:val="none" w:sz="0" w:space="0" w:color="auto"/>
        <w:left w:val="none" w:sz="0" w:space="0" w:color="auto"/>
        <w:bottom w:val="none" w:sz="0" w:space="0" w:color="auto"/>
        <w:right w:val="none" w:sz="0" w:space="0" w:color="auto"/>
      </w:divBdr>
    </w:div>
    <w:div w:id="1395077978">
      <w:bodyDiv w:val="1"/>
      <w:marLeft w:val="0"/>
      <w:marRight w:val="0"/>
      <w:marTop w:val="0"/>
      <w:marBottom w:val="0"/>
      <w:divBdr>
        <w:top w:val="none" w:sz="0" w:space="0" w:color="auto"/>
        <w:left w:val="none" w:sz="0" w:space="0" w:color="auto"/>
        <w:bottom w:val="none" w:sz="0" w:space="0" w:color="auto"/>
        <w:right w:val="none" w:sz="0" w:space="0" w:color="auto"/>
      </w:divBdr>
    </w:div>
    <w:div w:id="1395811669">
      <w:bodyDiv w:val="1"/>
      <w:marLeft w:val="0"/>
      <w:marRight w:val="0"/>
      <w:marTop w:val="0"/>
      <w:marBottom w:val="0"/>
      <w:divBdr>
        <w:top w:val="none" w:sz="0" w:space="0" w:color="auto"/>
        <w:left w:val="none" w:sz="0" w:space="0" w:color="auto"/>
        <w:bottom w:val="none" w:sz="0" w:space="0" w:color="auto"/>
        <w:right w:val="none" w:sz="0" w:space="0" w:color="auto"/>
      </w:divBdr>
    </w:div>
    <w:div w:id="1404453189">
      <w:bodyDiv w:val="1"/>
      <w:marLeft w:val="0"/>
      <w:marRight w:val="0"/>
      <w:marTop w:val="0"/>
      <w:marBottom w:val="0"/>
      <w:divBdr>
        <w:top w:val="none" w:sz="0" w:space="0" w:color="auto"/>
        <w:left w:val="none" w:sz="0" w:space="0" w:color="auto"/>
        <w:bottom w:val="none" w:sz="0" w:space="0" w:color="auto"/>
        <w:right w:val="none" w:sz="0" w:space="0" w:color="auto"/>
      </w:divBdr>
    </w:div>
    <w:div w:id="1408109138">
      <w:bodyDiv w:val="1"/>
      <w:marLeft w:val="0"/>
      <w:marRight w:val="0"/>
      <w:marTop w:val="0"/>
      <w:marBottom w:val="0"/>
      <w:divBdr>
        <w:top w:val="none" w:sz="0" w:space="0" w:color="auto"/>
        <w:left w:val="none" w:sz="0" w:space="0" w:color="auto"/>
        <w:bottom w:val="none" w:sz="0" w:space="0" w:color="auto"/>
        <w:right w:val="none" w:sz="0" w:space="0" w:color="auto"/>
      </w:divBdr>
    </w:div>
    <w:div w:id="1420909391">
      <w:bodyDiv w:val="1"/>
      <w:marLeft w:val="0"/>
      <w:marRight w:val="0"/>
      <w:marTop w:val="0"/>
      <w:marBottom w:val="0"/>
      <w:divBdr>
        <w:top w:val="none" w:sz="0" w:space="0" w:color="auto"/>
        <w:left w:val="none" w:sz="0" w:space="0" w:color="auto"/>
        <w:bottom w:val="none" w:sz="0" w:space="0" w:color="auto"/>
        <w:right w:val="none" w:sz="0" w:space="0" w:color="auto"/>
      </w:divBdr>
    </w:div>
    <w:div w:id="1426995198">
      <w:bodyDiv w:val="1"/>
      <w:marLeft w:val="0"/>
      <w:marRight w:val="0"/>
      <w:marTop w:val="0"/>
      <w:marBottom w:val="0"/>
      <w:divBdr>
        <w:top w:val="none" w:sz="0" w:space="0" w:color="auto"/>
        <w:left w:val="none" w:sz="0" w:space="0" w:color="auto"/>
        <w:bottom w:val="none" w:sz="0" w:space="0" w:color="auto"/>
        <w:right w:val="none" w:sz="0" w:space="0" w:color="auto"/>
      </w:divBdr>
      <w:divsChild>
        <w:div w:id="204097156">
          <w:marLeft w:val="547"/>
          <w:marRight w:val="0"/>
          <w:marTop w:val="134"/>
          <w:marBottom w:val="0"/>
          <w:divBdr>
            <w:top w:val="none" w:sz="0" w:space="0" w:color="auto"/>
            <w:left w:val="none" w:sz="0" w:space="0" w:color="auto"/>
            <w:bottom w:val="none" w:sz="0" w:space="0" w:color="auto"/>
            <w:right w:val="none" w:sz="0" w:space="0" w:color="auto"/>
          </w:divBdr>
        </w:div>
      </w:divsChild>
    </w:div>
    <w:div w:id="1435783610">
      <w:bodyDiv w:val="1"/>
      <w:marLeft w:val="0"/>
      <w:marRight w:val="0"/>
      <w:marTop w:val="0"/>
      <w:marBottom w:val="0"/>
      <w:divBdr>
        <w:top w:val="none" w:sz="0" w:space="0" w:color="auto"/>
        <w:left w:val="none" w:sz="0" w:space="0" w:color="auto"/>
        <w:bottom w:val="none" w:sz="0" w:space="0" w:color="auto"/>
        <w:right w:val="none" w:sz="0" w:space="0" w:color="auto"/>
      </w:divBdr>
    </w:div>
    <w:div w:id="1447694278">
      <w:bodyDiv w:val="1"/>
      <w:marLeft w:val="0"/>
      <w:marRight w:val="0"/>
      <w:marTop w:val="0"/>
      <w:marBottom w:val="0"/>
      <w:divBdr>
        <w:top w:val="none" w:sz="0" w:space="0" w:color="auto"/>
        <w:left w:val="none" w:sz="0" w:space="0" w:color="auto"/>
        <w:bottom w:val="none" w:sz="0" w:space="0" w:color="auto"/>
        <w:right w:val="none" w:sz="0" w:space="0" w:color="auto"/>
      </w:divBdr>
      <w:divsChild>
        <w:div w:id="1753701338">
          <w:marLeft w:val="547"/>
          <w:marRight w:val="0"/>
          <w:marTop w:val="154"/>
          <w:marBottom w:val="0"/>
          <w:divBdr>
            <w:top w:val="none" w:sz="0" w:space="0" w:color="auto"/>
            <w:left w:val="none" w:sz="0" w:space="0" w:color="auto"/>
            <w:bottom w:val="none" w:sz="0" w:space="0" w:color="auto"/>
            <w:right w:val="none" w:sz="0" w:space="0" w:color="auto"/>
          </w:divBdr>
        </w:div>
      </w:divsChild>
    </w:div>
    <w:div w:id="1468010254">
      <w:bodyDiv w:val="1"/>
      <w:marLeft w:val="0"/>
      <w:marRight w:val="0"/>
      <w:marTop w:val="0"/>
      <w:marBottom w:val="0"/>
      <w:divBdr>
        <w:top w:val="none" w:sz="0" w:space="0" w:color="auto"/>
        <w:left w:val="none" w:sz="0" w:space="0" w:color="auto"/>
        <w:bottom w:val="none" w:sz="0" w:space="0" w:color="auto"/>
        <w:right w:val="none" w:sz="0" w:space="0" w:color="auto"/>
      </w:divBdr>
      <w:divsChild>
        <w:div w:id="959144682">
          <w:marLeft w:val="547"/>
          <w:marRight w:val="0"/>
          <w:marTop w:val="154"/>
          <w:marBottom w:val="0"/>
          <w:divBdr>
            <w:top w:val="none" w:sz="0" w:space="0" w:color="auto"/>
            <w:left w:val="none" w:sz="0" w:space="0" w:color="auto"/>
            <w:bottom w:val="none" w:sz="0" w:space="0" w:color="auto"/>
            <w:right w:val="none" w:sz="0" w:space="0" w:color="auto"/>
          </w:divBdr>
        </w:div>
      </w:divsChild>
    </w:div>
    <w:div w:id="1481573673">
      <w:bodyDiv w:val="1"/>
      <w:marLeft w:val="0"/>
      <w:marRight w:val="0"/>
      <w:marTop w:val="0"/>
      <w:marBottom w:val="0"/>
      <w:divBdr>
        <w:top w:val="none" w:sz="0" w:space="0" w:color="auto"/>
        <w:left w:val="none" w:sz="0" w:space="0" w:color="auto"/>
        <w:bottom w:val="none" w:sz="0" w:space="0" w:color="auto"/>
        <w:right w:val="none" w:sz="0" w:space="0" w:color="auto"/>
      </w:divBdr>
    </w:div>
    <w:div w:id="1494907208">
      <w:bodyDiv w:val="1"/>
      <w:marLeft w:val="0"/>
      <w:marRight w:val="0"/>
      <w:marTop w:val="0"/>
      <w:marBottom w:val="0"/>
      <w:divBdr>
        <w:top w:val="none" w:sz="0" w:space="0" w:color="auto"/>
        <w:left w:val="none" w:sz="0" w:space="0" w:color="auto"/>
        <w:bottom w:val="none" w:sz="0" w:space="0" w:color="auto"/>
        <w:right w:val="none" w:sz="0" w:space="0" w:color="auto"/>
      </w:divBdr>
    </w:div>
    <w:div w:id="1525246839">
      <w:bodyDiv w:val="1"/>
      <w:marLeft w:val="0"/>
      <w:marRight w:val="0"/>
      <w:marTop w:val="0"/>
      <w:marBottom w:val="0"/>
      <w:divBdr>
        <w:top w:val="none" w:sz="0" w:space="0" w:color="auto"/>
        <w:left w:val="none" w:sz="0" w:space="0" w:color="auto"/>
        <w:bottom w:val="none" w:sz="0" w:space="0" w:color="auto"/>
        <w:right w:val="none" w:sz="0" w:space="0" w:color="auto"/>
      </w:divBdr>
      <w:divsChild>
        <w:div w:id="1901748587">
          <w:marLeft w:val="547"/>
          <w:marRight w:val="0"/>
          <w:marTop w:val="154"/>
          <w:marBottom w:val="0"/>
          <w:divBdr>
            <w:top w:val="none" w:sz="0" w:space="0" w:color="auto"/>
            <w:left w:val="none" w:sz="0" w:space="0" w:color="auto"/>
            <w:bottom w:val="none" w:sz="0" w:space="0" w:color="auto"/>
            <w:right w:val="none" w:sz="0" w:space="0" w:color="auto"/>
          </w:divBdr>
        </w:div>
      </w:divsChild>
    </w:div>
    <w:div w:id="1525249342">
      <w:bodyDiv w:val="1"/>
      <w:marLeft w:val="0"/>
      <w:marRight w:val="0"/>
      <w:marTop w:val="0"/>
      <w:marBottom w:val="0"/>
      <w:divBdr>
        <w:top w:val="none" w:sz="0" w:space="0" w:color="auto"/>
        <w:left w:val="none" w:sz="0" w:space="0" w:color="auto"/>
        <w:bottom w:val="none" w:sz="0" w:space="0" w:color="auto"/>
        <w:right w:val="none" w:sz="0" w:space="0" w:color="auto"/>
      </w:divBdr>
    </w:div>
    <w:div w:id="1526866734">
      <w:bodyDiv w:val="1"/>
      <w:marLeft w:val="0"/>
      <w:marRight w:val="0"/>
      <w:marTop w:val="0"/>
      <w:marBottom w:val="0"/>
      <w:divBdr>
        <w:top w:val="none" w:sz="0" w:space="0" w:color="auto"/>
        <w:left w:val="none" w:sz="0" w:space="0" w:color="auto"/>
        <w:bottom w:val="none" w:sz="0" w:space="0" w:color="auto"/>
        <w:right w:val="none" w:sz="0" w:space="0" w:color="auto"/>
      </w:divBdr>
    </w:div>
    <w:div w:id="1527792090">
      <w:bodyDiv w:val="1"/>
      <w:marLeft w:val="0"/>
      <w:marRight w:val="0"/>
      <w:marTop w:val="0"/>
      <w:marBottom w:val="0"/>
      <w:divBdr>
        <w:top w:val="none" w:sz="0" w:space="0" w:color="auto"/>
        <w:left w:val="none" w:sz="0" w:space="0" w:color="auto"/>
        <w:bottom w:val="none" w:sz="0" w:space="0" w:color="auto"/>
        <w:right w:val="none" w:sz="0" w:space="0" w:color="auto"/>
      </w:divBdr>
    </w:div>
    <w:div w:id="1546791099">
      <w:bodyDiv w:val="1"/>
      <w:marLeft w:val="0"/>
      <w:marRight w:val="0"/>
      <w:marTop w:val="0"/>
      <w:marBottom w:val="0"/>
      <w:divBdr>
        <w:top w:val="none" w:sz="0" w:space="0" w:color="auto"/>
        <w:left w:val="none" w:sz="0" w:space="0" w:color="auto"/>
        <w:bottom w:val="none" w:sz="0" w:space="0" w:color="auto"/>
        <w:right w:val="none" w:sz="0" w:space="0" w:color="auto"/>
      </w:divBdr>
      <w:divsChild>
        <w:div w:id="460660961">
          <w:marLeft w:val="547"/>
          <w:marRight w:val="0"/>
          <w:marTop w:val="134"/>
          <w:marBottom w:val="0"/>
          <w:divBdr>
            <w:top w:val="none" w:sz="0" w:space="0" w:color="auto"/>
            <w:left w:val="none" w:sz="0" w:space="0" w:color="auto"/>
            <w:bottom w:val="none" w:sz="0" w:space="0" w:color="auto"/>
            <w:right w:val="none" w:sz="0" w:space="0" w:color="auto"/>
          </w:divBdr>
        </w:div>
        <w:div w:id="1501114595">
          <w:marLeft w:val="547"/>
          <w:marRight w:val="0"/>
          <w:marTop w:val="134"/>
          <w:marBottom w:val="0"/>
          <w:divBdr>
            <w:top w:val="none" w:sz="0" w:space="0" w:color="auto"/>
            <w:left w:val="none" w:sz="0" w:space="0" w:color="auto"/>
            <w:bottom w:val="none" w:sz="0" w:space="0" w:color="auto"/>
            <w:right w:val="none" w:sz="0" w:space="0" w:color="auto"/>
          </w:divBdr>
        </w:div>
      </w:divsChild>
    </w:div>
    <w:div w:id="1547984061">
      <w:bodyDiv w:val="1"/>
      <w:marLeft w:val="0"/>
      <w:marRight w:val="0"/>
      <w:marTop w:val="0"/>
      <w:marBottom w:val="0"/>
      <w:divBdr>
        <w:top w:val="none" w:sz="0" w:space="0" w:color="auto"/>
        <w:left w:val="none" w:sz="0" w:space="0" w:color="auto"/>
        <w:bottom w:val="none" w:sz="0" w:space="0" w:color="auto"/>
        <w:right w:val="none" w:sz="0" w:space="0" w:color="auto"/>
      </w:divBdr>
      <w:divsChild>
        <w:div w:id="336618337">
          <w:marLeft w:val="547"/>
          <w:marRight w:val="0"/>
          <w:marTop w:val="154"/>
          <w:marBottom w:val="0"/>
          <w:divBdr>
            <w:top w:val="none" w:sz="0" w:space="0" w:color="auto"/>
            <w:left w:val="none" w:sz="0" w:space="0" w:color="auto"/>
            <w:bottom w:val="none" w:sz="0" w:space="0" w:color="auto"/>
            <w:right w:val="none" w:sz="0" w:space="0" w:color="auto"/>
          </w:divBdr>
        </w:div>
        <w:div w:id="767430870">
          <w:marLeft w:val="547"/>
          <w:marRight w:val="0"/>
          <w:marTop w:val="154"/>
          <w:marBottom w:val="0"/>
          <w:divBdr>
            <w:top w:val="none" w:sz="0" w:space="0" w:color="auto"/>
            <w:left w:val="none" w:sz="0" w:space="0" w:color="auto"/>
            <w:bottom w:val="none" w:sz="0" w:space="0" w:color="auto"/>
            <w:right w:val="none" w:sz="0" w:space="0" w:color="auto"/>
          </w:divBdr>
        </w:div>
        <w:div w:id="1913588414">
          <w:marLeft w:val="547"/>
          <w:marRight w:val="0"/>
          <w:marTop w:val="154"/>
          <w:marBottom w:val="0"/>
          <w:divBdr>
            <w:top w:val="none" w:sz="0" w:space="0" w:color="auto"/>
            <w:left w:val="none" w:sz="0" w:space="0" w:color="auto"/>
            <w:bottom w:val="none" w:sz="0" w:space="0" w:color="auto"/>
            <w:right w:val="none" w:sz="0" w:space="0" w:color="auto"/>
          </w:divBdr>
        </w:div>
      </w:divsChild>
    </w:div>
    <w:div w:id="1558860618">
      <w:bodyDiv w:val="1"/>
      <w:marLeft w:val="0"/>
      <w:marRight w:val="0"/>
      <w:marTop w:val="0"/>
      <w:marBottom w:val="0"/>
      <w:divBdr>
        <w:top w:val="none" w:sz="0" w:space="0" w:color="auto"/>
        <w:left w:val="none" w:sz="0" w:space="0" w:color="auto"/>
        <w:bottom w:val="none" w:sz="0" w:space="0" w:color="auto"/>
        <w:right w:val="none" w:sz="0" w:space="0" w:color="auto"/>
      </w:divBdr>
    </w:div>
    <w:div w:id="1580672194">
      <w:bodyDiv w:val="1"/>
      <w:marLeft w:val="0"/>
      <w:marRight w:val="0"/>
      <w:marTop w:val="0"/>
      <w:marBottom w:val="0"/>
      <w:divBdr>
        <w:top w:val="none" w:sz="0" w:space="0" w:color="auto"/>
        <w:left w:val="none" w:sz="0" w:space="0" w:color="auto"/>
        <w:bottom w:val="none" w:sz="0" w:space="0" w:color="auto"/>
        <w:right w:val="none" w:sz="0" w:space="0" w:color="auto"/>
      </w:divBdr>
      <w:divsChild>
        <w:div w:id="859667418">
          <w:marLeft w:val="547"/>
          <w:marRight w:val="0"/>
          <w:marTop w:val="134"/>
          <w:marBottom w:val="0"/>
          <w:divBdr>
            <w:top w:val="none" w:sz="0" w:space="0" w:color="auto"/>
            <w:left w:val="none" w:sz="0" w:space="0" w:color="auto"/>
            <w:bottom w:val="none" w:sz="0" w:space="0" w:color="auto"/>
            <w:right w:val="none" w:sz="0" w:space="0" w:color="auto"/>
          </w:divBdr>
        </w:div>
        <w:div w:id="1766225987">
          <w:marLeft w:val="547"/>
          <w:marRight w:val="0"/>
          <w:marTop w:val="134"/>
          <w:marBottom w:val="0"/>
          <w:divBdr>
            <w:top w:val="none" w:sz="0" w:space="0" w:color="auto"/>
            <w:left w:val="none" w:sz="0" w:space="0" w:color="auto"/>
            <w:bottom w:val="none" w:sz="0" w:space="0" w:color="auto"/>
            <w:right w:val="none" w:sz="0" w:space="0" w:color="auto"/>
          </w:divBdr>
        </w:div>
        <w:div w:id="1978758619">
          <w:marLeft w:val="547"/>
          <w:marRight w:val="0"/>
          <w:marTop w:val="134"/>
          <w:marBottom w:val="0"/>
          <w:divBdr>
            <w:top w:val="none" w:sz="0" w:space="0" w:color="auto"/>
            <w:left w:val="none" w:sz="0" w:space="0" w:color="auto"/>
            <w:bottom w:val="none" w:sz="0" w:space="0" w:color="auto"/>
            <w:right w:val="none" w:sz="0" w:space="0" w:color="auto"/>
          </w:divBdr>
        </w:div>
        <w:div w:id="2094547441">
          <w:marLeft w:val="547"/>
          <w:marRight w:val="0"/>
          <w:marTop w:val="134"/>
          <w:marBottom w:val="0"/>
          <w:divBdr>
            <w:top w:val="none" w:sz="0" w:space="0" w:color="auto"/>
            <w:left w:val="none" w:sz="0" w:space="0" w:color="auto"/>
            <w:bottom w:val="none" w:sz="0" w:space="0" w:color="auto"/>
            <w:right w:val="none" w:sz="0" w:space="0" w:color="auto"/>
          </w:divBdr>
        </w:div>
        <w:div w:id="2100323822">
          <w:marLeft w:val="547"/>
          <w:marRight w:val="0"/>
          <w:marTop w:val="134"/>
          <w:marBottom w:val="0"/>
          <w:divBdr>
            <w:top w:val="none" w:sz="0" w:space="0" w:color="auto"/>
            <w:left w:val="none" w:sz="0" w:space="0" w:color="auto"/>
            <w:bottom w:val="none" w:sz="0" w:space="0" w:color="auto"/>
            <w:right w:val="none" w:sz="0" w:space="0" w:color="auto"/>
          </w:divBdr>
        </w:div>
      </w:divsChild>
    </w:div>
    <w:div w:id="1597401031">
      <w:bodyDiv w:val="1"/>
      <w:marLeft w:val="0"/>
      <w:marRight w:val="0"/>
      <w:marTop w:val="0"/>
      <w:marBottom w:val="0"/>
      <w:divBdr>
        <w:top w:val="none" w:sz="0" w:space="0" w:color="auto"/>
        <w:left w:val="none" w:sz="0" w:space="0" w:color="auto"/>
        <w:bottom w:val="none" w:sz="0" w:space="0" w:color="auto"/>
        <w:right w:val="none" w:sz="0" w:space="0" w:color="auto"/>
      </w:divBdr>
      <w:divsChild>
        <w:div w:id="1675374889">
          <w:marLeft w:val="547"/>
          <w:marRight w:val="0"/>
          <w:marTop w:val="154"/>
          <w:marBottom w:val="0"/>
          <w:divBdr>
            <w:top w:val="none" w:sz="0" w:space="0" w:color="auto"/>
            <w:left w:val="none" w:sz="0" w:space="0" w:color="auto"/>
            <w:bottom w:val="none" w:sz="0" w:space="0" w:color="auto"/>
            <w:right w:val="none" w:sz="0" w:space="0" w:color="auto"/>
          </w:divBdr>
        </w:div>
        <w:div w:id="1996105266">
          <w:marLeft w:val="547"/>
          <w:marRight w:val="0"/>
          <w:marTop w:val="154"/>
          <w:marBottom w:val="0"/>
          <w:divBdr>
            <w:top w:val="none" w:sz="0" w:space="0" w:color="auto"/>
            <w:left w:val="none" w:sz="0" w:space="0" w:color="auto"/>
            <w:bottom w:val="none" w:sz="0" w:space="0" w:color="auto"/>
            <w:right w:val="none" w:sz="0" w:space="0" w:color="auto"/>
          </w:divBdr>
        </w:div>
      </w:divsChild>
    </w:div>
    <w:div w:id="1606886232">
      <w:bodyDiv w:val="1"/>
      <w:marLeft w:val="0"/>
      <w:marRight w:val="0"/>
      <w:marTop w:val="0"/>
      <w:marBottom w:val="0"/>
      <w:divBdr>
        <w:top w:val="none" w:sz="0" w:space="0" w:color="auto"/>
        <w:left w:val="none" w:sz="0" w:space="0" w:color="auto"/>
        <w:bottom w:val="none" w:sz="0" w:space="0" w:color="auto"/>
        <w:right w:val="none" w:sz="0" w:space="0" w:color="auto"/>
      </w:divBdr>
    </w:div>
    <w:div w:id="1607695552">
      <w:bodyDiv w:val="1"/>
      <w:marLeft w:val="0"/>
      <w:marRight w:val="0"/>
      <w:marTop w:val="0"/>
      <w:marBottom w:val="0"/>
      <w:divBdr>
        <w:top w:val="none" w:sz="0" w:space="0" w:color="auto"/>
        <w:left w:val="none" w:sz="0" w:space="0" w:color="auto"/>
        <w:bottom w:val="none" w:sz="0" w:space="0" w:color="auto"/>
        <w:right w:val="none" w:sz="0" w:space="0" w:color="auto"/>
      </w:divBdr>
      <w:divsChild>
        <w:div w:id="1177574359">
          <w:marLeft w:val="547"/>
          <w:marRight w:val="0"/>
          <w:marTop w:val="154"/>
          <w:marBottom w:val="0"/>
          <w:divBdr>
            <w:top w:val="none" w:sz="0" w:space="0" w:color="auto"/>
            <w:left w:val="none" w:sz="0" w:space="0" w:color="auto"/>
            <w:bottom w:val="none" w:sz="0" w:space="0" w:color="auto"/>
            <w:right w:val="none" w:sz="0" w:space="0" w:color="auto"/>
          </w:divBdr>
        </w:div>
      </w:divsChild>
    </w:div>
    <w:div w:id="1627854539">
      <w:bodyDiv w:val="1"/>
      <w:marLeft w:val="0"/>
      <w:marRight w:val="0"/>
      <w:marTop w:val="0"/>
      <w:marBottom w:val="0"/>
      <w:divBdr>
        <w:top w:val="none" w:sz="0" w:space="0" w:color="auto"/>
        <w:left w:val="none" w:sz="0" w:space="0" w:color="auto"/>
        <w:bottom w:val="none" w:sz="0" w:space="0" w:color="auto"/>
        <w:right w:val="none" w:sz="0" w:space="0" w:color="auto"/>
      </w:divBdr>
    </w:div>
    <w:div w:id="1630237835">
      <w:bodyDiv w:val="1"/>
      <w:marLeft w:val="0"/>
      <w:marRight w:val="0"/>
      <w:marTop w:val="0"/>
      <w:marBottom w:val="0"/>
      <w:divBdr>
        <w:top w:val="none" w:sz="0" w:space="0" w:color="auto"/>
        <w:left w:val="none" w:sz="0" w:space="0" w:color="auto"/>
        <w:bottom w:val="none" w:sz="0" w:space="0" w:color="auto"/>
        <w:right w:val="none" w:sz="0" w:space="0" w:color="auto"/>
      </w:divBdr>
      <w:divsChild>
        <w:div w:id="772896418">
          <w:marLeft w:val="547"/>
          <w:marRight w:val="0"/>
          <w:marTop w:val="134"/>
          <w:marBottom w:val="0"/>
          <w:divBdr>
            <w:top w:val="none" w:sz="0" w:space="0" w:color="auto"/>
            <w:left w:val="none" w:sz="0" w:space="0" w:color="auto"/>
            <w:bottom w:val="none" w:sz="0" w:space="0" w:color="auto"/>
            <w:right w:val="none" w:sz="0" w:space="0" w:color="auto"/>
          </w:divBdr>
        </w:div>
      </w:divsChild>
    </w:div>
    <w:div w:id="1632133802">
      <w:bodyDiv w:val="1"/>
      <w:marLeft w:val="0"/>
      <w:marRight w:val="0"/>
      <w:marTop w:val="0"/>
      <w:marBottom w:val="0"/>
      <w:divBdr>
        <w:top w:val="none" w:sz="0" w:space="0" w:color="auto"/>
        <w:left w:val="none" w:sz="0" w:space="0" w:color="auto"/>
        <w:bottom w:val="none" w:sz="0" w:space="0" w:color="auto"/>
        <w:right w:val="none" w:sz="0" w:space="0" w:color="auto"/>
      </w:divBdr>
      <w:divsChild>
        <w:div w:id="1451824919">
          <w:marLeft w:val="547"/>
          <w:marRight w:val="0"/>
          <w:marTop w:val="154"/>
          <w:marBottom w:val="0"/>
          <w:divBdr>
            <w:top w:val="none" w:sz="0" w:space="0" w:color="auto"/>
            <w:left w:val="none" w:sz="0" w:space="0" w:color="auto"/>
            <w:bottom w:val="none" w:sz="0" w:space="0" w:color="auto"/>
            <w:right w:val="none" w:sz="0" w:space="0" w:color="auto"/>
          </w:divBdr>
        </w:div>
      </w:divsChild>
    </w:div>
    <w:div w:id="1651862489">
      <w:bodyDiv w:val="1"/>
      <w:marLeft w:val="0"/>
      <w:marRight w:val="0"/>
      <w:marTop w:val="0"/>
      <w:marBottom w:val="0"/>
      <w:divBdr>
        <w:top w:val="none" w:sz="0" w:space="0" w:color="auto"/>
        <w:left w:val="none" w:sz="0" w:space="0" w:color="auto"/>
        <w:bottom w:val="none" w:sz="0" w:space="0" w:color="auto"/>
        <w:right w:val="none" w:sz="0" w:space="0" w:color="auto"/>
      </w:divBdr>
      <w:divsChild>
        <w:div w:id="692997071">
          <w:marLeft w:val="547"/>
          <w:marRight w:val="0"/>
          <w:marTop w:val="154"/>
          <w:marBottom w:val="0"/>
          <w:divBdr>
            <w:top w:val="none" w:sz="0" w:space="0" w:color="auto"/>
            <w:left w:val="none" w:sz="0" w:space="0" w:color="auto"/>
            <w:bottom w:val="none" w:sz="0" w:space="0" w:color="auto"/>
            <w:right w:val="none" w:sz="0" w:space="0" w:color="auto"/>
          </w:divBdr>
        </w:div>
        <w:div w:id="856850370">
          <w:marLeft w:val="547"/>
          <w:marRight w:val="0"/>
          <w:marTop w:val="154"/>
          <w:marBottom w:val="0"/>
          <w:divBdr>
            <w:top w:val="none" w:sz="0" w:space="0" w:color="auto"/>
            <w:left w:val="none" w:sz="0" w:space="0" w:color="auto"/>
            <w:bottom w:val="none" w:sz="0" w:space="0" w:color="auto"/>
            <w:right w:val="none" w:sz="0" w:space="0" w:color="auto"/>
          </w:divBdr>
        </w:div>
        <w:div w:id="1934051328">
          <w:marLeft w:val="547"/>
          <w:marRight w:val="0"/>
          <w:marTop w:val="154"/>
          <w:marBottom w:val="0"/>
          <w:divBdr>
            <w:top w:val="none" w:sz="0" w:space="0" w:color="auto"/>
            <w:left w:val="none" w:sz="0" w:space="0" w:color="auto"/>
            <w:bottom w:val="none" w:sz="0" w:space="0" w:color="auto"/>
            <w:right w:val="none" w:sz="0" w:space="0" w:color="auto"/>
          </w:divBdr>
        </w:div>
      </w:divsChild>
    </w:div>
    <w:div w:id="1657031814">
      <w:bodyDiv w:val="1"/>
      <w:marLeft w:val="0"/>
      <w:marRight w:val="0"/>
      <w:marTop w:val="0"/>
      <w:marBottom w:val="0"/>
      <w:divBdr>
        <w:top w:val="none" w:sz="0" w:space="0" w:color="auto"/>
        <w:left w:val="none" w:sz="0" w:space="0" w:color="auto"/>
        <w:bottom w:val="none" w:sz="0" w:space="0" w:color="auto"/>
        <w:right w:val="none" w:sz="0" w:space="0" w:color="auto"/>
      </w:divBdr>
      <w:divsChild>
        <w:div w:id="165948099">
          <w:marLeft w:val="1800"/>
          <w:marRight w:val="0"/>
          <w:marTop w:val="134"/>
          <w:marBottom w:val="0"/>
          <w:divBdr>
            <w:top w:val="none" w:sz="0" w:space="0" w:color="auto"/>
            <w:left w:val="none" w:sz="0" w:space="0" w:color="auto"/>
            <w:bottom w:val="none" w:sz="0" w:space="0" w:color="auto"/>
            <w:right w:val="none" w:sz="0" w:space="0" w:color="auto"/>
          </w:divBdr>
        </w:div>
        <w:div w:id="240792235">
          <w:marLeft w:val="1800"/>
          <w:marRight w:val="0"/>
          <w:marTop w:val="134"/>
          <w:marBottom w:val="0"/>
          <w:divBdr>
            <w:top w:val="none" w:sz="0" w:space="0" w:color="auto"/>
            <w:left w:val="none" w:sz="0" w:space="0" w:color="auto"/>
            <w:bottom w:val="none" w:sz="0" w:space="0" w:color="auto"/>
            <w:right w:val="none" w:sz="0" w:space="0" w:color="auto"/>
          </w:divBdr>
        </w:div>
        <w:div w:id="1501971718">
          <w:marLeft w:val="1800"/>
          <w:marRight w:val="0"/>
          <w:marTop w:val="134"/>
          <w:marBottom w:val="0"/>
          <w:divBdr>
            <w:top w:val="none" w:sz="0" w:space="0" w:color="auto"/>
            <w:left w:val="none" w:sz="0" w:space="0" w:color="auto"/>
            <w:bottom w:val="none" w:sz="0" w:space="0" w:color="auto"/>
            <w:right w:val="none" w:sz="0" w:space="0" w:color="auto"/>
          </w:divBdr>
        </w:div>
      </w:divsChild>
    </w:div>
    <w:div w:id="1665817564">
      <w:bodyDiv w:val="1"/>
      <w:marLeft w:val="0"/>
      <w:marRight w:val="0"/>
      <w:marTop w:val="0"/>
      <w:marBottom w:val="0"/>
      <w:divBdr>
        <w:top w:val="none" w:sz="0" w:space="0" w:color="auto"/>
        <w:left w:val="none" w:sz="0" w:space="0" w:color="auto"/>
        <w:bottom w:val="none" w:sz="0" w:space="0" w:color="auto"/>
        <w:right w:val="none" w:sz="0" w:space="0" w:color="auto"/>
      </w:divBdr>
    </w:div>
    <w:div w:id="1672639638">
      <w:bodyDiv w:val="1"/>
      <w:marLeft w:val="0"/>
      <w:marRight w:val="0"/>
      <w:marTop w:val="0"/>
      <w:marBottom w:val="0"/>
      <w:divBdr>
        <w:top w:val="none" w:sz="0" w:space="0" w:color="auto"/>
        <w:left w:val="none" w:sz="0" w:space="0" w:color="auto"/>
        <w:bottom w:val="none" w:sz="0" w:space="0" w:color="auto"/>
        <w:right w:val="none" w:sz="0" w:space="0" w:color="auto"/>
      </w:divBdr>
      <w:divsChild>
        <w:div w:id="110439600">
          <w:marLeft w:val="547"/>
          <w:marRight w:val="0"/>
          <w:marTop w:val="115"/>
          <w:marBottom w:val="0"/>
          <w:divBdr>
            <w:top w:val="none" w:sz="0" w:space="0" w:color="auto"/>
            <w:left w:val="none" w:sz="0" w:space="0" w:color="auto"/>
            <w:bottom w:val="none" w:sz="0" w:space="0" w:color="auto"/>
            <w:right w:val="none" w:sz="0" w:space="0" w:color="auto"/>
          </w:divBdr>
        </w:div>
        <w:div w:id="1654993093">
          <w:marLeft w:val="547"/>
          <w:marRight w:val="0"/>
          <w:marTop w:val="115"/>
          <w:marBottom w:val="0"/>
          <w:divBdr>
            <w:top w:val="none" w:sz="0" w:space="0" w:color="auto"/>
            <w:left w:val="none" w:sz="0" w:space="0" w:color="auto"/>
            <w:bottom w:val="none" w:sz="0" w:space="0" w:color="auto"/>
            <w:right w:val="none" w:sz="0" w:space="0" w:color="auto"/>
          </w:divBdr>
        </w:div>
      </w:divsChild>
    </w:div>
    <w:div w:id="1689452988">
      <w:bodyDiv w:val="1"/>
      <w:marLeft w:val="0"/>
      <w:marRight w:val="0"/>
      <w:marTop w:val="0"/>
      <w:marBottom w:val="0"/>
      <w:divBdr>
        <w:top w:val="none" w:sz="0" w:space="0" w:color="auto"/>
        <w:left w:val="none" w:sz="0" w:space="0" w:color="auto"/>
        <w:bottom w:val="none" w:sz="0" w:space="0" w:color="auto"/>
        <w:right w:val="none" w:sz="0" w:space="0" w:color="auto"/>
      </w:divBdr>
      <w:divsChild>
        <w:div w:id="259997173">
          <w:marLeft w:val="547"/>
          <w:marRight w:val="0"/>
          <w:marTop w:val="96"/>
          <w:marBottom w:val="0"/>
          <w:divBdr>
            <w:top w:val="none" w:sz="0" w:space="0" w:color="auto"/>
            <w:left w:val="none" w:sz="0" w:space="0" w:color="auto"/>
            <w:bottom w:val="none" w:sz="0" w:space="0" w:color="auto"/>
            <w:right w:val="none" w:sz="0" w:space="0" w:color="auto"/>
          </w:divBdr>
        </w:div>
        <w:div w:id="260188828">
          <w:marLeft w:val="547"/>
          <w:marRight w:val="0"/>
          <w:marTop w:val="96"/>
          <w:marBottom w:val="0"/>
          <w:divBdr>
            <w:top w:val="none" w:sz="0" w:space="0" w:color="auto"/>
            <w:left w:val="none" w:sz="0" w:space="0" w:color="auto"/>
            <w:bottom w:val="none" w:sz="0" w:space="0" w:color="auto"/>
            <w:right w:val="none" w:sz="0" w:space="0" w:color="auto"/>
          </w:divBdr>
        </w:div>
        <w:div w:id="566454180">
          <w:marLeft w:val="547"/>
          <w:marRight w:val="0"/>
          <w:marTop w:val="96"/>
          <w:marBottom w:val="0"/>
          <w:divBdr>
            <w:top w:val="none" w:sz="0" w:space="0" w:color="auto"/>
            <w:left w:val="none" w:sz="0" w:space="0" w:color="auto"/>
            <w:bottom w:val="none" w:sz="0" w:space="0" w:color="auto"/>
            <w:right w:val="none" w:sz="0" w:space="0" w:color="auto"/>
          </w:divBdr>
        </w:div>
        <w:div w:id="626349091">
          <w:marLeft w:val="547"/>
          <w:marRight w:val="0"/>
          <w:marTop w:val="96"/>
          <w:marBottom w:val="0"/>
          <w:divBdr>
            <w:top w:val="none" w:sz="0" w:space="0" w:color="auto"/>
            <w:left w:val="none" w:sz="0" w:space="0" w:color="auto"/>
            <w:bottom w:val="none" w:sz="0" w:space="0" w:color="auto"/>
            <w:right w:val="none" w:sz="0" w:space="0" w:color="auto"/>
          </w:divBdr>
        </w:div>
        <w:div w:id="933709205">
          <w:marLeft w:val="547"/>
          <w:marRight w:val="0"/>
          <w:marTop w:val="96"/>
          <w:marBottom w:val="0"/>
          <w:divBdr>
            <w:top w:val="none" w:sz="0" w:space="0" w:color="auto"/>
            <w:left w:val="none" w:sz="0" w:space="0" w:color="auto"/>
            <w:bottom w:val="none" w:sz="0" w:space="0" w:color="auto"/>
            <w:right w:val="none" w:sz="0" w:space="0" w:color="auto"/>
          </w:divBdr>
        </w:div>
        <w:div w:id="1315448528">
          <w:marLeft w:val="547"/>
          <w:marRight w:val="0"/>
          <w:marTop w:val="96"/>
          <w:marBottom w:val="0"/>
          <w:divBdr>
            <w:top w:val="none" w:sz="0" w:space="0" w:color="auto"/>
            <w:left w:val="none" w:sz="0" w:space="0" w:color="auto"/>
            <w:bottom w:val="none" w:sz="0" w:space="0" w:color="auto"/>
            <w:right w:val="none" w:sz="0" w:space="0" w:color="auto"/>
          </w:divBdr>
        </w:div>
        <w:div w:id="1788353951">
          <w:marLeft w:val="547"/>
          <w:marRight w:val="0"/>
          <w:marTop w:val="96"/>
          <w:marBottom w:val="0"/>
          <w:divBdr>
            <w:top w:val="none" w:sz="0" w:space="0" w:color="auto"/>
            <w:left w:val="none" w:sz="0" w:space="0" w:color="auto"/>
            <w:bottom w:val="none" w:sz="0" w:space="0" w:color="auto"/>
            <w:right w:val="none" w:sz="0" w:space="0" w:color="auto"/>
          </w:divBdr>
        </w:div>
        <w:div w:id="1797290664">
          <w:marLeft w:val="547"/>
          <w:marRight w:val="0"/>
          <w:marTop w:val="96"/>
          <w:marBottom w:val="0"/>
          <w:divBdr>
            <w:top w:val="none" w:sz="0" w:space="0" w:color="auto"/>
            <w:left w:val="none" w:sz="0" w:space="0" w:color="auto"/>
            <w:bottom w:val="none" w:sz="0" w:space="0" w:color="auto"/>
            <w:right w:val="none" w:sz="0" w:space="0" w:color="auto"/>
          </w:divBdr>
        </w:div>
      </w:divsChild>
    </w:div>
    <w:div w:id="1699697900">
      <w:bodyDiv w:val="1"/>
      <w:marLeft w:val="0"/>
      <w:marRight w:val="0"/>
      <w:marTop w:val="0"/>
      <w:marBottom w:val="0"/>
      <w:divBdr>
        <w:top w:val="none" w:sz="0" w:space="0" w:color="auto"/>
        <w:left w:val="none" w:sz="0" w:space="0" w:color="auto"/>
        <w:bottom w:val="none" w:sz="0" w:space="0" w:color="auto"/>
        <w:right w:val="none" w:sz="0" w:space="0" w:color="auto"/>
      </w:divBdr>
      <w:divsChild>
        <w:div w:id="508957249">
          <w:marLeft w:val="547"/>
          <w:marRight w:val="0"/>
          <w:marTop w:val="134"/>
          <w:marBottom w:val="0"/>
          <w:divBdr>
            <w:top w:val="none" w:sz="0" w:space="0" w:color="auto"/>
            <w:left w:val="none" w:sz="0" w:space="0" w:color="auto"/>
            <w:bottom w:val="none" w:sz="0" w:space="0" w:color="auto"/>
            <w:right w:val="none" w:sz="0" w:space="0" w:color="auto"/>
          </w:divBdr>
        </w:div>
      </w:divsChild>
    </w:div>
    <w:div w:id="1706252111">
      <w:bodyDiv w:val="1"/>
      <w:marLeft w:val="0"/>
      <w:marRight w:val="0"/>
      <w:marTop w:val="0"/>
      <w:marBottom w:val="0"/>
      <w:divBdr>
        <w:top w:val="none" w:sz="0" w:space="0" w:color="auto"/>
        <w:left w:val="none" w:sz="0" w:space="0" w:color="auto"/>
        <w:bottom w:val="none" w:sz="0" w:space="0" w:color="auto"/>
        <w:right w:val="none" w:sz="0" w:space="0" w:color="auto"/>
      </w:divBdr>
    </w:div>
    <w:div w:id="1717243662">
      <w:bodyDiv w:val="1"/>
      <w:marLeft w:val="0"/>
      <w:marRight w:val="0"/>
      <w:marTop w:val="0"/>
      <w:marBottom w:val="0"/>
      <w:divBdr>
        <w:top w:val="none" w:sz="0" w:space="0" w:color="auto"/>
        <w:left w:val="none" w:sz="0" w:space="0" w:color="auto"/>
        <w:bottom w:val="none" w:sz="0" w:space="0" w:color="auto"/>
        <w:right w:val="none" w:sz="0" w:space="0" w:color="auto"/>
      </w:divBdr>
    </w:div>
    <w:div w:id="1732926573">
      <w:bodyDiv w:val="1"/>
      <w:marLeft w:val="0"/>
      <w:marRight w:val="0"/>
      <w:marTop w:val="0"/>
      <w:marBottom w:val="0"/>
      <w:divBdr>
        <w:top w:val="none" w:sz="0" w:space="0" w:color="auto"/>
        <w:left w:val="none" w:sz="0" w:space="0" w:color="auto"/>
        <w:bottom w:val="none" w:sz="0" w:space="0" w:color="auto"/>
        <w:right w:val="none" w:sz="0" w:space="0" w:color="auto"/>
      </w:divBdr>
      <w:divsChild>
        <w:div w:id="1208222793">
          <w:marLeft w:val="547"/>
          <w:marRight w:val="0"/>
          <w:marTop w:val="154"/>
          <w:marBottom w:val="0"/>
          <w:divBdr>
            <w:top w:val="none" w:sz="0" w:space="0" w:color="auto"/>
            <w:left w:val="none" w:sz="0" w:space="0" w:color="auto"/>
            <w:bottom w:val="none" w:sz="0" w:space="0" w:color="auto"/>
            <w:right w:val="none" w:sz="0" w:space="0" w:color="auto"/>
          </w:divBdr>
        </w:div>
        <w:div w:id="1656568935">
          <w:marLeft w:val="547"/>
          <w:marRight w:val="0"/>
          <w:marTop w:val="154"/>
          <w:marBottom w:val="0"/>
          <w:divBdr>
            <w:top w:val="none" w:sz="0" w:space="0" w:color="auto"/>
            <w:left w:val="none" w:sz="0" w:space="0" w:color="auto"/>
            <w:bottom w:val="none" w:sz="0" w:space="0" w:color="auto"/>
            <w:right w:val="none" w:sz="0" w:space="0" w:color="auto"/>
          </w:divBdr>
        </w:div>
      </w:divsChild>
    </w:div>
    <w:div w:id="1748452510">
      <w:bodyDiv w:val="1"/>
      <w:marLeft w:val="0"/>
      <w:marRight w:val="0"/>
      <w:marTop w:val="0"/>
      <w:marBottom w:val="0"/>
      <w:divBdr>
        <w:top w:val="none" w:sz="0" w:space="0" w:color="auto"/>
        <w:left w:val="none" w:sz="0" w:space="0" w:color="auto"/>
        <w:bottom w:val="none" w:sz="0" w:space="0" w:color="auto"/>
        <w:right w:val="none" w:sz="0" w:space="0" w:color="auto"/>
      </w:divBdr>
    </w:div>
    <w:div w:id="1752005599">
      <w:bodyDiv w:val="1"/>
      <w:marLeft w:val="0"/>
      <w:marRight w:val="0"/>
      <w:marTop w:val="0"/>
      <w:marBottom w:val="0"/>
      <w:divBdr>
        <w:top w:val="none" w:sz="0" w:space="0" w:color="auto"/>
        <w:left w:val="none" w:sz="0" w:space="0" w:color="auto"/>
        <w:bottom w:val="none" w:sz="0" w:space="0" w:color="auto"/>
        <w:right w:val="none" w:sz="0" w:space="0" w:color="auto"/>
      </w:divBdr>
    </w:div>
    <w:div w:id="1756972642">
      <w:bodyDiv w:val="1"/>
      <w:marLeft w:val="0"/>
      <w:marRight w:val="0"/>
      <w:marTop w:val="0"/>
      <w:marBottom w:val="0"/>
      <w:divBdr>
        <w:top w:val="none" w:sz="0" w:space="0" w:color="auto"/>
        <w:left w:val="none" w:sz="0" w:space="0" w:color="auto"/>
        <w:bottom w:val="none" w:sz="0" w:space="0" w:color="auto"/>
        <w:right w:val="none" w:sz="0" w:space="0" w:color="auto"/>
      </w:divBdr>
    </w:div>
    <w:div w:id="1762683542">
      <w:bodyDiv w:val="1"/>
      <w:marLeft w:val="0"/>
      <w:marRight w:val="0"/>
      <w:marTop w:val="0"/>
      <w:marBottom w:val="0"/>
      <w:divBdr>
        <w:top w:val="none" w:sz="0" w:space="0" w:color="auto"/>
        <w:left w:val="none" w:sz="0" w:space="0" w:color="auto"/>
        <w:bottom w:val="none" w:sz="0" w:space="0" w:color="auto"/>
        <w:right w:val="none" w:sz="0" w:space="0" w:color="auto"/>
      </w:divBdr>
    </w:div>
    <w:div w:id="1818644025">
      <w:bodyDiv w:val="1"/>
      <w:marLeft w:val="0"/>
      <w:marRight w:val="0"/>
      <w:marTop w:val="0"/>
      <w:marBottom w:val="0"/>
      <w:divBdr>
        <w:top w:val="none" w:sz="0" w:space="0" w:color="auto"/>
        <w:left w:val="none" w:sz="0" w:space="0" w:color="auto"/>
        <w:bottom w:val="none" w:sz="0" w:space="0" w:color="auto"/>
        <w:right w:val="none" w:sz="0" w:space="0" w:color="auto"/>
      </w:divBdr>
      <w:divsChild>
        <w:div w:id="1478692644">
          <w:marLeft w:val="965"/>
          <w:marRight w:val="0"/>
          <w:marTop w:val="115"/>
          <w:marBottom w:val="0"/>
          <w:divBdr>
            <w:top w:val="none" w:sz="0" w:space="0" w:color="auto"/>
            <w:left w:val="none" w:sz="0" w:space="0" w:color="auto"/>
            <w:bottom w:val="none" w:sz="0" w:space="0" w:color="auto"/>
            <w:right w:val="none" w:sz="0" w:space="0" w:color="auto"/>
          </w:divBdr>
        </w:div>
      </w:divsChild>
    </w:div>
    <w:div w:id="1825119080">
      <w:bodyDiv w:val="1"/>
      <w:marLeft w:val="0"/>
      <w:marRight w:val="0"/>
      <w:marTop w:val="0"/>
      <w:marBottom w:val="0"/>
      <w:divBdr>
        <w:top w:val="none" w:sz="0" w:space="0" w:color="auto"/>
        <w:left w:val="none" w:sz="0" w:space="0" w:color="auto"/>
        <w:bottom w:val="none" w:sz="0" w:space="0" w:color="auto"/>
        <w:right w:val="none" w:sz="0" w:space="0" w:color="auto"/>
      </w:divBdr>
    </w:div>
    <w:div w:id="1833135046">
      <w:bodyDiv w:val="1"/>
      <w:marLeft w:val="0"/>
      <w:marRight w:val="0"/>
      <w:marTop w:val="0"/>
      <w:marBottom w:val="0"/>
      <w:divBdr>
        <w:top w:val="none" w:sz="0" w:space="0" w:color="auto"/>
        <w:left w:val="none" w:sz="0" w:space="0" w:color="auto"/>
        <w:bottom w:val="none" w:sz="0" w:space="0" w:color="auto"/>
        <w:right w:val="none" w:sz="0" w:space="0" w:color="auto"/>
      </w:divBdr>
      <w:divsChild>
        <w:div w:id="854927459">
          <w:marLeft w:val="1800"/>
          <w:marRight w:val="0"/>
          <w:marTop w:val="134"/>
          <w:marBottom w:val="0"/>
          <w:divBdr>
            <w:top w:val="none" w:sz="0" w:space="0" w:color="auto"/>
            <w:left w:val="none" w:sz="0" w:space="0" w:color="auto"/>
            <w:bottom w:val="none" w:sz="0" w:space="0" w:color="auto"/>
            <w:right w:val="none" w:sz="0" w:space="0" w:color="auto"/>
          </w:divBdr>
        </w:div>
        <w:div w:id="956642951">
          <w:marLeft w:val="1800"/>
          <w:marRight w:val="0"/>
          <w:marTop w:val="134"/>
          <w:marBottom w:val="0"/>
          <w:divBdr>
            <w:top w:val="none" w:sz="0" w:space="0" w:color="auto"/>
            <w:left w:val="none" w:sz="0" w:space="0" w:color="auto"/>
            <w:bottom w:val="none" w:sz="0" w:space="0" w:color="auto"/>
            <w:right w:val="none" w:sz="0" w:space="0" w:color="auto"/>
          </w:divBdr>
        </w:div>
        <w:div w:id="1769545730">
          <w:marLeft w:val="1800"/>
          <w:marRight w:val="0"/>
          <w:marTop w:val="134"/>
          <w:marBottom w:val="0"/>
          <w:divBdr>
            <w:top w:val="none" w:sz="0" w:space="0" w:color="auto"/>
            <w:left w:val="none" w:sz="0" w:space="0" w:color="auto"/>
            <w:bottom w:val="none" w:sz="0" w:space="0" w:color="auto"/>
            <w:right w:val="none" w:sz="0" w:space="0" w:color="auto"/>
          </w:divBdr>
        </w:div>
        <w:div w:id="1835534985">
          <w:marLeft w:val="1800"/>
          <w:marRight w:val="0"/>
          <w:marTop w:val="134"/>
          <w:marBottom w:val="0"/>
          <w:divBdr>
            <w:top w:val="none" w:sz="0" w:space="0" w:color="auto"/>
            <w:left w:val="none" w:sz="0" w:space="0" w:color="auto"/>
            <w:bottom w:val="none" w:sz="0" w:space="0" w:color="auto"/>
            <w:right w:val="none" w:sz="0" w:space="0" w:color="auto"/>
          </w:divBdr>
        </w:div>
        <w:div w:id="1911428794">
          <w:marLeft w:val="1800"/>
          <w:marRight w:val="0"/>
          <w:marTop w:val="134"/>
          <w:marBottom w:val="0"/>
          <w:divBdr>
            <w:top w:val="none" w:sz="0" w:space="0" w:color="auto"/>
            <w:left w:val="none" w:sz="0" w:space="0" w:color="auto"/>
            <w:bottom w:val="none" w:sz="0" w:space="0" w:color="auto"/>
            <w:right w:val="none" w:sz="0" w:space="0" w:color="auto"/>
          </w:divBdr>
        </w:div>
        <w:div w:id="2008745403">
          <w:marLeft w:val="1800"/>
          <w:marRight w:val="0"/>
          <w:marTop w:val="134"/>
          <w:marBottom w:val="0"/>
          <w:divBdr>
            <w:top w:val="none" w:sz="0" w:space="0" w:color="auto"/>
            <w:left w:val="none" w:sz="0" w:space="0" w:color="auto"/>
            <w:bottom w:val="none" w:sz="0" w:space="0" w:color="auto"/>
            <w:right w:val="none" w:sz="0" w:space="0" w:color="auto"/>
          </w:divBdr>
        </w:div>
        <w:div w:id="2081243947">
          <w:marLeft w:val="1800"/>
          <w:marRight w:val="0"/>
          <w:marTop w:val="134"/>
          <w:marBottom w:val="0"/>
          <w:divBdr>
            <w:top w:val="none" w:sz="0" w:space="0" w:color="auto"/>
            <w:left w:val="none" w:sz="0" w:space="0" w:color="auto"/>
            <w:bottom w:val="none" w:sz="0" w:space="0" w:color="auto"/>
            <w:right w:val="none" w:sz="0" w:space="0" w:color="auto"/>
          </w:divBdr>
        </w:div>
      </w:divsChild>
    </w:div>
    <w:div w:id="1841851076">
      <w:bodyDiv w:val="1"/>
      <w:marLeft w:val="0"/>
      <w:marRight w:val="0"/>
      <w:marTop w:val="0"/>
      <w:marBottom w:val="0"/>
      <w:divBdr>
        <w:top w:val="none" w:sz="0" w:space="0" w:color="auto"/>
        <w:left w:val="none" w:sz="0" w:space="0" w:color="auto"/>
        <w:bottom w:val="none" w:sz="0" w:space="0" w:color="auto"/>
        <w:right w:val="none" w:sz="0" w:space="0" w:color="auto"/>
      </w:divBdr>
    </w:div>
    <w:div w:id="1848010766">
      <w:bodyDiv w:val="1"/>
      <w:marLeft w:val="0"/>
      <w:marRight w:val="0"/>
      <w:marTop w:val="0"/>
      <w:marBottom w:val="0"/>
      <w:divBdr>
        <w:top w:val="none" w:sz="0" w:space="0" w:color="auto"/>
        <w:left w:val="none" w:sz="0" w:space="0" w:color="auto"/>
        <w:bottom w:val="none" w:sz="0" w:space="0" w:color="auto"/>
        <w:right w:val="none" w:sz="0" w:space="0" w:color="auto"/>
      </w:divBdr>
    </w:div>
    <w:div w:id="1857377408">
      <w:bodyDiv w:val="1"/>
      <w:marLeft w:val="0"/>
      <w:marRight w:val="0"/>
      <w:marTop w:val="0"/>
      <w:marBottom w:val="0"/>
      <w:divBdr>
        <w:top w:val="none" w:sz="0" w:space="0" w:color="auto"/>
        <w:left w:val="none" w:sz="0" w:space="0" w:color="auto"/>
        <w:bottom w:val="none" w:sz="0" w:space="0" w:color="auto"/>
        <w:right w:val="none" w:sz="0" w:space="0" w:color="auto"/>
      </w:divBdr>
    </w:div>
    <w:div w:id="1868449850">
      <w:bodyDiv w:val="1"/>
      <w:marLeft w:val="0"/>
      <w:marRight w:val="0"/>
      <w:marTop w:val="0"/>
      <w:marBottom w:val="0"/>
      <w:divBdr>
        <w:top w:val="none" w:sz="0" w:space="0" w:color="auto"/>
        <w:left w:val="none" w:sz="0" w:space="0" w:color="auto"/>
        <w:bottom w:val="none" w:sz="0" w:space="0" w:color="auto"/>
        <w:right w:val="none" w:sz="0" w:space="0" w:color="auto"/>
      </w:divBdr>
      <w:divsChild>
        <w:div w:id="1034576005">
          <w:marLeft w:val="547"/>
          <w:marRight w:val="0"/>
          <w:marTop w:val="134"/>
          <w:marBottom w:val="0"/>
          <w:divBdr>
            <w:top w:val="none" w:sz="0" w:space="0" w:color="auto"/>
            <w:left w:val="none" w:sz="0" w:space="0" w:color="auto"/>
            <w:bottom w:val="none" w:sz="0" w:space="0" w:color="auto"/>
            <w:right w:val="none" w:sz="0" w:space="0" w:color="auto"/>
          </w:divBdr>
        </w:div>
      </w:divsChild>
    </w:div>
    <w:div w:id="1873301012">
      <w:bodyDiv w:val="1"/>
      <w:marLeft w:val="0"/>
      <w:marRight w:val="0"/>
      <w:marTop w:val="0"/>
      <w:marBottom w:val="0"/>
      <w:divBdr>
        <w:top w:val="none" w:sz="0" w:space="0" w:color="auto"/>
        <w:left w:val="none" w:sz="0" w:space="0" w:color="auto"/>
        <w:bottom w:val="none" w:sz="0" w:space="0" w:color="auto"/>
        <w:right w:val="none" w:sz="0" w:space="0" w:color="auto"/>
      </w:divBdr>
    </w:div>
    <w:div w:id="1879006755">
      <w:bodyDiv w:val="1"/>
      <w:marLeft w:val="0"/>
      <w:marRight w:val="0"/>
      <w:marTop w:val="0"/>
      <w:marBottom w:val="0"/>
      <w:divBdr>
        <w:top w:val="none" w:sz="0" w:space="0" w:color="auto"/>
        <w:left w:val="none" w:sz="0" w:space="0" w:color="auto"/>
        <w:bottom w:val="none" w:sz="0" w:space="0" w:color="auto"/>
        <w:right w:val="none" w:sz="0" w:space="0" w:color="auto"/>
      </w:divBdr>
    </w:div>
    <w:div w:id="1893731297">
      <w:bodyDiv w:val="1"/>
      <w:marLeft w:val="0"/>
      <w:marRight w:val="0"/>
      <w:marTop w:val="0"/>
      <w:marBottom w:val="0"/>
      <w:divBdr>
        <w:top w:val="none" w:sz="0" w:space="0" w:color="auto"/>
        <w:left w:val="none" w:sz="0" w:space="0" w:color="auto"/>
        <w:bottom w:val="none" w:sz="0" w:space="0" w:color="auto"/>
        <w:right w:val="none" w:sz="0" w:space="0" w:color="auto"/>
      </w:divBdr>
    </w:div>
    <w:div w:id="1904214114">
      <w:bodyDiv w:val="1"/>
      <w:marLeft w:val="0"/>
      <w:marRight w:val="0"/>
      <w:marTop w:val="0"/>
      <w:marBottom w:val="0"/>
      <w:divBdr>
        <w:top w:val="none" w:sz="0" w:space="0" w:color="auto"/>
        <w:left w:val="none" w:sz="0" w:space="0" w:color="auto"/>
        <w:bottom w:val="none" w:sz="0" w:space="0" w:color="auto"/>
        <w:right w:val="none" w:sz="0" w:space="0" w:color="auto"/>
      </w:divBdr>
    </w:div>
    <w:div w:id="1914391724">
      <w:bodyDiv w:val="1"/>
      <w:marLeft w:val="0"/>
      <w:marRight w:val="0"/>
      <w:marTop w:val="0"/>
      <w:marBottom w:val="0"/>
      <w:divBdr>
        <w:top w:val="none" w:sz="0" w:space="0" w:color="auto"/>
        <w:left w:val="none" w:sz="0" w:space="0" w:color="auto"/>
        <w:bottom w:val="none" w:sz="0" w:space="0" w:color="auto"/>
        <w:right w:val="none" w:sz="0" w:space="0" w:color="auto"/>
      </w:divBdr>
    </w:div>
    <w:div w:id="1927302173">
      <w:bodyDiv w:val="1"/>
      <w:marLeft w:val="0"/>
      <w:marRight w:val="0"/>
      <w:marTop w:val="0"/>
      <w:marBottom w:val="0"/>
      <w:divBdr>
        <w:top w:val="none" w:sz="0" w:space="0" w:color="auto"/>
        <w:left w:val="none" w:sz="0" w:space="0" w:color="auto"/>
        <w:bottom w:val="none" w:sz="0" w:space="0" w:color="auto"/>
        <w:right w:val="none" w:sz="0" w:space="0" w:color="auto"/>
      </w:divBdr>
    </w:div>
    <w:div w:id="1948543062">
      <w:bodyDiv w:val="1"/>
      <w:marLeft w:val="0"/>
      <w:marRight w:val="0"/>
      <w:marTop w:val="0"/>
      <w:marBottom w:val="0"/>
      <w:divBdr>
        <w:top w:val="none" w:sz="0" w:space="0" w:color="auto"/>
        <w:left w:val="none" w:sz="0" w:space="0" w:color="auto"/>
        <w:bottom w:val="none" w:sz="0" w:space="0" w:color="auto"/>
        <w:right w:val="none" w:sz="0" w:space="0" w:color="auto"/>
      </w:divBdr>
    </w:div>
    <w:div w:id="1973636366">
      <w:bodyDiv w:val="1"/>
      <w:marLeft w:val="0"/>
      <w:marRight w:val="0"/>
      <w:marTop w:val="0"/>
      <w:marBottom w:val="0"/>
      <w:divBdr>
        <w:top w:val="none" w:sz="0" w:space="0" w:color="auto"/>
        <w:left w:val="none" w:sz="0" w:space="0" w:color="auto"/>
        <w:bottom w:val="none" w:sz="0" w:space="0" w:color="auto"/>
        <w:right w:val="none" w:sz="0" w:space="0" w:color="auto"/>
      </w:divBdr>
    </w:div>
    <w:div w:id="1989822814">
      <w:bodyDiv w:val="1"/>
      <w:marLeft w:val="0"/>
      <w:marRight w:val="0"/>
      <w:marTop w:val="0"/>
      <w:marBottom w:val="0"/>
      <w:divBdr>
        <w:top w:val="none" w:sz="0" w:space="0" w:color="auto"/>
        <w:left w:val="none" w:sz="0" w:space="0" w:color="auto"/>
        <w:bottom w:val="none" w:sz="0" w:space="0" w:color="auto"/>
        <w:right w:val="none" w:sz="0" w:space="0" w:color="auto"/>
      </w:divBdr>
    </w:div>
    <w:div w:id="1994019020">
      <w:bodyDiv w:val="1"/>
      <w:marLeft w:val="0"/>
      <w:marRight w:val="0"/>
      <w:marTop w:val="0"/>
      <w:marBottom w:val="0"/>
      <w:divBdr>
        <w:top w:val="none" w:sz="0" w:space="0" w:color="auto"/>
        <w:left w:val="none" w:sz="0" w:space="0" w:color="auto"/>
        <w:bottom w:val="none" w:sz="0" w:space="0" w:color="auto"/>
        <w:right w:val="none" w:sz="0" w:space="0" w:color="auto"/>
      </w:divBdr>
    </w:div>
    <w:div w:id="2009019618">
      <w:bodyDiv w:val="1"/>
      <w:marLeft w:val="0"/>
      <w:marRight w:val="0"/>
      <w:marTop w:val="0"/>
      <w:marBottom w:val="0"/>
      <w:divBdr>
        <w:top w:val="none" w:sz="0" w:space="0" w:color="auto"/>
        <w:left w:val="none" w:sz="0" w:space="0" w:color="auto"/>
        <w:bottom w:val="none" w:sz="0" w:space="0" w:color="auto"/>
        <w:right w:val="none" w:sz="0" w:space="0" w:color="auto"/>
      </w:divBdr>
    </w:div>
    <w:div w:id="2055765120">
      <w:bodyDiv w:val="1"/>
      <w:marLeft w:val="0"/>
      <w:marRight w:val="0"/>
      <w:marTop w:val="0"/>
      <w:marBottom w:val="0"/>
      <w:divBdr>
        <w:top w:val="none" w:sz="0" w:space="0" w:color="auto"/>
        <w:left w:val="none" w:sz="0" w:space="0" w:color="auto"/>
        <w:bottom w:val="none" w:sz="0" w:space="0" w:color="auto"/>
        <w:right w:val="none" w:sz="0" w:space="0" w:color="auto"/>
      </w:divBdr>
    </w:div>
    <w:div w:id="2060781296">
      <w:bodyDiv w:val="1"/>
      <w:marLeft w:val="0"/>
      <w:marRight w:val="0"/>
      <w:marTop w:val="0"/>
      <w:marBottom w:val="0"/>
      <w:divBdr>
        <w:top w:val="none" w:sz="0" w:space="0" w:color="auto"/>
        <w:left w:val="none" w:sz="0" w:space="0" w:color="auto"/>
        <w:bottom w:val="none" w:sz="0" w:space="0" w:color="auto"/>
        <w:right w:val="none" w:sz="0" w:space="0" w:color="auto"/>
      </w:divBdr>
    </w:div>
    <w:div w:id="2069575761">
      <w:bodyDiv w:val="1"/>
      <w:marLeft w:val="0"/>
      <w:marRight w:val="0"/>
      <w:marTop w:val="0"/>
      <w:marBottom w:val="0"/>
      <w:divBdr>
        <w:top w:val="none" w:sz="0" w:space="0" w:color="auto"/>
        <w:left w:val="none" w:sz="0" w:space="0" w:color="auto"/>
        <w:bottom w:val="none" w:sz="0" w:space="0" w:color="auto"/>
        <w:right w:val="none" w:sz="0" w:space="0" w:color="auto"/>
      </w:divBdr>
    </w:div>
    <w:div w:id="2087217088">
      <w:bodyDiv w:val="1"/>
      <w:marLeft w:val="0"/>
      <w:marRight w:val="0"/>
      <w:marTop w:val="0"/>
      <w:marBottom w:val="0"/>
      <w:divBdr>
        <w:top w:val="none" w:sz="0" w:space="0" w:color="auto"/>
        <w:left w:val="none" w:sz="0" w:space="0" w:color="auto"/>
        <w:bottom w:val="none" w:sz="0" w:space="0" w:color="auto"/>
        <w:right w:val="none" w:sz="0" w:space="0" w:color="auto"/>
      </w:divBdr>
    </w:div>
    <w:div w:id="2089305602">
      <w:bodyDiv w:val="1"/>
      <w:marLeft w:val="0"/>
      <w:marRight w:val="0"/>
      <w:marTop w:val="0"/>
      <w:marBottom w:val="0"/>
      <w:divBdr>
        <w:top w:val="none" w:sz="0" w:space="0" w:color="auto"/>
        <w:left w:val="none" w:sz="0" w:space="0" w:color="auto"/>
        <w:bottom w:val="none" w:sz="0" w:space="0" w:color="auto"/>
        <w:right w:val="none" w:sz="0" w:space="0" w:color="auto"/>
      </w:divBdr>
      <w:divsChild>
        <w:div w:id="1642617802">
          <w:marLeft w:val="547"/>
          <w:marRight w:val="0"/>
          <w:marTop w:val="154"/>
          <w:marBottom w:val="0"/>
          <w:divBdr>
            <w:top w:val="none" w:sz="0" w:space="0" w:color="auto"/>
            <w:left w:val="none" w:sz="0" w:space="0" w:color="auto"/>
            <w:bottom w:val="none" w:sz="0" w:space="0" w:color="auto"/>
            <w:right w:val="none" w:sz="0" w:space="0" w:color="auto"/>
          </w:divBdr>
        </w:div>
      </w:divsChild>
    </w:div>
    <w:div w:id="2118131424">
      <w:bodyDiv w:val="1"/>
      <w:marLeft w:val="0"/>
      <w:marRight w:val="0"/>
      <w:marTop w:val="0"/>
      <w:marBottom w:val="0"/>
      <w:divBdr>
        <w:top w:val="none" w:sz="0" w:space="0" w:color="auto"/>
        <w:left w:val="none" w:sz="0" w:space="0" w:color="auto"/>
        <w:bottom w:val="none" w:sz="0" w:space="0" w:color="auto"/>
        <w:right w:val="none" w:sz="0" w:space="0" w:color="auto"/>
      </w:divBdr>
      <w:divsChild>
        <w:div w:id="1124932580">
          <w:marLeft w:val="547"/>
          <w:marRight w:val="0"/>
          <w:marTop w:val="115"/>
          <w:marBottom w:val="0"/>
          <w:divBdr>
            <w:top w:val="none" w:sz="0" w:space="0" w:color="auto"/>
            <w:left w:val="none" w:sz="0" w:space="0" w:color="auto"/>
            <w:bottom w:val="none" w:sz="0" w:space="0" w:color="auto"/>
            <w:right w:val="none" w:sz="0" w:space="0" w:color="auto"/>
          </w:divBdr>
        </w:div>
        <w:div w:id="1855993169">
          <w:marLeft w:val="547"/>
          <w:marRight w:val="0"/>
          <w:marTop w:val="115"/>
          <w:marBottom w:val="0"/>
          <w:divBdr>
            <w:top w:val="none" w:sz="0" w:space="0" w:color="auto"/>
            <w:left w:val="none" w:sz="0" w:space="0" w:color="auto"/>
            <w:bottom w:val="none" w:sz="0" w:space="0" w:color="auto"/>
            <w:right w:val="none" w:sz="0" w:space="0" w:color="auto"/>
          </w:divBdr>
        </w:div>
      </w:divsChild>
    </w:div>
    <w:div w:id="2138915275">
      <w:bodyDiv w:val="1"/>
      <w:marLeft w:val="0"/>
      <w:marRight w:val="0"/>
      <w:marTop w:val="0"/>
      <w:marBottom w:val="0"/>
      <w:divBdr>
        <w:top w:val="none" w:sz="0" w:space="0" w:color="auto"/>
        <w:left w:val="none" w:sz="0" w:space="0" w:color="auto"/>
        <w:bottom w:val="none" w:sz="0" w:space="0" w:color="auto"/>
        <w:right w:val="none" w:sz="0" w:space="0" w:color="auto"/>
      </w:divBdr>
      <w:divsChild>
        <w:div w:id="526720218">
          <w:marLeft w:val="547"/>
          <w:marRight w:val="0"/>
          <w:marTop w:val="154"/>
          <w:marBottom w:val="0"/>
          <w:divBdr>
            <w:top w:val="none" w:sz="0" w:space="0" w:color="auto"/>
            <w:left w:val="none" w:sz="0" w:space="0" w:color="auto"/>
            <w:bottom w:val="none" w:sz="0" w:space="0" w:color="auto"/>
            <w:right w:val="none" w:sz="0" w:space="0" w:color="auto"/>
          </w:divBdr>
        </w:div>
        <w:div w:id="1199271517">
          <w:marLeft w:val="547"/>
          <w:marRight w:val="0"/>
          <w:marTop w:val="154"/>
          <w:marBottom w:val="0"/>
          <w:divBdr>
            <w:top w:val="none" w:sz="0" w:space="0" w:color="auto"/>
            <w:left w:val="none" w:sz="0" w:space="0" w:color="auto"/>
            <w:bottom w:val="none" w:sz="0" w:space="0" w:color="auto"/>
            <w:right w:val="none" w:sz="0" w:space="0" w:color="auto"/>
          </w:divBdr>
        </w:div>
        <w:div w:id="1441681829">
          <w:marLeft w:val="547"/>
          <w:marRight w:val="0"/>
          <w:marTop w:val="154"/>
          <w:marBottom w:val="0"/>
          <w:divBdr>
            <w:top w:val="none" w:sz="0" w:space="0" w:color="auto"/>
            <w:left w:val="none" w:sz="0" w:space="0" w:color="auto"/>
            <w:bottom w:val="none" w:sz="0" w:space="0" w:color="auto"/>
            <w:right w:val="none" w:sz="0" w:space="0" w:color="auto"/>
          </w:divBdr>
        </w:div>
        <w:div w:id="145290035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oleObject" Target="file:///C:\KARIM\AMINA\IPC\RAPPORT%20ANNUEL\rapport%202020\Donn&#233;es%20ann&#233;e%202020.xlsx" TargetMode="External"/><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1" Type="http://schemas.openxmlformats.org/officeDocument/2006/relationships/oleObject" Target="file:///D:\IPC\RAPPORT%20ANNUEL\rapport%202020\Donn&#233;es%20ann&#233;e%20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PC\RAPPORT%20ANNUEL\rapport%202020\Donn&#233;es%20ann&#233;e%20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KARIM\AMINA\IPC\RAPPORT%20ANNUEL\rapport%202020\Donn&#233;es%20ann&#233;e%2020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PC\RAPPORT%20ANNUEL\rapport%202020\Donn&#233;es%20ann&#233;e%20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KARIM\AMINA\IPC\RAPPORT%20ANNUEL\rapport%202020\Donn&#233;es%20ann&#233;e%2020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IPC\RAPPORT%20ANNUEL\rapport%202020\Donn&#233;es%20ann&#233;e%2020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KARIM\AMINA\IPC\RAPPORT%20ANNUEL\rapport%202020\Donn&#233;es%20ann&#233;e%2020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IPC\RAPPORT%20ANNUEL\rapport%202020\Donn&#233;es%20ann&#233;e%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6.1715332458442768E-2"/>
          <c:y val="7.9134072818554418E-2"/>
          <c:w val="0.93106846019247591"/>
          <c:h val="0.69407825384224831"/>
        </c:manualLayout>
      </c:layout>
      <c:barChart>
        <c:barDir val="col"/>
        <c:grouping val="clustered"/>
        <c:ser>
          <c:idx val="0"/>
          <c:order val="0"/>
          <c:tx>
            <c:strRef>
              <c:f>'IPC par ville'!$B$24</c:f>
              <c:strCache>
                <c:ptCount val="1"/>
                <c:pt idx="0">
                  <c:v>2019</c:v>
                </c:pt>
              </c:strCache>
            </c:strRef>
          </c:tx>
          <c:spPr>
            <a:solidFill>
              <a:schemeClr val="tx2">
                <a:lumMod val="40000"/>
                <a:lumOff val="60000"/>
              </a:schemeClr>
            </a:solidFill>
          </c:spPr>
          <c:cat>
            <c:strRef>
              <c:f>'IPC par ville'!$A$25:$A$42</c:f>
              <c:strCache>
                <c:ptCount val="18"/>
                <c:pt idx="0">
                  <c:v>Errachidia</c:v>
                </c:pt>
                <c:pt idx="1">
                  <c:v>Kenitra</c:v>
                </c:pt>
                <c:pt idx="2">
                  <c:v>Oujda</c:v>
                </c:pt>
                <c:pt idx="3">
                  <c:v>Tétouan</c:v>
                </c:pt>
                <c:pt idx="4">
                  <c:v>Settat</c:v>
                </c:pt>
                <c:pt idx="5">
                  <c:v>El houceima</c:v>
                </c:pt>
                <c:pt idx="6">
                  <c:v>Meknes</c:v>
                </c:pt>
                <c:pt idx="7">
                  <c:v>Marrakech</c:v>
                </c:pt>
                <c:pt idx="8">
                  <c:v>Tanger</c:v>
                </c:pt>
                <c:pt idx="9">
                  <c:v>Rabat</c:v>
                </c:pt>
                <c:pt idx="10">
                  <c:v>Ensemble</c:v>
                </c:pt>
                <c:pt idx="11">
                  <c:v>Beni mellal</c:v>
                </c:pt>
                <c:pt idx="12">
                  <c:v>Casa</c:v>
                </c:pt>
                <c:pt idx="13">
                  <c:v>Agadir</c:v>
                </c:pt>
                <c:pt idx="14">
                  <c:v>Fes</c:v>
                </c:pt>
                <c:pt idx="15">
                  <c:v>Dakhla</c:v>
                </c:pt>
                <c:pt idx="16">
                  <c:v>Laayoune</c:v>
                </c:pt>
                <c:pt idx="17">
                  <c:v>Safi</c:v>
                </c:pt>
              </c:strCache>
            </c:strRef>
          </c:cat>
          <c:val>
            <c:numRef>
              <c:f>'IPC par ville'!$B$25:$B$42</c:f>
              <c:numCache>
                <c:formatCode>0.0</c:formatCode>
                <c:ptCount val="18"/>
                <c:pt idx="0">
                  <c:v>100.8</c:v>
                </c:pt>
                <c:pt idx="1">
                  <c:v>101.6</c:v>
                </c:pt>
                <c:pt idx="2">
                  <c:v>101.6</c:v>
                </c:pt>
                <c:pt idx="3">
                  <c:v>101.1</c:v>
                </c:pt>
                <c:pt idx="4">
                  <c:v>101</c:v>
                </c:pt>
                <c:pt idx="5">
                  <c:v>101.4</c:v>
                </c:pt>
                <c:pt idx="6">
                  <c:v>101.3</c:v>
                </c:pt>
                <c:pt idx="7">
                  <c:v>101.5</c:v>
                </c:pt>
                <c:pt idx="8">
                  <c:v>101.4</c:v>
                </c:pt>
                <c:pt idx="9">
                  <c:v>101.6</c:v>
                </c:pt>
                <c:pt idx="10">
                  <c:v>101.8</c:v>
                </c:pt>
                <c:pt idx="11">
                  <c:v>101.2</c:v>
                </c:pt>
                <c:pt idx="12">
                  <c:v>102.1</c:v>
                </c:pt>
                <c:pt idx="13">
                  <c:v>101.8</c:v>
                </c:pt>
                <c:pt idx="14">
                  <c:v>102.9</c:v>
                </c:pt>
                <c:pt idx="15">
                  <c:v>103.1</c:v>
                </c:pt>
                <c:pt idx="16">
                  <c:v>102.8</c:v>
                </c:pt>
                <c:pt idx="17">
                  <c:v>104.5</c:v>
                </c:pt>
              </c:numCache>
            </c:numRef>
          </c:val>
        </c:ser>
        <c:ser>
          <c:idx val="1"/>
          <c:order val="1"/>
          <c:tx>
            <c:strRef>
              <c:f>'IPC par ville'!$C$24</c:f>
              <c:strCache>
                <c:ptCount val="1"/>
                <c:pt idx="0">
                  <c:v>2020</c:v>
                </c:pt>
              </c:strCache>
            </c:strRef>
          </c:tx>
          <c:spPr>
            <a:blipFill>
              <a:blip xmlns:r="http://schemas.openxmlformats.org/officeDocument/2006/relationships" r:embed="rId1"/>
              <a:tile tx="0" ty="0" sx="100000" sy="100000" flip="none" algn="tl"/>
            </a:blipFill>
          </c:spPr>
          <c:dPt>
            <c:idx val="1"/>
            <c:spPr>
              <a:solidFill>
                <a:srgbClr val="FF0000"/>
              </a:solidFill>
            </c:spPr>
          </c:dPt>
          <c:dPt>
            <c:idx val="10"/>
            <c:spPr>
              <a:solidFill>
                <a:srgbClr val="FF0000"/>
              </a:solidFill>
            </c:spPr>
          </c:dPt>
          <c:cat>
            <c:strRef>
              <c:f>'IPC par ville'!$A$25:$A$42</c:f>
              <c:strCache>
                <c:ptCount val="18"/>
                <c:pt idx="0">
                  <c:v>Errachidia</c:v>
                </c:pt>
                <c:pt idx="1">
                  <c:v>Kenitra</c:v>
                </c:pt>
                <c:pt idx="2">
                  <c:v>Oujda</c:v>
                </c:pt>
                <c:pt idx="3">
                  <c:v>Tétouan</c:v>
                </c:pt>
                <c:pt idx="4">
                  <c:v>Settat</c:v>
                </c:pt>
                <c:pt idx="5">
                  <c:v>El houceima</c:v>
                </c:pt>
                <c:pt idx="6">
                  <c:v>Meknes</c:v>
                </c:pt>
                <c:pt idx="7">
                  <c:v>Marrakech</c:v>
                </c:pt>
                <c:pt idx="8">
                  <c:v>Tanger</c:v>
                </c:pt>
                <c:pt idx="9">
                  <c:v>Rabat</c:v>
                </c:pt>
                <c:pt idx="10">
                  <c:v>Ensemble</c:v>
                </c:pt>
                <c:pt idx="11">
                  <c:v>Beni mellal</c:v>
                </c:pt>
                <c:pt idx="12">
                  <c:v>Casa</c:v>
                </c:pt>
                <c:pt idx="13">
                  <c:v>Agadir</c:v>
                </c:pt>
                <c:pt idx="14">
                  <c:v>Fes</c:v>
                </c:pt>
                <c:pt idx="15">
                  <c:v>Dakhla</c:v>
                </c:pt>
                <c:pt idx="16">
                  <c:v>Laayoune</c:v>
                </c:pt>
                <c:pt idx="17">
                  <c:v>Safi</c:v>
                </c:pt>
              </c:strCache>
            </c:strRef>
          </c:cat>
          <c:val>
            <c:numRef>
              <c:f>'IPC par ville'!$C$25:$C$42</c:f>
              <c:numCache>
                <c:formatCode>0.0</c:formatCode>
                <c:ptCount val="18"/>
                <c:pt idx="0">
                  <c:v>101.46666666666682</c:v>
                </c:pt>
                <c:pt idx="1">
                  <c:v>101.64166666666669</c:v>
                </c:pt>
                <c:pt idx="2">
                  <c:v>101.69999999999999</c:v>
                </c:pt>
                <c:pt idx="3">
                  <c:v>101.69999999999999</c:v>
                </c:pt>
                <c:pt idx="4">
                  <c:v>101.75833333333314</c:v>
                </c:pt>
                <c:pt idx="5">
                  <c:v>102.16666666666664</c:v>
                </c:pt>
                <c:pt idx="6">
                  <c:v>102.16666666666667</c:v>
                </c:pt>
                <c:pt idx="7">
                  <c:v>102.32499999999999</c:v>
                </c:pt>
                <c:pt idx="8">
                  <c:v>102.37499999999999</c:v>
                </c:pt>
                <c:pt idx="9">
                  <c:v>102.45</c:v>
                </c:pt>
                <c:pt idx="10">
                  <c:v>102.46666666666682</c:v>
                </c:pt>
                <c:pt idx="11">
                  <c:v>102.48333333333331</c:v>
                </c:pt>
                <c:pt idx="12">
                  <c:v>102.53333333333325</c:v>
                </c:pt>
                <c:pt idx="13">
                  <c:v>102.67499999999998</c:v>
                </c:pt>
                <c:pt idx="14">
                  <c:v>102.91666666666687</c:v>
                </c:pt>
                <c:pt idx="15">
                  <c:v>103.38333333333314</c:v>
                </c:pt>
                <c:pt idx="16">
                  <c:v>103.79166666666686</c:v>
                </c:pt>
                <c:pt idx="17">
                  <c:v>104.81666666666666</c:v>
                </c:pt>
              </c:numCache>
            </c:numRef>
          </c:val>
        </c:ser>
        <c:axId val="120605696"/>
        <c:axId val="120607488"/>
      </c:barChart>
      <c:catAx>
        <c:axId val="120605696"/>
        <c:scaling>
          <c:orientation val="minMax"/>
        </c:scaling>
        <c:axPos val="b"/>
        <c:numFmt formatCode="General" sourceLinked="1"/>
        <c:tickLblPos val="nextTo"/>
        <c:txPr>
          <a:bodyPr rot="-5400000" vert="horz"/>
          <a:lstStyle/>
          <a:p>
            <a:pPr>
              <a:defRPr sz="900" b="1" i="0" u="none">
                <a:latin typeface="Times New Roman" pitchFamily="18" charset="0"/>
                <a:cs typeface="Times New Roman" pitchFamily="18" charset="0"/>
              </a:defRPr>
            </a:pPr>
            <a:endParaRPr lang="fr-FR"/>
          </a:p>
        </c:txPr>
        <c:crossAx val="120607488"/>
        <c:crosses val="autoZero"/>
        <c:auto val="1"/>
        <c:lblAlgn val="ctr"/>
        <c:lblOffset val="100"/>
      </c:catAx>
      <c:valAx>
        <c:axId val="120607488"/>
        <c:scaling>
          <c:orientation val="minMax"/>
        </c:scaling>
        <c:axPos val="l"/>
        <c:majorGridlines/>
        <c:numFmt formatCode="0" sourceLinked="0"/>
        <c:tickLblPos val="nextTo"/>
        <c:txPr>
          <a:bodyPr/>
          <a:lstStyle/>
          <a:p>
            <a:pPr>
              <a:defRPr sz="800">
                <a:latin typeface="Times New Roman" pitchFamily="18" charset="0"/>
                <a:cs typeface="Times New Roman" pitchFamily="18" charset="0"/>
              </a:defRPr>
            </a:pPr>
            <a:endParaRPr lang="fr-FR"/>
          </a:p>
        </c:txPr>
        <c:crossAx val="120605696"/>
        <c:crosses val="autoZero"/>
        <c:crossBetween val="between"/>
      </c:valAx>
    </c:plotArea>
    <c:legend>
      <c:legendPos val="r"/>
      <c:layout>
        <c:manualLayout>
          <c:xMode val="edge"/>
          <c:yMode val="edge"/>
          <c:x val="9.0006014873140833E-2"/>
          <c:y val="0.15160877369892797"/>
          <c:w val="9.5179133858267692E-2"/>
          <c:h val="0.14881211920581988"/>
        </c:manualLayout>
      </c:layout>
    </c:legend>
    <c:plotVisOnly val="1"/>
  </c:chart>
  <c:spPr>
    <a:solidFill>
      <a:schemeClr val="bg1">
        <a:lumMod val="85000"/>
      </a:schemeClr>
    </a:solidFill>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3"/>
  <c:chart>
    <c:autoTitleDeleted val="1"/>
    <c:view3D>
      <c:rAngAx val="1"/>
    </c:view3D>
    <c:sideWall>
      <c:spPr>
        <a:solidFill>
          <a:schemeClr val="bg1">
            <a:lumMod val="85000"/>
          </a:schemeClr>
        </a:solidFill>
      </c:spPr>
    </c:sideWall>
    <c:backWall>
      <c:spPr>
        <a:solidFill>
          <a:schemeClr val="bg1">
            <a:lumMod val="85000"/>
          </a:schemeClr>
        </a:solidFill>
      </c:spPr>
    </c:backWall>
    <c:plotArea>
      <c:layout/>
      <c:bar3DChart>
        <c:barDir val="col"/>
        <c:grouping val="clustered"/>
        <c:ser>
          <c:idx val="0"/>
          <c:order val="0"/>
          <c:tx>
            <c:strRef>
              <c:f>'IPC par ville'!$B$48</c:f>
              <c:strCache>
                <c:ptCount val="1"/>
                <c:pt idx="0">
                  <c:v>Variation (%)</c:v>
                </c:pt>
              </c:strCache>
            </c:strRef>
          </c:tx>
          <c:dPt>
            <c:idx val="1"/>
            <c:spPr>
              <a:solidFill>
                <a:srgbClr val="FF0000"/>
              </a:solidFill>
            </c:spPr>
          </c:dPt>
          <c:dPt>
            <c:idx val="7"/>
            <c:spPr>
              <a:solidFill>
                <a:srgbClr val="FF0000"/>
              </a:solidFill>
            </c:spPr>
          </c:dPt>
          <c:cat>
            <c:strRef>
              <c:f>'IPC par ville'!$A$49:$A$67</c:f>
              <c:strCache>
                <c:ptCount val="19"/>
                <c:pt idx="0">
                  <c:v>Fes</c:v>
                </c:pt>
                <c:pt idx="1">
                  <c:v>Kenitra</c:v>
                </c:pt>
                <c:pt idx="2">
                  <c:v>Oujda</c:v>
                </c:pt>
                <c:pt idx="3">
                  <c:v>Dakhla</c:v>
                </c:pt>
                <c:pt idx="4">
                  <c:v>Safi</c:v>
                </c:pt>
                <c:pt idx="5">
                  <c:v>Casa</c:v>
                </c:pt>
                <c:pt idx="6">
                  <c:v>Tétouan</c:v>
                </c:pt>
                <c:pt idx="7">
                  <c:v>Ensemble</c:v>
                </c:pt>
                <c:pt idx="8">
                  <c:v>Errachidia</c:v>
                </c:pt>
                <c:pt idx="9">
                  <c:v>Settat</c:v>
                </c:pt>
                <c:pt idx="10">
                  <c:v>El houceima</c:v>
                </c:pt>
                <c:pt idx="11">
                  <c:v>Marrakech</c:v>
                </c:pt>
                <c:pt idx="12">
                  <c:v>Rabat</c:v>
                </c:pt>
                <c:pt idx="13">
                  <c:v>Meknes</c:v>
                </c:pt>
                <c:pt idx="14">
                  <c:v>Agadir</c:v>
                </c:pt>
                <c:pt idx="15">
                  <c:v>Tanger</c:v>
                </c:pt>
                <c:pt idx="16">
                  <c:v>Laayoune</c:v>
                </c:pt>
                <c:pt idx="17">
                  <c:v>Beni mellal</c:v>
                </c:pt>
                <c:pt idx="18">
                  <c:v>Guelmim</c:v>
                </c:pt>
              </c:strCache>
            </c:strRef>
          </c:cat>
          <c:val>
            <c:numRef>
              <c:f>'IPC par ville'!$B$49:$B$67</c:f>
              <c:numCache>
                <c:formatCode>0.0</c:formatCode>
                <c:ptCount val="19"/>
                <c:pt idx="0">
                  <c:v>1.6196954972478066E-2</c:v>
                </c:pt>
                <c:pt idx="1">
                  <c:v>4.1010498687668713E-2</c:v>
                </c:pt>
                <c:pt idx="2">
                  <c:v>9.8425196850388197E-2</c:v>
                </c:pt>
                <c:pt idx="3">
                  <c:v>0.27481409634658732</c:v>
                </c:pt>
                <c:pt idx="4">
                  <c:v>0.30303030303029937</c:v>
                </c:pt>
                <c:pt idx="5">
                  <c:v>0.4244205027750475</c:v>
                </c:pt>
                <c:pt idx="6">
                  <c:v>0.59347181008901562</c:v>
                </c:pt>
                <c:pt idx="7">
                  <c:v>0.6548788474132482</c:v>
                </c:pt>
                <c:pt idx="8">
                  <c:v>0.66137566137568093</c:v>
                </c:pt>
                <c:pt idx="9">
                  <c:v>0.75082508250824442</c:v>
                </c:pt>
                <c:pt idx="10">
                  <c:v>0.75608152531226547</c:v>
                </c:pt>
                <c:pt idx="11">
                  <c:v>0.8128078817734018</c:v>
                </c:pt>
                <c:pt idx="12">
                  <c:v>0.83661417322834153</c:v>
                </c:pt>
                <c:pt idx="13">
                  <c:v>0.85554458703521652</c:v>
                </c:pt>
                <c:pt idx="14">
                  <c:v>0.85952848722987718</c:v>
                </c:pt>
                <c:pt idx="15">
                  <c:v>0.9615384615384559</c:v>
                </c:pt>
                <c:pt idx="16">
                  <c:v>0.96465629053178503</c:v>
                </c:pt>
                <c:pt idx="17">
                  <c:v>1.268115942028984</c:v>
                </c:pt>
                <c:pt idx="18">
                  <c:v>2.1116504854369027</c:v>
                </c:pt>
              </c:numCache>
            </c:numRef>
          </c:val>
        </c:ser>
        <c:shape val="cylinder"/>
        <c:axId val="120624256"/>
        <c:axId val="120625792"/>
        <c:axId val="0"/>
      </c:bar3DChart>
      <c:catAx>
        <c:axId val="120624256"/>
        <c:scaling>
          <c:orientation val="minMax"/>
        </c:scaling>
        <c:axPos val="b"/>
        <c:tickLblPos val="nextTo"/>
        <c:txPr>
          <a:bodyPr/>
          <a:lstStyle/>
          <a:p>
            <a:pPr>
              <a:defRPr>
                <a:latin typeface="Times New Roman" pitchFamily="18" charset="0"/>
                <a:cs typeface="Times New Roman" pitchFamily="18" charset="0"/>
              </a:defRPr>
            </a:pPr>
            <a:endParaRPr lang="fr-FR"/>
          </a:p>
        </c:txPr>
        <c:crossAx val="120625792"/>
        <c:crosses val="autoZero"/>
        <c:auto val="1"/>
        <c:lblAlgn val="ctr"/>
        <c:lblOffset val="100"/>
      </c:catAx>
      <c:valAx>
        <c:axId val="120625792"/>
        <c:scaling>
          <c:orientation val="minMax"/>
        </c:scaling>
        <c:axPos val="l"/>
        <c:majorGridlines/>
        <c:numFmt formatCode="0.0" sourceLinked="1"/>
        <c:tickLblPos val="nextTo"/>
        <c:txPr>
          <a:bodyPr/>
          <a:lstStyle/>
          <a:p>
            <a:pPr>
              <a:defRPr>
                <a:latin typeface="Times New Roman" pitchFamily="18" charset="0"/>
                <a:cs typeface="Times New Roman" pitchFamily="18" charset="0"/>
              </a:defRPr>
            </a:pPr>
            <a:endParaRPr lang="fr-FR"/>
          </a:p>
        </c:txPr>
        <c:crossAx val="12062425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5.0012467191601677E-2"/>
          <c:y val="5.0736782902137345E-2"/>
          <c:w val="0.93165419947506567"/>
          <c:h val="0.81421219668969969"/>
        </c:manualLayout>
      </c:layout>
      <c:lineChart>
        <c:grouping val="standard"/>
        <c:ser>
          <c:idx val="0"/>
          <c:order val="0"/>
          <c:tx>
            <c:strRef>
              <c:f>'IA+INA Kenitra'!$A$48</c:f>
              <c:strCache>
                <c:ptCount val="1"/>
                <c:pt idx="0">
                  <c:v>KENITRA</c:v>
                </c:pt>
              </c:strCache>
            </c:strRef>
          </c:tx>
          <c:cat>
            <c:strRef>
              <c:f>'IA+INA Kenitra'!$B$47:$M$47</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Kenitra'!$B$48:$M$48</c:f>
              <c:numCache>
                <c:formatCode>0.0</c:formatCode>
                <c:ptCount val="12"/>
                <c:pt idx="0">
                  <c:v>101.6</c:v>
                </c:pt>
                <c:pt idx="1">
                  <c:v>101.6</c:v>
                </c:pt>
                <c:pt idx="2">
                  <c:v>101.8</c:v>
                </c:pt>
                <c:pt idx="3">
                  <c:v>101.8</c:v>
                </c:pt>
                <c:pt idx="4">
                  <c:v>101</c:v>
                </c:pt>
                <c:pt idx="5">
                  <c:v>101</c:v>
                </c:pt>
                <c:pt idx="6">
                  <c:v>100.7</c:v>
                </c:pt>
                <c:pt idx="7">
                  <c:v>102.4</c:v>
                </c:pt>
                <c:pt idx="8">
                  <c:v>103.3</c:v>
                </c:pt>
                <c:pt idx="9">
                  <c:v>102.5</c:v>
                </c:pt>
                <c:pt idx="10">
                  <c:v>101.3</c:v>
                </c:pt>
                <c:pt idx="11">
                  <c:v>100.7</c:v>
                </c:pt>
              </c:numCache>
            </c:numRef>
          </c:val>
        </c:ser>
        <c:ser>
          <c:idx val="1"/>
          <c:order val="1"/>
          <c:tx>
            <c:strRef>
              <c:f>'IA+INA Kenitra'!$A$49</c:f>
              <c:strCache>
                <c:ptCount val="1"/>
                <c:pt idx="0">
                  <c:v>NATIONAL</c:v>
                </c:pt>
              </c:strCache>
            </c:strRef>
          </c:tx>
          <c:marker>
            <c:symbol val="none"/>
          </c:marker>
          <c:cat>
            <c:strRef>
              <c:f>'IA+INA Kenitra'!$B$47:$M$47</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Kenitra'!$B$49:$M$49</c:f>
              <c:numCache>
                <c:formatCode>0.0</c:formatCode>
                <c:ptCount val="12"/>
                <c:pt idx="0">
                  <c:v>102.3</c:v>
                </c:pt>
                <c:pt idx="1">
                  <c:v>102.1</c:v>
                </c:pt>
                <c:pt idx="2">
                  <c:v>102.5</c:v>
                </c:pt>
                <c:pt idx="3">
                  <c:v>102.4</c:v>
                </c:pt>
                <c:pt idx="4">
                  <c:v>102.2</c:v>
                </c:pt>
                <c:pt idx="5">
                  <c:v>101.9</c:v>
                </c:pt>
                <c:pt idx="6">
                  <c:v>101.6</c:v>
                </c:pt>
                <c:pt idx="7">
                  <c:v>103</c:v>
                </c:pt>
                <c:pt idx="8">
                  <c:v>103.3</c:v>
                </c:pt>
                <c:pt idx="9">
                  <c:v>103.4</c:v>
                </c:pt>
                <c:pt idx="10">
                  <c:v>102.7</c:v>
                </c:pt>
                <c:pt idx="11">
                  <c:v>102.2</c:v>
                </c:pt>
              </c:numCache>
            </c:numRef>
          </c:val>
        </c:ser>
        <c:marker val="1"/>
        <c:axId val="120633600"/>
        <c:axId val="120643584"/>
      </c:lineChart>
      <c:catAx>
        <c:axId val="120633600"/>
        <c:scaling>
          <c:orientation val="minMax"/>
        </c:scaling>
        <c:axPos val="b"/>
        <c:tickLblPos val="nextTo"/>
        <c:txPr>
          <a:bodyPr/>
          <a:lstStyle/>
          <a:p>
            <a:pPr>
              <a:defRPr>
                <a:latin typeface="Times New Roman" pitchFamily="18" charset="0"/>
                <a:cs typeface="Times New Roman" pitchFamily="18" charset="0"/>
              </a:defRPr>
            </a:pPr>
            <a:endParaRPr lang="fr-FR"/>
          </a:p>
        </c:txPr>
        <c:crossAx val="120643584"/>
        <c:crosses val="autoZero"/>
        <c:auto val="1"/>
        <c:lblAlgn val="ctr"/>
        <c:lblOffset val="100"/>
      </c:catAx>
      <c:valAx>
        <c:axId val="120643584"/>
        <c:scaling>
          <c:orientation val="minMax"/>
          <c:min val="100"/>
        </c:scaling>
        <c:axPos val="l"/>
        <c:majorGridlines/>
        <c:numFmt formatCode="0" sourceLinked="0"/>
        <c:tickLblPos val="nextTo"/>
        <c:txPr>
          <a:bodyPr/>
          <a:lstStyle/>
          <a:p>
            <a:pPr>
              <a:defRPr>
                <a:latin typeface="Times New Roman" pitchFamily="18" charset="0"/>
                <a:cs typeface="Times New Roman" pitchFamily="18" charset="0"/>
              </a:defRPr>
            </a:pPr>
            <a:endParaRPr lang="fr-FR"/>
          </a:p>
        </c:txPr>
        <c:crossAx val="120633600"/>
        <c:crosses val="autoZero"/>
        <c:crossBetween val="between"/>
        <c:majorUnit val="1"/>
      </c:valAx>
    </c:plotArea>
    <c:legend>
      <c:legendPos val="b"/>
      <c:layout>
        <c:manualLayout>
          <c:xMode val="edge"/>
          <c:yMode val="edge"/>
          <c:x val="0.14236985765548216"/>
          <c:y val="4.591836734693884E-2"/>
          <c:w val="0.27547609734528378"/>
          <c:h val="0.19890820939049464"/>
        </c:manualLayout>
      </c:layout>
      <c:txPr>
        <a:bodyPr/>
        <a:lstStyle/>
        <a:p>
          <a:pPr>
            <a:defRPr sz="800">
              <a:latin typeface="Times New Roman" pitchFamily="18" charset="0"/>
              <a:cs typeface="Times New Roman" pitchFamily="18" charset="0"/>
            </a:defRPr>
          </a:pPr>
          <a:endParaRPr lang="fr-FR"/>
        </a:p>
      </c:txPr>
    </c:legend>
    <c:plotVisOnly val="1"/>
  </c:chart>
  <c:spPr>
    <a:solidFill>
      <a:schemeClr val="accent1">
        <a:lumMod val="60000"/>
        <a:lumOff val="40000"/>
      </a:schemeClr>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5.6228173839147001E-2"/>
          <c:y val="3.3053670015386005E-2"/>
          <c:w val="0.94377182616085953"/>
          <c:h val="0.78000181011856407"/>
        </c:manualLayout>
      </c:layout>
      <c:lineChart>
        <c:grouping val="standard"/>
        <c:ser>
          <c:idx val="0"/>
          <c:order val="0"/>
          <c:tx>
            <c:strRef>
              <c:f>'IA+INA Kenitra'!$A$4</c:f>
              <c:strCache>
                <c:ptCount val="1"/>
                <c:pt idx="0">
                  <c:v>IPA</c:v>
                </c:pt>
              </c:strCache>
            </c:strRef>
          </c:tx>
          <c:cat>
            <c:strRef>
              <c:f>'IA+INA Kenitra'!$B$2:$M$3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Kenitra'!$B$4:$M$4</c:f>
              <c:numCache>
                <c:formatCode>0.0</c:formatCode>
                <c:ptCount val="12"/>
                <c:pt idx="0">
                  <c:v>99.345499999999987</c:v>
                </c:pt>
                <c:pt idx="1">
                  <c:v>99.634999999999991</c:v>
                </c:pt>
                <c:pt idx="2">
                  <c:v>100.50349999999999</c:v>
                </c:pt>
                <c:pt idx="3">
                  <c:v>101.37199999999999</c:v>
                </c:pt>
                <c:pt idx="4">
                  <c:v>99.345499999999987</c:v>
                </c:pt>
                <c:pt idx="5">
                  <c:v>99.055999999999983</c:v>
                </c:pt>
                <c:pt idx="6">
                  <c:v>97.897999999999996</c:v>
                </c:pt>
                <c:pt idx="7">
                  <c:v>101.742</c:v>
                </c:pt>
                <c:pt idx="8">
                  <c:v>103.093</c:v>
                </c:pt>
                <c:pt idx="9">
                  <c:v>101.35599999999998</c:v>
                </c:pt>
                <c:pt idx="10">
                  <c:v>98.557500000000005</c:v>
                </c:pt>
                <c:pt idx="11">
                  <c:v>96.72399999999999</c:v>
                </c:pt>
              </c:numCache>
            </c:numRef>
          </c:val>
        </c:ser>
        <c:ser>
          <c:idx val="1"/>
          <c:order val="1"/>
          <c:tx>
            <c:strRef>
              <c:f>'IA+INA Kenitra'!$A$5</c:f>
              <c:strCache>
                <c:ptCount val="1"/>
                <c:pt idx="0">
                  <c:v>IPNA</c:v>
                </c:pt>
              </c:strCache>
            </c:strRef>
          </c:tx>
          <c:cat>
            <c:strRef>
              <c:f>'IA+INA Kenitra'!$B$2:$M$3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Kenitra'!$B$5:$M$5</c:f>
              <c:numCache>
                <c:formatCode>0.0</c:formatCode>
                <c:ptCount val="12"/>
                <c:pt idx="0">
                  <c:v>103.27758455420677</c:v>
                </c:pt>
                <c:pt idx="1">
                  <c:v>103.0621661783174</c:v>
                </c:pt>
                <c:pt idx="2">
                  <c:v>102.76473203571925</c:v>
                </c:pt>
                <c:pt idx="3">
                  <c:v>102.11847690805064</c:v>
                </c:pt>
                <c:pt idx="4">
                  <c:v>102.23112159899553</c:v>
                </c:pt>
                <c:pt idx="5">
                  <c:v>102.4465399748849</c:v>
                </c:pt>
                <c:pt idx="6">
                  <c:v>102.78498200083719</c:v>
                </c:pt>
                <c:pt idx="7">
                  <c:v>102.88962104088181</c:v>
                </c:pt>
                <c:pt idx="8">
                  <c:v>103.45402971954809</c:v>
                </c:pt>
                <c:pt idx="9">
                  <c:v>103.35125603460305</c:v>
                </c:pt>
                <c:pt idx="10">
                  <c:v>103.34070775777865</c:v>
                </c:pt>
                <c:pt idx="11">
                  <c:v>103.65856118320075</c:v>
                </c:pt>
              </c:numCache>
            </c:numRef>
          </c:val>
        </c:ser>
        <c:ser>
          <c:idx val="2"/>
          <c:order val="2"/>
          <c:tx>
            <c:strRef>
              <c:f>'IA+INA Kenitra'!$A$6</c:f>
              <c:strCache>
                <c:ptCount val="1"/>
                <c:pt idx="0">
                  <c:v>IG</c:v>
                </c:pt>
              </c:strCache>
            </c:strRef>
          </c:tx>
          <c:cat>
            <c:strRef>
              <c:f>'IA+INA Kenitra'!$B$2:$M$3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Kenitra'!$B$6:$M$6</c:f>
              <c:numCache>
                <c:formatCode>0.0</c:formatCode>
                <c:ptCount val="12"/>
                <c:pt idx="0">
                  <c:v>101.6</c:v>
                </c:pt>
                <c:pt idx="1">
                  <c:v>101.6</c:v>
                </c:pt>
                <c:pt idx="2">
                  <c:v>101.8</c:v>
                </c:pt>
                <c:pt idx="3">
                  <c:v>101.8</c:v>
                </c:pt>
                <c:pt idx="4">
                  <c:v>101</c:v>
                </c:pt>
                <c:pt idx="5">
                  <c:v>101</c:v>
                </c:pt>
                <c:pt idx="6">
                  <c:v>100.7</c:v>
                </c:pt>
                <c:pt idx="7">
                  <c:v>102.4</c:v>
                </c:pt>
                <c:pt idx="8">
                  <c:v>103.3</c:v>
                </c:pt>
                <c:pt idx="9">
                  <c:v>102.5</c:v>
                </c:pt>
                <c:pt idx="10">
                  <c:v>101.3</c:v>
                </c:pt>
                <c:pt idx="11">
                  <c:v>100.7</c:v>
                </c:pt>
              </c:numCache>
            </c:numRef>
          </c:val>
        </c:ser>
        <c:marker val="1"/>
        <c:axId val="122311424"/>
        <c:axId val="122312960"/>
      </c:lineChart>
      <c:catAx>
        <c:axId val="122311424"/>
        <c:scaling>
          <c:orientation val="minMax"/>
        </c:scaling>
        <c:axPos val="b"/>
        <c:tickLblPos val="nextTo"/>
        <c:crossAx val="122312960"/>
        <c:crosses val="autoZero"/>
        <c:auto val="1"/>
        <c:lblAlgn val="ctr"/>
        <c:lblOffset val="100"/>
      </c:catAx>
      <c:valAx>
        <c:axId val="122312960"/>
        <c:scaling>
          <c:orientation val="minMax"/>
          <c:max val="104"/>
          <c:min val="96"/>
        </c:scaling>
        <c:axPos val="l"/>
        <c:majorGridlines/>
        <c:numFmt formatCode="0" sourceLinked="0"/>
        <c:tickLblPos val="nextTo"/>
        <c:crossAx val="122311424"/>
        <c:crosses val="autoZero"/>
        <c:crossBetween val="between"/>
      </c:valAx>
    </c:plotArea>
    <c:legend>
      <c:legendPos val="b"/>
      <c:layout>
        <c:manualLayout>
          <c:xMode val="edge"/>
          <c:yMode val="edge"/>
          <c:x val="0.34224341664132274"/>
          <c:y val="0.90196794549617454"/>
          <c:w val="0.30217878751665683"/>
          <c:h val="5.5478910206647004E-2"/>
        </c:manualLayout>
      </c:layout>
      <c:txPr>
        <a:bodyPr/>
        <a:lstStyle/>
        <a:p>
          <a:pPr>
            <a:defRPr sz="800"/>
          </a:pPr>
          <a:endParaRPr lang="fr-FR"/>
        </a:p>
      </c:txPr>
    </c:legend>
    <c:plotVisOnly val="1"/>
  </c:chart>
  <c:txPr>
    <a:bodyPr/>
    <a:lstStyle/>
    <a:p>
      <a:pPr>
        <a:defRPr>
          <a:latin typeface="Times New Roman" pitchFamily="18" charset="0"/>
          <a:cs typeface="Times New Roman" pitchFamily="18" charset="0"/>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6.7546346782988001E-2"/>
          <c:y val="4.5799383772680585E-2"/>
          <c:w val="0.90985698569856988"/>
          <c:h val="0.84848966063746822"/>
        </c:manualLayout>
      </c:layout>
      <c:lineChart>
        <c:grouping val="standard"/>
        <c:ser>
          <c:idx val="0"/>
          <c:order val="0"/>
          <c:tx>
            <c:strRef>
              <c:f>'IPCK par année'!$A$71</c:f>
              <c:strCache>
                <c:ptCount val="1"/>
                <c:pt idx="0">
                  <c:v>2017</c:v>
                </c:pt>
              </c:strCache>
            </c:strRef>
          </c:tx>
          <c:cat>
            <c:strRef>
              <c:f>'IPCK par année'!$B$70:$M$70</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année'!$B$71:$M$71</c:f>
              <c:numCache>
                <c:formatCode>0.0</c:formatCode>
                <c:ptCount val="12"/>
                <c:pt idx="0">
                  <c:v>99.9</c:v>
                </c:pt>
                <c:pt idx="1">
                  <c:v>99.7</c:v>
                </c:pt>
                <c:pt idx="2">
                  <c:v>99.7</c:v>
                </c:pt>
                <c:pt idx="3">
                  <c:v>99.3</c:v>
                </c:pt>
                <c:pt idx="4">
                  <c:v>99.3</c:v>
                </c:pt>
                <c:pt idx="5">
                  <c:v>100</c:v>
                </c:pt>
                <c:pt idx="6">
                  <c:v>99.1</c:v>
                </c:pt>
                <c:pt idx="7">
                  <c:v>99.5</c:v>
                </c:pt>
                <c:pt idx="8">
                  <c:v>100.9</c:v>
                </c:pt>
                <c:pt idx="9">
                  <c:v>100.5</c:v>
                </c:pt>
                <c:pt idx="10">
                  <c:v>100.9</c:v>
                </c:pt>
                <c:pt idx="11">
                  <c:v>101.1</c:v>
                </c:pt>
              </c:numCache>
            </c:numRef>
          </c:val>
        </c:ser>
        <c:ser>
          <c:idx val="10"/>
          <c:order val="1"/>
          <c:tx>
            <c:strRef>
              <c:f>'IPCK par année'!$A$72</c:f>
              <c:strCache>
                <c:ptCount val="1"/>
                <c:pt idx="0">
                  <c:v>2018</c:v>
                </c:pt>
              </c:strCache>
            </c:strRef>
          </c:tx>
          <c:cat>
            <c:strRef>
              <c:f>'IPCK par année'!$B$70:$M$70</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année'!$B$72:$M$72</c:f>
              <c:numCache>
                <c:formatCode>0.0</c:formatCode>
                <c:ptCount val="12"/>
                <c:pt idx="0">
                  <c:v>100.9</c:v>
                </c:pt>
                <c:pt idx="1">
                  <c:v>100.8</c:v>
                </c:pt>
                <c:pt idx="2">
                  <c:v>101.3</c:v>
                </c:pt>
                <c:pt idx="3">
                  <c:v>101.4</c:v>
                </c:pt>
                <c:pt idx="4">
                  <c:v>101.5</c:v>
                </c:pt>
                <c:pt idx="5">
                  <c:v>102</c:v>
                </c:pt>
                <c:pt idx="6">
                  <c:v>100.2</c:v>
                </c:pt>
                <c:pt idx="7">
                  <c:v>100.4</c:v>
                </c:pt>
                <c:pt idx="8">
                  <c:v>101.4</c:v>
                </c:pt>
                <c:pt idx="9">
                  <c:v>101.1</c:v>
                </c:pt>
                <c:pt idx="10">
                  <c:v>101.2</c:v>
                </c:pt>
                <c:pt idx="11">
                  <c:v>101.1</c:v>
                </c:pt>
              </c:numCache>
            </c:numRef>
          </c:val>
        </c:ser>
        <c:ser>
          <c:idx val="11"/>
          <c:order val="2"/>
          <c:tx>
            <c:strRef>
              <c:f>'IPCK par année'!$A$73</c:f>
              <c:strCache>
                <c:ptCount val="1"/>
                <c:pt idx="0">
                  <c:v>2019</c:v>
                </c:pt>
              </c:strCache>
            </c:strRef>
          </c:tx>
          <c:cat>
            <c:strRef>
              <c:f>'IPCK par année'!$B$70:$M$70</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année'!$B$73:$M$73</c:f>
              <c:numCache>
                <c:formatCode>0.0</c:formatCode>
                <c:ptCount val="12"/>
                <c:pt idx="0">
                  <c:v>100.7</c:v>
                </c:pt>
                <c:pt idx="1">
                  <c:v>100.8</c:v>
                </c:pt>
                <c:pt idx="2">
                  <c:v>101.2</c:v>
                </c:pt>
                <c:pt idx="3">
                  <c:v>101.4</c:v>
                </c:pt>
                <c:pt idx="4">
                  <c:v>102.7</c:v>
                </c:pt>
                <c:pt idx="5">
                  <c:v>102.6</c:v>
                </c:pt>
                <c:pt idx="6">
                  <c:v>101.3</c:v>
                </c:pt>
                <c:pt idx="7">
                  <c:v>101.9</c:v>
                </c:pt>
                <c:pt idx="8">
                  <c:v>101.5</c:v>
                </c:pt>
                <c:pt idx="9">
                  <c:v>101.3</c:v>
                </c:pt>
                <c:pt idx="10">
                  <c:v>101.7</c:v>
                </c:pt>
                <c:pt idx="11">
                  <c:v>101.7</c:v>
                </c:pt>
              </c:numCache>
            </c:numRef>
          </c:val>
        </c:ser>
        <c:ser>
          <c:idx val="12"/>
          <c:order val="3"/>
          <c:tx>
            <c:strRef>
              <c:f>'IPCK par année'!$A$74</c:f>
              <c:strCache>
                <c:ptCount val="1"/>
                <c:pt idx="0">
                  <c:v>2020</c:v>
                </c:pt>
              </c:strCache>
            </c:strRef>
          </c:tx>
          <c:cat>
            <c:strRef>
              <c:f>'IPCK par année'!$B$70:$M$70</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année'!$B$74:$M$74</c:f>
              <c:numCache>
                <c:formatCode>0.0</c:formatCode>
                <c:ptCount val="12"/>
                <c:pt idx="0">
                  <c:v>101.6</c:v>
                </c:pt>
                <c:pt idx="1">
                  <c:v>101.6</c:v>
                </c:pt>
                <c:pt idx="2">
                  <c:v>101.8</c:v>
                </c:pt>
                <c:pt idx="3">
                  <c:v>101.8</c:v>
                </c:pt>
                <c:pt idx="4">
                  <c:v>101</c:v>
                </c:pt>
                <c:pt idx="5">
                  <c:v>101</c:v>
                </c:pt>
                <c:pt idx="6">
                  <c:v>100.7</c:v>
                </c:pt>
                <c:pt idx="7">
                  <c:v>102.4</c:v>
                </c:pt>
                <c:pt idx="8">
                  <c:v>103.3</c:v>
                </c:pt>
                <c:pt idx="9">
                  <c:v>102.5</c:v>
                </c:pt>
                <c:pt idx="10">
                  <c:v>101.3</c:v>
                </c:pt>
                <c:pt idx="11">
                  <c:v>100.7</c:v>
                </c:pt>
              </c:numCache>
            </c:numRef>
          </c:val>
        </c:ser>
        <c:marker val="1"/>
        <c:axId val="125145088"/>
        <c:axId val="125146624"/>
      </c:lineChart>
      <c:catAx>
        <c:axId val="125145088"/>
        <c:scaling>
          <c:orientation val="minMax"/>
        </c:scaling>
        <c:axPos val="b"/>
        <c:tickLblPos val="nextTo"/>
        <c:txPr>
          <a:bodyPr/>
          <a:lstStyle/>
          <a:p>
            <a:pPr>
              <a:defRPr>
                <a:latin typeface="Times New Roman" pitchFamily="18" charset="0"/>
                <a:cs typeface="Times New Roman" pitchFamily="18" charset="0"/>
              </a:defRPr>
            </a:pPr>
            <a:endParaRPr lang="fr-FR"/>
          </a:p>
        </c:txPr>
        <c:crossAx val="125146624"/>
        <c:crosses val="autoZero"/>
        <c:auto val="1"/>
        <c:lblAlgn val="ctr"/>
        <c:lblOffset val="100"/>
      </c:catAx>
      <c:valAx>
        <c:axId val="125146624"/>
        <c:scaling>
          <c:orientation val="minMax"/>
          <c:max val="104"/>
          <c:min val="98"/>
        </c:scaling>
        <c:axPos val="l"/>
        <c:majorGridlines/>
        <c:numFmt formatCode="0" sourceLinked="0"/>
        <c:tickLblPos val="nextTo"/>
        <c:txPr>
          <a:bodyPr/>
          <a:lstStyle/>
          <a:p>
            <a:pPr>
              <a:defRPr>
                <a:latin typeface="Times New Roman" pitchFamily="18" charset="0"/>
                <a:cs typeface="Times New Roman" pitchFamily="18" charset="0"/>
              </a:defRPr>
            </a:pPr>
            <a:endParaRPr lang="fr-FR"/>
          </a:p>
        </c:txPr>
        <c:crossAx val="125145088"/>
        <c:crosses val="autoZero"/>
        <c:crossBetween val="between"/>
      </c:valAx>
    </c:plotArea>
    <c:legend>
      <c:legendPos val="r"/>
      <c:layout>
        <c:manualLayout>
          <c:xMode val="edge"/>
          <c:yMode val="edge"/>
          <c:x val="9.6355970770829288E-2"/>
          <c:y val="2.999600593404084E-2"/>
          <c:w val="0.10913826785326677"/>
          <c:h val="0.28888450714324243"/>
        </c:manualLayout>
      </c:layout>
    </c:legend>
    <c:plotVisOnly val="1"/>
  </c:chart>
  <c:spPr>
    <a:solidFill>
      <a:schemeClr val="accent1">
        <a:lumMod val="40000"/>
        <a:lumOff val="60000"/>
      </a:schemeClr>
    </a:soli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4.9330547967218787E-2"/>
          <c:y val="9.2251096408476244E-2"/>
          <c:w val="0.90671051901673849"/>
          <c:h val="0.85498226459711701"/>
        </c:manualLayout>
      </c:layout>
      <c:lineChart>
        <c:grouping val="standard"/>
        <c:ser>
          <c:idx val="0"/>
          <c:order val="0"/>
          <c:tx>
            <c:strRef>
              <c:f>'EVOLUTION IPCK+IPCN'!$A$4</c:f>
              <c:strCache>
                <c:ptCount val="1"/>
                <c:pt idx="0">
                  <c:v>IPC KENITRA</c:v>
                </c:pt>
              </c:strCache>
            </c:strRef>
          </c:tx>
          <c:cat>
            <c:numRef>
              <c:f>'EVOLUTION IPCK+IPCN'!$B$3:$E$3</c:f>
              <c:numCache>
                <c:formatCode>General</c:formatCode>
                <c:ptCount val="4"/>
                <c:pt idx="0">
                  <c:v>2017</c:v>
                </c:pt>
                <c:pt idx="1">
                  <c:v>2018</c:v>
                </c:pt>
                <c:pt idx="2">
                  <c:v>2019</c:v>
                </c:pt>
                <c:pt idx="3">
                  <c:v>2020</c:v>
                </c:pt>
              </c:numCache>
            </c:numRef>
          </c:cat>
          <c:val>
            <c:numRef>
              <c:f>'EVOLUTION IPCK+IPCN'!$B$4:$E$4</c:f>
              <c:numCache>
                <c:formatCode>0.0</c:formatCode>
                <c:ptCount val="4"/>
                <c:pt idx="0">
                  <c:v>99.991666666666831</c:v>
                </c:pt>
                <c:pt idx="1">
                  <c:v>101.10833333333312</c:v>
                </c:pt>
                <c:pt idx="2">
                  <c:v>101.56666666666666</c:v>
                </c:pt>
                <c:pt idx="3">
                  <c:v>101.64166666666669</c:v>
                </c:pt>
              </c:numCache>
            </c:numRef>
          </c:val>
        </c:ser>
        <c:ser>
          <c:idx val="1"/>
          <c:order val="1"/>
          <c:tx>
            <c:strRef>
              <c:f>'EVOLUTION IPCK+IPCN'!$A$5</c:f>
              <c:strCache>
                <c:ptCount val="1"/>
                <c:pt idx="0">
                  <c:v>IPC NATIONAL</c:v>
                </c:pt>
              </c:strCache>
            </c:strRef>
          </c:tx>
          <c:cat>
            <c:numRef>
              <c:f>'EVOLUTION IPCK+IPCN'!$B$3:$E$3</c:f>
              <c:numCache>
                <c:formatCode>General</c:formatCode>
                <c:ptCount val="4"/>
                <c:pt idx="0">
                  <c:v>2017</c:v>
                </c:pt>
                <c:pt idx="1">
                  <c:v>2018</c:v>
                </c:pt>
                <c:pt idx="2">
                  <c:v>2019</c:v>
                </c:pt>
                <c:pt idx="3">
                  <c:v>2020</c:v>
                </c:pt>
              </c:numCache>
            </c:numRef>
          </c:cat>
          <c:val>
            <c:numRef>
              <c:f>'EVOLUTION IPCK+IPCN'!$B$5:$E$5</c:f>
              <c:numCache>
                <c:formatCode>0.0</c:formatCode>
                <c:ptCount val="4"/>
                <c:pt idx="0">
                  <c:v>99.983333333333249</c:v>
                </c:pt>
                <c:pt idx="1">
                  <c:v>101.5833333333332</c:v>
                </c:pt>
                <c:pt idx="2">
                  <c:v>101.8333333333332</c:v>
                </c:pt>
                <c:pt idx="3">
                  <c:v>102.46666666666681</c:v>
                </c:pt>
              </c:numCache>
            </c:numRef>
          </c:val>
        </c:ser>
        <c:marker val="1"/>
        <c:axId val="125257216"/>
        <c:axId val="125258752"/>
      </c:lineChart>
      <c:catAx>
        <c:axId val="12525721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fr-FR"/>
          </a:p>
        </c:txPr>
        <c:crossAx val="125258752"/>
        <c:crosses val="autoZero"/>
        <c:auto val="1"/>
        <c:lblAlgn val="ctr"/>
        <c:lblOffset val="100"/>
      </c:catAx>
      <c:valAx>
        <c:axId val="125258752"/>
        <c:scaling>
          <c:orientation val="minMax"/>
          <c:max val="103"/>
          <c:min val="100"/>
        </c:scaling>
        <c:axPos val="l"/>
        <c:majorGridlines/>
        <c:numFmt formatCode="0" sourceLinked="0"/>
        <c:tickLblPos val="nextTo"/>
        <c:txPr>
          <a:bodyPr/>
          <a:lstStyle/>
          <a:p>
            <a:pPr>
              <a:defRPr sz="900">
                <a:latin typeface="Times New Roman" pitchFamily="18" charset="0"/>
                <a:cs typeface="Times New Roman" pitchFamily="18" charset="0"/>
              </a:defRPr>
            </a:pPr>
            <a:endParaRPr lang="fr-FR"/>
          </a:p>
        </c:txPr>
        <c:crossAx val="125257216"/>
        <c:crosses val="autoZero"/>
        <c:crossBetween val="between"/>
        <c:majorUnit val="1"/>
        <c:minorUnit val="1"/>
      </c:valAx>
    </c:plotArea>
    <c:legend>
      <c:legendPos val="r"/>
      <c:layout>
        <c:manualLayout>
          <c:xMode val="edge"/>
          <c:yMode val="edge"/>
          <c:x val="0.72204669153197965"/>
          <c:y val="0.60829324827662579"/>
          <c:w val="0.22732572937917858"/>
          <c:h val="0.10959341445955673"/>
        </c:manualLayout>
      </c:layout>
    </c:legend>
    <c:plotVisOnly val="1"/>
  </c:chart>
  <c:spPr>
    <a:solidFill>
      <a:schemeClr val="accent1">
        <a:lumMod val="40000"/>
        <a:lumOff val="60000"/>
      </a:schemeClr>
    </a:soli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050"/>
            </a:pPr>
            <a:r>
              <a:rPr lang="fr-FR" sz="1050" b="1" i="0" baseline="0">
                <a:latin typeface="Times New Roman" pitchFamily="18" charset="0"/>
                <a:cs typeface="Times New Roman" pitchFamily="18" charset="0"/>
              </a:rPr>
              <a:t>Evolution des indices alimentaire, non alimentaire et général </a:t>
            </a:r>
            <a:endParaRPr lang="fr-FR" sz="1050">
              <a:latin typeface="Times New Roman" pitchFamily="18" charset="0"/>
              <a:cs typeface="Times New Roman" pitchFamily="18" charset="0"/>
            </a:endParaRPr>
          </a:p>
          <a:p>
            <a:pPr>
              <a:defRPr sz="1050"/>
            </a:pPr>
            <a:r>
              <a:rPr lang="fr-FR" sz="1050" b="1" i="0" baseline="0">
                <a:latin typeface="Times New Roman" pitchFamily="18" charset="0"/>
                <a:cs typeface="Times New Roman" pitchFamily="18" charset="0"/>
              </a:rPr>
              <a:t>entre 2017 et 2020,Ville de Kénitra </a:t>
            </a:r>
          </a:p>
        </c:rich>
      </c:tx>
      <c:layout>
        <c:manualLayout>
          <c:xMode val="edge"/>
          <c:yMode val="edge"/>
          <c:x val="7.4784915043514533E-2"/>
          <c:y val="5.8823529411764705E-2"/>
        </c:manualLayout>
      </c:layout>
      <c:overlay val="1"/>
    </c:title>
    <c:plotArea>
      <c:layout>
        <c:manualLayout>
          <c:layoutTarget val="inner"/>
          <c:xMode val="edge"/>
          <c:yMode val="edge"/>
          <c:x val="6.1699682276557456E-2"/>
          <c:y val="7.4004168596572481E-2"/>
          <c:w val="0.89853423585209746"/>
          <c:h val="0.8673972003499566"/>
        </c:manualLayout>
      </c:layout>
      <c:lineChart>
        <c:grouping val="standard"/>
        <c:ser>
          <c:idx val="0"/>
          <c:order val="0"/>
          <c:tx>
            <c:strRef>
              <c:f>'EVOLUTION IPCK+IPCN'!$A$39</c:f>
              <c:strCache>
                <c:ptCount val="1"/>
                <c:pt idx="0">
                  <c:v>IAK</c:v>
                </c:pt>
              </c:strCache>
            </c:strRef>
          </c:tx>
          <c:cat>
            <c:numRef>
              <c:f>'EVOLUTION IPCK+IPCN'!$B$38:$E$38</c:f>
              <c:numCache>
                <c:formatCode>General</c:formatCode>
                <c:ptCount val="4"/>
                <c:pt idx="0">
                  <c:v>2017</c:v>
                </c:pt>
                <c:pt idx="1">
                  <c:v>2018</c:v>
                </c:pt>
                <c:pt idx="2">
                  <c:v>2019</c:v>
                </c:pt>
                <c:pt idx="3">
                  <c:v>2020</c:v>
                </c:pt>
              </c:numCache>
            </c:numRef>
          </c:cat>
          <c:val>
            <c:numRef>
              <c:f>'EVOLUTION IPCK+IPCN'!$B$39:$E$39</c:f>
              <c:numCache>
                <c:formatCode>0.0</c:formatCode>
                <c:ptCount val="4"/>
                <c:pt idx="0">
                  <c:v>100</c:v>
                </c:pt>
                <c:pt idx="1">
                  <c:v>101.10637499999991</c:v>
                </c:pt>
                <c:pt idx="2">
                  <c:v>99.811916666666662</c:v>
                </c:pt>
                <c:pt idx="3">
                  <c:v>99.885666666666651</c:v>
                </c:pt>
              </c:numCache>
            </c:numRef>
          </c:val>
        </c:ser>
        <c:ser>
          <c:idx val="1"/>
          <c:order val="1"/>
          <c:tx>
            <c:strRef>
              <c:f>'EVOLUTION IPCK+IPCN'!$A$40</c:f>
              <c:strCache>
                <c:ptCount val="1"/>
                <c:pt idx="0">
                  <c:v>INAK</c:v>
                </c:pt>
              </c:strCache>
            </c:strRef>
          </c:tx>
          <c:cat>
            <c:numRef>
              <c:f>'EVOLUTION IPCK+IPCN'!$B$38:$E$38</c:f>
              <c:numCache>
                <c:formatCode>General</c:formatCode>
                <c:ptCount val="4"/>
                <c:pt idx="0">
                  <c:v>2017</c:v>
                </c:pt>
                <c:pt idx="1">
                  <c:v>2018</c:v>
                </c:pt>
                <c:pt idx="2">
                  <c:v>2019</c:v>
                </c:pt>
                <c:pt idx="3">
                  <c:v>2020</c:v>
                </c:pt>
              </c:numCache>
            </c:numRef>
          </c:cat>
          <c:val>
            <c:numRef>
              <c:f>'EVOLUTION IPCK+IPCN'!$B$40:$E$40</c:f>
              <c:numCache>
                <c:formatCode>0.0</c:formatCode>
                <c:ptCount val="4"/>
                <c:pt idx="0">
                  <c:v>99.98546579228875</c:v>
                </c:pt>
                <c:pt idx="1">
                  <c:v>101.10979053881215</c:v>
                </c:pt>
                <c:pt idx="2">
                  <c:v>102.87238478442848</c:v>
                </c:pt>
                <c:pt idx="3">
                  <c:v>102.94831491558533</c:v>
                </c:pt>
              </c:numCache>
            </c:numRef>
          </c:val>
        </c:ser>
        <c:ser>
          <c:idx val="2"/>
          <c:order val="2"/>
          <c:tx>
            <c:strRef>
              <c:f>'EVOLUTION IPCK+IPCN'!$A$41</c:f>
              <c:strCache>
                <c:ptCount val="1"/>
                <c:pt idx="0">
                  <c:v>IGK</c:v>
                </c:pt>
              </c:strCache>
            </c:strRef>
          </c:tx>
          <c:cat>
            <c:numRef>
              <c:f>'EVOLUTION IPCK+IPCN'!$B$38:$E$38</c:f>
              <c:numCache>
                <c:formatCode>General</c:formatCode>
                <c:ptCount val="4"/>
                <c:pt idx="0">
                  <c:v>2017</c:v>
                </c:pt>
                <c:pt idx="1">
                  <c:v>2018</c:v>
                </c:pt>
                <c:pt idx="2">
                  <c:v>2019</c:v>
                </c:pt>
                <c:pt idx="3">
                  <c:v>2020</c:v>
                </c:pt>
              </c:numCache>
            </c:numRef>
          </c:cat>
          <c:val>
            <c:numRef>
              <c:f>'EVOLUTION IPCK+IPCN'!$B$41:$E$41</c:f>
              <c:numCache>
                <c:formatCode>0.0</c:formatCode>
                <c:ptCount val="4"/>
                <c:pt idx="0">
                  <c:v>99.991666666666774</c:v>
                </c:pt>
                <c:pt idx="1">
                  <c:v>101.10833333333319</c:v>
                </c:pt>
                <c:pt idx="2">
                  <c:v>101.56666666666666</c:v>
                </c:pt>
                <c:pt idx="3">
                  <c:v>101.64166666666669</c:v>
                </c:pt>
              </c:numCache>
            </c:numRef>
          </c:val>
        </c:ser>
        <c:marker val="1"/>
        <c:axId val="125288448"/>
        <c:axId val="125289984"/>
      </c:lineChart>
      <c:catAx>
        <c:axId val="125288448"/>
        <c:scaling>
          <c:orientation val="minMax"/>
        </c:scaling>
        <c:axPos val="b"/>
        <c:numFmt formatCode="General" sourceLinked="1"/>
        <c:tickLblPos val="nextTo"/>
        <c:txPr>
          <a:bodyPr/>
          <a:lstStyle/>
          <a:p>
            <a:pPr>
              <a:defRPr sz="900" b="1">
                <a:latin typeface="Times New Roman" pitchFamily="18" charset="0"/>
                <a:cs typeface="Times New Roman" pitchFamily="18" charset="0"/>
              </a:defRPr>
            </a:pPr>
            <a:endParaRPr lang="fr-FR"/>
          </a:p>
        </c:txPr>
        <c:crossAx val="125289984"/>
        <c:crosses val="autoZero"/>
        <c:auto val="1"/>
        <c:lblAlgn val="ctr"/>
        <c:lblOffset val="100"/>
      </c:catAx>
      <c:valAx>
        <c:axId val="125289984"/>
        <c:scaling>
          <c:orientation val="minMax"/>
          <c:max val="104"/>
          <c:min val="99"/>
        </c:scaling>
        <c:axPos val="l"/>
        <c:majorGridlines/>
        <c:numFmt formatCode="0" sourceLinked="0"/>
        <c:tickLblPos val="nextTo"/>
        <c:txPr>
          <a:bodyPr/>
          <a:lstStyle/>
          <a:p>
            <a:pPr>
              <a:defRPr sz="800">
                <a:latin typeface="Times New Roman" pitchFamily="18" charset="0"/>
                <a:cs typeface="Times New Roman" pitchFamily="18" charset="0"/>
              </a:defRPr>
            </a:pPr>
            <a:endParaRPr lang="fr-FR"/>
          </a:p>
        </c:txPr>
        <c:crossAx val="125288448"/>
        <c:crosses val="autoZero"/>
        <c:crossBetween val="between"/>
        <c:majorUnit val="1"/>
      </c:valAx>
    </c:plotArea>
    <c:legend>
      <c:legendPos val="r"/>
      <c:layout>
        <c:manualLayout>
          <c:xMode val="edge"/>
          <c:yMode val="edge"/>
          <c:x val="0.14065994382281174"/>
          <c:y val="0.21278463502872971"/>
          <c:w val="0.11904093567251461"/>
          <c:h val="0.14481627296587926"/>
        </c:manualLayout>
      </c:layout>
      <c:txPr>
        <a:bodyPr/>
        <a:lstStyle/>
        <a:p>
          <a:pPr>
            <a:defRPr sz="800" b="1">
              <a:latin typeface="Times New Roman" pitchFamily="18" charset="0"/>
              <a:cs typeface="Times New Roman" pitchFamily="18" charset="0"/>
            </a:defRPr>
          </a:pPr>
          <a:endParaRPr lang="fr-FR"/>
        </a:p>
      </c:txP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6.3819257886881822E-2"/>
          <c:y val="2.1412349772068007E-2"/>
          <c:w val="0.89304348721115745"/>
          <c:h val="0.89080397845006221"/>
        </c:manualLayout>
      </c:layout>
      <c:lineChart>
        <c:grouping val="standard"/>
        <c:ser>
          <c:idx val="0"/>
          <c:order val="0"/>
          <c:tx>
            <c:strRef>
              <c:f>'EVOLUTION IPCK+IPCN'!$A$10</c:f>
              <c:strCache>
                <c:ptCount val="1"/>
                <c:pt idx="0">
                  <c:v>IPC KENITRA</c:v>
                </c:pt>
              </c:strCache>
            </c:strRef>
          </c:tx>
          <c:cat>
            <c:numRef>
              <c:f>'EVOLUTION IPCK+IPCN'!$B$9:$D$9</c:f>
              <c:numCache>
                <c:formatCode>General</c:formatCode>
                <c:ptCount val="3"/>
                <c:pt idx="0">
                  <c:v>2018</c:v>
                </c:pt>
                <c:pt idx="1">
                  <c:v>2019</c:v>
                </c:pt>
                <c:pt idx="2">
                  <c:v>2020</c:v>
                </c:pt>
              </c:numCache>
            </c:numRef>
          </c:cat>
          <c:val>
            <c:numRef>
              <c:f>'EVOLUTION IPCK+IPCN'!$B$10:$D$10</c:f>
              <c:numCache>
                <c:formatCode>0.0</c:formatCode>
                <c:ptCount val="3"/>
                <c:pt idx="0">
                  <c:v>1.1167597299774921</c:v>
                </c:pt>
                <c:pt idx="1">
                  <c:v>0.45330915684496381</c:v>
                </c:pt>
                <c:pt idx="2">
                  <c:v>7.3843124384643424E-2</c:v>
                </c:pt>
              </c:numCache>
            </c:numRef>
          </c:val>
        </c:ser>
        <c:ser>
          <c:idx val="1"/>
          <c:order val="1"/>
          <c:tx>
            <c:strRef>
              <c:f>'EVOLUTION IPCK+IPCN'!$A$11</c:f>
              <c:strCache>
                <c:ptCount val="1"/>
                <c:pt idx="0">
                  <c:v>IPC NATIONAL</c:v>
                </c:pt>
              </c:strCache>
            </c:strRef>
          </c:tx>
          <c:cat>
            <c:numRef>
              <c:f>'EVOLUTION IPCK+IPCN'!$B$9:$D$9</c:f>
              <c:numCache>
                <c:formatCode>General</c:formatCode>
                <c:ptCount val="3"/>
                <c:pt idx="0">
                  <c:v>2018</c:v>
                </c:pt>
                <c:pt idx="1">
                  <c:v>2019</c:v>
                </c:pt>
                <c:pt idx="2">
                  <c:v>2020</c:v>
                </c:pt>
              </c:numCache>
            </c:numRef>
          </c:cat>
          <c:val>
            <c:numRef>
              <c:f>'EVOLUTION IPCK+IPCN'!$B$11:$D$11</c:f>
              <c:numCache>
                <c:formatCode>0.0</c:formatCode>
                <c:ptCount val="3"/>
                <c:pt idx="0">
                  <c:v>1.600266711118514</c:v>
                </c:pt>
                <c:pt idx="1">
                  <c:v>0.24610336341263356</c:v>
                </c:pt>
                <c:pt idx="2">
                  <c:v>0.62193126022915413</c:v>
                </c:pt>
              </c:numCache>
            </c:numRef>
          </c:val>
        </c:ser>
        <c:marker val="1"/>
        <c:axId val="125581184"/>
        <c:axId val="125582720"/>
      </c:lineChart>
      <c:catAx>
        <c:axId val="125581184"/>
        <c:scaling>
          <c:orientation val="minMax"/>
        </c:scaling>
        <c:axPos val="b"/>
        <c:numFmt formatCode="General" sourceLinked="1"/>
        <c:tickLblPos val="nextTo"/>
        <c:txPr>
          <a:bodyPr/>
          <a:lstStyle/>
          <a:p>
            <a:pPr>
              <a:defRPr sz="900" b="1">
                <a:latin typeface="Times New Roman" pitchFamily="18" charset="0"/>
                <a:cs typeface="Times New Roman" pitchFamily="18" charset="0"/>
              </a:defRPr>
            </a:pPr>
            <a:endParaRPr lang="fr-FR"/>
          </a:p>
        </c:txPr>
        <c:crossAx val="125582720"/>
        <c:crosses val="autoZero"/>
        <c:auto val="1"/>
        <c:lblAlgn val="ctr"/>
        <c:lblOffset val="100"/>
      </c:catAx>
      <c:valAx>
        <c:axId val="125582720"/>
        <c:scaling>
          <c:orientation val="minMax"/>
        </c:scaling>
        <c:axPos val="l"/>
        <c:majorGridlines/>
        <c:numFmt formatCode="0.0" sourceLinked="1"/>
        <c:tickLblPos val="nextTo"/>
        <c:crossAx val="125581184"/>
        <c:crosses val="autoZero"/>
        <c:crossBetween val="between"/>
      </c:valAx>
    </c:plotArea>
    <c:legend>
      <c:legendPos val="r"/>
      <c:layout>
        <c:manualLayout>
          <c:xMode val="edge"/>
          <c:yMode val="edge"/>
          <c:x val="0.6825087746384646"/>
          <c:y val="5.5188561956071379E-2"/>
          <c:w val="0.24690288713910952"/>
          <c:h val="0.10365796380715545"/>
        </c:manualLayout>
      </c:layout>
      <c:txPr>
        <a:bodyPr/>
        <a:lstStyle/>
        <a:p>
          <a:pPr>
            <a:defRPr sz="800" b="1">
              <a:latin typeface="Times New Roman" pitchFamily="18" charset="0"/>
              <a:cs typeface="Times New Roman" pitchFamily="18" charset="0"/>
            </a:defRPr>
          </a:pPr>
          <a:endParaRPr lang="fr-FR"/>
        </a:p>
      </c:txPr>
    </c:legend>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fr-FR" sz="1100" b="1" i="0" baseline="0">
                <a:latin typeface="Times New Roman" pitchFamily="18" charset="0"/>
                <a:cs typeface="Times New Roman" pitchFamily="18" charset="0"/>
              </a:rPr>
              <a:t>IPC de la ville de Kénitra et du Maroc</a:t>
            </a:r>
            <a:endParaRPr lang="fr-FR" sz="1100" b="1">
              <a:latin typeface="Times New Roman" pitchFamily="18" charset="0"/>
              <a:cs typeface="Times New Roman" pitchFamily="18" charset="0"/>
            </a:endParaRPr>
          </a:p>
          <a:p>
            <a:pPr>
              <a:defRPr/>
            </a:pPr>
            <a:r>
              <a:rPr lang="fr-FR" sz="1100" b="1" i="0" baseline="0">
                <a:latin typeface="Times New Roman" pitchFamily="18" charset="0"/>
                <a:cs typeface="Times New Roman" pitchFamily="18" charset="0"/>
              </a:rPr>
              <a:t>glissements annuels entre 2017 et 2020</a:t>
            </a:r>
            <a:endParaRPr lang="fr-FR" sz="1100" b="1">
              <a:latin typeface="Times New Roman" pitchFamily="18" charset="0"/>
              <a:cs typeface="Times New Roman" pitchFamily="18" charset="0"/>
            </a:endParaRPr>
          </a:p>
        </c:rich>
      </c:tx>
      <c:layout>
        <c:manualLayout>
          <c:xMode val="edge"/>
          <c:yMode val="edge"/>
          <c:x val="0.399842582046251"/>
          <c:y val="7.5304702632694925E-2"/>
        </c:manualLayout>
      </c:layout>
      <c:overlay val="1"/>
    </c:title>
    <c:plotArea>
      <c:layout>
        <c:manualLayout>
          <c:layoutTarget val="inner"/>
          <c:xMode val="edge"/>
          <c:yMode val="edge"/>
          <c:x val="2.1380214952421414E-2"/>
          <c:y val="0.10968963691068626"/>
          <c:w val="0.9622508921973697"/>
          <c:h val="0.83383580378395061"/>
        </c:manualLayout>
      </c:layout>
      <c:lineChart>
        <c:grouping val="standard"/>
        <c:ser>
          <c:idx val="0"/>
          <c:order val="0"/>
          <c:tx>
            <c:strRef>
              <c:f>'glissements annuels'!$L$3</c:f>
              <c:strCache>
                <c:ptCount val="1"/>
                <c:pt idx="0">
                  <c:v>KENITRA</c:v>
                </c:pt>
              </c:strCache>
            </c:strRef>
          </c:tx>
          <c:spPr>
            <a:ln>
              <a:solidFill>
                <a:schemeClr val="tx1"/>
              </a:solidFill>
            </a:ln>
          </c:spPr>
          <c:marker>
            <c:symbol val="none"/>
          </c:marker>
          <c:cat>
            <c:numRef>
              <c:f>'glissements annuels'!$K$4:$K$39</c:f>
              <c:numCache>
                <c:formatCode>mmm\-yy</c:formatCode>
                <c:ptCount val="3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numCache>
            </c:numRef>
          </c:cat>
          <c:val>
            <c:numRef>
              <c:f>'glissements annuels'!$L$4:$L$39</c:f>
              <c:numCache>
                <c:formatCode>0.0</c:formatCode>
                <c:ptCount val="36"/>
                <c:pt idx="0">
                  <c:v>1.0010010010010011</c:v>
                </c:pt>
                <c:pt idx="1">
                  <c:v>1.1033099297893625</c:v>
                </c:pt>
                <c:pt idx="2">
                  <c:v>1.6048144433299838</c:v>
                </c:pt>
                <c:pt idx="3">
                  <c:v>2.1148036253776521</c:v>
                </c:pt>
                <c:pt idx="4">
                  <c:v>2.2155085599194391</c:v>
                </c:pt>
                <c:pt idx="5">
                  <c:v>2</c:v>
                </c:pt>
                <c:pt idx="6">
                  <c:v>1.1099899091826526</c:v>
                </c:pt>
                <c:pt idx="7">
                  <c:v>0.90452261306533233</c:v>
                </c:pt>
                <c:pt idx="8">
                  <c:v>0.49554013875123876</c:v>
                </c:pt>
                <c:pt idx="9">
                  <c:v>0.5970149253731285</c:v>
                </c:pt>
                <c:pt idx="10">
                  <c:v>0.2973240832507415</c:v>
                </c:pt>
                <c:pt idx="11">
                  <c:v>0</c:v>
                </c:pt>
                <c:pt idx="12">
                  <c:v>-0.19821605550049876</c:v>
                </c:pt>
                <c:pt idx="13">
                  <c:v>0</c:v>
                </c:pt>
                <c:pt idx="14">
                  <c:v>-9.8716683119441595E-2</c:v>
                </c:pt>
                <c:pt idx="15">
                  <c:v>0</c:v>
                </c:pt>
                <c:pt idx="16">
                  <c:v>1.1822660098522209</c:v>
                </c:pt>
                <c:pt idx="17">
                  <c:v>0.58823529411764086</c:v>
                </c:pt>
                <c:pt idx="18">
                  <c:v>1.0978043912175577</c:v>
                </c:pt>
                <c:pt idx="19">
                  <c:v>1.4940239043824699</c:v>
                </c:pt>
                <c:pt idx="20">
                  <c:v>9.8619329388554722E-2</c:v>
                </c:pt>
                <c:pt idx="21">
                  <c:v>0.19782393669634321</c:v>
                </c:pt>
                <c:pt idx="22">
                  <c:v>0.49407114624505932</c:v>
                </c:pt>
                <c:pt idx="23">
                  <c:v>0.59347181008902961</c:v>
                </c:pt>
                <c:pt idx="24">
                  <c:v>0.8937437934458714</c:v>
                </c:pt>
                <c:pt idx="25">
                  <c:v>0.79365079365079172</c:v>
                </c:pt>
                <c:pt idx="26">
                  <c:v>0.5928853754940655</c:v>
                </c:pt>
                <c:pt idx="27">
                  <c:v>0.39447731755423276</c:v>
                </c:pt>
                <c:pt idx="28">
                  <c:v>-1.6553067185978598</c:v>
                </c:pt>
                <c:pt idx="29">
                  <c:v>-1.559454191033133</c:v>
                </c:pt>
                <c:pt idx="30">
                  <c:v>-0.59230009871667677</c:v>
                </c:pt>
                <c:pt idx="31">
                  <c:v>0.49067713444553479</c:v>
                </c:pt>
                <c:pt idx="32">
                  <c:v>1.7733990147783218</c:v>
                </c:pt>
                <c:pt idx="33">
                  <c:v>1.1846001974333691</c:v>
                </c:pt>
                <c:pt idx="34">
                  <c:v>-0.39331366764995751</c:v>
                </c:pt>
                <c:pt idx="35">
                  <c:v>-0.98328416912487659</c:v>
                </c:pt>
              </c:numCache>
            </c:numRef>
          </c:val>
          <c:smooth val="1"/>
        </c:ser>
        <c:ser>
          <c:idx val="1"/>
          <c:order val="1"/>
          <c:tx>
            <c:strRef>
              <c:f>'glissements annuels'!$M$3</c:f>
              <c:strCache>
                <c:ptCount val="1"/>
                <c:pt idx="0">
                  <c:v>MAROC</c:v>
                </c:pt>
              </c:strCache>
            </c:strRef>
          </c:tx>
          <c:spPr>
            <a:ln>
              <a:solidFill>
                <a:schemeClr val="accent2">
                  <a:lumMod val="60000"/>
                  <a:lumOff val="40000"/>
                </a:schemeClr>
              </a:solidFill>
            </a:ln>
          </c:spPr>
          <c:marker>
            <c:symbol val="triangle"/>
            <c:size val="5"/>
          </c:marker>
          <c:cat>
            <c:numRef>
              <c:f>'glissements annuels'!$K$4:$K$39</c:f>
              <c:numCache>
                <c:formatCode>mmm\-yy</c:formatCode>
                <c:ptCount val="36"/>
                <c:pt idx="0">
                  <c:v>43101</c:v>
                </c:pt>
                <c:pt idx="1">
                  <c:v>43132</c:v>
                </c:pt>
                <c:pt idx="2">
                  <c:v>43160</c:v>
                </c:pt>
                <c:pt idx="3">
                  <c:v>43191</c:v>
                </c:pt>
                <c:pt idx="4">
                  <c:v>43221</c:v>
                </c:pt>
                <c:pt idx="5">
                  <c:v>43252</c:v>
                </c:pt>
                <c:pt idx="6">
                  <c:v>43282</c:v>
                </c:pt>
                <c:pt idx="7">
                  <c:v>43313</c:v>
                </c:pt>
                <c:pt idx="8">
                  <c:v>43344</c:v>
                </c:pt>
                <c:pt idx="9">
                  <c:v>43374</c:v>
                </c:pt>
                <c:pt idx="10">
                  <c:v>43405</c:v>
                </c:pt>
                <c:pt idx="11">
                  <c:v>43435</c:v>
                </c:pt>
                <c:pt idx="12">
                  <c:v>43466</c:v>
                </c:pt>
                <c:pt idx="13">
                  <c:v>43497</c:v>
                </c:pt>
                <c:pt idx="14">
                  <c:v>43525</c:v>
                </c:pt>
                <c:pt idx="15">
                  <c:v>43556</c:v>
                </c:pt>
                <c:pt idx="16">
                  <c:v>43586</c:v>
                </c:pt>
                <c:pt idx="17">
                  <c:v>43617</c:v>
                </c:pt>
                <c:pt idx="18">
                  <c:v>43647</c:v>
                </c:pt>
                <c:pt idx="19">
                  <c:v>43678</c:v>
                </c:pt>
                <c:pt idx="20">
                  <c:v>43709</c:v>
                </c:pt>
                <c:pt idx="21">
                  <c:v>43739</c:v>
                </c:pt>
                <c:pt idx="22">
                  <c:v>43770</c:v>
                </c:pt>
                <c:pt idx="23">
                  <c:v>43800</c:v>
                </c:pt>
                <c:pt idx="24">
                  <c:v>43831</c:v>
                </c:pt>
                <c:pt idx="25">
                  <c:v>43862</c:v>
                </c:pt>
                <c:pt idx="26">
                  <c:v>43891</c:v>
                </c:pt>
                <c:pt idx="27">
                  <c:v>43922</c:v>
                </c:pt>
                <c:pt idx="28">
                  <c:v>43952</c:v>
                </c:pt>
                <c:pt idx="29">
                  <c:v>43983</c:v>
                </c:pt>
                <c:pt idx="30">
                  <c:v>44013</c:v>
                </c:pt>
                <c:pt idx="31">
                  <c:v>44044</c:v>
                </c:pt>
                <c:pt idx="32">
                  <c:v>44075</c:v>
                </c:pt>
                <c:pt idx="33">
                  <c:v>44105</c:v>
                </c:pt>
                <c:pt idx="34">
                  <c:v>44136</c:v>
                </c:pt>
                <c:pt idx="35">
                  <c:v>44166</c:v>
                </c:pt>
              </c:numCache>
            </c:numRef>
          </c:cat>
          <c:val>
            <c:numRef>
              <c:f>'glissements annuels'!$M$4:$M$39</c:f>
              <c:numCache>
                <c:formatCode>0.0</c:formatCode>
                <c:ptCount val="36"/>
                <c:pt idx="0">
                  <c:v>2.0120724346076404</c:v>
                </c:pt>
                <c:pt idx="1">
                  <c:v>1.4070351758794015</c:v>
                </c:pt>
                <c:pt idx="2">
                  <c:v>1.711983887210474</c:v>
                </c:pt>
                <c:pt idx="3">
                  <c:v>2.2155085599194391</c:v>
                </c:pt>
                <c:pt idx="4">
                  <c:v>2.4072216649949794</c:v>
                </c:pt>
                <c:pt idx="5">
                  <c:v>2.4000000000000057</c:v>
                </c:pt>
                <c:pt idx="6">
                  <c:v>1.9095477386934729</c:v>
                </c:pt>
                <c:pt idx="7">
                  <c:v>1.6032064128256598</c:v>
                </c:pt>
                <c:pt idx="8">
                  <c:v>1.1928429423459281</c:v>
                </c:pt>
                <c:pt idx="9">
                  <c:v>1.094527363184074</c:v>
                </c:pt>
                <c:pt idx="10">
                  <c:v>1.0891089108910841</c:v>
                </c:pt>
                <c:pt idx="11">
                  <c:v>0.19762845849802654</c:v>
                </c:pt>
                <c:pt idx="12">
                  <c:v>-0.49309664694280125</c:v>
                </c:pt>
                <c:pt idx="13">
                  <c:v>0</c:v>
                </c:pt>
                <c:pt idx="14">
                  <c:v>-9.9009900990093588E-2</c:v>
                </c:pt>
                <c:pt idx="15">
                  <c:v>0</c:v>
                </c:pt>
                <c:pt idx="16">
                  <c:v>0.29382957884428218</c:v>
                </c:pt>
                <c:pt idx="17">
                  <c:v>0.1953124999999889</c:v>
                </c:pt>
                <c:pt idx="18">
                  <c:v>0.29585798816567827</c:v>
                </c:pt>
                <c:pt idx="19">
                  <c:v>0.69033530571990909</c:v>
                </c:pt>
                <c:pt idx="20">
                  <c:v>9.8231827111992798E-2</c:v>
                </c:pt>
                <c:pt idx="21">
                  <c:v>0.49212598425196896</c:v>
                </c:pt>
                <c:pt idx="22">
                  <c:v>0.39177277179236669</c:v>
                </c:pt>
                <c:pt idx="23">
                  <c:v>1.084812623274156</c:v>
                </c:pt>
                <c:pt idx="24">
                  <c:v>1.3875123885034599</c:v>
                </c:pt>
                <c:pt idx="25">
                  <c:v>1.1892963330029618</c:v>
                </c:pt>
                <c:pt idx="26">
                  <c:v>1.5857284440039578</c:v>
                </c:pt>
                <c:pt idx="27">
                  <c:v>0.88669950738916903</c:v>
                </c:pt>
                <c:pt idx="28">
                  <c:v>-0.19531250000000278</c:v>
                </c:pt>
                <c:pt idx="29">
                  <c:v>-0.68226120857698702</c:v>
                </c:pt>
                <c:pt idx="30">
                  <c:v>-9.8328416912496275E-2</c:v>
                </c:pt>
                <c:pt idx="31">
                  <c:v>0.88148873653281667</c:v>
                </c:pt>
                <c:pt idx="32">
                  <c:v>1.3738959764474892</c:v>
                </c:pt>
                <c:pt idx="33">
                  <c:v>1.273261508325181</c:v>
                </c:pt>
                <c:pt idx="34">
                  <c:v>0.19512195121951467</c:v>
                </c:pt>
                <c:pt idx="35">
                  <c:v>-0.29268292682926617</c:v>
                </c:pt>
              </c:numCache>
            </c:numRef>
          </c:val>
          <c:smooth val="1"/>
        </c:ser>
        <c:marker val="1"/>
        <c:axId val="125599104"/>
        <c:axId val="125604992"/>
      </c:lineChart>
      <c:dateAx>
        <c:axId val="125599104"/>
        <c:scaling>
          <c:orientation val="minMax"/>
        </c:scaling>
        <c:axPos val="b"/>
        <c:numFmt formatCode="mmm\-yy" sourceLinked="1"/>
        <c:tickLblPos val="low"/>
        <c:txPr>
          <a:bodyPr/>
          <a:lstStyle/>
          <a:p>
            <a:pPr>
              <a:defRPr sz="800" b="0">
                <a:latin typeface="Times New Roman" pitchFamily="18" charset="0"/>
                <a:cs typeface="Times New Roman" pitchFamily="18" charset="0"/>
              </a:defRPr>
            </a:pPr>
            <a:endParaRPr lang="fr-FR"/>
          </a:p>
        </c:txPr>
        <c:crossAx val="125604992"/>
        <c:crosses val="autoZero"/>
        <c:auto val="1"/>
        <c:lblOffset val="100"/>
      </c:dateAx>
      <c:valAx>
        <c:axId val="125604992"/>
        <c:scaling>
          <c:orientation val="minMax"/>
          <c:max val="3"/>
          <c:min val="-2.5"/>
        </c:scaling>
        <c:axPos val="l"/>
        <c:majorGridlines/>
        <c:numFmt formatCode="0" sourceLinked="0"/>
        <c:tickLblPos val="nextTo"/>
        <c:txPr>
          <a:bodyPr/>
          <a:lstStyle/>
          <a:p>
            <a:pPr>
              <a:defRPr sz="800" b="1"/>
            </a:pPr>
            <a:endParaRPr lang="fr-FR"/>
          </a:p>
        </c:txPr>
        <c:crossAx val="125599104"/>
        <c:crosses val="autoZero"/>
        <c:crossBetween val="between"/>
      </c:valAx>
    </c:plotArea>
    <c:legend>
      <c:legendPos val="r"/>
      <c:layout>
        <c:manualLayout>
          <c:xMode val="edge"/>
          <c:yMode val="edge"/>
          <c:x val="0.56805655078367479"/>
          <c:y val="0.7855478446550116"/>
          <c:w val="0.39458407921586136"/>
          <c:h val="3.5966967543691185E-2"/>
        </c:manualLayout>
      </c:layout>
      <c:txPr>
        <a:bodyPr/>
        <a:lstStyle/>
        <a:p>
          <a:pPr>
            <a:defRPr sz="800" b="1">
              <a:latin typeface="Times New Roman" pitchFamily="18" charset="0"/>
              <a:cs typeface="Times New Roman" pitchFamily="18" charset="0"/>
            </a:defRPr>
          </a:pPr>
          <a:endParaRPr lang="fr-FR"/>
        </a:p>
      </c:txPr>
    </c:legend>
    <c:plotVisOnly val="1"/>
  </c:chart>
  <c:spPr>
    <a:gradFill flip="none" rotWithShape="1">
      <a:gsLst>
        <a:gs pos="0">
          <a:srgbClr val="5E9EFF"/>
        </a:gs>
        <a:gs pos="39999">
          <a:srgbClr val="85C2FF"/>
        </a:gs>
        <a:gs pos="70000">
          <a:srgbClr val="C4D6EB"/>
        </a:gs>
        <a:gs pos="100000">
          <a:srgbClr val="FFEBFA"/>
        </a:gs>
      </a:gsLst>
      <a:lin ang="5400000" scaled="1"/>
      <a:tileRect/>
    </a:gradFill>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Année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AA0FE3-00FA-4413-B6A5-3CE59C0A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8394</Words>
  <Characters>46167</Characters>
  <Application>Microsoft Office Word</Application>
  <DocSecurity>0</DocSecurity>
  <Lines>384</Lines>
  <Paragraphs>108</Paragraphs>
  <ScaleCrop>false</ScaleCrop>
  <HeadingPairs>
    <vt:vector size="2" baseType="variant">
      <vt:variant>
        <vt:lpstr>Titre</vt:lpstr>
      </vt:variant>
      <vt:variant>
        <vt:i4>1</vt:i4>
      </vt:variant>
    </vt:vector>
  </HeadingPairs>
  <TitlesOfParts>
    <vt:vector size="1" baseType="lpstr">
      <vt:lpstr>Indice des Prix à la Consommation (Base100:2017)           ville de Kenitra</vt:lpstr>
    </vt:vector>
  </TitlesOfParts>
  <Company>Sweet</Company>
  <LinksUpToDate>false</LinksUpToDate>
  <CharactersWithSpaces>54453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 des Prix à la Consommation (Base100:2017)           ville de Kenitra</dc:title>
  <dc:subject>Rapport annuel</dc:subject>
  <dc:creator>SWEET</dc:creator>
  <cp:lastModifiedBy>user</cp:lastModifiedBy>
  <cp:revision>2</cp:revision>
  <cp:lastPrinted>2021-03-25T12:48:00Z</cp:lastPrinted>
  <dcterms:created xsi:type="dcterms:W3CDTF">2021-04-12T10:26:00Z</dcterms:created>
  <dcterms:modified xsi:type="dcterms:W3CDTF">2021-04-12T10:26:00Z</dcterms:modified>
</cp:coreProperties>
</file>