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A44BB" w:rsidRDefault="00EA44BB" w:rsidP="008E7D34">
      <w:pPr>
        <w:rPr>
          <w:kern w:val="36"/>
        </w:rPr>
      </w:pPr>
    </w:p>
    <w:p w:rsidR="008E7D34" w:rsidRDefault="00EA44BB" w:rsidP="009755A6">
      <w:pPr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  <w:t xml:space="preserve">تطور الرقم الاستدلالي للأثمان عند </w:t>
      </w:r>
      <w:r w:rsidR="008E7D34"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  <w:t>الاستهلاك</w:t>
      </w:r>
    </w:p>
    <w:p w:rsidR="00EA44BB" w:rsidRPr="00AC6DF5" w:rsidRDefault="00AC6DF5" w:rsidP="00EA44BB">
      <w:pPr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</w:pPr>
      <w:r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  <w:lastRenderedPageBreak/>
        <w:t xml:space="preserve">(أساس 100:2017) </w:t>
      </w:r>
      <w:r w:rsidR="00EA44BB"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AC6DF5" w:rsidRDefault="00EA44BB" w:rsidP="00AC6DF5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  <w:r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  <w:t xml:space="preserve">Evolution de l’indice des prix à la consommation </w:t>
      </w:r>
    </w:p>
    <w:p w:rsidR="00AC6DF5" w:rsidRP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kern w:val="36"/>
          <w:sz w:val="28"/>
          <w:szCs w:val="28"/>
        </w:rPr>
      </w:pPr>
      <w:r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  <w:t>(Base 100 :2017)</w:t>
      </w:r>
      <w:r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  <w:t xml:space="preserve"> à la </w:t>
      </w:r>
      <w:r w:rsidR="00EA44BB"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AC6DF5" w:rsidRDefault="00797CF3" w:rsidP="00AC6DF5">
      <w:pPr>
        <w:bidi w:val="0"/>
        <w:spacing w:line="360" w:lineRule="auto"/>
        <w:jc w:val="center"/>
        <w:rPr>
          <w:color w:val="C00000"/>
          <w:kern w:val="36"/>
          <w:sz w:val="28"/>
          <w:szCs w:val="28"/>
        </w:rPr>
      </w:pPr>
      <w:r>
        <w:rPr>
          <w:rFonts w:hint="cs"/>
          <w:b/>
          <w:bCs/>
          <w:color w:val="C00000"/>
          <w:kern w:val="36"/>
          <w:sz w:val="28"/>
          <w:szCs w:val="28"/>
          <w:rtl/>
          <w:lang w:bidi="ar-MA"/>
        </w:rPr>
        <w:t>فبراير</w:t>
      </w:r>
      <w:r w:rsidR="00AC6DF5" w:rsidRPr="00AC6DF5">
        <w:rPr>
          <w:rFonts w:hint="cs"/>
          <w:b/>
          <w:bCs/>
          <w:color w:val="C00000"/>
          <w:kern w:val="36"/>
          <w:sz w:val="28"/>
          <w:szCs w:val="28"/>
          <w:rtl/>
          <w:lang w:bidi="ar-MA"/>
        </w:rPr>
        <w:t xml:space="preserve"> 2021</w:t>
      </w:r>
    </w:p>
    <w:p w:rsidR="00AC6DF5" w:rsidRPr="00AC6DF5" w:rsidRDefault="00797CF3" w:rsidP="00AC6DF5">
      <w:pPr>
        <w:tabs>
          <w:tab w:val="left" w:pos="1485"/>
        </w:tabs>
        <w:bidi w:val="0"/>
        <w:spacing w:line="360" w:lineRule="auto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Février</w:t>
      </w:r>
      <w:r w:rsidR="00AC6DF5" w:rsidRPr="00AC6DF5">
        <w:rPr>
          <w:b/>
          <w:bCs/>
          <w:color w:val="C00000"/>
          <w:sz w:val="28"/>
          <w:szCs w:val="28"/>
        </w:rPr>
        <w:t xml:space="preserve"> 2021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B6358C" w:rsidRPr="00B6358C" w:rsidRDefault="00EA44BB" w:rsidP="009142A2">
      <w:pPr>
        <w:bidi w:val="0"/>
        <w:spacing w:line="360" w:lineRule="auto"/>
        <w:jc w:val="center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  <w:r w:rsidRPr="00AC6DF5">
        <w:rPr>
          <w:color w:val="C00000"/>
          <w:sz w:val="28"/>
          <w:szCs w:val="28"/>
        </w:rPr>
        <w:br w:type="page"/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lastRenderedPageBreak/>
        <w:t>L’INDICE DES PRIX À LA CONSOMMATION (IPC) DU</w:t>
      </w:r>
      <w:r w:rsidR="009142A2">
        <w:rPr>
          <w:rFonts w:ascii="Arial" w:hAnsi="Arial" w:cs="Arial" w:hint="cs"/>
          <w:b/>
          <w:bCs/>
          <w:caps/>
          <w:color w:val="990000"/>
          <w:kern w:val="36"/>
          <w:sz w:val="18"/>
          <w:szCs w:val="18"/>
          <w:rtl/>
        </w:rPr>
        <w:t xml:space="preserve"> 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MOIS DE </w:t>
      </w:r>
      <w:r w:rsidR="00797CF3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FEVRIER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2021</w:t>
      </w:r>
      <w:r w:rsidR="0013267A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A RABAT</w:t>
      </w:r>
    </w:p>
    <w:p w:rsidR="007E33F6" w:rsidRDefault="007E33F6" w:rsidP="00CF1FBA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L’indice des prix à la consommation (base 100 : 2017) a </w:t>
      </w:r>
      <w:r w:rsidR="00B043CC" w:rsidRPr="00B6358C">
        <w:rPr>
          <w:rFonts w:asciiTheme="minorBidi" w:hAnsiTheme="minorBidi" w:cstheme="minorBidi"/>
          <w:sz w:val="18"/>
          <w:szCs w:val="18"/>
        </w:rPr>
        <w:t>connu,</w:t>
      </w:r>
      <w:r w:rsidRPr="00B6358C">
        <w:rPr>
          <w:rFonts w:asciiTheme="minorBidi" w:hAnsiTheme="minorBidi" w:cstheme="minorBidi"/>
          <w:sz w:val="18"/>
          <w:szCs w:val="18"/>
        </w:rPr>
        <w:t xml:space="preserve">  au cours du mois de </w:t>
      </w:r>
      <w:r w:rsidR="00CF1FBA">
        <w:rPr>
          <w:rFonts w:asciiTheme="minorBidi" w:hAnsiTheme="minorBidi" w:cstheme="minorBidi"/>
          <w:sz w:val="18"/>
          <w:szCs w:val="18"/>
        </w:rPr>
        <w:t>février</w:t>
      </w:r>
      <w:r w:rsidRPr="00B6358C">
        <w:rPr>
          <w:rFonts w:asciiTheme="minorBidi" w:hAnsiTheme="minorBidi" w:cstheme="minorBidi"/>
          <w:sz w:val="18"/>
          <w:szCs w:val="18"/>
        </w:rPr>
        <w:t xml:space="preserve"> 202</w:t>
      </w:r>
      <w:r w:rsidR="001B4491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dans la ville de Rabat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="001B4491" w:rsidRPr="00B6358C">
        <w:rPr>
          <w:rFonts w:asciiTheme="minorBidi" w:hAnsiTheme="minorBidi" w:cstheme="minorBidi"/>
          <w:sz w:val="18"/>
          <w:szCs w:val="18"/>
        </w:rPr>
        <w:t xml:space="preserve">une stagnation </w:t>
      </w:r>
      <w:r w:rsidRPr="00B6358C">
        <w:rPr>
          <w:rFonts w:asciiTheme="minorBidi" w:hAnsiTheme="minorBidi" w:cstheme="minorBidi"/>
          <w:sz w:val="18"/>
          <w:szCs w:val="18"/>
        </w:rPr>
        <w:t xml:space="preserve">par rapport au mois précédent contre une </w:t>
      </w:r>
      <w:r w:rsidR="00B043CC" w:rsidRPr="00B6358C">
        <w:rPr>
          <w:rFonts w:asciiTheme="minorBidi" w:hAnsiTheme="minorBidi" w:cstheme="minorBidi"/>
          <w:sz w:val="18"/>
          <w:szCs w:val="18"/>
        </w:rPr>
        <w:t>légère augmentation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0,</w:t>
      </w:r>
      <w:r w:rsidR="00B043CC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% au niveau National. Cette </w:t>
      </w:r>
      <w:r w:rsidR="00B043CC" w:rsidRPr="00B6358C">
        <w:rPr>
          <w:rFonts w:asciiTheme="minorBidi" w:hAnsiTheme="minorBidi" w:cstheme="minorBidi"/>
          <w:sz w:val="18"/>
          <w:szCs w:val="18"/>
        </w:rPr>
        <w:t>stabilité</w:t>
      </w:r>
      <w:r w:rsidRPr="00B6358C">
        <w:rPr>
          <w:rFonts w:asciiTheme="minorBidi" w:hAnsiTheme="minorBidi" w:cstheme="minorBidi"/>
          <w:sz w:val="18"/>
          <w:szCs w:val="18"/>
        </w:rPr>
        <w:t xml:space="preserve"> est le résultat de la baisse de </w:t>
      </w:r>
      <w:r w:rsidR="00B043CC" w:rsidRPr="00B6358C">
        <w:rPr>
          <w:rFonts w:asciiTheme="minorBidi" w:hAnsiTheme="minorBidi" w:cstheme="minorBidi"/>
          <w:sz w:val="18"/>
          <w:szCs w:val="18"/>
        </w:rPr>
        <w:t>0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CF1FBA">
        <w:rPr>
          <w:rFonts w:asciiTheme="minorBidi" w:hAnsiTheme="minorBidi" w:cstheme="minorBidi"/>
          <w:sz w:val="18"/>
          <w:szCs w:val="18"/>
        </w:rPr>
        <w:t>4</w:t>
      </w:r>
      <w:r w:rsidRPr="00B6358C">
        <w:rPr>
          <w:rFonts w:asciiTheme="minorBidi" w:hAnsiTheme="minorBidi" w:cstheme="minorBidi"/>
          <w:sz w:val="18"/>
          <w:szCs w:val="18"/>
        </w:rPr>
        <w:t>%  de l’indice des produits alimentaires d’une part, et de la hausse de 0,</w:t>
      </w:r>
      <w:r w:rsidR="00CF1FBA">
        <w:rPr>
          <w:rFonts w:asciiTheme="minorBidi" w:hAnsiTheme="minorBidi" w:cstheme="minorBidi"/>
          <w:sz w:val="18"/>
          <w:szCs w:val="18"/>
        </w:rPr>
        <w:t>2</w:t>
      </w:r>
      <w:r w:rsidRPr="00B6358C">
        <w:rPr>
          <w:rFonts w:asciiTheme="minorBidi" w:hAnsiTheme="minorBidi" w:cstheme="minorBidi"/>
          <w:sz w:val="18"/>
          <w:szCs w:val="18"/>
        </w:rPr>
        <w:t>% de l’indice des produits non alimentaires d’autre part.</w:t>
      </w:r>
    </w:p>
    <w:p w:rsidR="00B6358C" w:rsidRPr="00B6358C" w:rsidRDefault="00B6358C" w:rsidP="00B6358C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8"/>
          <w:szCs w:val="18"/>
        </w:rPr>
      </w:pPr>
    </w:p>
    <w:p w:rsidR="009D5FA1" w:rsidRDefault="007E33F6" w:rsidP="0082202F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La baisse de l’indice des produits alimentaires est due essentiellement à la diminution de l’indice de la division « Produits alimentaires et boissons alcoolisées » de </w:t>
      </w:r>
      <w:r w:rsidR="00B043CC" w:rsidRPr="00B6358C">
        <w:rPr>
          <w:rFonts w:asciiTheme="minorBidi" w:hAnsiTheme="minorBidi" w:cstheme="minorBidi"/>
          <w:sz w:val="18"/>
          <w:szCs w:val="18"/>
        </w:rPr>
        <w:t>0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CF1FBA">
        <w:rPr>
          <w:rFonts w:asciiTheme="minorBidi" w:hAnsiTheme="minorBidi" w:cstheme="minorBidi"/>
          <w:sz w:val="18"/>
          <w:szCs w:val="18"/>
        </w:rPr>
        <w:t>4</w:t>
      </w:r>
      <w:r w:rsidRPr="00B6358C">
        <w:rPr>
          <w:rFonts w:asciiTheme="minorBidi" w:hAnsiTheme="minorBidi" w:cstheme="minorBidi"/>
          <w:sz w:val="18"/>
          <w:szCs w:val="18"/>
        </w:rPr>
        <w:t xml:space="preserve">% et à </w:t>
      </w:r>
      <w:r w:rsidR="00CF1FBA">
        <w:rPr>
          <w:rFonts w:asciiTheme="minorBidi" w:hAnsiTheme="minorBidi" w:cstheme="minorBidi"/>
          <w:sz w:val="18"/>
          <w:szCs w:val="18"/>
        </w:rPr>
        <w:t>la stagnation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celui de la division « Boissons al</w:t>
      </w:r>
      <w:r w:rsidR="0082202F">
        <w:rPr>
          <w:rFonts w:asciiTheme="minorBidi" w:hAnsiTheme="minorBidi" w:cstheme="minorBidi"/>
          <w:sz w:val="18"/>
          <w:szCs w:val="18"/>
        </w:rPr>
        <w:t>coolisées et tabac »</w:t>
      </w:r>
      <w:r w:rsidR="00CF1FBA">
        <w:rPr>
          <w:rFonts w:asciiTheme="minorBidi" w:hAnsiTheme="minorBidi" w:cstheme="minorBidi"/>
          <w:sz w:val="18"/>
          <w:szCs w:val="18"/>
        </w:rPr>
        <w:t>.</w:t>
      </w:r>
    </w:p>
    <w:p w:rsidR="009D5FA1" w:rsidRDefault="009D5FA1" w:rsidP="009D5FA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56138E" w:rsidRDefault="007E33F6" w:rsidP="0056138E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Les baisses des produits alimentaires observées entre </w:t>
      </w:r>
      <w:r w:rsidR="0056138E" w:rsidRPr="00B6358C">
        <w:rPr>
          <w:rFonts w:asciiTheme="minorBidi" w:hAnsiTheme="minorBidi" w:cstheme="minorBidi"/>
          <w:sz w:val="18"/>
          <w:szCs w:val="18"/>
        </w:rPr>
        <w:t xml:space="preserve">janvier </w:t>
      </w:r>
      <w:r w:rsidRPr="00B6358C">
        <w:rPr>
          <w:rFonts w:asciiTheme="minorBidi" w:hAnsiTheme="minorBidi" w:cstheme="minorBidi"/>
          <w:sz w:val="18"/>
          <w:szCs w:val="18"/>
        </w:rPr>
        <w:t xml:space="preserve">et </w:t>
      </w:r>
      <w:r w:rsidR="0056138E">
        <w:rPr>
          <w:rFonts w:asciiTheme="minorBidi" w:hAnsiTheme="minorBidi" w:cstheme="minorBidi"/>
          <w:sz w:val="18"/>
          <w:szCs w:val="18"/>
        </w:rPr>
        <w:t>février</w:t>
      </w:r>
      <w:r w:rsidR="009755A6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Pr="00B6358C">
        <w:rPr>
          <w:rFonts w:asciiTheme="minorBidi" w:hAnsiTheme="minorBidi" w:cstheme="minorBidi"/>
          <w:sz w:val="18"/>
          <w:szCs w:val="18"/>
        </w:rPr>
        <w:t>202</w:t>
      </w:r>
      <w:r w:rsidR="00B043CC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concernent principalement les </w:t>
      </w:r>
      <w:r w:rsidR="0056138E" w:rsidRPr="00B6358C">
        <w:rPr>
          <w:rFonts w:asciiTheme="minorBidi" w:hAnsiTheme="minorBidi" w:cstheme="minorBidi"/>
          <w:sz w:val="18"/>
          <w:szCs w:val="18"/>
        </w:rPr>
        <w:t xml:space="preserve">«Poissons et fruits de mer» avec </w:t>
      </w:r>
      <w:r w:rsidR="0056138E">
        <w:rPr>
          <w:rFonts w:asciiTheme="minorBidi" w:hAnsiTheme="minorBidi" w:cstheme="minorBidi"/>
          <w:sz w:val="18"/>
          <w:szCs w:val="18"/>
        </w:rPr>
        <w:t>3</w:t>
      </w:r>
      <w:r w:rsidR="0056138E" w:rsidRPr="00B6358C">
        <w:rPr>
          <w:rFonts w:asciiTheme="minorBidi" w:hAnsiTheme="minorBidi" w:cstheme="minorBidi"/>
          <w:sz w:val="18"/>
          <w:szCs w:val="18"/>
        </w:rPr>
        <w:t>,3%</w:t>
      </w:r>
      <w:r w:rsidR="0056138E">
        <w:rPr>
          <w:rFonts w:asciiTheme="minorBidi" w:hAnsiTheme="minorBidi" w:cstheme="minorBidi"/>
          <w:sz w:val="18"/>
          <w:szCs w:val="18"/>
        </w:rPr>
        <w:t xml:space="preserve">, </w:t>
      </w:r>
      <w:r w:rsidR="0056138E" w:rsidRPr="00B6358C">
        <w:rPr>
          <w:rFonts w:asciiTheme="minorBidi" w:hAnsiTheme="minorBidi" w:cstheme="minorBidi"/>
          <w:sz w:val="18"/>
          <w:szCs w:val="18"/>
        </w:rPr>
        <w:t>les «Fruits» avec 1,</w:t>
      </w:r>
      <w:r w:rsidR="0056138E">
        <w:rPr>
          <w:rFonts w:asciiTheme="minorBidi" w:hAnsiTheme="minorBidi" w:cstheme="minorBidi"/>
          <w:sz w:val="18"/>
          <w:szCs w:val="18"/>
        </w:rPr>
        <w:t>5</w:t>
      </w:r>
      <w:r w:rsidR="0056138E" w:rsidRPr="00B6358C">
        <w:rPr>
          <w:rFonts w:asciiTheme="minorBidi" w:hAnsiTheme="minorBidi" w:cstheme="minorBidi"/>
          <w:sz w:val="18"/>
          <w:szCs w:val="18"/>
        </w:rPr>
        <w:t>%,</w:t>
      </w:r>
      <w:r w:rsidR="0056138E">
        <w:rPr>
          <w:rFonts w:asciiTheme="minorBidi" w:hAnsiTheme="minorBidi" w:cstheme="minorBidi"/>
          <w:sz w:val="18"/>
          <w:szCs w:val="18"/>
        </w:rPr>
        <w:t xml:space="preserve"> les «Viandes» 1,3% et les </w:t>
      </w:r>
      <w:r w:rsidR="0056138E" w:rsidRPr="00B6358C">
        <w:rPr>
          <w:rFonts w:asciiTheme="minorBidi" w:hAnsiTheme="minorBidi" w:cstheme="minorBidi"/>
          <w:sz w:val="18"/>
          <w:szCs w:val="18"/>
        </w:rPr>
        <w:t xml:space="preserve">«Légumes» avec </w:t>
      </w:r>
      <w:r w:rsidR="0056138E">
        <w:rPr>
          <w:rFonts w:asciiTheme="minorBidi" w:hAnsiTheme="minorBidi" w:cstheme="minorBidi"/>
          <w:sz w:val="18"/>
          <w:szCs w:val="18"/>
        </w:rPr>
        <w:t>0</w:t>
      </w:r>
      <w:r w:rsidR="0056138E" w:rsidRPr="00B6358C">
        <w:rPr>
          <w:rFonts w:asciiTheme="minorBidi" w:hAnsiTheme="minorBidi" w:cstheme="minorBidi"/>
          <w:sz w:val="18"/>
          <w:szCs w:val="18"/>
        </w:rPr>
        <w:t>,</w:t>
      </w:r>
      <w:r w:rsidR="0056138E">
        <w:rPr>
          <w:rFonts w:asciiTheme="minorBidi" w:hAnsiTheme="minorBidi" w:cstheme="minorBidi"/>
          <w:sz w:val="18"/>
          <w:szCs w:val="18"/>
        </w:rPr>
        <w:t xml:space="preserve">5%. </w:t>
      </w:r>
      <w:r w:rsidR="0056138E" w:rsidRPr="00B6358C">
        <w:rPr>
          <w:rFonts w:asciiTheme="minorBidi" w:hAnsiTheme="minorBidi" w:cstheme="minorBidi"/>
          <w:sz w:val="18"/>
          <w:szCs w:val="18"/>
        </w:rPr>
        <w:t xml:space="preserve">Par contre, les prix ont augmenté de </w:t>
      </w:r>
      <w:r w:rsidR="0056138E">
        <w:rPr>
          <w:rFonts w:asciiTheme="minorBidi" w:hAnsiTheme="minorBidi" w:cstheme="minorBidi"/>
          <w:sz w:val="18"/>
          <w:szCs w:val="18"/>
        </w:rPr>
        <w:t>0</w:t>
      </w:r>
      <w:r w:rsidR="0056138E" w:rsidRPr="00B6358C">
        <w:rPr>
          <w:rFonts w:asciiTheme="minorBidi" w:hAnsiTheme="minorBidi" w:cstheme="minorBidi"/>
          <w:sz w:val="18"/>
          <w:szCs w:val="18"/>
        </w:rPr>
        <w:t>,</w:t>
      </w:r>
      <w:r w:rsidR="0056138E">
        <w:rPr>
          <w:rFonts w:asciiTheme="minorBidi" w:hAnsiTheme="minorBidi" w:cstheme="minorBidi"/>
          <w:sz w:val="18"/>
          <w:szCs w:val="18"/>
        </w:rPr>
        <w:t>6</w:t>
      </w:r>
      <w:r w:rsidR="0056138E" w:rsidRPr="00B6358C">
        <w:rPr>
          <w:rFonts w:asciiTheme="minorBidi" w:hAnsiTheme="minorBidi" w:cstheme="minorBidi"/>
          <w:sz w:val="18"/>
          <w:szCs w:val="18"/>
        </w:rPr>
        <w:t>%</w:t>
      </w:r>
      <w:r w:rsidR="0056138E">
        <w:rPr>
          <w:rFonts w:asciiTheme="minorBidi" w:hAnsiTheme="minorBidi" w:cstheme="minorBidi"/>
          <w:sz w:val="18"/>
          <w:szCs w:val="18"/>
        </w:rPr>
        <w:t xml:space="preserve"> pour le</w:t>
      </w:r>
      <w:r w:rsidR="0056138E" w:rsidRPr="00B6358C">
        <w:rPr>
          <w:rFonts w:asciiTheme="minorBidi" w:hAnsiTheme="minorBidi" w:cstheme="minorBidi"/>
          <w:sz w:val="18"/>
          <w:szCs w:val="18"/>
        </w:rPr>
        <w:t xml:space="preserve"> « Pain et céréales »</w:t>
      </w:r>
      <w:r w:rsidR="0056138E">
        <w:rPr>
          <w:rFonts w:asciiTheme="minorBidi" w:hAnsiTheme="minorBidi" w:cstheme="minorBidi"/>
          <w:sz w:val="18"/>
          <w:szCs w:val="18"/>
        </w:rPr>
        <w:t xml:space="preserve">et de 0,8% pour </w:t>
      </w:r>
      <w:r w:rsidR="0056138E" w:rsidRPr="00B6358C">
        <w:rPr>
          <w:rFonts w:asciiTheme="minorBidi" w:hAnsiTheme="minorBidi" w:cstheme="minorBidi"/>
          <w:sz w:val="18"/>
          <w:szCs w:val="18"/>
        </w:rPr>
        <w:t>le « Lait, fromage et œufs»</w:t>
      </w:r>
      <w:r w:rsidR="0056138E">
        <w:rPr>
          <w:rFonts w:asciiTheme="minorBidi" w:hAnsiTheme="minorBidi" w:cstheme="minorBidi"/>
          <w:sz w:val="18"/>
          <w:szCs w:val="18"/>
        </w:rPr>
        <w:t xml:space="preserve"> tandis que les autres groupes des produits alimentaires et boissons alcoolisées ont enregistré une stabilité.</w:t>
      </w:r>
    </w:p>
    <w:p w:rsidR="00B6358C" w:rsidRDefault="00B6358C" w:rsidP="00B6358C">
      <w:pPr>
        <w:tabs>
          <w:tab w:val="left" w:pos="851"/>
        </w:tabs>
        <w:bidi w:val="0"/>
        <w:jc w:val="both"/>
        <w:rPr>
          <w:rFonts w:asciiTheme="minorBidi" w:hAnsiTheme="minorBidi" w:cstheme="minorBidi"/>
          <w:sz w:val="18"/>
          <w:szCs w:val="18"/>
        </w:rPr>
      </w:pPr>
    </w:p>
    <w:p w:rsidR="007E33F6" w:rsidRDefault="007E33F6" w:rsidP="00753010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Pour les produits non alimentaires, </w:t>
      </w:r>
      <w:r w:rsidR="00753010" w:rsidRPr="00753010">
        <w:rPr>
          <w:rFonts w:asciiTheme="minorBidi" w:hAnsiTheme="minorBidi" w:cstheme="minorBidi"/>
          <w:sz w:val="18"/>
          <w:szCs w:val="18"/>
        </w:rPr>
        <w:t xml:space="preserve">la hausse a concerné principalement les prix des </w:t>
      </w:r>
      <w:r w:rsidR="00753010">
        <w:rPr>
          <w:rFonts w:asciiTheme="minorBidi" w:hAnsiTheme="minorBidi" w:cstheme="minorBidi"/>
          <w:sz w:val="18"/>
          <w:szCs w:val="18"/>
        </w:rPr>
        <w:t xml:space="preserve">« Articles d’habillement et chaussures » </w:t>
      </w:r>
      <w:r w:rsidR="009755A6">
        <w:rPr>
          <w:rFonts w:asciiTheme="minorBidi" w:hAnsiTheme="minorBidi" w:cstheme="minorBidi"/>
          <w:sz w:val="18"/>
          <w:szCs w:val="18"/>
        </w:rPr>
        <w:t xml:space="preserve">et </w:t>
      </w:r>
      <w:r w:rsidR="00753010">
        <w:rPr>
          <w:rFonts w:asciiTheme="minorBidi" w:hAnsiTheme="minorBidi" w:cstheme="minorBidi"/>
          <w:sz w:val="18"/>
          <w:szCs w:val="18"/>
        </w:rPr>
        <w:t xml:space="preserve">ceux </w:t>
      </w:r>
      <w:r w:rsidR="00753010" w:rsidRPr="00B6358C">
        <w:rPr>
          <w:rFonts w:asciiTheme="minorBidi" w:hAnsiTheme="minorBidi" w:cstheme="minorBidi"/>
          <w:sz w:val="18"/>
          <w:szCs w:val="18"/>
        </w:rPr>
        <w:t>de « Transport »</w:t>
      </w:r>
      <w:r w:rsidR="009755A6">
        <w:rPr>
          <w:rFonts w:asciiTheme="minorBidi" w:hAnsiTheme="minorBidi" w:cstheme="minorBidi"/>
          <w:sz w:val="18"/>
          <w:szCs w:val="18"/>
        </w:rPr>
        <w:t xml:space="preserve"> </w:t>
      </w:r>
      <w:r w:rsidR="00753010">
        <w:rPr>
          <w:rFonts w:asciiTheme="minorBidi" w:hAnsiTheme="minorBidi" w:cstheme="minorBidi"/>
          <w:sz w:val="18"/>
          <w:szCs w:val="18"/>
        </w:rPr>
        <w:t>avec le même pourcentage de +0,9%</w:t>
      </w:r>
      <w:r w:rsidR="00707E06" w:rsidRPr="00B6358C">
        <w:rPr>
          <w:rFonts w:asciiTheme="minorBidi" w:hAnsiTheme="minorBidi" w:cstheme="minorBidi"/>
          <w:sz w:val="18"/>
          <w:szCs w:val="18"/>
        </w:rPr>
        <w:t>.</w:t>
      </w:r>
      <w:r w:rsidR="009755A6">
        <w:rPr>
          <w:rFonts w:asciiTheme="minorBidi" w:hAnsiTheme="minorBidi" w:cstheme="minorBidi"/>
          <w:sz w:val="18"/>
          <w:szCs w:val="18"/>
        </w:rPr>
        <w:t xml:space="preserve"> </w:t>
      </w:r>
      <w:r w:rsidR="00707E06" w:rsidRPr="00B6358C">
        <w:rPr>
          <w:rFonts w:asciiTheme="minorBidi" w:hAnsiTheme="minorBidi" w:cstheme="minorBidi"/>
          <w:sz w:val="18"/>
          <w:szCs w:val="18"/>
        </w:rPr>
        <w:t xml:space="preserve">Cependant </w:t>
      </w:r>
      <w:r w:rsidR="000B258C" w:rsidRPr="00B6358C">
        <w:rPr>
          <w:rFonts w:asciiTheme="minorBidi" w:hAnsiTheme="minorBidi" w:cstheme="minorBidi"/>
          <w:sz w:val="18"/>
          <w:szCs w:val="18"/>
        </w:rPr>
        <w:t>le</w:t>
      </w:r>
      <w:r w:rsidR="009755A6">
        <w:rPr>
          <w:rFonts w:asciiTheme="minorBidi" w:hAnsiTheme="minorBidi" w:cstheme="minorBidi"/>
          <w:sz w:val="18"/>
          <w:szCs w:val="18"/>
        </w:rPr>
        <w:t xml:space="preserve"> </w:t>
      </w:r>
      <w:r w:rsidR="000B258C" w:rsidRPr="00B6358C">
        <w:rPr>
          <w:rFonts w:asciiTheme="minorBidi" w:hAnsiTheme="minorBidi" w:cstheme="minorBidi"/>
          <w:sz w:val="18"/>
          <w:szCs w:val="18"/>
        </w:rPr>
        <w:t xml:space="preserve">groupe </w:t>
      </w:r>
      <w:r w:rsidR="009755A6">
        <w:rPr>
          <w:rFonts w:asciiTheme="minorBidi" w:hAnsiTheme="minorBidi" w:cstheme="minorBidi"/>
          <w:sz w:val="18"/>
          <w:szCs w:val="18"/>
        </w:rPr>
        <w:t>de la</w:t>
      </w:r>
      <w:r w:rsidR="00707E06" w:rsidRPr="00B6358C">
        <w:rPr>
          <w:rFonts w:asciiTheme="minorBidi" w:hAnsiTheme="minorBidi" w:cstheme="minorBidi"/>
          <w:sz w:val="18"/>
          <w:szCs w:val="18"/>
        </w:rPr>
        <w:t xml:space="preserve"> « </w:t>
      </w:r>
      <w:r w:rsidR="00753010">
        <w:rPr>
          <w:rFonts w:asciiTheme="minorBidi" w:hAnsiTheme="minorBidi" w:cstheme="minorBidi"/>
          <w:sz w:val="18"/>
          <w:szCs w:val="18"/>
        </w:rPr>
        <w:t>Santé</w:t>
      </w:r>
      <w:r w:rsidR="00707E06" w:rsidRPr="00B6358C">
        <w:rPr>
          <w:rFonts w:asciiTheme="minorBidi" w:hAnsiTheme="minorBidi" w:cstheme="minorBidi"/>
          <w:sz w:val="18"/>
          <w:szCs w:val="18"/>
        </w:rPr>
        <w:t xml:space="preserve">» </w:t>
      </w:r>
      <w:r w:rsidR="009755A6">
        <w:rPr>
          <w:rFonts w:asciiTheme="minorBidi" w:hAnsiTheme="minorBidi" w:cstheme="minorBidi"/>
          <w:sz w:val="18"/>
          <w:szCs w:val="18"/>
        </w:rPr>
        <w:t xml:space="preserve"> </w:t>
      </w:r>
      <w:r w:rsidR="000B258C" w:rsidRPr="00B6358C">
        <w:rPr>
          <w:rFonts w:asciiTheme="minorBidi" w:hAnsiTheme="minorBidi" w:cstheme="minorBidi"/>
          <w:sz w:val="18"/>
          <w:szCs w:val="18"/>
        </w:rPr>
        <w:t>a</w:t>
      </w:r>
      <w:r w:rsidR="00707E06" w:rsidRPr="00B6358C">
        <w:rPr>
          <w:rFonts w:asciiTheme="minorBidi" w:hAnsiTheme="minorBidi" w:cstheme="minorBidi"/>
          <w:sz w:val="18"/>
          <w:szCs w:val="18"/>
        </w:rPr>
        <w:t xml:space="preserve"> enregistré une baisse 0,</w:t>
      </w:r>
      <w:r w:rsidR="00753010">
        <w:rPr>
          <w:rFonts w:asciiTheme="minorBidi" w:hAnsiTheme="minorBidi" w:cstheme="minorBidi"/>
          <w:sz w:val="18"/>
          <w:szCs w:val="18"/>
        </w:rPr>
        <w:t>1</w:t>
      </w:r>
      <w:r w:rsidR="00707E06" w:rsidRPr="00B6358C">
        <w:rPr>
          <w:rFonts w:asciiTheme="minorBidi" w:hAnsiTheme="minorBidi" w:cstheme="minorBidi"/>
          <w:sz w:val="18"/>
          <w:szCs w:val="18"/>
        </w:rPr>
        <w:t>%</w:t>
      </w:r>
      <w:r w:rsidR="00DF4AAC" w:rsidRPr="00B6358C">
        <w:rPr>
          <w:rFonts w:asciiTheme="minorBidi" w:hAnsiTheme="minorBidi" w:cstheme="minorBidi"/>
          <w:sz w:val="18"/>
          <w:szCs w:val="18"/>
        </w:rPr>
        <w:t xml:space="preserve">, </w:t>
      </w:r>
      <w:r w:rsidR="00753010">
        <w:rPr>
          <w:rFonts w:asciiTheme="minorBidi" w:hAnsiTheme="minorBidi" w:cstheme="minorBidi"/>
          <w:sz w:val="18"/>
          <w:szCs w:val="18"/>
        </w:rPr>
        <w:t>alors</w:t>
      </w:r>
      <w:r w:rsidRPr="00B6358C">
        <w:rPr>
          <w:rFonts w:asciiTheme="minorBidi" w:hAnsiTheme="minorBidi" w:cstheme="minorBidi"/>
          <w:sz w:val="18"/>
          <w:szCs w:val="18"/>
        </w:rPr>
        <w:t xml:space="preserve"> que les</w:t>
      </w:r>
      <w:r w:rsidR="000B258C" w:rsidRPr="00B6358C">
        <w:rPr>
          <w:rFonts w:asciiTheme="minorBidi" w:hAnsiTheme="minorBidi" w:cstheme="minorBidi"/>
          <w:sz w:val="18"/>
          <w:szCs w:val="18"/>
        </w:rPr>
        <w:t xml:space="preserve"> autres</w:t>
      </w:r>
      <w:r w:rsidRPr="00B6358C">
        <w:rPr>
          <w:rFonts w:asciiTheme="minorBidi" w:hAnsiTheme="minorBidi" w:cstheme="minorBidi"/>
          <w:sz w:val="18"/>
          <w:szCs w:val="18"/>
        </w:rPr>
        <w:t xml:space="preserve"> groupes ont enregistré une stagnation. </w:t>
      </w:r>
    </w:p>
    <w:p w:rsidR="00B6358C" w:rsidRPr="00AC6DF5" w:rsidRDefault="00B6358C" w:rsidP="00B6358C">
      <w:pPr>
        <w:tabs>
          <w:tab w:val="left" w:pos="851"/>
        </w:tabs>
        <w:bidi w:val="0"/>
        <w:jc w:val="both"/>
        <w:rPr>
          <w:rFonts w:asciiTheme="minorBidi" w:hAnsiTheme="minorBidi" w:cstheme="minorBidi"/>
          <w:sz w:val="12"/>
          <w:szCs w:val="12"/>
        </w:rPr>
      </w:pPr>
    </w:p>
    <w:p w:rsidR="007E33F6" w:rsidRDefault="007E33F6" w:rsidP="00165CC1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>Comparé au même mois  de l’année précédente, l’indice des prix à la con</w:t>
      </w:r>
      <w:r w:rsidR="00753010">
        <w:rPr>
          <w:rFonts w:asciiTheme="minorBidi" w:hAnsiTheme="minorBidi" w:cstheme="minorBidi"/>
          <w:sz w:val="18"/>
          <w:szCs w:val="18"/>
        </w:rPr>
        <w:t xml:space="preserve">sommation que ce soit à Rabat ou </w:t>
      </w:r>
      <w:r w:rsidR="00753010" w:rsidRPr="00B6358C">
        <w:rPr>
          <w:rFonts w:asciiTheme="minorBidi" w:hAnsiTheme="minorBidi" w:cstheme="minorBidi"/>
          <w:sz w:val="18"/>
          <w:szCs w:val="18"/>
        </w:rPr>
        <w:t>au niveau National</w:t>
      </w:r>
      <w:r w:rsidR="00753010">
        <w:rPr>
          <w:rFonts w:asciiTheme="minorBidi" w:hAnsiTheme="minorBidi" w:cstheme="minorBidi"/>
          <w:sz w:val="18"/>
          <w:szCs w:val="18"/>
        </w:rPr>
        <w:t xml:space="preserve"> a enregistré </w:t>
      </w:r>
      <w:r w:rsidRPr="00B6358C">
        <w:rPr>
          <w:rFonts w:asciiTheme="minorBidi" w:hAnsiTheme="minorBidi" w:cstheme="minorBidi"/>
          <w:sz w:val="18"/>
          <w:szCs w:val="18"/>
        </w:rPr>
        <w:t>une hausse de 0,</w:t>
      </w:r>
      <w:r w:rsidR="00753010">
        <w:rPr>
          <w:rFonts w:asciiTheme="minorBidi" w:hAnsiTheme="minorBidi" w:cstheme="minorBidi"/>
          <w:sz w:val="18"/>
          <w:szCs w:val="18"/>
        </w:rPr>
        <w:t>3</w:t>
      </w:r>
      <w:r w:rsidRPr="00B6358C">
        <w:rPr>
          <w:rFonts w:asciiTheme="minorBidi" w:hAnsiTheme="minorBidi" w:cstheme="minorBidi"/>
          <w:sz w:val="18"/>
          <w:szCs w:val="18"/>
        </w:rPr>
        <w:t xml:space="preserve">% au cours du mois de </w:t>
      </w:r>
      <w:r w:rsidR="00753010">
        <w:rPr>
          <w:rFonts w:asciiTheme="minorBidi" w:hAnsiTheme="minorBidi" w:cstheme="minorBidi"/>
          <w:sz w:val="18"/>
          <w:szCs w:val="18"/>
        </w:rPr>
        <w:t>février</w:t>
      </w:r>
      <w:r w:rsidRPr="00B6358C">
        <w:rPr>
          <w:rFonts w:asciiTheme="minorBidi" w:hAnsiTheme="minorBidi" w:cstheme="minorBidi"/>
          <w:sz w:val="18"/>
          <w:szCs w:val="18"/>
        </w:rPr>
        <w:t xml:space="preserve"> 202</w:t>
      </w:r>
      <w:r w:rsidR="00DF4AAC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. </w:t>
      </w:r>
      <w:r w:rsidR="008240E2" w:rsidRPr="008240E2">
        <w:rPr>
          <w:rFonts w:asciiTheme="minorBidi" w:hAnsiTheme="minorBidi" w:cstheme="minorBidi"/>
          <w:sz w:val="18"/>
          <w:szCs w:val="18"/>
        </w:rPr>
        <w:t>En ce qui concerne la variation annuelle, l’indice  annuel moyen de la ville de Rabat a enregistré, au terme de l’année 202</w:t>
      </w:r>
      <w:r w:rsidR="008240E2">
        <w:rPr>
          <w:rFonts w:asciiTheme="minorBidi" w:hAnsiTheme="minorBidi" w:cstheme="minorBidi"/>
          <w:sz w:val="18"/>
          <w:szCs w:val="18"/>
        </w:rPr>
        <w:t>1</w:t>
      </w:r>
      <w:r w:rsidR="008240E2" w:rsidRPr="008240E2">
        <w:rPr>
          <w:rFonts w:asciiTheme="minorBidi" w:hAnsiTheme="minorBidi" w:cstheme="minorBidi"/>
          <w:sz w:val="18"/>
          <w:szCs w:val="18"/>
        </w:rPr>
        <w:t>, une augmentation de 0,</w:t>
      </w:r>
      <w:r w:rsidR="008240E2">
        <w:rPr>
          <w:rFonts w:asciiTheme="minorBidi" w:hAnsiTheme="minorBidi" w:cstheme="minorBidi"/>
          <w:sz w:val="18"/>
          <w:szCs w:val="18"/>
        </w:rPr>
        <w:t>3</w:t>
      </w:r>
      <w:r w:rsidR="008240E2" w:rsidRPr="008240E2">
        <w:rPr>
          <w:rFonts w:asciiTheme="minorBidi" w:hAnsiTheme="minorBidi" w:cstheme="minorBidi"/>
          <w:sz w:val="18"/>
          <w:szCs w:val="18"/>
        </w:rPr>
        <w:t xml:space="preserve">% par rapport à l’année </w:t>
      </w:r>
      <w:r w:rsidR="008240E2">
        <w:rPr>
          <w:rFonts w:asciiTheme="minorBidi" w:hAnsiTheme="minorBidi" w:cstheme="minorBidi"/>
          <w:sz w:val="18"/>
          <w:szCs w:val="18"/>
        </w:rPr>
        <w:t>2020</w:t>
      </w:r>
      <w:r w:rsidR="008240E2" w:rsidRPr="008240E2">
        <w:rPr>
          <w:rFonts w:asciiTheme="minorBidi" w:hAnsiTheme="minorBidi" w:cstheme="minorBidi"/>
          <w:sz w:val="18"/>
          <w:szCs w:val="18"/>
        </w:rPr>
        <w:t xml:space="preserve"> contre 0,</w:t>
      </w:r>
      <w:r w:rsidR="008240E2">
        <w:rPr>
          <w:rFonts w:asciiTheme="minorBidi" w:hAnsiTheme="minorBidi" w:cstheme="minorBidi"/>
          <w:sz w:val="18"/>
          <w:szCs w:val="18"/>
        </w:rPr>
        <w:t>2</w:t>
      </w:r>
      <w:r w:rsidR="008240E2" w:rsidRPr="008240E2">
        <w:rPr>
          <w:rFonts w:asciiTheme="minorBidi" w:hAnsiTheme="minorBidi" w:cstheme="minorBidi"/>
          <w:sz w:val="18"/>
          <w:szCs w:val="18"/>
        </w:rPr>
        <w:t>% au niveau National.</w:t>
      </w:r>
    </w:p>
    <w:p w:rsidR="00AC6DF5" w:rsidRPr="00AC6DF5" w:rsidRDefault="00AC6DF5" w:rsidP="00AC6DF5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2"/>
          <w:szCs w:val="12"/>
        </w:rPr>
      </w:pPr>
    </w:p>
    <w:p w:rsidR="0013267A" w:rsidRDefault="007E33F6" w:rsidP="008240E2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Quant </w:t>
      </w:r>
      <w:r w:rsidR="008461C4" w:rsidRPr="00B6358C">
        <w:rPr>
          <w:rFonts w:asciiTheme="minorBidi" w:hAnsiTheme="minorBidi" w:cstheme="minorBidi"/>
          <w:sz w:val="18"/>
          <w:szCs w:val="18"/>
        </w:rPr>
        <w:t>à la</w:t>
      </w:r>
      <w:r w:rsidRPr="00B6358C">
        <w:rPr>
          <w:rFonts w:asciiTheme="minorBidi" w:hAnsiTheme="minorBidi" w:cstheme="minorBidi"/>
          <w:sz w:val="18"/>
          <w:szCs w:val="18"/>
        </w:rPr>
        <w:t xml:space="preserve"> variation mensuelle au niveau des villes, les hausses les plus importantes </w:t>
      </w:r>
      <w:r w:rsidR="008461C4" w:rsidRPr="00B6358C">
        <w:rPr>
          <w:rFonts w:asciiTheme="minorBidi" w:hAnsiTheme="minorBidi" w:cstheme="minorBidi"/>
          <w:sz w:val="18"/>
          <w:szCs w:val="18"/>
        </w:rPr>
        <w:t xml:space="preserve"> de l’IPC ont été enregistrées </w:t>
      </w:r>
      <w:r w:rsidR="008240E2">
        <w:rPr>
          <w:rFonts w:ascii="Arial" w:hAnsi="Arial" w:cs="Arial"/>
          <w:color w:val="333333"/>
          <w:sz w:val="21"/>
          <w:szCs w:val="21"/>
          <w:shd w:val="clear" w:color="auto" w:fill="F3F3F3"/>
        </w:rPr>
        <w:t xml:space="preserve">à </w:t>
      </w:r>
      <w:r w:rsidR="008240E2" w:rsidRPr="008240E2">
        <w:rPr>
          <w:rFonts w:asciiTheme="minorBidi" w:hAnsiTheme="minorBidi" w:cstheme="minorBidi"/>
          <w:sz w:val="18"/>
          <w:szCs w:val="18"/>
        </w:rPr>
        <w:t xml:space="preserve">Agadir, Tanger et </w:t>
      </w:r>
      <w:proofErr w:type="spellStart"/>
      <w:r w:rsidR="008240E2" w:rsidRPr="008240E2">
        <w:rPr>
          <w:rFonts w:asciiTheme="minorBidi" w:hAnsiTheme="minorBidi" w:cstheme="minorBidi"/>
          <w:sz w:val="18"/>
          <w:szCs w:val="18"/>
        </w:rPr>
        <w:t>Errachidia</w:t>
      </w:r>
      <w:proofErr w:type="spellEnd"/>
      <w:r w:rsidR="008240E2" w:rsidRPr="008240E2">
        <w:rPr>
          <w:rFonts w:asciiTheme="minorBidi" w:hAnsiTheme="minorBidi" w:cstheme="minorBidi"/>
          <w:sz w:val="18"/>
          <w:szCs w:val="18"/>
        </w:rPr>
        <w:t xml:space="preserve"> avec 0,3%, à Oujda et Settat avec 0,</w:t>
      </w:r>
      <w:r w:rsidR="008240E2" w:rsidRPr="008240E2">
        <w:rPr>
          <w:rFonts w:asciiTheme="minorBidi" w:hAnsiTheme="minorBidi" w:cstheme="minorBidi"/>
          <w:sz w:val="18"/>
          <w:szCs w:val="18"/>
          <w:rtl/>
        </w:rPr>
        <w:t>2</w:t>
      </w:r>
      <w:r w:rsidR="008240E2" w:rsidRPr="008240E2">
        <w:rPr>
          <w:rFonts w:asciiTheme="minorBidi" w:hAnsiTheme="minorBidi" w:cstheme="minorBidi"/>
          <w:sz w:val="18"/>
          <w:szCs w:val="18"/>
        </w:rPr>
        <w:t xml:space="preserve">% et à Marrakech, Tétouan et </w:t>
      </w:r>
      <w:proofErr w:type="spellStart"/>
      <w:r w:rsidR="008240E2" w:rsidRPr="008240E2">
        <w:rPr>
          <w:rFonts w:asciiTheme="minorBidi" w:hAnsiTheme="minorBidi" w:cstheme="minorBidi"/>
          <w:sz w:val="18"/>
          <w:szCs w:val="18"/>
        </w:rPr>
        <w:t>Al-hoceima</w:t>
      </w:r>
      <w:proofErr w:type="spellEnd"/>
      <w:r w:rsidR="008240E2" w:rsidRPr="008240E2">
        <w:rPr>
          <w:rFonts w:asciiTheme="minorBidi" w:hAnsiTheme="minorBidi" w:cstheme="minorBidi"/>
          <w:sz w:val="18"/>
          <w:szCs w:val="18"/>
        </w:rPr>
        <w:t xml:space="preserve"> avec 0,1%. En revanche, les plus importantes baisses ont été enregistrées à Safi avec 0,6% et à Dakhla avec 0,2%.</w:t>
      </w:r>
    </w:p>
    <w:p w:rsidR="00D060D8" w:rsidRDefault="00D060D8" w:rsidP="00D060D8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D060D8" w:rsidRDefault="00D060D8" w:rsidP="00D060D8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D060D8" w:rsidRDefault="00D060D8" w:rsidP="00D060D8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D060D8" w:rsidRDefault="00D060D8" w:rsidP="00D060D8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D060D8" w:rsidRDefault="00D060D8" w:rsidP="00D060D8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</w:p>
    <w:p w:rsidR="009142A2" w:rsidRPr="009142A2" w:rsidRDefault="009142A2" w:rsidP="009142A2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lastRenderedPageBreak/>
        <w:t>الرقم الاستدلالي الأثمان عند الاستهلاك لشهر فبراير</w:t>
      </w:r>
      <w:r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2021</w:t>
      </w: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</w:t>
      </w:r>
    </w:p>
    <w:p w:rsidR="009142A2" w:rsidRP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13267A" w:rsidRPr="00C119CD" w:rsidRDefault="002C00BE" w:rsidP="009755A6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lang w:bidi="ar-MA"/>
        </w:rPr>
      </w:pP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سجل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الرقم الاستدلالي للأثمان عند الاستهلاك (أساس 100: 2017) خلال</w:t>
      </w:r>
      <w:r w:rsidR="0013267A" w:rsidRPr="00C119CD">
        <w:rPr>
          <w:rFonts w:asciiTheme="minorBidi" w:hAnsiTheme="minorBidi" w:cstheme="minorBidi"/>
          <w:sz w:val="22"/>
          <w:szCs w:val="22"/>
          <w:rtl/>
        </w:rPr>
        <w:t xml:space="preserve"> شهر </w:t>
      </w:r>
      <w:r w:rsidR="009755A6" w:rsidRPr="00C119CD">
        <w:rPr>
          <w:rFonts w:asciiTheme="minorBidi" w:hAnsiTheme="minorBidi" w:cstheme="minorBidi" w:hint="cs"/>
          <w:sz w:val="22"/>
          <w:szCs w:val="22"/>
          <w:rtl/>
        </w:rPr>
        <w:t xml:space="preserve">فبراير 2021 </w:t>
      </w:r>
      <w:r w:rsidR="009D5FA1" w:rsidRPr="00C119CD">
        <w:rPr>
          <w:rFonts w:asciiTheme="minorBidi" w:hAnsiTheme="minorBidi" w:cstheme="minorBidi"/>
          <w:sz w:val="22"/>
          <w:szCs w:val="22"/>
          <w:rtl/>
          <w:lang w:bidi="ar-MA"/>
        </w:rPr>
        <w:t>ب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>مدينة الرباط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استقرارا نسبيا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بالمقارنة مع الشهر السابق مقابل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ارتفاع طفيف 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>بنسبة</w:t>
      </w:r>
      <w:r w:rsidR="009755A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>0</w:t>
      </w:r>
      <w:proofErr w:type="gramStart"/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>,</w:t>
      </w:r>
      <w:r w:rsidR="009D5FA1" w:rsidRPr="00C119CD">
        <w:rPr>
          <w:rFonts w:asciiTheme="minorBidi" w:hAnsiTheme="minorBidi" w:cstheme="minorBidi"/>
          <w:sz w:val="22"/>
          <w:szCs w:val="22"/>
          <w:rtl/>
          <w:lang w:bidi="ar-MA"/>
        </w:rPr>
        <w:t>1</w:t>
      </w:r>
      <w:r w:rsidR="0013267A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proofErr w:type="gramEnd"/>
      <w:r w:rsidR="009755A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على المستوى الوطني. ويرجع هذا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الاستقرار</w:t>
      </w:r>
      <w:r w:rsidR="0013267A" w:rsidRPr="00C119CD">
        <w:rPr>
          <w:rFonts w:asciiTheme="minorBidi" w:hAnsiTheme="minorBidi" w:cstheme="minorBidi"/>
          <w:sz w:val="22"/>
          <w:szCs w:val="22"/>
          <w:rtl/>
        </w:rPr>
        <w:t xml:space="preserve">إلى 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تراجع </w:t>
      </w:r>
      <w:r w:rsidR="0013267A" w:rsidRPr="00C119CD">
        <w:rPr>
          <w:rFonts w:asciiTheme="minorBidi" w:hAnsiTheme="minorBidi" w:cstheme="minorBidi"/>
          <w:sz w:val="22"/>
          <w:szCs w:val="22"/>
          <w:rtl/>
        </w:rPr>
        <w:t>معدل الرقم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الاستدلالي للمواد الغذائية ب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0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>,</w:t>
      </w:r>
      <w:r w:rsidR="00C2193A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4</w:t>
      </w:r>
      <w:r w:rsidR="0013267A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من جهة،  وتزايد</w:t>
      </w:r>
      <w:r w:rsidR="0013267A" w:rsidRPr="00C119CD">
        <w:rPr>
          <w:rFonts w:asciiTheme="minorBidi" w:hAnsiTheme="minorBidi" w:cstheme="minorBidi"/>
          <w:sz w:val="22"/>
          <w:szCs w:val="22"/>
          <w:rtl/>
        </w:rPr>
        <w:t xml:space="preserve"> معدلالرقم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الاستدلالي للمواد غير الغذائية ب 0,</w:t>
      </w:r>
      <w:r w:rsidR="00C2193A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2</w:t>
      </w:r>
      <w:r w:rsidR="0013267A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من جهة أخرى. </w:t>
      </w:r>
    </w:p>
    <w:p w:rsidR="009D5FA1" w:rsidRPr="00C119CD" w:rsidRDefault="009D5FA1" w:rsidP="009D5FA1">
      <w:pPr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3267A" w:rsidRPr="00C119CD" w:rsidRDefault="002C00BE" w:rsidP="009755A6">
      <w:pPr>
        <w:spacing w:line="360" w:lineRule="auto"/>
        <w:ind w:hanging="1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ب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النسبة للمواد الغذائية، فقد نتج انخفاض رقمها الاستدلالي </w:t>
      </w:r>
      <w:r w:rsidR="009D5FA1" w:rsidRPr="00C119CD">
        <w:rPr>
          <w:rFonts w:asciiTheme="minorBidi" w:hAnsiTheme="minorBidi" w:cstheme="minorBidi"/>
          <w:sz w:val="22"/>
          <w:szCs w:val="22"/>
          <w:rtl/>
          <w:lang w:bidi="ar-MA"/>
        </w:rPr>
        <w:t>بالأساس</w:t>
      </w:r>
      <w:r w:rsidR="009755A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إلى ت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راجع أثمان هذا المؤشر على مستوى قسم "المواد الغذائية والمشروبات غير الكحولية" بنسبة </w:t>
      </w:r>
      <w:r w:rsidR="00C2193A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0</w:t>
      </w:r>
      <w:proofErr w:type="gramStart"/>
      <w:r w:rsidR="00C2193A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,4</w:t>
      </w:r>
      <w:r w:rsidR="0013267A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proofErr w:type="gramEnd"/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و </w:t>
      </w:r>
      <w:r w:rsidR="00C2193A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استقرار</w:t>
      </w:r>
      <w:r w:rsidR="0013267A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أثمان قسم "المشروبات الكحولية والتبغ".</w:t>
      </w:r>
    </w:p>
    <w:p w:rsidR="009D5FA1" w:rsidRPr="00C119CD" w:rsidRDefault="009D5FA1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C34FE2" w:rsidRPr="00C119CD" w:rsidRDefault="0013267A" w:rsidP="009755A6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وقد شملت أهم الانخفاضات </w:t>
      </w:r>
      <w:proofErr w:type="spellStart"/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المسجلة</w:t>
      </w:r>
      <w:r w:rsidR="007E3BB8" w:rsidRPr="00C119CD">
        <w:rPr>
          <w:rFonts w:asciiTheme="minorBidi" w:hAnsiTheme="minorBidi" w:cstheme="minorBidi"/>
          <w:sz w:val="22"/>
          <w:szCs w:val="22"/>
          <w:rtl/>
          <w:lang w:bidi="ar-MA"/>
        </w:rPr>
        <w:t>ما</w:t>
      </w:r>
      <w:proofErr w:type="spellEnd"/>
      <w:r w:rsidR="007E3BB8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بين شهري يناير</w:t>
      </w:r>
      <w:r w:rsidR="00C34FE2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و فبراير </w:t>
      </w:r>
      <w:r w:rsidR="007E3BB8" w:rsidRPr="00C119CD">
        <w:rPr>
          <w:rFonts w:asciiTheme="minorBidi" w:hAnsiTheme="minorBidi" w:cstheme="minorBidi"/>
          <w:sz w:val="22"/>
          <w:szCs w:val="22"/>
          <w:rtl/>
          <w:lang w:bidi="ar-MA"/>
        </w:rPr>
        <w:t>2021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بقسم "المواد الغذائية والمشروبات غير الكحولية" على الخصوص أثمان</w:t>
      </w:r>
      <w:r w:rsidR="00C34FE2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" السمك وفواكه البحر" ب </w:t>
      </w:r>
      <w:r w:rsidR="00C34FE2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3</w:t>
      </w:r>
      <w:r w:rsidR="00C34FE2" w:rsidRPr="00C119CD">
        <w:rPr>
          <w:rFonts w:asciiTheme="minorBidi" w:hAnsiTheme="minorBidi" w:cstheme="minorBidi"/>
          <w:sz w:val="22"/>
          <w:szCs w:val="22"/>
          <w:rtl/>
          <w:lang w:bidi="ar-MA"/>
        </w:rPr>
        <w:t>,</w:t>
      </w:r>
      <w:r w:rsidR="00C34FE2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3</w:t>
      </w:r>
      <w:r w:rsidR="00C34FE2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C34FE2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، </w:t>
      </w:r>
      <w:r w:rsidR="00C34FE2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"الفواكه" ب </w:t>
      </w:r>
      <w:r w:rsidR="00C34FE2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1</w:t>
      </w:r>
      <w:r w:rsidR="00C34FE2" w:rsidRPr="00C119CD">
        <w:rPr>
          <w:rFonts w:asciiTheme="minorBidi" w:hAnsiTheme="minorBidi" w:cstheme="minorBidi"/>
          <w:sz w:val="22"/>
          <w:szCs w:val="22"/>
          <w:rtl/>
          <w:lang w:bidi="ar-MA"/>
        </w:rPr>
        <w:t>,</w:t>
      </w:r>
      <w:r w:rsidR="00C34FE2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5</w:t>
      </w:r>
      <w:r w:rsidR="00C34FE2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C34FE2" w:rsidRPr="00C119CD">
        <w:rPr>
          <w:rFonts w:asciiTheme="minorBidi" w:hAnsiTheme="minorBidi" w:cstheme="minorBidi"/>
          <w:sz w:val="22"/>
          <w:szCs w:val="22"/>
          <w:rtl/>
          <w:lang w:bidi="ar-MA"/>
        </w:rPr>
        <w:t>،</w:t>
      </w:r>
      <w:r w:rsidR="009755A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C34FE2" w:rsidRPr="00C119CD">
        <w:rPr>
          <w:rFonts w:asciiTheme="minorBidi" w:hAnsiTheme="minorBidi" w:cstheme="minorBidi"/>
          <w:sz w:val="22"/>
          <w:szCs w:val="22"/>
          <w:rtl/>
          <w:lang w:bidi="ar-MA"/>
        </w:rPr>
        <w:t>"</w:t>
      </w:r>
      <w:r w:rsidR="00C34FE2" w:rsidRPr="00C119CD">
        <w:rPr>
          <w:rFonts w:asciiTheme="minorBidi" w:hAnsiTheme="minorBidi" w:cstheme="minorBidi"/>
          <w:sz w:val="22"/>
          <w:szCs w:val="22"/>
          <w:rtl/>
        </w:rPr>
        <w:t xml:space="preserve">اللحوم" ب </w:t>
      </w:r>
      <w:r w:rsidR="00C34FE2" w:rsidRPr="00C119CD">
        <w:rPr>
          <w:rFonts w:asciiTheme="minorBidi" w:hAnsiTheme="minorBidi" w:cstheme="minorBidi" w:hint="cs"/>
          <w:sz w:val="22"/>
          <w:szCs w:val="22"/>
          <w:rtl/>
        </w:rPr>
        <w:t>1</w:t>
      </w:r>
      <w:r w:rsidR="00C34FE2" w:rsidRPr="00C119CD">
        <w:rPr>
          <w:rFonts w:asciiTheme="minorBidi" w:hAnsiTheme="minorBidi" w:cstheme="minorBidi"/>
          <w:sz w:val="22"/>
          <w:szCs w:val="22"/>
          <w:rtl/>
        </w:rPr>
        <w:t>,</w:t>
      </w:r>
      <w:r w:rsidR="00C34FE2" w:rsidRPr="00C119CD">
        <w:rPr>
          <w:rFonts w:asciiTheme="minorBidi" w:hAnsiTheme="minorBidi" w:cstheme="minorBidi" w:hint="cs"/>
          <w:sz w:val="22"/>
          <w:szCs w:val="22"/>
          <w:rtl/>
        </w:rPr>
        <w:t>3</w:t>
      </w:r>
      <w:r w:rsidR="00C34FE2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C34FE2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، </w:t>
      </w:r>
      <w:r w:rsidR="00C34FE2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و"الخضر" ب </w:t>
      </w:r>
      <w:r w:rsidR="00C34FE2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0</w:t>
      </w:r>
      <w:r w:rsidR="00C34FE2" w:rsidRPr="00C119CD">
        <w:rPr>
          <w:rFonts w:asciiTheme="minorBidi" w:hAnsiTheme="minorBidi" w:cstheme="minorBidi"/>
          <w:sz w:val="22"/>
          <w:szCs w:val="22"/>
          <w:rtl/>
          <w:lang w:bidi="ar-MA"/>
        </w:rPr>
        <w:t>,</w:t>
      </w:r>
      <w:r w:rsidR="00C34FE2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5</w:t>
      </w:r>
      <w:r w:rsidR="00C34FE2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782E62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.</w:t>
      </w:r>
      <w:r w:rsidR="009755A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782E62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بينما ارتفعت </w:t>
      </w:r>
      <w:r w:rsidR="009755A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بالمقابل أثما</w:t>
      </w:r>
      <w:r w:rsidR="009755A6" w:rsidRPr="00C119CD">
        <w:rPr>
          <w:rFonts w:asciiTheme="minorBidi" w:hAnsiTheme="minorBidi" w:cstheme="minorBidi" w:hint="eastAsia"/>
          <w:sz w:val="22"/>
          <w:szCs w:val="22"/>
          <w:rtl/>
          <w:lang w:bidi="ar-MA"/>
        </w:rPr>
        <w:t>ن</w:t>
      </w:r>
      <w:r w:rsidR="00782E62" w:rsidRPr="00C119CD">
        <w:rPr>
          <w:rFonts w:asciiTheme="minorBidi" w:hAnsiTheme="minorBidi" w:cstheme="minorBidi"/>
          <w:sz w:val="22"/>
          <w:szCs w:val="22"/>
          <w:rtl/>
          <w:lang w:bidi="ar-MA"/>
        </w:rPr>
        <w:t>"الخبز و الحبوب" ب 0,</w:t>
      </w:r>
      <w:r w:rsidR="00782E62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6</w:t>
      </w:r>
      <w:r w:rsidR="00782E62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782E62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و "</w:t>
      </w:r>
      <w:r w:rsidR="00782E62" w:rsidRPr="00C119CD">
        <w:rPr>
          <w:rFonts w:asciiTheme="minorBidi" w:hAnsiTheme="minorBidi" w:cstheme="minorBidi"/>
          <w:sz w:val="22"/>
          <w:szCs w:val="22"/>
          <w:rtl/>
          <w:lang w:bidi="ar-MA"/>
        </w:rPr>
        <w:t>الحليب والجبن والبيض" ب 0,</w:t>
      </w:r>
      <w:r w:rsidR="00782E62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8</w:t>
      </w:r>
      <w:r w:rsidR="00782E62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r w:rsidR="00782E62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. </w:t>
      </w:r>
      <w:r w:rsidR="00782E62" w:rsidRPr="00C119CD">
        <w:rPr>
          <w:rFonts w:asciiTheme="minorBidi" w:hAnsiTheme="minorBidi" w:cstheme="minorBidi"/>
          <w:sz w:val="22"/>
          <w:szCs w:val="22"/>
          <w:rtl/>
        </w:rPr>
        <w:t>في حين</w:t>
      </w:r>
      <w:r w:rsidR="00782E62" w:rsidRPr="00C119CD">
        <w:rPr>
          <w:rFonts w:asciiTheme="minorBidi" w:hAnsiTheme="minorBidi" w:cstheme="minorBidi" w:hint="cs"/>
          <w:sz w:val="22"/>
          <w:szCs w:val="22"/>
          <w:rtl/>
        </w:rPr>
        <w:t xml:space="preserve"> عرفت باقي أقسام المواد الغ</w:t>
      </w:r>
      <w:r w:rsidR="009755A6" w:rsidRPr="00C119CD">
        <w:rPr>
          <w:rFonts w:asciiTheme="minorBidi" w:hAnsiTheme="minorBidi" w:cstheme="minorBidi" w:hint="cs"/>
          <w:sz w:val="22"/>
          <w:szCs w:val="22"/>
          <w:rtl/>
        </w:rPr>
        <w:t>ذا</w:t>
      </w:r>
      <w:r w:rsidR="00782E62" w:rsidRPr="00C119CD">
        <w:rPr>
          <w:rFonts w:asciiTheme="minorBidi" w:hAnsiTheme="minorBidi" w:cstheme="minorBidi" w:hint="cs"/>
          <w:sz w:val="22"/>
          <w:szCs w:val="22"/>
          <w:rtl/>
        </w:rPr>
        <w:t>ئية و المشروبات الكحولية</w:t>
      </w:r>
      <w:r w:rsidR="009755A6" w:rsidRPr="00C119CD">
        <w:rPr>
          <w:rFonts w:asciiTheme="minorBidi" w:hAnsiTheme="minorBidi" w:cstheme="minorBidi" w:hint="cs"/>
          <w:sz w:val="22"/>
          <w:szCs w:val="22"/>
          <w:rtl/>
        </w:rPr>
        <w:t xml:space="preserve"> استقرارا نسبيا</w:t>
      </w:r>
      <w:r w:rsidR="00782E62" w:rsidRPr="00C119CD">
        <w:rPr>
          <w:rFonts w:asciiTheme="minorBidi" w:hAnsiTheme="minorBidi" w:cstheme="minorBidi" w:hint="cs"/>
          <w:sz w:val="22"/>
          <w:szCs w:val="22"/>
          <w:rtl/>
        </w:rPr>
        <w:t>.</w:t>
      </w:r>
    </w:p>
    <w:p w:rsidR="005A35B6" w:rsidRPr="00C119CD" w:rsidRDefault="005A35B6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10"/>
          <w:szCs w:val="10"/>
          <w:rtl/>
          <w:lang w:val="en-US" w:eastAsia="en-US"/>
        </w:rPr>
      </w:pPr>
    </w:p>
    <w:p w:rsidR="0013267A" w:rsidRPr="00C119CD" w:rsidRDefault="0013267A" w:rsidP="00165CC1">
      <w:pPr>
        <w:spacing w:line="360" w:lineRule="auto"/>
        <w:jc w:val="both"/>
        <w:rPr>
          <w:rFonts w:asciiTheme="minorBidi" w:hAnsiTheme="minorBidi" w:cstheme="minorBidi"/>
          <w:sz w:val="22"/>
          <w:szCs w:val="22"/>
          <w:lang w:bidi="ar-MA"/>
        </w:rPr>
      </w:pP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أما فيما يخص المواد غير الغذائية فقد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هم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الارتفاع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على الخصوص أثمان كل من قسمي "الملابس و الأحذية"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و </w:t>
      </w:r>
      <w:r w:rsidR="00C209B9" w:rsidRPr="00C119CD">
        <w:rPr>
          <w:rFonts w:asciiTheme="minorBidi" w:hAnsiTheme="minorBidi" w:cstheme="minorBidi"/>
          <w:sz w:val="22"/>
          <w:szCs w:val="22"/>
          <w:rtl/>
          <w:lang w:bidi="ar-MA"/>
        </w:rPr>
        <w:t>"النقل"</w:t>
      </w:r>
      <w:r w:rsidR="00C209B9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بنفس النسبة</w:t>
      </w:r>
      <w:r w:rsidR="00165CC1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E21B96" w:rsidRPr="00C119CD">
        <w:rPr>
          <w:rFonts w:asciiTheme="minorBidi" w:hAnsiTheme="minorBidi" w:cstheme="minorBidi"/>
          <w:sz w:val="22"/>
          <w:szCs w:val="22"/>
          <w:rtl/>
          <w:lang w:bidi="ar-MA"/>
        </w:rPr>
        <w:t>0</w:t>
      </w:r>
      <w:proofErr w:type="gramStart"/>
      <w:r w:rsidR="00E21B96" w:rsidRPr="00C119CD">
        <w:rPr>
          <w:rFonts w:asciiTheme="minorBidi" w:hAnsiTheme="minorBidi" w:cstheme="minorBidi"/>
          <w:sz w:val="22"/>
          <w:szCs w:val="22"/>
          <w:rtl/>
          <w:lang w:bidi="ar-MA"/>
        </w:rPr>
        <w:t>,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9+</w:t>
      </w:r>
      <w:proofErr w:type="gramEnd"/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E21B96" w:rsidRPr="00C119CD">
        <w:rPr>
          <w:rFonts w:asciiTheme="minorBidi" w:hAnsiTheme="minorBidi" w:cstheme="minorBidi"/>
          <w:sz w:val="22"/>
          <w:szCs w:val="22"/>
          <w:rtl/>
          <w:lang w:bidi="ar-MA"/>
        </w:rPr>
        <w:t>%</w:t>
      </w:r>
      <w:r w:rsidR="00C209B9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. </w:t>
      </w:r>
      <w:r w:rsidR="00C209B9" w:rsidRPr="00C119CD">
        <w:rPr>
          <w:rFonts w:asciiTheme="minorBidi" w:hAnsiTheme="minorBidi" w:cstheme="minorBidi"/>
          <w:sz w:val="22"/>
          <w:szCs w:val="22"/>
          <w:rtl/>
          <w:lang w:bidi="ar-MA"/>
        </w:rPr>
        <w:t>بينما تراجع الرقم الاستدلالي لقسم "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الصحة</w:t>
      </w:r>
      <w:r w:rsidR="00C209B9" w:rsidRPr="00C119CD">
        <w:rPr>
          <w:rFonts w:asciiTheme="minorBidi" w:hAnsiTheme="minorBidi" w:cstheme="minorBidi"/>
          <w:sz w:val="22"/>
          <w:szCs w:val="22"/>
          <w:rtl/>
          <w:lang w:bidi="ar-MA"/>
        </w:rPr>
        <w:t>"</w:t>
      </w:r>
      <w:r w:rsidR="00C209B9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ب</w:t>
      </w:r>
      <w:r w:rsidR="00165CC1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C209B9" w:rsidRPr="00C119CD">
        <w:rPr>
          <w:rFonts w:asciiTheme="minorBidi" w:hAnsiTheme="minorBidi" w:cstheme="minorBidi"/>
          <w:sz w:val="22"/>
          <w:szCs w:val="22"/>
          <w:rtl/>
          <w:lang w:bidi="ar-MA"/>
        </w:rPr>
        <w:t>0</w:t>
      </w:r>
      <w:proofErr w:type="gramStart"/>
      <w:r w:rsidR="00C209B9" w:rsidRPr="00C119CD">
        <w:rPr>
          <w:rFonts w:asciiTheme="minorBidi" w:hAnsiTheme="minorBidi" w:cstheme="minorBidi"/>
          <w:sz w:val="22"/>
          <w:szCs w:val="22"/>
          <w:rtl/>
          <w:lang w:bidi="ar-MA"/>
        </w:rPr>
        <w:t>,</w:t>
      </w:r>
      <w:r w:rsidR="00C209B9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2</w:t>
      </w:r>
      <w:r w:rsidR="00C209B9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proofErr w:type="gramEnd"/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في حين سجلت باقي  الأقسام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ركودا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نسبيا.</w:t>
      </w:r>
    </w:p>
    <w:p w:rsidR="0007272A" w:rsidRPr="00C119CD" w:rsidRDefault="0007272A" w:rsidP="009D5FA1">
      <w:pPr>
        <w:spacing w:line="360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A35B6" w:rsidRPr="00C119CD" w:rsidRDefault="005A35B6" w:rsidP="009D5FA1">
      <w:pPr>
        <w:spacing w:line="360" w:lineRule="auto"/>
        <w:ind w:firstLine="24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13267A" w:rsidRPr="00C119CD" w:rsidRDefault="0013267A" w:rsidP="00165CC1">
      <w:pPr>
        <w:spacing w:line="360" w:lineRule="auto"/>
        <w:ind w:firstLine="24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و مقارنة مع نفس الشهر ل</w:t>
      </w:r>
      <w:r w:rsidR="00DB2110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ل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سنة</w:t>
      </w:r>
      <w:r w:rsidR="00DB2110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الماضية،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فقد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سجل الرقم الاستدلالي للأثمان عند الاستهلاك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سواء بمدينة الرباط أو المستوى الوطني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</w:t>
      </w:r>
      <w:r w:rsidRPr="00C119CD">
        <w:rPr>
          <w:rFonts w:asciiTheme="minorBidi" w:hAnsiTheme="minorBidi" w:cstheme="minorBidi"/>
          <w:sz w:val="22"/>
          <w:szCs w:val="22"/>
          <w:rtl/>
        </w:rPr>
        <w:t xml:space="preserve">ارتفاعا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قدر ب 0</w:t>
      </w:r>
      <w:proofErr w:type="gramStart"/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,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3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>%</w:t>
      </w:r>
      <w:proofErr w:type="gramEnd"/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خلال شهر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فبراير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202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1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.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و فيما يتعلق بالتغير السنوي فقد عرف متوسط</w:t>
      </w:r>
      <w:r w:rsidR="00E21B96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</w:t>
      </w:r>
      <w:r w:rsidR="00E21B96" w:rsidRPr="00C119CD">
        <w:rPr>
          <w:rFonts w:asciiTheme="minorBidi" w:hAnsiTheme="minorBidi" w:cstheme="minorBidi" w:hint="eastAsia"/>
          <w:sz w:val="22"/>
          <w:szCs w:val="22"/>
          <w:rtl/>
          <w:lang w:bidi="ar-MA"/>
        </w:rPr>
        <w:t>الرقم</w:t>
      </w:r>
      <w:r w:rsidR="00E21B96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</w:t>
      </w:r>
      <w:r w:rsidR="00E21B96" w:rsidRPr="00C119CD">
        <w:rPr>
          <w:rFonts w:asciiTheme="minorBidi" w:hAnsiTheme="minorBidi" w:cstheme="minorBidi" w:hint="eastAsia"/>
          <w:sz w:val="22"/>
          <w:szCs w:val="22"/>
          <w:rtl/>
          <w:lang w:bidi="ar-MA"/>
        </w:rPr>
        <w:t>الاستدلالي</w:t>
      </w:r>
      <w:r w:rsidR="00E21B96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للأثمان عن</w:t>
      </w:r>
      <w:r w:rsidR="00E21B96" w:rsidRPr="00C119CD">
        <w:rPr>
          <w:rFonts w:asciiTheme="minorBidi" w:hAnsiTheme="minorBidi" w:cstheme="minorBidi" w:hint="eastAsia"/>
          <w:sz w:val="22"/>
          <w:szCs w:val="22"/>
          <w:rtl/>
          <w:lang w:bidi="ar-MA"/>
        </w:rPr>
        <w:t>د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الاستهلاك خلال</w:t>
      </w:r>
      <w:r w:rsidR="00E21B96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</w:t>
      </w:r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سنة 2021 بمدينة الرباط تزايدا قدر بنسبة 0</w:t>
      </w:r>
      <w:proofErr w:type="gramStart"/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,3</w:t>
      </w:r>
      <w:r w:rsidR="00E21B96" w:rsidRPr="00C119CD">
        <w:rPr>
          <w:rFonts w:asciiTheme="minorBidi" w:hAnsiTheme="minorBidi" w:cstheme="minorBidi"/>
          <w:sz w:val="22"/>
          <w:szCs w:val="22"/>
          <w:lang w:bidi="ar-MA"/>
        </w:rPr>
        <w:t>%</w:t>
      </w:r>
      <w:proofErr w:type="gramEnd"/>
      <w:r w:rsidR="00E21B96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مقارنة مع السنة الماضية مقابل 0,2% على المستوى الوطني.</w:t>
      </w:r>
    </w:p>
    <w:p w:rsidR="009D5FA1" w:rsidRPr="00C119CD" w:rsidRDefault="009D5FA1" w:rsidP="009D5FA1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07272A" w:rsidRPr="00C119CD" w:rsidRDefault="0007272A" w:rsidP="009D5FA1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EF6F87" w:rsidRPr="00C119CD" w:rsidRDefault="0013267A" w:rsidP="00165CC1">
      <w:pPr>
        <w:spacing w:line="360" w:lineRule="auto"/>
        <w:ind w:hanging="1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أما فيما يخص التغير </w:t>
      </w:r>
      <w:r w:rsidR="00DB2110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الشهري </w:t>
      </w:r>
      <w:r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على مستوى المدن، فقد سجل الرقم الاستدلالي للاثمان عند الاستهلاك </w:t>
      </w:r>
      <w:r w:rsidR="00DB2110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أهم الارتفاعات </w:t>
      </w:r>
      <w:r w:rsidR="00165CC1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في </w:t>
      </w:r>
      <w:proofErr w:type="spellStart"/>
      <w:r w:rsidR="00165CC1" w:rsidRPr="00C119CD">
        <w:rPr>
          <w:rFonts w:asciiTheme="minorBidi" w:hAnsiTheme="minorBidi" w:cstheme="minorBidi"/>
          <w:sz w:val="22"/>
          <w:szCs w:val="22"/>
          <w:rtl/>
          <w:lang w:bidi="ar-MA"/>
        </w:rPr>
        <w:t>أكادير</w:t>
      </w:r>
      <w:proofErr w:type="spellEnd"/>
      <w:r w:rsidR="00165CC1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و </w:t>
      </w:r>
      <w:proofErr w:type="spellStart"/>
      <w:r w:rsidR="00165CC1" w:rsidRPr="00C119CD">
        <w:rPr>
          <w:rFonts w:asciiTheme="minorBidi" w:hAnsiTheme="minorBidi" w:cstheme="minorBidi"/>
          <w:sz w:val="22"/>
          <w:szCs w:val="22"/>
          <w:rtl/>
          <w:lang w:bidi="ar-MA"/>
        </w:rPr>
        <w:t>طنجة</w:t>
      </w:r>
      <w:proofErr w:type="spellEnd"/>
      <w:r w:rsidR="00165CC1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و الرشيدية ب</w:t>
      </w:r>
      <w:r w:rsidR="00165CC1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0,3% </w:t>
      </w:r>
      <w:r w:rsidR="00165CC1" w:rsidRPr="00C119CD">
        <w:rPr>
          <w:rFonts w:asciiTheme="minorBidi" w:hAnsiTheme="minorBidi" w:cstheme="minorBidi"/>
          <w:sz w:val="22"/>
          <w:szCs w:val="22"/>
          <w:rtl/>
          <w:lang w:bidi="ar-MA"/>
        </w:rPr>
        <w:t>وفي وجدة </w:t>
      </w:r>
      <w:proofErr w:type="spellStart"/>
      <w:r w:rsidR="00165CC1" w:rsidRPr="00C119CD">
        <w:rPr>
          <w:rFonts w:asciiTheme="minorBidi" w:hAnsiTheme="minorBidi" w:cstheme="minorBidi"/>
          <w:sz w:val="22"/>
          <w:szCs w:val="22"/>
          <w:rtl/>
          <w:lang w:bidi="ar-MA"/>
        </w:rPr>
        <w:t>وسطات</w:t>
      </w:r>
      <w:proofErr w:type="spellEnd"/>
      <w:r w:rsidR="00165CC1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ب</w:t>
      </w:r>
      <w:r w:rsidR="00165CC1" w:rsidRPr="00C119CD">
        <w:rPr>
          <w:rFonts w:asciiTheme="minorBidi" w:hAnsiTheme="minorBidi" w:cstheme="minorBidi"/>
          <w:sz w:val="22"/>
          <w:szCs w:val="22"/>
          <w:lang w:bidi="ar-MA"/>
        </w:rPr>
        <w:t> </w:t>
      </w:r>
      <w:r w:rsidR="00165CC1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>0,2%</w:t>
      </w:r>
      <w:r w:rsidR="00165CC1" w:rsidRPr="00C119CD">
        <w:rPr>
          <w:rFonts w:asciiTheme="minorBidi" w:hAnsiTheme="minorBidi" w:cstheme="minorBidi"/>
          <w:sz w:val="22"/>
          <w:szCs w:val="22"/>
          <w:lang w:bidi="ar-MA"/>
        </w:rPr>
        <w:t> </w:t>
      </w:r>
      <w:r w:rsidR="00165CC1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وفي مراكش و </w:t>
      </w:r>
      <w:proofErr w:type="spellStart"/>
      <w:r w:rsidR="00165CC1" w:rsidRPr="00C119CD">
        <w:rPr>
          <w:rFonts w:asciiTheme="minorBidi" w:hAnsiTheme="minorBidi" w:cstheme="minorBidi"/>
          <w:sz w:val="22"/>
          <w:szCs w:val="22"/>
          <w:rtl/>
          <w:lang w:bidi="ar-MA"/>
        </w:rPr>
        <w:t>تطوان</w:t>
      </w:r>
      <w:proofErr w:type="spellEnd"/>
      <w:r w:rsidR="00165CC1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و </w:t>
      </w:r>
      <w:proofErr w:type="spellStart"/>
      <w:r w:rsidR="00165CC1" w:rsidRPr="00C119CD">
        <w:rPr>
          <w:rFonts w:asciiTheme="minorBidi" w:hAnsiTheme="minorBidi" w:cstheme="minorBidi"/>
          <w:sz w:val="22"/>
          <w:szCs w:val="22"/>
          <w:rtl/>
          <w:lang w:bidi="ar-MA"/>
        </w:rPr>
        <w:t>الحسيمة</w:t>
      </w:r>
      <w:proofErr w:type="spellEnd"/>
      <w:r w:rsidR="00165CC1" w:rsidRPr="00C119CD">
        <w:rPr>
          <w:rFonts w:asciiTheme="minorBidi" w:hAnsiTheme="minorBidi" w:cstheme="minorBidi"/>
          <w:sz w:val="22"/>
          <w:szCs w:val="22"/>
          <w:rtl/>
          <w:lang w:bidi="ar-MA"/>
        </w:rPr>
        <w:t xml:space="preserve"> ب</w:t>
      </w:r>
      <w:r w:rsidR="00165CC1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0,1%</w:t>
      </w:r>
      <w:r w:rsidR="00165CC1" w:rsidRPr="00C119CD">
        <w:rPr>
          <w:rFonts w:asciiTheme="minorBidi" w:hAnsiTheme="minorBidi" w:cstheme="minorBidi"/>
          <w:sz w:val="22"/>
          <w:szCs w:val="22"/>
          <w:lang w:bidi="ar-MA"/>
        </w:rPr>
        <w:t xml:space="preserve"> </w:t>
      </w:r>
      <w:r w:rsidR="00165CC1" w:rsidRPr="00C119CD">
        <w:rPr>
          <w:rFonts w:asciiTheme="minorBidi" w:hAnsiTheme="minorBidi" w:cstheme="minorBidi"/>
          <w:sz w:val="22"/>
          <w:szCs w:val="22"/>
          <w:rtl/>
          <w:lang w:bidi="ar-MA"/>
        </w:rPr>
        <w:t>ينما سجلت أهم الانخفاضات في كل من أسفي ب</w:t>
      </w:r>
      <w:r w:rsidR="00165CC1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 0,6%</w:t>
      </w:r>
      <w:r w:rsidR="00165CC1" w:rsidRPr="00C119CD">
        <w:rPr>
          <w:rFonts w:asciiTheme="minorBidi" w:hAnsiTheme="minorBidi" w:cstheme="minorBidi"/>
          <w:sz w:val="22"/>
          <w:szCs w:val="22"/>
          <w:lang w:bidi="ar-MA"/>
        </w:rPr>
        <w:t> </w:t>
      </w:r>
      <w:r w:rsidR="00165CC1" w:rsidRPr="00C119CD">
        <w:rPr>
          <w:rFonts w:asciiTheme="minorBidi" w:hAnsiTheme="minorBidi" w:cstheme="minorBidi"/>
          <w:sz w:val="22"/>
          <w:szCs w:val="22"/>
          <w:rtl/>
          <w:lang w:bidi="ar-MA"/>
        </w:rPr>
        <w:t>وفي الداخلة ب</w:t>
      </w:r>
      <w:r w:rsidR="00165CC1" w:rsidRPr="00C119CD">
        <w:rPr>
          <w:rFonts w:asciiTheme="minorBidi" w:hAnsiTheme="minorBidi" w:cstheme="minorBidi"/>
          <w:sz w:val="22"/>
          <w:szCs w:val="22"/>
          <w:lang w:bidi="ar-MA"/>
        </w:rPr>
        <w:t> </w:t>
      </w:r>
      <w:r w:rsidR="00165CC1" w:rsidRPr="00C119CD">
        <w:rPr>
          <w:rFonts w:asciiTheme="minorBidi" w:hAnsiTheme="minorBidi" w:cstheme="minorBidi" w:hint="cs"/>
          <w:sz w:val="22"/>
          <w:szCs w:val="22"/>
          <w:rtl/>
          <w:lang w:bidi="ar-MA"/>
        </w:rPr>
        <w:t xml:space="preserve">0,2% </w:t>
      </w:r>
      <w:r w:rsidR="00165CC1" w:rsidRPr="00C119CD">
        <w:rPr>
          <w:rFonts w:asciiTheme="minorBidi" w:hAnsiTheme="minorBidi" w:cstheme="minorBidi"/>
          <w:sz w:val="22"/>
          <w:szCs w:val="22"/>
          <w:lang w:bidi="ar-MA"/>
        </w:rPr>
        <w:t>.</w:t>
      </w:r>
    </w:p>
    <w:p w:rsidR="00EF6F87" w:rsidRDefault="00EF6F87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  <w:sectPr w:rsidR="00D060D8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F6F87" w:rsidRDefault="00EF6F87" w:rsidP="00EF6F87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rtl/>
          <w:lang w:bidi="ar-MA"/>
        </w:rPr>
      </w:pPr>
      <w:r>
        <w:rPr>
          <w:rFonts w:ascii="Footlight MT Light" w:hAnsi="Footlight MT Light" w:cs="Times New Roman" w:hint="cs"/>
          <w:b/>
          <w:bCs/>
          <w:rtl/>
          <w:lang w:bidi="ar-MA"/>
        </w:rPr>
        <w:lastRenderedPageBreak/>
        <w:t>تغير الرقم الاستدلالي للأثمان عند الاستهلا</w:t>
      </w:r>
      <w:r>
        <w:rPr>
          <w:rFonts w:ascii="Footlight MT Light" w:hAnsi="Footlight MT Light" w:cs="Times New Roman" w:hint="eastAsia"/>
          <w:b/>
          <w:bCs/>
          <w:rtl/>
          <w:lang w:bidi="ar-MA"/>
        </w:rPr>
        <w:t>ك</w:t>
      </w:r>
      <w:r w:rsidRPr="00AD328C">
        <w:rPr>
          <w:rFonts w:ascii="Footlight MT Light" w:hAnsi="Footlight MT Light" w:cs="Times New Roman"/>
          <w:b/>
          <w:bCs/>
          <w:rtl/>
          <w:lang w:bidi="ar-MA"/>
        </w:rPr>
        <w:t>حسب</w:t>
      </w:r>
      <w:r w:rsidRPr="00AD328C">
        <w:rPr>
          <w:rFonts w:ascii="Footlight MT Light" w:hAnsi="Footlight MT Light" w:cs="Times New Roman" w:hint="cs"/>
          <w:b/>
          <w:bCs/>
          <w:rtl/>
          <w:lang w:bidi="ar-MA"/>
        </w:rPr>
        <w:t>الأقسام</w:t>
      </w:r>
    </w:p>
    <w:p w:rsidR="00EF6F87" w:rsidRDefault="00EF6F87" w:rsidP="00EF6F8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  <w:r w:rsidRPr="00134755">
        <w:rPr>
          <w:rFonts w:ascii="Footlight MT Light" w:hAnsi="Footlight MT Light" w:cs="Footlight MT Light"/>
          <w:b/>
          <w:bCs/>
          <w:sz w:val="18"/>
          <w:szCs w:val="18"/>
        </w:rPr>
        <w:t>Variation de l’Indice des Prix à la Consommation  par division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134"/>
        <w:gridCol w:w="1082"/>
        <w:gridCol w:w="790"/>
        <w:gridCol w:w="2979"/>
      </w:tblGrid>
      <w:tr w:rsidR="00D060D8" w:rsidRPr="00FD463F" w:rsidTr="00C119CD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4F315D" w:rsidRDefault="00D060D8" w:rsidP="007B2808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proofErr w:type="spellStart"/>
            <w:r w:rsidRPr="004F315D"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ينابر</w:t>
            </w:r>
            <w:proofErr w:type="spellEnd"/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4F315D" w:rsidRDefault="00D060D8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فبراير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E25E1F" w:rsidRDefault="00D060D8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EF6F87" w:rsidRDefault="00D060D8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D060D8" w:rsidRPr="00FD463F" w:rsidTr="00C119CD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Janvier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Janvier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الأقســـام</w:t>
            </w:r>
          </w:p>
        </w:tc>
      </w:tr>
      <w:tr w:rsidR="00D060D8" w:rsidRPr="00FD463F" w:rsidTr="00C119CD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proofErr w:type="gramStart"/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</w:t>
            </w:r>
            <w:proofErr w:type="gramEnd"/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 xml:space="preserve"> (%)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D060D8" w:rsidRPr="009B2839" w:rsidTr="00C119CD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D060D8" w:rsidRPr="00D060D8" w:rsidRDefault="00D060D8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D060D8" w:rsidRPr="00D060D8" w:rsidRDefault="00D060D8" w:rsidP="007B2808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101,4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101,0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-0,4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D060D8" w:rsidRPr="00231C38" w:rsidRDefault="00D060D8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proofErr w:type="gramStart"/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</w:t>
            </w:r>
            <w:proofErr w:type="gramEnd"/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الغذائية</w:t>
            </w:r>
          </w:p>
        </w:tc>
      </w:tr>
      <w:tr w:rsidR="00D060D8" w:rsidRPr="000F1C3A" w:rsidTr="00C119CD">
        <w:trPr>
          <w:trHeight w:hRule="exact" w:val="494"/>
        </w:trPr>
        <w:tc>
          <w:tcPr>
            <w:tcW w:w="5140" w:type="dxa"/>
            <w:vAlign w:val="center"/>
          </w:tcPr>
          <w:p w:rsidR="00D060D8" w:rsidRPr="00D060D8" w:rsidRDefault="00D060D8" w:rsidP="003C3ED2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134" w:type="dxa"/>
            <w:vAlign w:val="center"/>
          </w:tcPr>
          <w:p w:rsidR="00D060D8" w:rsidRPr="00D060D8" w:rsidRDefault="00D060D8" w:rsidP="007B280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100,5</w:t>
            </w:r>
          </w:p>
        </w:tc>
        <w:tc>
          <w:tcPr>
            <w:tcW w:w="1082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100,1</w:t>
            </w:r>
          </w:p>
        </w:tc>
        <w:tc>
          <w:tcPr>
            <w:tcW w:w="790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b/>
                <w:bCs/>
                <w:sz w:val="16"/>
                <w:szCs w:val="16"/>
              </w:rPr>
              <w:t>-0,4</w:t>
            </w:r>
          </w:p>
        </w:tc>
        <w:tc>
          <w:tcPr>
            <w:tcW w:w="2979" w:type="dxa"/>
            <w:vAlign w:val="center"/>
          </w:tcPr>
          <w:p w:rsidR="00D060D8" w:rsidRPr="00DC0469" w:rsidRDefault="00D060D8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 و المشروبات غير الكحولية</w:t>
            </w:r>
          </w:p>
        </w:tc>
      </w:tr>
      <w:tr w:rsidR="00D060D8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060D8" w:rsidRPr="00D060D8" w:rsidRDefault="00D060D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134" w:type="dxa"/>
            <w:vAlign w:val="center"/>
          </w:tcPr>
          <w:p w:rsidR="00D060D8" w:rsidRPr="00D060D8" w:rsidRDefault="00D060D8" w:rsidP="007B280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124,7</w:t>
            </w:r>
          </w:p>
        </w:tc>
        <w:tc>
          <w:tcPr>
            <w:tcW w:w="1082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124,7</w:t>
            </w:r>
          </w:p>
        </w:tc>
        <w:tc>
          <w:tcPr>
            <w:tcW w:w="790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D060D8" w:rsidRPr="00DC0469" w:rsidRDefault="00D060D8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D060D8" w:rsidRPr="00231C38" w:rsidTr="00C119CD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D060D8" w:rsidRPr="00D060D8" w:rsidRDefault="00D060D8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D060D8" w:rsidRPr="00D060D8" w:rsidRDefault="00D060D8" w:rsidP="007B2808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101,4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103,2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0,2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D060D8" w:rsidRPr="00231C38" w:rsidRDefault="00D060D8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المواد </w:t>
            </w:r>
            <w:proofErr w:type="gramStart"/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الغير</w:t>
            </w:r>
            <w:proofErr w:type="gramEnd"/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غذائية</w:t>
            </w:r>
          </w:p>
        </w:tc>
      </w:tr>
      <w:tr w:rsidR="00D060D8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060D8" w:rsidRPr="00D060D8" w:rsidRDefault="00D060D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134" w:type="dxa"/>
            <w:vAlign w:val="center"/>
          </w:tcPr>
          <w:p w:rsidR="00D060D8" w:rsidRPr="00D060D8" w:rsidRDefault="00D060D8" w:rsidP="007B280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104,5</w:t>
            </w:r>
          </w:p>
        </w:tc>
        <w:tc>
          <w:tcPr>
            <w:tcW w:w="1082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105,4</w:t>
            </w:r>
          </w:p>
        </w:tc>
        <w:tc>
          <w:tcPr>
            <w:tcW w:w="790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0,9</w:t>
            </w:r>
          </w:p>
        </w:tc>
        <w:tc>
          <w:tcPr>
            <w:tcW w:w="2979" w:type="dxa"/>
            <w:vAlign w:val="center"/>
          </w:tcPr>
          <w:p w:rsidR="00D060D8" w:rsidRPr="00DC0469" w:rsidRDefault="00D060D8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D060D8" w:rsidRPr="000F1C3A" w:rsidTr="00C119CD">
        <w:trPr>
          <w:trHeight w:hRule="exact" w:val="472"/>
        </w:trPr>
        <w:tc>
          <w:tcPr>
            <w:tcW w:w="5140" w:type="dxa"/>
            <w:vAlign w:val="center"/>
          </w:tcPr>
          <w:p w:rsidR="00D060D8" w:rsidRPr="00D060D8" w:rsidRDefault="00D060D8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134" w:type="dxa"/>
            <w:vAlign w:val="center"/>
          </w:tcPr>
          <w:p w:rsidR="00D060D8" w:rsidRPr="00D060D8" w:rsidRDefault="00D060D8" w:rsidP="007B280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100,9</w:t>
            </w:r>
          </w:p>
        </w:tc>
        <w:tc>
          <w:tcPr>
            <w:tcW w:w="1082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100,9</w:t>
            </w:r>
          </w:p>
        </w:tc>
        <w:tc>
          <w:tcPr>
            <w:tcW w:w="790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D060D8" w:rsidRPr="00DC0469" w:rsidRDefault="00D060D8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السكن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الماء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الكهرباء و الغاز و محروقات أخرى </w:t>
            </w:r>
          </w:p>
        </w:tc>
      </w:tr>
      <w:tr w:rsidR="00D060D8" w:rsidRPr="000F1C3A" w:rsidTr="00C119CD">
        <w:trPr>
          <w:trHeight w:hRule="exact" w:val="549"/>
        </w:trPr>
        <w:tc>
          <w:tcPr>
            <w:tcW w:w="5140" w:type="dxa"/>
            <w:vAlign w:val="center"/>
          </w:tcPr>
          <w:p w:rsidR="00D060D8" w:rsidRPr="00D060D8" w:rsidRDefault="00D060D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134" w:type="dxa"/>
            <w:vAlign w:val="center"/>
          </w:tcPr>
          <w:p w:rsidR="00D060D8" w:rsidRPr="00D060D8" w:rsidRDefault="00D060D8" w:rsidP="007B280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100,5</w:t>
            </w:r>
          </w:p>
        </w:tc>
        <w:tc>
          <w:tcPr>
            <w:tcW w:w="1082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100,5</w:t>
            </w:r>
          </w:p>
        </w:tc>
        <w:tc>
          <w:tcPr>
            <w:tcW w:w="790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</w:tcPr>
          <w:p w:rsidR="00D060D8" w:rsidRPr="00DC0469" w:rsidRDefault="00D060D8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الأدوات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المنزلية و الصيانة العادية للمنزل </w:t>
            </w:r>
          </w:p>
        </w:tc>
      </w:tr>
      <w:tr w:rsidR="00D060D8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060D8" w:rsidRPr="00D060D8" w:rsidRDefault="00D060D8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134" w:type="dxa"/>
            <w:vAlign w:val="center"/>
          </w:tcPr>
          <w:p w:rsidR="00D060D8" w:rsidRPr="00D060D8" w:rsidRDefault="00D060D8" w:rsidP="007B280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102,9</w:t>
            </w:r>
          </w:p>
        </w:tc>
        <w:tc>
          <w:tcPr>
            <w:tcW w:w="1082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102,8</w:t>
            </w:r>
          </w:p>
        </w:tc>
        <w:tc>
          <w:tcPr>
            <w:tcW w:w="790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b/>
                <w:bCs/>
                <w:sz w:val="16"/>
                <w:szCs w:val="16"/>
              </w:rPr>
              <w:t>-0,1</w:t>
            </w:r>
          </w:p>
        </w:tc>
        <w:tc>
          <w:tcPr>
            <w:tcW w:w="2979" w:type="dxa"/>
            <w:vAlign w:val="center"/>
          </w:tcPr>
          <w:p w:rsidR="00D060D8" w:rsidRPr="00DC0469" w:rsidRDefault="00D060D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الصحة </w:t>
            </w:r>
          </w:p>
        </w:tc>
      </w:tr>
      <w:tr w:rsidR="00D060D8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060D8" w:rsidRPr="00D060D8" w:rsidRDefault="00D060D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134" w:type="dxa"/>
            <w:vAlign w:val="center"/>
          </w:tcPr>
          <w:p w:rsidR="00D060D8" w:rsidRPr="00D060D8" w:rsidRDefault="00D060D8" w:rsidP="007B280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103,0</w:t>
            </w:r>
          </w:p>
        </w:tc>
        <w:tc>
          <w:tcPr>
            <w:tcW w:w="1082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103,9</w:t>
            </w:r>
          </w:p>
        </w:tc>
        <w:tc>
          <w:tcPr>
            <w:tcW w:w="790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0,9</w:t>
            </w:r>
          </w:p>
        </w:tc>
        <w:tc>
          <w:tcPr>
            <w:tcW w:w="2979" w:type="dxa"/>
            <w:vAlign w:val="center"/>
          </w:tcPr>
          <w:p w:rsidR="00D060D8" w:rsidRPr="00DC0469" w:rsidRDefault="00D060D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</w:p>
        </w:tc>
      </w:tr>
      <w:tr w:rsidR="00D060D8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060D8" w:rsidRPr="00D060D8" w:rsidRDefault="00D060D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D060D8" w:rsidRPr="00D060D8" w:rsidRDefault="00D060D8" w:rsidP="007B280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106,4</w:t>
            </w:r>
          </w:p>
        </w:tc>
        <w:tc>
          <w:tcPr>
            <w:tcW w:w="1082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106,4</w:t>
            </w:r>
          </w:p>
        </w:tc>
        <w:tc>
          <w:tcPr>
            <w:tcW w:w="790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D060D8" w:rsidRPr="00DC0469" w:rsidRDefault="00D060D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المواصلات </w:t>
            </w:r>
          </w:p>
          <w:p w:rsidR="00D060D8" w:rsidRPr="00DC0469" w:rsidRDefault="00D060D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D060D8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060D8" w:rsidRPr="00D060D8" w:rsidRDefault="00D060D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134" w:type="dxa"/>
            <w:vAlign w:val="center"/>
          </w:tcPr>
          <w:p w:rsidR="00D060D8" w:rsidRPr="00D060D8" w:rsidRDefault="00D060D8" w:rsidP="007B280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100,8</w:t>
            </w:r>
          </w:p>
        </w:tc>
        <w:tc>
          <w:tcPr>
            <w:tcW w:w="1082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100,8</w:t>
            </w:r>
          </w:p>
        </w:tc>
        <w:tc>
          <w:tcPr>
            <w:tcW w:w="790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D060D8" w:rsidRPr="00DC0469" w:rsidRDefault="00D060D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الترفيه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الثقافة </w:t>
            </w:r>
          </w:p>
        </w:tc>
      </w:tr>
      <w:tr w:rsidR="00D060D8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060D8" w:rsidRPr="00D060D8" w:rsidRDefault="00D060D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134" w:type="dxa"/>
            <w:vAlign w:val="center"/>
          </w:tcPr>
          <w:p w:rsidR="00D060D8" w:rsidRPr="00D060D8" w:rsidRDefault="00D060D8" w:rsidP="007B280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108,4</w:t>
            </w:r>
          </w:p>
        </w:tc>
        <w:tc>
          <w:tcPr>
            <w:tcW w:w="1082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108,4</w:t>
            </w:r>
          </w:p>
        </w:tc>
        <w:tc>
          <w:tcPr>
            <w:tcW w:w="790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D060D8" w:rsidRPr="00DC0469" w:rsidRDefault="00D060D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التعليم </w:t>
            </w:r>
          </w:p>
          <w:p w:rsidR="00D060D8" w:rsidRPr="00DC0469" w:rsidRDefault="00D060D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D060D8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060D8" w:rsidRPr="00D060D8" w:rsidRDefault="00D060D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134" w:type="dxa"/>
            <w:vAlign w:val="center"/>
          </w:tcPr>
          <w:p w:rsidR="00D060D8" w:rsidRPr="00D060D8" w:rsidRDefault="00D060D8" w:rsidP="007B280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101,5</w:t>
            </w:r>
          </w:p>
        </w:tc>
        <w:tc>
          <w:tcPr>
            <w:tcW w:w="1082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101,5</w:t>
            </w:r>
          </w:p>
        </w:tc>
        <w:tc>
          <w:tcPr>
            <w:tcW w:w="790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D060D8" w:rsidRPr="00DC0469" w:rsidRDefault="00D060D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مطاعم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فنادق </w:t>
            </w:r>
          </w:p>
        </w:tc>
      </w:tr>
      <w:tr w:rsidR="00D060D8" w:rsidRPr="000F1C3A" w:rsidTr="00C119CD">
        <w:trPr>
          <w:trHeight w:hRule="exact" w:val="381"/>
        </w:trPr>
        <w:tc>
          <w:tcPr>
            <w:tcW w:w="5140" w:type="dxa"/>
            <w:vAlign w:val="center"/>
          </w:tcPr>
          <w:p w:rsidR="00D060D8" w:rsidRPr="00D060D8" w:rsidRDefault="00D060D8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134" w:type="dxa"/>
            <w:vAlign w:val="center"/>
          </w:tcPr>
          <w:p w:rsidR="00D060D8" w:rsidRPr="00D060D8" w:rsidRDefault="00D060D8" w:rsidP="007B280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103,0</w:t>
            </w:r>
          </w:p>
        </w:tc>
        <w:tc>
          <w:tcPr>
            <w:tcW w:w="1082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sz w:val="16"/>
                <w:szCs w:val="16"/>
              </w:rPr>
              <w:t>103,0</w:t>
            </w:r>
          </w:p>
        </w:tc>
        <w:tc>
          <w:tcPr>
            <w:tcW w:w="790" w:type="dxa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D060D8" w:rsidRPr="00DC0469" w:rsidRDefault="00D060D8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خدمات أخرى </w:t>
            </w:r>
          </w:p>
        </w:tc>
      </w:tr>
      <w:tr w:rsidR="00D060D8" w:rsidRPr="000F1C3A" w:rsidTr="00C119CD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D060D8" w:rsidP="007B2808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rial"/>
                <w:b/>
                <w:bCs/>
                <w:sz w:val="18"/>
                <w:szCs w:val="18"/>
              </w:rPr>
              <w:t>102,5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rial"/>
                <w:b/>
                <w:bCs/>
                <w:sz w:val="18"/>
                <w:szCs w:val="18"/>
              </w:rPr>
              <w:t>102,5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979" w:type="dxa"/>
            <w:shd w:val="clear" w:color="auto" w:fill="FBD4B4" w:themeFill="accent6" w:themeFillTint="66"/>
            <w:vAlign w:val="bottom"/>
          </w:tcPr>
          <w:p w:rsidR="00D060D8" w:rsidRPr="009D7D4B" w:rsidRDefault="00D060D8" w:rsidP="003C3ED2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D060D8" w:rsidRPr="000E4427" w:rsidRDefault="00D060D8" w:rsidP="003C3ED2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F85960" w:rsidRDefault="00F85960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F85960" w:rsidRDefault="0040711B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  <w:bookmarkStart w:id="0" w:name="_GoBack"/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77470</wp:posOffset>
            </wp:positionV>
            <wp:extent cx="5334000" cy="3933825"/>
            <wp:effectExtent l="19050" t="0" r="19050" b="0"/>
            <wp:wrapSquare wrapText="bothSides"/>
            <wp:docPr id="2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bookmarkEnd w:id="0"/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rPr>
          <w:rFonts w:asciiTheme="minorBidi" w:hAnsiTheme="minorBidi" w:cstheme="minorBidi"/>
          <w:rtl/>
          <w:lang w:bidi="ar-MA"/>
        </w:rPr>
      </w:pPr>
    </w:p>
    <w:p w:rsidR="00F85960" w:rsidRPr="00F85960" w:rsidRDefault="0077441F" w:rsidP="0077441F">
      <w:pPr>
        <w:rPr>
          <w:rFonts w:asciiTheme="minorBidi" w:hAnsiTheme="minorBidi" w:cstheme="minorBidi"/>
          <w:rtl/>
          <w:lang w:bidi="ar-MA"/>
        </w:rPr>
        <w:sectPr w:rsidR="00F85960" w:rsidRPr="00F85960" w:rsidSect="00EF6F87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>
        <w:rPr>
          <w:rFonts w:asciiTheme="minorBidi" w:hAnsiTheme="minorBidi" w:cstheme="minorBidi"/>
          <w:rtl/>
          <w:lang w:bidi="ar-MA"/>
        </w:rPr>
        <w:br w:type="textWrapping" w:clear="all"/>
      </w:r>
    </w:p>
    <w:p w:rsidR="00EF6F87" w:rsidRPr="00DB2110" w:rsidRDefault="00EF6F87" w:rsidP="0077441F">
      <w:pPr>
        <w:spacing w:line="360" w:lineRule="auto"/>
        <w:ind w:hanging="1"/>
        <w:jc w:val="center"/>
        <w:rPr>
          <w:rFonts w:asciiTheme="minorBidi" w:hAnsiTheme="minorBidi" w:cstheme="minorBidi"/>
          <w:lang w:bidi="ar-MA"/>
        </w:rPr>
      </w:pPr>
    </w:p>
    <w:sectPr w:rsidR="00EF6F87" w:rsidRPr="00DB2110" w:rsidSect="00F85960">
      <w:type w:val="continuous"/>
      <w:pgSz w:w="11906" w:h="16838"/>
      <w:pgMar w:top="142" w:right="849" w:bottom="1417" w:left="2835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E33F6"/>
    <w:rsid w:val="0007272A"/>
    <w:rsid w:val="000B258C"/>
    <w:rsid w:val="0013267A"/>
    <w:rsid w:val="00165CC1"/>
    <w:rsid w:val="001A57A1"/>
    <w:rsid w:val="001B4491"/>
    <w:rsid w:val="001D1619"/>
    <w:rsid w:val="00231C38"/>
    <w:rsid w:val="002C00BE"/>
    <w:rsid w:val="003A5BA0"/>
    <w:rsid w:val="003A79EA"/>
    <w:rsid w:val="00403476"/>
    <w:rsid w:val="0040711B"/>
    <w:rsid w:val="004112D9"/>
    <w:rsid w:val="004F315D"/>
    <w:rsid w:val="00536BC7"/>
    <w:rsid w:val="0056138E"/>
    <w:rsid w:val="00577DE5"/>
    <w:rsid w:val="005A2696"/>
    <w:rsid w:val="005A35B6"/>
    <w:rsid w:val="005C1F20"/>
    <w:rsid w:val="005C78BB"/>
    <w:rsid w:val="00645138"/>
    <w:rsid w:val="0066327E"/>
    <w:rsid w:val="00707E06"/>
    <w:rsid w:val="0072211C"/>
    <w:rsid w:val="00753010"/>
    <w:rsid w:val="0077441F"/>
    <w:rsid w:val="0078122F"/>
    <w:rsid w:val="00782E62"/>
    <w:rsid w:val="00797CF3"/>
    <w:rsid w:val="007E33F6"/>
    <w:rsid w:val="007E3BB8"/>
    <w:rsid w:val="0082202F"/>
    <w:rsid w:val="008240E2"/>
    <w:rsid w:val="008461C4"/>
    <w:rsid w:val="008B7698"/>
    <w:rsid w:val="008D0E53"/>
    <w:rsid w:val="008E7D34"/>
    <w:rsid w:val="009142A2"/>
    <w:rsid w:val="00937C6A"/>
    <w:rsid w:val="009755A6"/>
    <w:rsid w:val="009D5FA1"/>
    <w:rsid w:val="009D7D4B"/>
    <w:rsid w:val="00A66570"/>
    <w:rsid w:val="00A93304"/>
    <w:rsid w:val="00AC6DF5"/>
    <w:rsid w:val="00B043CC"/>
    <w:rsid w:val="00B6358C"/>
    <w:rsid w:val="00C119CD"/>
    <w:rsid w:val="00C209B9"/>
    <w:rsid w:val="00C2193A"/>
    <w:rsid w:val="00C34FE2"/>
    <w:rsid w:val="00C97090"/>
    <w:rsid w:val="00CD18AA"/>
    <w:rsid w:val="00CF1FBA"/>
    <w:rsid w:val="00CF3B2E"/>
    <w:rsid w:val="00CF7D8B"/>
    <w:rsid w:val="00D060D8"/>
    <w:rsid w:val="00D11F62"/>
    <w:rsid w:val="00D618BC"/>
    <w:rsid w:val="00DB2110"/>
    <w:rsid w:val="00DF4AAC"/>
    <w:rsid w:val="00E21B96"/>
    <w:rsid w:val="00E438B8"/>
    <w:rsid w:val="00E74D3D"/>
    <w:rsid w:val="00EA44BB"/>
    <w:rsid w:val="00EF6F87"/>
    <w:rsid w:val="00F13347"/>
    <w:rsid w:val="00F41AF3"/>
    <w:rsid w:val="00F603E2"/>
    <w:rsid w:val="00F77D26"/>
    <w:rsid w:val="00F85960"/>
    <w:rsid w:val="00FD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900">
                <a:solidFill>
                  <a:srgbClr val="C00000"/>
                </a:solidFill>
              </a:defRPr>
            </a:pPr>
            <a:r>
              <a:rPr lang="ar-MA" sz="900">
                <a:solidFill>
                  <a:srgbClr val="C00000"/>
                </a:solidFill>
              </a:rPr>
              <a:t> </a:t>
            </a:r>
            <a:r>
              <a:rPr lang="fr-FR" sz="900">
                <a:solidFill>
                  <a:srgbClr val="C00000"/>
                </a:solidFill>
              </a:rPr>
              <a:t>Evolution mensuelle de l'IPC au niveau de la ville de Rabat </a:t>
            </a:r>
            <a:endParaRPr lang="ar-MA" sz="900">
              <a:solidFill>
                <a:srgbClr val="C00000"/>
              </a:solidFill>
            </a:endParaRPr>
          </a:p>
          <a:p>
            <a:pPr>
              <a:defRPr sz="900">
                <a:solidFill>
                  <a:srgbClr val="C00000"/>
                </a:solidFill>
              </a:defRPr>
            </a:pPr>
            <a:r>
              <a:rPr lang="ar-MA" sz="900">
                <a:solidFill>
                  <a:srgbClr val="C00000"/>
                </a:solidFill>
              </a:rPr>
              <a:t>  التطور الشهري للرقم الاستدلالي</a:t>
            </a:r>
            <a:r>
              <a:rPr lang="ar-MA" sz="900" baseline="0">
                <a:solidFill>
                  <a:srgbClr val="C00000"/>
                </a:solidFill>
              </a:rPr>
              <a:t> للأثمان عند الاستهلاك بمدينة الرباط</a:t>
            </a:r>
            <a:endParaRPr lang="ar-MA" sz="900">
              <a:solidFill>
                <a:srgbClr val="C00000"/>
              </a:solidFill>
            </a:endParaRPr>
          </a:p>
        </c:rich>
      </c:tx>
      <c:layout>
        <c:manualLayout>
          <c:xMode val="edge"/>
          <c:yMode val="edge"/>
          <c:x val="0.22211287842292499"/>
          <c:y val="3.1779661016949214E-2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2889798953140508"/>
          <c:y val="0.11719361286068078"/>
          <c:w val="0.79743391168837763"/>
          <c:h val="0.61964171131827961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1"/>
              <c:layout>
                <c:manualLayout>
                  <c:x val="4.9014386301289622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1.471786705261896E-2"/>
                  <c:y val="1.297850215756928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6067136344799006E-2"/>
                  <c:y val="2.653393166955839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0282059319127993E-2"/>
                  <c:y val="1.3547366430891054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551542541104376E-2"/>
                  <c:y val="-2.10925119633474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6326686455136414E-2"/>
                  <c:y val="3.2871513412518476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4138664540342156E-2"/>
                  <c:y val="-2.9948225157657524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5.1669961186929285E-2"/>
                  <c:y val="-2.1054931378084792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4.9201257833516747E-2"/>
                  <c:y val="-2.6983793897800038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5.9022031913919838E-2"/>
                  <c:y val="-2.7028143656805743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8945449625719374E-2"/>
                  <c:y val="-2.6983793897799993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 sz="900" b="1">
                    <a:solidFill>
                      <a:srgbClr val="0070C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0.0</c:formatCode>
                <c:ptCount val="12"/>
                <c:pt idx="0">
                  <c:v>101.1</c:v>
                </c:pt>
                <c:pt idx="1">
                  <c:v>101.1</c:v>
                </c:pt>
                <c:pt idx="2">
                  <c:v>100.9</c:v>
                </c:pt>
                <c:pt idx="3">
                  <c:v>101.5</c:v>
                </c:pt>
                <c:pt idx="4">
                  <c:v>101.6</c:v>
                </c:pt>
                <c:pt idx="5">
                  <c:v>102.1</c:v>
                </c:pt>
                <c:pt idx="6">
                  <c:v>101.9</c:v>
                </c:pt>
                <c:pt idx="7">
                  <c:v>101.9</c:v>
                </c:pt>
                <c:pt idx="8">
                  <c:v>101.8</c:v>
                </c:pt>
                <c:pt idx="9">
                  <c:v>101.8</c:v>
                </c:pt>
                <c:pt idx="10">
                  <c:v>101.9</c:v>
                </c:pt>
                <c:pt idx="11">
                  <c:v>102.1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6.3269809681484046E-2"/>
                  <c:y val="2.6533931669558308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2023182841860875E-2"/>
                  <c:y val="1.5892820010100138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776642606204386E-2"/>
                  <c:y val="2.63558946781923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2174004320425328E-2"/>
                  <c:y val="-2.69926638496010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2.4507193150643852E-3"/>
                  <c:y val="8.8866538785928942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sz="900" b="1"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2021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dLbls>
            <c:dLbl>
              <c:idx val="5"/>
              <c:layout>
                <c:manualLayout>
                  <c:x val="2.4507193150644802E-3"/>
                  <c:y val="5.3319690026049228E-2"/>
                </c:manualLayout>
              </c:layout>
              <c:dLblPos val="t"/>
              <c:showVal val="1"/>
            </c:dLbl>
            <c:dLbl>
              <c:idx val="6"/>
              <c:layout>
                <c:manualLayout>
                  <c:x val="2.6957912465709468E-2"/>
                  <c:y val="-8.8866538785928942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00B05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102.5</c:v>
                </c:pt>
                <c:pt idx="1">
                  <c:v>102.5</c:v>
                </c:pt>
              </c:numCache>
            </c:numRef>
          </c:val>
        </c:ser>
        <c:dLbls>
          <c:showVal val="1"/>
        </c:dLbls>
        <c:marker val="1"/>
        <c:axId val="143190272"/>
        <c:axId val="163913728"/>
      </c:lineChart>
      <c:catAx>
        <c:axId val="143190272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sz="900" b="1" i="1"/>
            </a:pPr>
            <a:endParaRPr lang="fr-FR"/>
          </a:p>
        </c:txPr>
        <c:crossAx val="163913728"/>
        <c:crosses val="autoZero"/>
        <c:auto val="1"/>
        <c:lblAlgn val="ctr"/>
        <c:lblOffset val="50"/>
        <c:tickLblSkip val="1"/>
      </c:catAx>
      <c:valAx>
        <c:axId val="163913728"/>
        <c:scaling>
          <c:orientation val="minMax"/>
          <c:max val="104"/>
          <c:min val="100"/>
        </c:scaling>
        <c:axPos val="l"/>
        <c:numFmt formatCode="0.0" sourceLinked="1"/>
        <c:majorTickMark val="none"/>
        <c:tickLblPos val="nextTo"/>
        <c:txPr>
          <a:bodyPr rot="0" vert="horz"/>
          <a:lstStyle/>
          <a:p>
            <a:pPr>
              <a:defRPr sz="900" b="1"/>
            </a:pPr>
            <a:endParaRPr lang="fr-FR"/>
          </a:p>
        </c:txPr>
        <c:crossAx val="143190272"/>
        <c:crossesAt val="1"/>
        <c:crossBetween val="between"/>
        <c:majorUnit val="1"/>
      </c:valAx>
    </c:plotArea>
    <c:legend>
      <c:legendPos val="b"/>
      <c:layout>
        <c:manualLayout>
          <c:xMode val="edge"/>
          <c:yMode val="edge"/>
          <c:x val="0.26529348694237276"/>
          <c:y val="0.95493399778150212"/>
          <c:w val="0.40241827960145493"/>
          <c:h val="4.3552630442561718E-2"/>
        </c:manualLayout>
      </c:layout>
      <c:spPr>
        <a:solidFill>
          <a:schemeClr val="accent6">
            <a:lumMod val="40000"/>
            <a:lumOff val="60000"/>
          </a:schemeClr>
        </a:solidFill>
      </c:spPr>
      <c:txPr>
        <a:bodyPr/>
        <a:lstStyle/>
        <a:p>
          <a:pPr>
            <a:defRPr sz="900" b="1"/>
          </a:pPr>
          <a:endParaRPr lang="fr-FR"/>
        </a:p>
      </c:tx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0.23398</cdr:x>
      <cdr:y>0.18361</cdr:y>
    </cdr:from>
    <cdr:to>
      <cdr:x>0.40465</cdr:x>
      <cdr:y>0.2837</cdr:y>
    </cdr:to>
    <cdr:sp macro="" textlink="">
      <cdr:nvSpPr>
        <cdr:cNvPr id="6" name="ZoneTexte 5"/>
        <cdr:cNvSpPr txBox="1"/>
      </cdr:nvSpPr>
      <cdr:spPr>
        <a:xfrm xmlns:a="http://schemas.openxmlformats.org/drawingml/2006/main">
          <a:off x="1385208" y="555172"/>
          <a:ext cx="914400" cy="261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49ED3-BA2F-4B76-9C76-F98DCE28F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2</cp:revision>
  <dcterms:created xsi:type="dcterms:W3CDTF">2021-06-10T09:05:00Z</dcterms:created>
  <dcterms:modified xsi:type="dcterms:W3CDTF">2021-06-10T09:05:00Z</dcterms:modified>
</cp:coreProperties>
</file>