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  <w:r w:rsidRPr="0056581B">
              <w:t xml:space="preserve">        </w:t>
            </w: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  <w:r w:rsidR="0056581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CD274C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مــاي</w:t>
      </w:r>
      <w:r w:rsidR="0070401A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CD274C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Mai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CD274C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 xml:space="preserve">L’INDICE DES PRIX À LA CONSOMMATION (IPC) DUMOIS </w:t>
      </w:r>
      <w:r w:rsidR="00CD274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DE MAI</w:t>
      </w:r>
      <w:r w:rsidR="00DC7CD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511030" w:rsidRDefault="00511030" w:rsidP="00F8065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7E33F6" w:rsidRDefault="007E33F6" w:rsidP="0056581B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CD274C">
        <w:rPr>
          <w:rFonts w:asciiTheme="minorBidi" w:hAnsiTheme="minorBidi" w:cstheme="minorBidi"/>
          <w:sz w:val="18"/>
          <w:szCs w:val="18"/>
        </w:rPr>
        <w:t>mai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CD274C">
        <w:rPr>
          <w:rFonts w:asciiTheme="minorBidi" w:hAnsiTheme="minorBidi" w:cstheme="minorBidi"/>
          <w:sz w:val="18"/>
          <w:szCs w:val="18"/>
        </w:rPr>
        <w:t>4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CD274C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CD274C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CD274C">
        <w:rPr>
          <w:rFonts w:asciiTheme="minorBidi" w:hAnsiTheme="minorBidi" w:cstheme="minorBidi"/>
          <w:sz w:val="18"/>
          <w:szCs w:val="18"/>
        </w:rPr>
        <w:t xml:space="preserve">9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56581B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 xml:space="preserve">,2%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CD274C">
        <w:rPr>
          <w:rFonts w:asciiTheme="minorBidi" w:hAnsiTheme="minorBidi" w:cstheme="minorBidi"/>
          <w:sz w:val="18"/>
          <w:szCs w:val="18"/>
        </w:rPr>
        <w:t>0,</w:t>
      </w:r>
      <w:r w:rsidR="00F8065A">
        <w:rPr>
          <w:rFonts w:asciiTheme="minorBidi" w:hAnsiTheme="minorBidi" w:cstheme="minorBidi"/>
          <w:sz w:val="18"/>
          <w:szCs w:val="18"/>
        </w:rPr>
        <w:t>3</w:t>
      </w:r>
      <w:r w:rsidR="00CD274C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D274C">
        <w:rPr>
          <w:rFonts w:asciiTheme="minorBidi" w:hAnsiTheme="minorBidi" w:cstheme="minorBidi"/>
          <w:sz w:val="18"/>
          <w:szCs w:val="18"/>
        </w:rPr>
        <w:t>5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CD274C">
        <w:rPr>
          <w:rFonts w:asciiTheme="minorBidi" w:hAnsiTheme="minorBidi" w:cstheme="minorBidi"/>
          <w:sz w:val="18"/>
          <w:szCs w:val="18"/>
        </w:rPr>
        <w:t>la stagnation</w:t>
      </w:r>
      <w:r w:rsidR="003F554E">
        <w:rPr>
          <w:rFonts w:asciiTheme="minorBidi" w:hAnsiTheme="minorBidi" w:cstheme="minorBidi"/>
          <w:sz w:val="18"/>
          <w:szCs w:val="18"/>
        </w:rPr>
        <w:t xml:space="preserve"> de l’indice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2A7932" w:rsidRPr="00D91F21" w:rsidRDefault="002A7932" w:rsidP="002A7932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CD274C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D274C">
        <w:rPr>
          <w:rFonts w:asciiTheme="minorBidi" w:hAnsiTheme="minorBidi" w:cstheme="minorBidi"/>
          <w:sz w:val="18"/>
          <w:szCs w:val="18"/>
        </w:rPr>
        <w:t>5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CE0D69">
        <w:rPr>
          <w:rFonts w:asciiTheme="minorBidi" w:hAnsiTheme="minorBidi" w:cstheme="minorBidi"/>
          <w:sz w:val="18"/>
          <w:szCs w:val="18"/>
        </w:rPr>
        <w:t>coolisées et tabac ».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8016D" w:rsidRDefault="007E33F6" w:rsidP="005A1DFD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F8065A">
        <w:rPr>
          <w:rFonts w:asciiTheme="minorBidi" w:hAnsiTheme="minorBidi" w:cstheme="minorBidi"/>
          <w:sz w:val="18"/>
          <w:szCs w:val="18"/>
        </w:rPr>
        <w:t xml:space="preserve">avril </w:t>
      </w:r>
      <w:r w:rsidR="003F554E">
        <w:rPr>
          <w:rFonts w:asciiTheme="minorBidi" w:hAnsiTheme="minorBidi" w:cstheme="minorBidi"/>
          <w:sz w:val="18"/>
          <w:szCs w:val="18"/>
        </w:rPr>
        <w:t xml:space="preserve">et </w:t>
      </w:r>
      <w:r w:rsidR="00F8065A">
        <w:rPr>
          <w:rFonts w:asciiTheme="minorBidi" w:hAnsiTheme="minorBidi" w:cstheme="minorBidi"/>
          <w:sz w:val="18"/>
          <w:szCs w:val="18"/>
        </w:rPr>
        <w:t xml:space="preserve">mai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F8065A" w:rsidRPr="00F8065A">
        <w:rPr>
          <w:rFonts w:asciiTheme="minorBidi" w:hAnsiTheme="minorBidi" w:cstheme="minorBidi"/>
          <w:sz w:val="18"/>
          <w:szCs w:val="18"/>
        </w:rPr>
        <w:t xml:space="preserve"> </w:t>
      </w:r>
      <w:r w:rsidR="00F8065A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F8065A">
        <w:rPr>
          <w:rFonts w:asciiTheme="minorBidi" w:hAnsiTheme="minorBidi" w:cstheme="minorBidi"/>
          <w:sz w:val="18"/>
          <w:szCs w:val="18"/>
        </w:rPr>
        <w:t xml:space="preserve"> avec</w:t>
      </w:r>
      <w:r w:rsidR="00F8065A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8065A">
        <w:rPr>
          <w:rFonts w:asciiTheme="minorBidi" w:hAnsiTheme="minorBidi" w:cstheme="minorBidi"/>
          <w:sz w:val="18"/>
          <w:szCs w:val="18"/>
        </w:rPr>
        <w:t xml:space="preserve">8,2% et les «Viandes»  avec 2,2%. 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Par contre, les prix ont </w:t>
      </w:r>
      <w:r w:rsidR="00F8065A">
        <w:rPr>
          <w:rFonts w:asciiTheme="minorBidi" w:hAnsiTheme="minorBidi" w:cstheme="minorBidi"/>
          <w:sz w:val="18"/>
          <w:szCs w:val="18"/>
        </w:rPr>
        <w:t xml:space="preserve">diminué 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5A1DFD">
        <w:rPr>
          <w:rFonts w:asciiTheme="minorBidi" w:hAnsiTheme="minorBidi" w:cstheme="minorBidi"/>
          <w:sz w:val="18"/>
          <w:szCs w:val="18"/>
        </w:rPr>
        <w:t>1</w:t>
      </w:r>
      <w:r w:rsidR="00F8065A" w:rsidRPr="00B6358C">
        <w:rPr>
          <w:rFonts w:asciiTheme="minorBidi" w:hAnsiTheme="minorBidi" w:cstheme="minorBidi"/>
          <w:sz w:val="18"/>
          <w:szCs w:val="18"/>
        </w:rPr>
        <w:t>,</w:t>
      </w:r>
      <w:r w:rsidR="005A1DFD">
        <w:rPr>
          <w:rFonts w:asciiTheme="minorBidi" w:hAnsiTheme="minorBidi" w:cstheme="minorBidi"/>
          <w:sz w:val="18"/>
          <w:szCs w:val="18"/>
        </w:rPr>
        <w:t>2</w:t>
      </w:r>
      <w:r w:rsidR="00F8065A" w:rsidRPr="00B6358C">
        <w:rPr>
          <w:rFonts w:asciiTheme="minorBidi" w:hAnsiTheme="minorBidi" w:cstheme="minorBidi"/>
          <w:sz w:val="18"/>
          <w:szCs w:val="18"/>
        </w:rPr>
        <w:t>%</w:t>
      </w:r>
      <w:r w:rsidR="005A1DFD">
        <w:rPr>
          <w:rFonts w:asciiTheme="minorBidi" w:hAnsiTheme="minorBidi" w:cstheme="minorBidi"/>
          <w:sz w:val="18"/>
          <w:szCs w:val="18"/>
        </w:rPr>
        <w:t xml:space="preserve"> pour les</w:t>
      </w: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5A1DFD">
        <w:rPr>
          <w:rFonts w:asciiTheme="minorBidi" w:hAnsiTheme="minorBidi" w:cstheme="minorBidi"/>
          <w:sz w:val="18"/>
          <w:szCs w:val="18"/>
        </w:rPr>
        <w:t>«Fruits»</w:t>
      </w:r>
      <w:r w:rsidR="004C69E5">
        <w:rPr>
          <w:rFonts w:asciiTheme="minorBidi" w:hAnsiTheme="minorBidi" w:cstheme="minorBidi"/>
          <w:sz w:val="18"/>
          <w:szCs w:val="18"/>
        </w:rPr>
        <w:t xml:space="preserve">, </w:t>
      </w:r>
      <w:r w:rsidR="005A1DFD">
        <w:rPr>
          <w:rFonts w:asciiTheme="minorBidi" w:hAnsiTheme="minorBidi" w:cstheme="minorBidi"/>
          <w:sz w:val="18"/>
          <w:szCs w:val="18"/>
        </w:rPr>
        <w:t>de</w:t>
      </w:r>
      <w:r w:rsidR="00581189">
        <w:rPr>
          <w:rFonts w:asciiTheme="minorBidi" w:hAnsiTheme="minorBidi" w:cstheme="minorBidi"/>
          <w:sz w:val="18"/>
          <w:szCs w:val="18"/>
        </w:rPr>
        <w:t xml:space="preserve"> 0,9% pour</w:t>
      </w:r>
      <w:r w:rsidR="005A1DFD">
        <w:rPr>
          <w:rFonts w:asciiTheme="minorBidi" w:hAnsiTheme="minorBidi" w:cstheme="minorBidi"/>
          <w:sz w:val="18"/>
          <w:szCs w:val="18"/>
        </w:rPr>
        <w:t xml:space="preserve"> </w:t>
      </w:r>
      <w:r w:rsidR="004C69E5">
        <w:rPr>
          <w:rFonts w:asciiTheme="minorBidi" w:hAnsiTheme="minorBidi" w:cstheme="minorBidi"/>
          <w:sz w:val="18"/>
          <w:szCs w:val="18"/>
        </w:rPr>
        <w:t xml:space="preserve">les </w:t>
      </w:r>
      <w:r w:rsidR="004C69E5" w:rsidRPr="00B6358C">
        <w:rPr>
          <w:rFonts w:asciiTheme="minorBidi" w:hAnsiTheme="minorBidi" w:cstheme="minorBidi"/>
          <w:sz w:val="18"/>
          <w:szCs w:val="18"/>
        </w:rPr>
        <w:t>«Légumes»</w:t>
      </w:r>
      <w:r w:rsidR="004C69E5">
        <w:rPr>
          <w:rFonts w:asciiTheme="minorBidi" w:hAnsiTheme="minorBidi" w:cstheme="minorBidi"/>
          <w:sz w:val="18"/>
          <w:szCs w:val="18"/>
        </w:rPr>
        <w:t xml:space="preserve"> </w:t>
      </w:r>
      <w:r w:rsidR="00581189">
        <w:rPr>
          <w:rFonts w:asciiTheme="minorBidi" w:hAnsiTheme="minorBidi" w:cstheme="minorBidi"/>
          <w:sz w:val="18"/>
          <w:szCs w:val="18"/>
        </w:rPr>
        <w:t>et de 0,1% pour</w:t>
      </w:r>
      <w:r w:rsidR="004C69E5">
        <w:rPr>
          <w:rFonts w:asciiTheme="minorBidi" w:hAnsiTheme="minorBidi" w:cstheme="minorBidi"/>
          <w:sz w:val="18"/>
          <w:szCs w:val="18"/>
        </w:rPr>
        <w:t xml:space="preserve"> </w:t>
      </w:r>
      <w:r w:rsidR="0081030F" w:rsidRPr="0081030F">
        <w:rPr>
          <w:rFonts w:asciiTheme="minorBidi" w:hAnsiTheme="minorBidi" w:cstheme="minorBidi"/>
          <w:sz w:val="18"/>
          <w:szCs w:val="18"/>
        </w:rPr>
        <w:t>le «</w:t>
      </w:r>
      <w:r w:rsidR="005A1DFD">
        <w:rPr>
          <w:rFonts w:asciiTheme="minorBidi" w:hAnsiTheme="minorBidi" w:cstheme="minorBidi"/>
          <w:sz w:val="18"/>
          <w:szCs w:val="18"/>
        </w:rPr>
        <w:t>Sucre, Confiture, Miel, Chocolat et Confiserie »</w:t>
      </w:r>
      <w:r w:rsidR="00D8016D">
        <w:rPr>
          <w:rFonts w:asciiTheme="minorBidi" w:hAnsiTheme="minorBidi" w:cstheme="minorBidi"/>
          <w:sz w:val="18"/>
          <w:szCs w:val="18"/>
        </w:rPr>
        <w:t xml:space="preserve">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5C4C3C" w:rsidRDefault="007E33F6" w:rsidP="0056581B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>Pour les produits non alimentaires,</w:t>
      </w:r>
      <w:r w:rsidR="005C4C3C" w:rsidRPr="005C4C3C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>la stagnation de son indice résulte principalement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>de la hausse des prix de</w:t>
      </w:r>
      <w:r w:rsidR="000C3350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>
        <w:rPr>
          <w:rFonts w:asciiTheme="minorBidi" w:hAnsiTheme="minorBidi" w:cstheme="minorBidi"/>
          <w:sz w:val="18"/>
          <w:szCs w:val="18"/>
        </w:rPr>
        <w:t xml:space="preserve">« Articles d’habillement et chaussures » et  </w:t>
      </w:r>
      <w:r w:rsidR="0056581B">
        <w:rPr>
          <w:rFonts w:asciiTheme="minorBidi" w:hAnsiTheme="minorBidi" w:cstheme="minorBidi"/>
          <w:sz w:val="18"/>
          <w:szCs w:val="18"/>
        </w:rPr>
        <w:t>d</w:t>
      </w:r>
      <w:r w:rsidR="000C3350">
        <w:rPr>
          <w:rFonts w:asciiTheme="minorBidi" w:hAnsiTheme="minorBidi" w:cstheme="minorBidi"/>
          <w:sz w:val="18"/>
          <w:szCs w:val="18"/>
        </w:rPr>
        <w:t>es « </w:t>
      </w:r>
      <w:r w:rsidR="000C3350" w:rsidRPr="005C4C3C">
        <w:rPr>
          <w:rFonts w:asciiTheme="minorBidi" w:hAnsiTheme="minorBidi" w:cstheme="minorBidi"/>
          <w:sz w:val="18"/>
          <w:szCs w:val="18"/>
        </w:rPr>
        <w:t>Meubles, Articles de ménage et entretien courant du foyer</w:t>
      </w:r>
      <w:r w:rsidR="000C3350">
        <w:rPr>
          <w:rFonts w:asciiTheme="minorBidi" w:hAnsiTheme="minorBidi" w:cstheme="minorBidi"/>
          <w:sz w:val="18"/>
          <w:szCs w:val="18"/>
        </w:rPr>
        <w:t xml:space="preserve"> » </w:t>
      </w:r>
      <w:r w:rsidR="0056581B">
        <w:rPr>
          <w:rFonts w:asciiTheme="minorBidi" w:hAnsiTheme="minorBidi" w:cstheme="minorBidi"/>
          <w:sz w:val="18"/>
          <w:szCs w:val="18"/>
        </w:rPr>
        <w:t>de</w:t>
      </w:r>
      <w:r w:rsidR="000C3350">
        <w:rPr>
          <w:rFonts w:asciiTheme="minorBidi" w:hAnsiTheme="minorBidi" w:cstheme="minorBidi"/>
          <w:sz w:val="18"/>
          <w:szCs w:val="18"/>
        </w:rPr>
        <w:t xml:space="preserve"> 0,3% et de ceux de</w:t>
      </w:r>
      <w:r w:rsidR="0056581B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Theme="minorBidi" w:hAnsiTheme="minorBidi" w:cstheme="minorBidi"/>
          <w:sz w:val="18"/>
          <w:szCs w:val="18"/>
        </w:rPr>
        <w:t xml:space="preserve"> «</w:t>
      </w:r>
      <w:r w:rsidR="000C3350" w:rsidRPr="000C3350">
        <w:rPr>
          <w:rFonts w:asciiTheme="minorBidi" w:hAnsiTheme="minorBidi" w:cstheme="minorBidi"/>
          <w:sz w:val="18"/>
          <w:szCs w:val="18"/>
        </w:rPr>
        <w:t>Logement, eau, gaz, électricité et autres combustibles</w:t>
      </w:r>
      <w:r w:rsidR="000C3350">
        <w:rPr>
          <w:rFonts w:asciiTheme="minorBidi" w:hAnsiTheme="minorBidi" w:cstheme="minorBidi"/>
          <w:sz w:val="18"/>
          <w:szCs w:val="18"/>
        </w:rPr>
        <w:t xml:space="preserve"> » </w:t>
      </w:r>
      <w:r w:rsidR="0056581B">
        <w:rPr>
          <w:rFonts w:asciiTheme="minorBidi" w:hAnsiTheme="minorBidi" w:cstheme="minorBidi"/>
          <w:sz w:val="18"/>
          <w:szCs w:val="18"/>
        </w:rPr>
        <w:t>de</w:t>
      </w:r>
      <w:r w:rsidR="000C3350">
        <w:rPr>
          <w:rFonts w:asciiTheme="minorBidi" w:hAnsiTheme="minorBidi" w:cstheme="minorBidi"/>
          <w:sz w:val="18"/>
          <w:szCs w:val="18"/>
        </w:rPr>
        <w:t xml:space="preserve"> 0,1%</w:t>
      </w:r>
      <w:r w:rsidR="005C4C3C" w:rsidRPr="005C4C3C">
        <w:rPr>
          <w:rFonts w:asciiTheme="minorBidi" w:hAnsiTheme="minorBidi" w:cstheme="minorBidi"/>
          <w:sz w:val="18"/>
          <w:szCs w:val="18"/>
        </w:rPr>
        <w:t xml:space="preserve"> </w:t>
      </w:r>
      <w:r w:rsidR="000C3350">
        <w:rPr>
          <w:rFonts w:asciiTheme="minorBidi" w:hAnsiTheme="minorBidi" w:cstheme="minorBidi"/>
          <w:sz w:val="18"/>
          <w:szCs w:val="18"/>
        </w:rPr>
        <w:t>d’une part, et à la baisse des prix de</w:t>
      </w:r>
      <w:r w:rsidR="0056581B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Theme="minorBidi" w:hAnsiTheme="minorBidi" w:cstheme="minorBidi"/>
          <w:sz w:val="18"/>
          <w:szCs w:val="18"/>
        </w:rPr>
        <w:t xml:space="preserve"> </w:t>
      </w:r>
      <w:r w:rsidR="005C4C3C" w:rsidRPr="005C4C3C">
        <w:rPr>
          <w:rFonts w:asciiTheme="minorBidi" w:hAnsiTheme="minorBidi" w:cstheme="minorBidi"/>
          <w:sz w:val="18"/>
          <w:szCs w:val="18"/>
        </w:rPr>
        <w:t>«Transport</w:t>
      </w:r>
      <w:r w:rsidR="0056581B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Theme="minorBidi" w:hAnsiTheme="minorBidi" w:cstheme="minorBidi"/>
          <w:sz w:val="18"/>
          <w:szCs w:val="18"/>
        </w:rPr>
        <w:t>», de</w:t>
      </w:r>
      <w:r w:rsidR="002A7932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Theme="minorBidi" w:hAnsiTheme="minorBidi" w:cstheme="minorBidi"/>
          <w:sz w:val="18"/>
          <w:szCs w:val="18"/>
        </w:rPr>
        <w:t xml:space="preserve"> « Loisirs et culture » et des « Restaurants et hôtels » respectivement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0C3350">
        <w:rPr>
          <w:rFonts w:asciiTheme="minorBidi" w:hAnsiTheme="minorBidi" w:cstheme="minorBidi"/>
          <w:sz w:val="18"/>
          <w:szCs w:val="18"/>
        </w:rPr>
        <w:t xml:space="preserve"> de 0,3% , 0,2% et 0,1%</w:t>
      </w:r>
      <w:r w:rsidR="002A7932">
        <w:rPr>
          <w:rFonts w:asciiTheme="minorBidi" w:hAnsiTheme="minorBidi" w:cstheme="minorBidi"/>
          <w:sz w:val="18"/>
          <w:szCs w:val="18"/>
        </w:rPr>
        <w:t xml:space="preserve"> d’autre part</w:t>
      </w:r>
      <w:r w:rsidR="000C3350">
        <w:rPr>
          <w:rFonts w:asciiTheme="minorBidi" w:hAnsiTheme="minorBidi" w:cstheme="minorBidi"/>
          <w:sz w:val="18"/>
          <w:szCs w:val="18"/>
        </w:rPr>
        <w:t xml:space="preserve">. </w:t>
      </w:r>
    </w:p>
    <w:p w:rsidR="00955D29" w:rsidRPr="00B6358C" w:rsidRDefault="00955D29" w:rsidP="00955D29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</w:p>
    <w:p w:rsidR="00B6358C" w:rsidRPr="00AC6DF5" w:rsidRDefault="00E20AB0" w:rsidP="002A793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2"/>
          <w:szCs w:val="12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</w:p>
    <w:p w:rsidR="00E70A53" w:rsidRDefault="007E33F6" w:rsidP="0056581B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321BE3">
        <w:rPr>
          <w:rFonts w:asciiTheme="minorBidi" w:hAnsiTheme="minorBidi" w:cstheme="minorBidi"/>
          <w:sz w:val="18"/>
          <w:szCs w:val="18"/>
        </w:rPr>
        <w:t>l</w:t>
      </w:r>
      <w:r w:rsidR="00321BE3" w:rsidRPr="00321BE3">
        <w:rPr>
          <w:rFonts w:asciiTheme="minorBidi" w:hAnsiTheme="minorBidi" w:cstheme="minorBidi"/>
          <w:sz w:val="18"/>
          <w:szCs w:val="18"/>
        </w:rPr>
        <w:t xml:space="preserve">es hausses les plus importantes de l’IPC ont été enregistrées à Beni-Mellal avec 1,3%, à Safi avec 0,9%, à Settat et Errachidia avec 0,8%, à Marrakech avec 0,6%, à Tétouan et Al-hoceima avec 0,5% et à Casablanca et Laâyoune avec 0,3%. En revanche, des baisses ont été enregistrées à Fès avec 0,7% 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321BE3" w:rsidRPr="00321BE3">
        <w:rPr>
          <w:rFonts w:asciiTheme="minorBidi" w:hAnsiTheme="minorBidi" w:cstheme="minorBidi"/>
          <w:sz w:val="18"/>
          <w:szCs w:val="18"/>
        </w:rPr>
        <w:t xml:space="preserve"> à Dakhla avec 0,2%</w:t>
      </w:r>
      <w:r w:rsidR="0056581B">
        <w:rPr>
          <w:rFonts w:asciiTheme="minorBidi" w:hAnsiTheme="minorBidi" w:cstheme="minorBidi"/>
          <w:sz w:val="18"/>
          <w:szCs w:val="18"/>
        </w:rPr>
        <w:t xml:space="preserve"> et à Guelmim avec 0,1%</w:t>
      </w:r>
      <w:r w:rsidR="000349E8" w:rsidRPr="000349E8">
        <w:rPr>
          <w:rFonts w:asciiTheme="minorBidi" w:hAnsiTheme="minorBidi" w:cstheme="minorBidi"/>
          <w:sz w:val="18"/>
          <w:szCs w:val="18"/>
        </w:rPr>
        <w:t>.</w:t>
      </w:r>
    </w:p>
    <w:p w:rsidR="000349E8" w:rsidRDefault="000349E8" w:rsidP="000349E8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E70A53" w:rsidRDefault="00E70A53" w:rsidP="008D6485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8D6485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8D6485">
        <w:rPr>
          <w:rFonts w:asciiTheme="minorBidi" w:hAnsiTheme="minorBidi" w:cstheme="minorBidi"/>
          <w:sz w:val="18"/>
          <w:szCs w:val="18"/>
        </w:rPr>
        <w:t>de mai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0349E8">
        <w:rPr>
          <w:rFonts w:asciiTheme="minorBidi" w:hAnsiTheme="minorBidi" w:cstheme="minorBidi"/>
          <w:sz w:val="18"/>
          <w:szCs w:val="18"/>
        </w:rPr>
        <w:t>1</w:t>
      </w:r>
      <w:r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9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8D6485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8D6485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5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8D6485"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8D6485">
        <w:rPr>
          <w:rFonts w:asciiTheme="minorBidi" w:hAnsiTheme="minorBidi" w:cstheme="minorBidi"/>
          <w:sz w:val="18"/>
          <w:szCs w:val="18"/>
        </w:rPr>
        <w:t>es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8D6485">
        <w:rPr>
          <w:rFonts w:asciiTheme="minorBidi" w:hAnsiTheme="minorBidi" w:cstheme="minorBidi"/>
          <w:sz w:val="18"/>
          <w:szCs w:val="18"/>
        </w:rPr>
        <w:t>Loisirs et culture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8D6485">
        <w:rPr>
          <w:rFonts w:asciiTheme="minorBidi" w:hAnsiTheme="minorBidi" w:cstheme="minorBidi"/>
          <w:sz w:val="18"/>
          <w:szCs w:val="18"/>
        </w:rPr>
        <w:t>1</w:t>
      </w:r>
      <w:r w:rsidR="000349E8">
        <w:rPr>
          <w:rFonts w:asciiTheme="minorBidi" w:hAnsiTheme="minorBidi" w:cstheme="minorBidi"/>
          <w:sz w:val="18"/>
          <w:szCs w:val="18"/>
        </w:rPr>
        <w:t>7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 w:rsidR="008D6485">
        <w:rPr>
          <w:rFonts w:asciiTheme="minorBidi" w:hAnsiTheme="minorBidi" w:cstheme="minorBidi"/>
          <w:sz w:val="18"/>
          <w:szCs w:val="18"/>
        </w:rPr>
        <w:t>a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8D6485">
        <w:rPr>
          <w:rFonts w:asciiTheme="minorBidi" w:hAnsiTheme="minorBidi" w:cstheme="minorBidi"/>
          <w:sz w:val="18"/>
          <w:szCs w:val="18"/>
        </w:rPr>
        <w:t>Communication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9142A2" w:rsidRPr="009142A2" w:rsidRDefault="009142A2" w:rsidP="00BB7A6A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BB7A6A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أثمان عند الاستهلاك لشهر </w:t>
      </w:r>
      <w:r w:rsidR="002A793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ماي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511030" w:rsidRDefault="00511030" w:rsidP="002A7932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13267A" w:rsidRDefault="002505B4" w:rsidP="00BB7A6A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2A7932">
        <w:rPr>
          <w:rFonts w:asciiTheme="minorBidi" w:hAnsiTheme="minorBidi" w:cstheme="minorBidi" w:hint="cs"/>
          <w:rtl/>
        </w:rPr>
        <w:t>ماي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2A7932">
        <w:rPr>
          <w:rFonts w:asciiTheme="minorBidi" w:hAnsiTheme="minorBidi" w:cstheme="minorBidi" w:hint="cs"/>
          <w:rtl/>
          <w:lang w:bidi="ar-MA"/>
        </w:rPr>
        <w:t>4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</w:t>
      </w:r>
      <w:r w:rsidR="002A7932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>9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2A7932">
        <w:rPr>
          <w:rFonts w:asciiTheme="minorBidi" w:hAnsiTheme="minorBidi" w:cstheme="minorBidi" w:hint="cs"/>
          <w:rtl/>
          <w:lang w:bidi="ar-MA"/>
        </w:rPr>
        <w:t xml:space="preserve">0,3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AC279D">
        <w:rPr>
          <w:rFonts w:asciiTheme="minorBidi" w:hAnsiTheme="minorBidi" w:cstheme="minorBidi" w:hint="cs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>5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استقرار </w:t>
      </w:r>
      <w:r w:rsidR="00AC279D" w:rsidRPr="004B4A37">
        <w:rPr>
          <w:rFonts w:asciiTheme="minorBidi" w:hAnsiTheme="minorBidi" w:cstheme="minorBidi"/>
          <w:rtl/>
        </w:rPr>
        <w:t>الرقم</w:t>
      </w:r>
      <w:r w:rsidR="00AC279D" w:rsidRPr="004B4A37">
        <w:rPr>
          <w:rFonts w:asciiTheme="minorBidi" w:hAnsiTheme="minorBidi" w:cstheme="minorBidi"/>
          <w:rtl/>
          <w:lang w:bidi="ar-MA"/>
        </w:rPr>
        <w:t xml:space="preserve"> الاستدلالي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لمواد غير الغذائية.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2A7932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>5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4834C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Pr="00C119CD" w:rsidRDefault="00DA718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2A7932" w:rsidRDefault="0013267A" w:rsidP="0056581B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2A7932">
        <w:rPr>
          <w:rFonts w:asciiTheme="minorBidi" w:hAnsiTheme="minorBidi" w:cstheme="minorBidi" w:hint="cs"/>
          <w:rtl/>
          <w:lang w:bidi="ar-MA"/>
        </w:rPr>
        <w:t>أبريل و ماي</w:t>
      </w:r>
      <w:r w:rsidR="00EF433A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56581B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 w:hint="cs"/>
          <w:rtl/>
          <w:lang w:bidi="ar-MA"/>
        </w:rPr>
        <w:t>"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2A7932">
        <w:rPr>
          <w:rFonts w:asciiTheme="minorBidi" w:hAnsiTheme="minorBidi" w:cstheme="minorBidi" w:hint="cs"/>
          <w:rtl/>
          <w:lang w:bidi="ar-MA"/>
        </w:rPr>
        <w:t xml:space="preserve">8,2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BB7A6A">
        <w:rPr>
          <w:rFonts w:asciiTheme="minorBidi" w:hAnsiTheme="minorBidi" w:cstheme="minorBidi" w:hint="cs"/>
          <w:rtl/>
          <w:lang w:bidi="ar-MA"/>
        </w:rPr>
        <w:t xml:space="preserve">    </w:t>
      </w:r>
      <w:r w:rsidR="002A7932">
        <w:rPr>
          <w:rFonts w:asciiTheme="minorBidi" w:hAnsiTheme="minorBidi" w:cstheme="minorBidi" w:hint="cs"/>
          <w:rtl/>
          <w:lang w:bidi="ar-MA"/>
        </w:rPr>
        <w:t xml:space="preserve"> و </w:t>
      </w:r>
      <w:r w:rsidR="002A7932" w:rsidRPr="004B4A37">
        <w:rPr>
          <w:rFonts w:asciiTheme="minorBidi" w:hAnsiTheme="minorBidi" w:cstheme="minorBidi"/>
          <w:rtl/>
          <w:lang w:bidi="ar-MA"/>
        </w:rPr>
        <w:t>"</w:t>
      </w:r>
      <w:r w:rsidR="002A7932" w:rsidRPr="004B4A37">
        <w:rPr>
          <w:rFonts w:asciiTheme="minorBidi" w:hAnsiTheme="minorBidi" w:cstheme="minorBidi"/>
          <w:rtl/>
        </w:rPr>
        <w:t>اللحوم"</w:t>
      </w:r>
      <w:r w:rsidR="002A7932">
        <w:rPr>
          <w:rFonts w:asciiTheme="minorBidi" w:hAnsiTheme="minorBidi" w:cstheme="minorBidi" w:hint="cs"/>
          <w:rtl/>
        </w:rPr>
        <w:t xml:space="preserve"> ب 2</w:t>
      </w:r>
      <w:r w:rsidR="002A7932" w:rsidRPr="004B4A37">
        <w:rPr>
          <w:rFonts w:asciiTheme="minorBidi" w:hAnsiTheme="minorBidi" w:cstheme="minorBidi"/>
          <w:rtl/>
        </w:rPr>
        <w:t>,</w:t>
      </w:r>
      <w:r w:rsidR="002A7932">
        <w:rPr>
          <w:rFonts w:asciiTheme="minorBidi" w:hAnsiTheme="minorBidi" w:cstheme="minorBidi" w:hint="cs"/>
          <w:rtl/>
        </w:rPr>
        <w:t xml:space="preserve">2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. </w:t>
      </w:r>
      <w:r w:rsidR="002A7932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2A7932" w:rsidRPr="002A7932">
        <w:rPr>
          <w:rFonts w:asciiTheme="minorBidi" w:hAnsiTheme="minorBidi" w:cstheme="minorBidi"/>
          <w:lang w:bidi="ar-MA"/>
        </w:rPr>
        <w:t> 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2A7932">
        <w:rPr>
          <w:rFonts w:asciiTheme="minorBidi" w:hAnsiTheme="minorBidi" w:cstheme="minorBidi" w:hint="cs"/>
          <w:rtl/>
          <w:lang w:bidi="ar-MA"/>
        </w:rPr>
        <w:t>1</w:t>
      </w:r>
      <w:r w:rsidR="002A7932" w:rsidRPr="004B4A37">
        <w:rPr>
          <w:rFonts w:asciiTheme="minorBidi" w:hAnsiTheme="minorBidi" w:cstheme="minorBidi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 xml:space="preserve">2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، 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2A7932" w:rsidRPr="004B4A37">
        <w:rPr>
          <w:rFonts w:asciiTheme="minorBidi" w:hAnsiTheme="minorBidi" w:cstheme="minorBidi"/>
          <w:rtl/>
          <w:lang w:bidi="ar-MA"/>
        </w:rPr>
        <w:t>,</w:t>
      </w:r>
      <w:r w:rsidR="002A7932">
        <w:rPr>
          <w:rFonts w:asciiTheme="minorBidi" w:hAnsiTheme="minorBidi" w:cstheme="minorBidi" w:hint="cs"/>
          <w:rtl/>
          <w:lang w:bidi="ar-MA"/>
        </w:rPr>
        <w:t xml:space="preserve">9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و"السكر و المربى والعسل والشوكولاته والحلويات" ب 0,1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>.</w:t>
      </w:r>
    </w:p>
    <w:p w:rsidR="005A35B6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8B6A32" w:rsidRDefault="008B6A32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511030" w:rsidRPr="00955D29" w:rsidRDefault="00511030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955D29" w:rsidRDefault="0013267A" w:rsidP="00955D29">
      <w:pPr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955D29">
        <w:rPr>
          <w:rFonts w:asciiTheme="minorBidi" w:hAnsiTheme="minorBidi" w:cstheme="minorBidi" w:hint="cs"/>
          <w:rtl/>
          <w:lang w:bidi="ar-MA"/>
        </w:rPr>
        <w:t xml:space="preserve">فقد 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نتج استقرار رقمها الاستدلالي عن </w:t>
      </w:r>
      <w:r w:rsidR="00955D29">
        <w:rPr>
          <w:rFonts w:asciiTheme="minorBidi" w:hAnsiTheme="minorBidi" w:cstheme="minorBidi" w:hint="cs"/>
          <w:rtl/>
          <w:lang w:bidi="ar-MA"/>
        </w:rPr>
        <w:t>التزايد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الذي عرف</w:t>
      </w:r>
      <w:r w:rsidR="00955D29">
        <w:rPr>
          <w:rFonts w:asciiTheme="minorBidi" w:hAnsiTheme="minorBidi" w:cstheme="minorBidi" w:hint="cs"/>
          <w:rtl/>
          <w:lang w:bidi="ar-MA"/>
        </w:rPr>
        <w:t>ت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ه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</w:t>
      </w:r>
      <w:r w:rsidR="00955D29" w:rsidRPr="00205952">
        <w:rPr>
          <w:rFonts w:asciiTheme="minorBidi" w:hAnsiTheme="minorBidi" w:cstheme="minorBidi" w:hint="cs"/>
          <w:rtl/>
          <w:lang w:bidi="ar-MA"/>
        </w:rPr>
        <w:t>"الأثاث و الأدوات المنزلية و الصيانة العادية للمنزل</w:t>
      </w:r>
      <w:r w:rsidR="00955D29" w:rsidRPr="004B4A37">
        <w:rPr>
          <w:rFonts w:asciiTheme="minorBidi" w:hAnsiTheme="minorBidi" w:cstheme="minorBidi" w:hint="cs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ب 0,3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كذا أثمان "</w:t>
      </w:r>
      <w:r w:rsidR="00955D29" w:rsidRP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 w:hint="cs"/>
          <w:rtl/>
          <w:lang w:bidi="ar-MA"/>
        </w:rPr>
        <w:t>السكن والماء والكهرباء والغاز ومحروقات أخرى</w:t>
      </w:r>
      <w:r w:rsidR="00955D29" w:rsidRPr="004B4A37">
        <w:rPr>
          <w:rFonts w:asciiTheme="minorBidi" w:hAnsiTheme="minorBidi" w:cstheme="minorBidi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 w:hint="cs"/>
          <w:rtl/>
          <w:lang w:bidi="ar-MA"/>
        </w:rPr>
        <w:t>ب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rtl/>
          <w:lang w:bidi="ar-MA"/>
        </w:rPr>
        <w:t>0,</w:t>
      </w:r>
      <w:r w:rsidR="00955D29">
        <w:rPr>
          <w:rFonts w:asciiTheme="minorBidi" w:hAnsiTheme="minorBidi" w:cstheme="minorBidi" w:hint="cs"/>
          <w:rtl/>
          <w:lang w:bidi="ar-MA"/>
        </w:rPr>
        <w:t xml:space="preserve">1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من جهة، و عن التراجع الذي عرفته أثمان كل من "النقل"، "الترفيه و الثقافة" و "مطاعم و فنادق" على التوالي ب 0,3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 w:rsidRPr="004B4A37">
        <w:rPr>
          <w:rFonts w:asciiTheme="minorBidi" w:hAnsiTheme="minorBidi" w:cstheme="minorBidi" w:hint="cs"/>
          <w:rtl/>
          <w:lang w:bidi="ar-MA"/>
        </w:rPr>
        <w:t>،</w:t>
      </w:r>
      <w:r w:rsidR="00955D29">
        <w:rPr>
          <w:rFonts w:asciiTheme="minorBidi" w:hAnsiTheme="minorBidi" w:cstheme="minorBidi" w:hint="cs"/>
          <w:rtl/>
          <w:lang w:bidi="ar-MA"/>
        </w:rPr>
        <w:t xml:space="preserve"> 0,2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0</w:t>
      </w:r>
      <w:r w:rsidR="00955D29" w:rsidRPr="004B4A37">
        <w:rPr>
          <w:rFonts w:asciiTheme="minorBidi" w:hAnsiTheme="minorBidi" w:cstheme="minorBidi" w:hint="cs"/>
          <w:rtl/>
          <w:lang w:bidi="ar-MA"/>
        </w:rPr>
        <w:t>,</w:t>
      </w:r>
      <w:r w:rsidR="00955D29">
        <w:rPr>
          <w:rFonts w:asciiTheme="minorBidi" w:hAnsiTheme="minorBidi" w:cstheme="minorBidi" w:hint="cs"/>
          <w:rtl/>
          <w:lang w:bidi="ar-MA"/>
        </w:rPr>
        <w:t xml:space="preserve">1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من جهة أخرى.</w:t>
      </w:r>
    </w:p>
    <w:p w:rsidR="004834CC" w:rsidRDefault="00A06A0D" w:rsidP="00955D2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DA718F">
        <w:rPr>
          <w:rFonts w:asciiTheme="minorBidi" w:hAnsiTheme="minorBidi" w:cstheme="minorBidi" w:hint="cs"/>
          <w:sz w:val="10"/>
          <w:szCs w:val="10"/>
          <w:rtl/>
          <w:lang w:bidi="ar-MA"/>
        </w:rPr>
        <w:t xml:space="preserve">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Pr="0060479D" w:rsidRDefault="00DA718F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955D29" w:rsidRDefault="00955D29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Pr="00DA718F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E54CE" w:rsidRDefault="0013267A" w:rsidP="0056581B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442DDB">
        <w:rPr>
          <w:rFonts w:asciiTheme="minorBidi" w:hAnsiTheme="minorBidi" w:cstheme="minorBidi" w:hint="cs"/>
          <w:rtl/>
          <w:lang w:bidi="ar-MA"/>
        </w:rPr>
        <w:t>أ</w:t>
      </w:r>
      <w:r w:rsidR="008F7769" w:rsidRPr="008F7769">
        <w:rPr>
          <w:rFonts w:asciiTheme="minorBidi" w:hAnsiTheme="minorBidi" w:cstheme="minorBidi"/>
          <w:rtl/>
          <w:lang w:bidi="ar-MA"/>
        </w:rPr>
        <w:t>هم الارتفاعات في بني ملال ب 1,3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>% وفي آسفي ب 0,9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>% وفي سطات و الرشيدية  ب  0,8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>% وفي مراكش ب 0,6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>% وفي تطوان و الحسيمة ب 0,5% وفي الدار البيضاء و العيون ب 0,3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>%. بينما سجلت انخفاضات  في كل من فاس ب 0,7</w:t>
      </w:r>
      <w:r w:rsidR="006B136E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rtl/>
          <w:lang w:bidi="ar-MA"/>
        </w:rPr>
        <w:t xml:space="preserve">% </w:t>
      </w:r>
      <w:r w:rsidR="0056581B">
        <w:rPr>
          <w:rFonts w:asciiTheme="minorBidi" w:hAnsiTheme="minorBidi" w:cstheme="minorBidi" w:hint="cs"/>
          <w:rtl/>
          <w:lang w:bidi="ar-MA"/>
        </w:rPr>
        <w:t>،</w:t>
      </w:r>
      <w:r w:rsidR="008F7769" w:rsidRPr="008F7769">
        <w:rPr>
          <w:rFonts w:asciiTheme="minorBidi" w:hAnsiTheme="minorBidi" w:cstheme="minorBidi"/>
          <w:rtl/>
          <w:lang w:bidi="ar-MA"/>
        </w:rPr>
        <w:t xml:space="preserve"> الداخلة  ب 0,2</w:t>
      </w:r>
      <w:r w:rsidR="00FF4DCB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 w:rsidRPr="008F7769">
        <w:rPr>
          <w:rFonts w:asciiTheme="minorBidi" w:hAnsiTheme="minorBidi" w:cstheme="minorBidi"/>
          <w:lang w:bidi="ar-MA"/>
        </w:rPr>
        <w:t>%</w:t>
      </w:r>
      <w:r w:rsidR="0056581B">
        <w:rPr>
          <w:rFonts w:asciiTheme="minorBidi" w:hAnsiTheme="minorBidi" w:cstheme="minorBidi" w:hint="cs"/>
          <w:rtl/>
          <w:lang w:bidi="ar-MA"/>
        </w:rPr>
        <w:t xml:space="preserve"> و في كلميم ب 0,1 </w:t>
      </w:r>
      <w:r w:rsidR="0056581B" w:rsidRPr="008F7769">
        <w:rPr>
          <w:rFonts w:asciiTheme="minorBidi" w:hAnsiTheme="minorBidi" w:cstheme="minorBidi"/>
          <w:lang w:bidi="ar-MA"/>
        </w:rPr>
        <w:t>%</w:t>
      </w:r>
      <w:r w:rsidR="00FF4DCB">
        <w:rPr>
          <w:rFonts w:asciiTheme="minorBidi" w:hAnsiTheme="minorBidi" w:cstheme="minorBidi" w:hint="cs"/>
          <w:rtl/>
          <w:lang w:bidi="ar-MA"/>
        </w:rPr>
        <w:t>.</w:t>
      </w: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B7534" w:rsidRDefault="007B753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B7534" w:rsidRDefault="007B753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F44C84" w:rsidP="0056581B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8F7769">
        <w:rPr>
          <w:rFonts w:asciiTheme="minorBidi" w:hAnsiTheme="minorBidi" w:cstheme="minorBidi" w:hint="cs"/>
          <w:rtl/>
          <w:lang w:bidi="ar-MA"/>
        </w:rPr>
        <w:t>2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8F7769">
        <w:rPr>
          <w:rFonts w:asciiTheme="minorBidi" w:hAnsiTheme="minorBidi" w:cstheme="minorBidi" w:hint="cs"/>
          <w:rtl/>
          <w:lang w:bidi="ar-MA"/>
        </w:rPr>
        <w:t xml:space="preserve">2 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8F7769">
        <w:rPr>
          <w:rFonts w:asciiTheme="minorBidi" w:hAnsiTheme="minorBidi" w:cstheme="minorBidi" w:hint="cs"/>
          <w:rtl/>
          <w:lang w:bidi="ar-MA"/>
        </w:rPr>
        <w:t>ماي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C25A55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8F7769">
        <w:rPr>
          <w:rFonts w:asciiTheme="minorBidi" w:hAnsiTheme="minorBidi" w:cstheme="minorBidi" w:hint="cs"/>
          <w:rtl/>
          <w:lang w:bidi="ar-MA"/>
        </w:rPr>
        <w:t>9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8F7769">
        <w:rPr>
          <w:rFonts w:asciiTheme="minorBidi" w:hAnsiTheme="minorBidi" w:cstheme="minorBidi" w:hint="cs"/>
          <w:rtl/>
          <w:lang w:bidi="ar-MA"/>
        </w:rPr>
        <w:t>2</w:t>
      </w:r>
      <w:r w:rsidR="005657D9">
        <w:rPr>
          <w:rFonts w:asciiTheme="minorBidi" w:hAnsiTheme="minorBidi" w:cstheme="minorBidi" w:hint="cs"/>
          <w:rtl/>
          <w:lang w:bidi="ar-MA"/>
        </w:rPr>
        <w:t>,</w:t>
      </w:r>
      <w:r w:rsidR="008F7769">
        <w:rPr>
          <w:rFonts w:asciiTheme="minorBidi" w:hAnsiTheme="minorBidi" w:cstheme="minorBidi" w:hint="cs"/>
          <w:rtl/>
          <w:lang w:bidi="ar-MA"/>
        </w:rPr>
        <w:t>0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363836">
        <w:rPr>
          <w:rFonts w:asciiTheme="minorBidi" w:hAnsiTheme="minorBidi" w:cstheme="minorBidi" w:hint="cs"/>
          <w:rtl/>
          <w:lang w:bidi="ar-MA"/>
        </w:rPr>
        <w:t>2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363836">
        <w:rPr>
          <w:rFonts w:asciiTheme="minorBidi" w:hAnsiTheme="minorBidi" w:cstheme="minorBidi" w:hint="cs"/>
          <w:rtl/>
          <w:lang w:bidi="ar-MA"/>
        </w:rPr>
        <w:t>5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363836">
        <w:rPr>
          <w:rFonts w:asciiTheme="minorBidi" w:hAnsiTheme="minorBidi" w:cstheme="minorBidi" w:hint="cs"/>
          <w:rtl/>
          <w:lang w:bidi="ar-MA"/>
        </w:rPr>
        <w:t>6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363836">
        <w:rPr>
          <w:rFonts w:asciiTheme="minorBidi" w:hAnsiTheme="minorBidi" w:cstheme="minorBidi" w:hint="cs"/>
          <w:rtl/>
          <w:lang w:bidi="ar-MA"/>
        </w:rPr>
        <w:t>6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363836">
        <w:rPr>
          <w:rFonts w:asciiTheme="minorBidi" w:hAnsiTheme="minorBidi" w:cstheme="minorBidi" w:hint="cs"/>
          <w:rtl/>
          <w:lang w:bidi="ar-MA"/>
        </w:rPr>
        <w:t>الترفيه و الثقافة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363836">
        <w:rPr>
          <w:rFonts w:asciiTheme="minorBidi" w:hAnsiTheme="minorBidi" w:cstheme="minorBidi" w:hint="cs"/>
          <w:rtl/>
          <w:lang w:bidi="ar-MA"/>
        </w:rPr>
        <w:t>1</w:t>
      </w:r>
      <w:r w:rsidR="00C25A55">
        <w:rPr>
          <w:rFonts w:asciiTheme="minorBidi" w:hAnsiTheme="minorBidi" w:cstheme="minorBidi" w:hint="cs"/>
          <w:rtl/>
          <w:lang w:bidi="ar-MA"/>
        </w:rPr>
        <w:t>7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363836">
        <w:rPr>
          <w:rFonts w:asciiTheme="minorBidi" w:hAnsiTheme="minorBidi" w:cstheme="minorBidi" w:hint="cs"/>
          <w:rtl/>
          <w:lang w:bidi="ar-MA"/>
        </w:rPr>
        <w:t>6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363836" w:rsidRPr="00363836">
        <w:rPr>
          <w:rFonts w:asciiTheme="minorBidi" w:hAnsiTheme="minorBidi" w:cstheme="minorBidi"/>
          <w:rtl/>
          <w:lang w:bidi="ar-MA"/>
        </w:rPr>
        <w:t>المواصلات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1C14DB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أبريل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C737CA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rtl/>
                <w:lang w:eastAsia="en-US" w:bidi="ar-MA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 w:bidi="ar-MA"/>
              </w:rPr>
              <w:t>ماي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1C14DB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Avril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1C14DB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Mai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1C14DB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1C14DB" w:rsidRPr="00D060D8" w:rsidRDefault="001C14DB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1C14DB" w:rsidRDefault="001C14DB" w:rsidP="002154F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104,2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104,7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0,5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1C14DB" w:rsidRPr="00231C38" w:rsidRDefault="001C14DB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1C14DB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103,4</w:t>
            </w:r>
          </w:p>
        </w:tc>
        <w:tc>
          <w:tcPr>
            <w:tcW w:w="1082" w:type="dxa"/>
            <w:vAlign w:val="center"/>
          </w:tcPr>
          <w:p w:rsidR="001C14DB" w:rsidRDefault="001C14D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0,5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1082" w:type="dxa"/>
            <w:vAlign w:val="center"/>
          </w:tcPr>
          <w:p w:rsidR="001C14DB" w:rsidRDefault="001C14DB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1C14DB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1C14DB" w:rsidRPr="00D060D8" w:rsidRDefault="001C14DB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1C14DB" w:rsidRDefault="001C14DB" w:rsidP="002154F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A55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103,7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103,7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1C14DB" w:rsidRPr="00231C38" w:rsidRDefault="001C14DB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107,2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107,5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0,3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1C14DB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1C14DB" w:rsidRPr="00D060D8" w:rsidRDefault="001C14DB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101,2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101,3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0,1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1C14DB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0,3</w:t>
            </w:r>
          </w:p>
        </w:tc>
        <w:tc>
          <w:tcPr>
            <w:tcW w:w="2979" w:type="dxa"/>
          </w:tcPr>
          <w:p w:rsidR="001C14DB" w:rsidRPr="00DC0469" w:rsidRDefault="001C14DB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105,7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105,4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-0,3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-0,2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1C14DB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101,4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-0,1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1C14DB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1C14DB" w:rsidRPr="00D060D8" w:rsidRDefault="001C14DB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C25A55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1C14DB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1C14DB" w:rsidRPr="00DC0469" w:rsidRDefault="001C14DB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1C14DB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1C14DB" w:rsidRPr="00D060D8" w:rsidRDefault="001C14DB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C14DB" w:rsidRPr="00C25A55" w:rsidRDefault="001C14DB" w:rsidP="002154F9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C25A55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1C14DB" w:rsidRPr="001C14DB" w:rsidRDefault="001C14D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C14DB">
              <w:rPr>
                <w:rFonts w:ascii="Comic Sans MS" w:hAnsi="Comic Sans MS" w:cs="Arial"/>
                <w:b/>
                <w:bCs/>
                <w:sz w:val="18"/>
                <w:szCs w:val="18"/>
              </w:rPr>
              <w:t>104,1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1C14DB" w:rsidRPr="00D012DA" w:rsidRDefault="001C14D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012DA">
              <w:rPr>
                <w:rFonts w:ascii="Comic Sans MS" w:hAnsi="Comic Sans MS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1C14DB" w:rsidRPr="009D7D4B" w:rsidRDefault="001C14DB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1C14DB" w:rsidRPr="000E4427" w:rsidRDefault="001C14DB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91440</wp:posOffset>
            </wp:positionV>
            <wp:extent cx="5853430" cy="4286250"/>
            <wp:effectExtent l="19050" t="0" r="13970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F6F87" w:rsidRPr="00DB2110" w:rsidRDefault="00EF6F8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73" w:rsidRDefault="00B30773" w:rsidP="006045CD">
      <w:r>
        <w:separator/>
      </w:r>
    </w:p>
  </w:endnote>
  <w:endnote w:type="continuationSeparator" w:id="1">
    <w:p w:rsidR="00B30773" w:rsidRDefault="00B30773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73" w:rsidRDefault="00B30773" w:rsidP="006045CD">
      <w:r>
        <w:separator/>
      </w:r>
    </w:p>
  </w:footnote>
  <w:footnote w:type="continuationSeparator" w:id="1">
    <w:p w:rsidR="00B30773" w:rsidRDefault="00B30773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44C"/>
    <w:rsid w:val="00026072"/>
    <w:rsid w:val="00033D22"/>
    <w:rsid w:val="000349E8"/>
    <w:rsid w:val="00043DA2"/>
    <w:rsid w:val="00050D2B"/>
    <w:rsid w:val="0007272A"/>
    <w:rsid w:val="000830C2"/>
    <w:rsid w:val="000A686B"/>
    <w:rsid w:val="000B258C"/>
    <w:rsid w:val="000B7212"/>
    <w:rsid w:val="000C3350"/>
    <w:rsid w:val="0013267A"/>
    <w:rsid w:val="00165CC1"/>
    <w:rsid w:val="001A20E0"/>
    <w:rsid w:val="001A57A1"/>
    <w:rsid w:val="001B4491"/>
    <w:rsid w:val="001C14DB"/>
    <w:rsid w:val="001D1619"/>
    <w:rsid w:val="001E54CE"/>
    <w:rsid w:val="00205952"/>
    <w:rsid w:val="00231C38"/>
    <w:rsid w:val="00234384"/>
    <w:rsid w:val="002505B4"/>
    <w:rsid w:val="002A7932"/>
    <w:rsid w:val="002B58E5"/>
    <w:rsid w:val="002C00BE"/>
    <w:rsid w:val="00321BE3"/>
    <w:rsid w:val="00322213"/>
    <w:rsid w:val="00363836"/>
    <w:rsid w:val="00395A0E"/>
    <w:rsid w:val="003A5BA0"/>
    <w:rsid w:val="003A79EA"/>
    <w:rsid w:val="003F554E"/>
    <w:rsid w:val="00401891"/>
    <w:rsid w:val="00403476"/>
    <w:rsid w:val="0040711B"/>
    <w:rsid w:val="004112D9"/>
    <w:rsid w:val="00426326"/>
    <w:rsid w:val="00442DDB"/>
    <w:rsid w:val="004834CC"/>
    <w:rsid w:val="004A2A46"/>
    <w:rsid w:val="004A2D91"/>
    <w:rsid w:val="004B4A37"/>
    <w:rsid w:val="004C69E5"/>
    <w:rsid w:val="004F315D"/>
    <w:rsid w:val="00511030"/>
    <w:rsid w:val="0051765C"/>
    <w:rsid w:val="00536BC7"/>
    <w:rsid w:val="00542D27"/>
    <w:rsid w:val="005566C1"/>
    <w:rsid w:val="0056138E"/>
    <w:rsid w:val="005657D9"/>
    <w:rsid w:val="0056581B"/>
    <w:rsid w:val="00577DE5"/>
    <w:rsid w:val="00581189"/>
    <w:rsid w:val="005A1DFD"/>
    <w:rsid w:val="005A2696"/>
    <w:rsid w:val="005A35B6"/>
    <w:rsid w:val="005B1D99"/>
    <w:rsid w:val="005C1F20"/>
    <w:rsid w:val="005C4C3C"/>
    <w:rsid w:val="005C78BB"/>
    <w:rsid w:val="005D774E"/>
    <w:rsid w:val="006045CD"/>
    <w:rsid w:val="0060479D"/>
    <w:rsid w:val="00613A3E"/>
    <w:rsid w:val="00622FCB"/>
    <w:rsid w:val="00645138"/>
    <w:rsid w:val="0066327E"/>
    <w:rsid w:val="006A1A07"/>
    <w:rsid w:val="006B136E"/>
    <w:rsid w:val="006E18A2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42DD"/>
    <w:rsid w:val="0077441F"/>
    <w:rsid w:val="0078122F"/>
    <w:rsid w:val="00782E62"/>
    <w:rsid w:val="00797CF3"/>
    <w:rsid w:val="007B7534"/>
    <w:rsid w:val="007E33F6"/>
    <w:rsid w:val="007E3BB8"/>
    <w:rsid w:val="0081030F"/>
    <w:rsid w:val="00811D2D"/>
    <w:rsid w:val="008240E2"/>
    <w:rsid w:val="00840C6C"/>
    <w:rsid w:val="008461C4"/>
    <w:rsid w:val="00855874"/>
    <w:rsid w:val="00861F38"/>
    <w:rsid w:val="00872485"/>
    <w:rsid w:val="008B6A32"/>
    <w:rsid w:val="008B7698"/>
    <w:rsid w:val="008C4377"/>
    <w:rsid w:val="008D0E53"/>
    <w:rsid w:val="008D4F77"/>
    <w:rsid w:val="008D6485"/>
    <w:rsid w:val="008E7D34"/>
    <w:rsid w:val="008F7769"/>
    <w:rsid w:val="009142A2"/>
    <w:rsid w:val="00937C6A"/>
    <w:rsid w:val="00955D29"/>
    <w:rsid w:val="0097375F"/>
    <w:rsid w:val="009755A6"/>
    <w:rsid w:val="009B4788"/>
    <w:rsid w:val="009D5FA1"/>
    <w:rsid w:val="009D7D4B"/>
    <w:rsid w:val="00A06A0D"/>
    <w:rsid w:val="00A22976"/>
    <w:rsid w:val="00A46726"/>
    <w:rsid w:val="00A93304"/>
    <w:rsid w:val="00AB6F6D"/>
    <w:rsid w:val="00AC279D"/>
    <w:rsid w:val="00AC6DF5"/>
    <w:rsid w:val="00B043CC"/>
    <w:rsid w:val="00B30773"/>
    <w:rsid w:val="00B473F9"/>
    <w:rsid w:val="00B6358C"/>
    <w:rsid w:val="00B81194"/>
    <w:rsid w:val="00B92523"/>
    <w:rsid w:val="00BB7A6A"/>
    <w:rsid w:val="00C119CD"/>
    <w:rsid w:val="00C209B9"/>
    <w:rsid w:val="00C2193A"/>
    <w:rsid w:val="00C25A55"/>
    <w:rsid w:val="00C34FE2"/>
    <w:rsid w:val="00C70A61"/>
    <w:rsid w:val="00C737CA"/>
    <w:rsid w:val="00CB1CEC"/>
    <w:rsid w:val="00CD155F"/>
    <w:rsid w:val="00CD274C"/>
    <w:rsid w:val="00CE0D69"/>
    <w:rsid w:val="00CF1FBA"/>
    <w:rsid w:val="00CF3B2E"/>
    <w:rsid w:val="00CF7D8B"/>
    <w:rsid w:val="00D00E12"/>
    <w:rsid w:val="00D012DA"/>
    <w:rsid w:val="00D060D8"/>
    <w:rsid w:val="00D11F62"/>
    <w:rsid w:val="00D618BC"/>
    <w:rsid w:val="00D8016D"/>
    <w:rsid w:val="00D91F21"/>
    <w:rsid w:val="00DA718F"/>
    <w:rsid w:val="00DB2110"/>
    <w:rsid w:val="00DC7CDC"/>
    <w:rsid w:val="00DF4AAC"/>
    <w:rsid w:val="00E20AB0"/>
    <w:rsid w:val="00E21B96"/>
    <w:rsid w:val="00E36447"/>
    <w:rsid w:val="00E438B8"/>
    <w:rsid w:val="00E70A53"/>
    <w:rsid w:val="00E74D3D"/>
    <w:rsid w:val="00EA44BB"/>
    <w:rsid w:val="00EB7BAF"/>
    <w:rsid w:val="00EC2B79"/>
    <w:rsid w:val="00EF433A"/>
    <w:rsid w:val="00EF6F87"/>
    <w:rsid w:val="00EF79DC"/>
    <w:rsid w:val="00F13347"/>
    <w:rsid w:val="00F41AF3"/>
    <w:rsid w:val="00F44C84"/>
    <w:rsid w:val="00F603E2"/>
    <w:rsid w:val="00F77D26"/>
    <w:rsid w:val="00F8065A"/>
    <w:rsid w:val="00F85960"/>
    <w:rsid w:val="00FD174D"/>
    <w:rsid w:val="00FD39C0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195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24"/>
          <c:y val="0.14449718589920327"/>
          <c:w val="0.84407690692684667"/>
          <c:h val="0.63621978913035049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726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656E-2"/>
                  <c:y val="2.341171673236385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622E-2"/>
                  <c:y val="3.287151341251863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378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54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92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24E-2"/>
                  <c:y val="-2.702809763296384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44E-2"/>
                  <c:y val="-2.698379389780003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49E-2"/>
                  <c:y val="2.982193829006396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892E-2"/>
                  <c:y val="1.58928200101001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835E-3"/>
                  <c:y val="-2.59366579177603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795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463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25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376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7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6985E-2"/>
                  <c:y val="1.61621463983669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4.3393360815795331E-3"/>
                  <c:y val="8.8888888888889114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4507193150644802E-3"/>
                  <c:y val="5.331969002604945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603E-2"/>
                  <c:y val="-8.8866538785929376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</c:numCache>
            </c:numRef>
          </c:val>
        </c:ser>
        <c:dLbls>
          <c:showVal val="1"/>
        </c:dLbls>
        <c:marker val="1"/>
        <c:axId val="33401856"/>
        <c:axId val="33415936"/>
      </c:lineChart>
      <c:catAx>
        <c:axId val="33401856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33415936"/>
        <c:crosses val="autoZero"/>
        <c:auto val="1"/>
        <c:lblAlgn val="ctr"/>
        <c:lblOffset val="50"/>
        <c:tickLblSkip val="1"/>
      </c:catAx>
      <c:valAx>
        <c:axId val="33415936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33401856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55"/>
          <c:y val="0.94487323199183471"/>
          <c:w val="0.40241827960145593"/>
          <c:h val="4.3552630442561885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FA01-670B-4FCB-A8FF-BE83793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cp:lastPrinted>2021-06-28T11:18:00Z</cp:lastPrinted>
  <dcterms:created xsi:type="dcterms:W3CDTF">2021-07-08T10:18:00Z</dcterms:created>
  <dcterms:modified xsi:type="dcterms:W3CDTF">2021-07-08T10:18:00Z</dcterms:modified>
</cp:coreProperties>
</file>