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Default="00EA44BB" w:rsidP="009755A6">
      <w:pPr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 xml:space="preserve">تطور الرقم الاستدلالي للأثمان عند </w:t>
      </w:r>
      <w:r w:rsidR="008E7D34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>الاستهلاك</w:t>
      </w:r>
    </w:p>
    <w:p w:rsidR="00EA44BB" w:rsidRPr="00AC6DF5" w:rsidRDefault="00AC6DF5" w:rsidP="00EA44BB">
      <w:pPr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lastRenderedPageBreak/>
        <w:t xml:space="preserve">(أساس 100:2017) </w:t>
      </w:r>
      <w:r w:rsidR="00EA44BB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AC6DF5" w:rsidRDefault="00EA44BB" w:rsidP="00AC6DF5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 xml:space="preserve">Evolution de l’indice des prix à la consommation </w:t>
      </w:r>
    </w:p>
    <w:p w:rsidR="00AC6DF5" w:rsidRP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kern w:val="36"/>
          <w:sz w:val="28"/>
          <w:szCs w:val="28"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>(Base 100 :2017)</w:t>
      </w:r>
      <w:r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 xml:space="preserve"> à la </w:t>
      </w:r>
      <w:r w:rsidR="00EA44BB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AC6DF5" w:rsidRDefault="00B25D6E" w:rsidP="00AC6DF5">
      <w:pPr>
        <w:bidi w:val="0"/>
        <w:spacing w:line="360" w:lineRule="auto"/>
        <w:jc w:val="center"/>
        <w:rPr>
          <w:color w:val="C00000"/>
          <w:kern w:val="36"/>
          <w:sz w:val="28"/>
          <w:szCs w:val="28"/>
        </w:rPr>
      </w:pPr>
      <w:proofErr w:type="spellStart"/>
      <w:r>
        <w:rPr>
          <w:rFonts w:hint="cs"/>
          <w:b/>
          <w:bCs/>
          <w:color w:val="C00000"/>
          <w:kern w:val="36"/>
          <w:sz w:val="28"/>
          <w:szCs w:val="28"/>
          <w:rtl/>
          <w:lang w:bidi="ar-MA"/>
        </w:rPr>
        <w:t>نونبر</w:t>
      </w:r>
      <w:proofErr w:type="spellEnd"/>
      <w:r w:rsidR="00AC6DF5" w:rsidRPr="00AC6DF5">
        <w:rPr>
          <w:rFonts w:hint="cs"/>
          <w:b/>
          <w:bCs/>
          <w:color w:val="C00000"/>
          <w:kern w:val="36"/>
          <w:sz w:val="28"/>
          <w:szCs w:val="28"/>
          <w:rtl/>
          <w:lang w:bidi="ar-MA"/>
        </w:rPr>
        <w:t xml:space="preserve"> 2021</w:t>
      </w:r>
    </w:p>
    <w:p w:rsidR="00AC6DF5" w:rsidRPr="00AC6DF5" w:rsidRDefault="00B25D6E" w:rsidP="00AC6DF5">
      <w:pPr>
        <w:tabs>
          <w:tab w:val="left" w:pos="1485"/>
        </w:tabs>
        <w:bidi w:val="0"/>
        <w:spacing w:line="360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Novembre</w:t>
      </w:r>
      <w:r w:rsidR="00AC6DF5" w:rsidRPr="00AC6DF5">
        <w:rPr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B25D6E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9142A2"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DE </w:t>
      </w:r>
      <w:r w:rsidR="00B25D6E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NOVEMBRE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46290F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B043CC" w:rsidRPr="00B6358C">
        <w:rPr>
          <w:rFonts w:asciiTheme="minorBidi" w:hAnsiTheme="minorBidi" w:cstheme="minorBidi"/>
          <w:sz w:val="18"/>
          <w:szCs w:val="18"/>
        </w:rPr>
        <w:t>connu,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B25D6E">
        <w:rPr>
          <w:rFonts w:asciiTheme="minorBidi" w:hAnsiTheme="minorBidi" w:cstheme="minorBidi"/>
          <w:sz w:val="18"/>
          <w:szCs w:val="18"/>
        </w:rPr>
        <w:t>novembre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B25D6E">
        <w:rPr>
          <w:rFonts w:asciiTheme="minorBidi" w:hAnsiTheme="minorBidi" w:cstheme="minorBidi"/>
          <w:sz w:val="18"/>
          <w:szCs w:val="18"/>
        </w:rPr>
        <w:t xml:space="preserve"> </w:t>
      </w:r>
      <w:r w:rsidR="001B4491" w:rsidRPr="00B6358C">
        <w:rPr>
          <w:rFonts w:asciiTheme="minorBidi" w:hAnsiTheme="minorBidi" w:cstheme="minorBidi"/>
          <w:sz w:val="18"/>
          <w:szCs w:val="18"/>
        </w:rPr>
        <w:t xml:space="preserve">une stagnation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0,</w:t>
      </w:r>
      <w:r w:rsidR="00B25D6E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 xml:space="preserve">% au niveau National. Cette </w:t>
      </w:r>
      <w:r w:rsidR="00B043CC" w:rsidRPr="00B6358C">
        <w:rPr>
          <w:rFonts w:asciiTheme="minorBidi" w:hAnsiTheme="minorBidi" w:cstheme="minorBidi"/>
          <w:sz w:val="18"/>
          <w:szCs w:val="18"/>
        </w:rPr>
        <w:t>stabilité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baisse de </w:t>
      </w:r>
      <w:r w:rsidR="00B043CC" w:rsidRPr="00B6358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B25D6E">
        <w:rPr>
          <w:rFonts w:asciiTheme="minorBidi" w:hAnsiTheme="minorBidi" w:cstheme="minorBidi"/>
          <w:sz w:val="18"/>
          <w:szCs w:val="18"/>
        </w:rPr>
        <w:t>9</w:t>
      </w:r>
      <w:r w:rsidRPr="00B6358C">
        <w:rPr>
          <w:rFonts w:asciiTheme="minorBidi" w:hAnsiTheme="minorBidi" w:cstheme="minorBidi"/>
          <w:sz w:val="18"/>
          <w:szCs w:val="18"/>
        </w:rPr>
        <w:t>%  de l’indice des produits alimentaires d’une part, et de la hausse de 0,</w:t>
      </w:r>
      <w:r w:rsidR="00B25D6E">
        <w:rPr>
          <w:rFonts w:asciiTheme="minorBidi" w:hAnsiTheme="minorBidi" w:cstheme="minorBidi"/>
          <w:sz w:val="18"/>
          <w:szCs w:val="18"/>
        </w:rPr>
        <w:t>4</w:t>
      </w:r>
      <w:r w:rsidRPr="00B6358C">
        <w:rPr>
          <w:rFonts w:asciiTheme="minorBidi" w:hAnsiTheme="minorBidi" w:cstheme="minorBidi"/>
          <w:sz w:val="18"/>
          <w:szCs w:val="18"/>
        </w:rPr>
        <w:t>% de l’indice des produits non alimentaires d’autre part.</w:t>
      </w:r>
    </w:p>
    <w:p w:rsidR="00B6358C" w:rsidRPr="00BC7EED" w:rsidRDefault="00B6358C" w:rsidP="00B6358C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2"/>
          <w:szCs w:val="12"/>
        </w:rPr>
      </w:pPr>
    </w:p>
    <w:p w:rsidR="00306448" w:rsidRDefault="007E33F6" w:rsidP="00306448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baisse de l’indice des produits alimentaires est due essentiellement à la diminution de l’indice de la division « Produits alimentaires et boissons </w:t>
      </w:r>
      <w:r w:rsidR="00971622">
        <w:rPr>
          <w:rFonts w:asciiTheme="minorBidi" w:hAnsiTheme="minorBidi" w:cstheme="minorBidi"/>
          <w:sz w:val="18"/>
          <w:szCs w:val="18"/>
        </w:rPr>
        <w:t xml:space="preserve">non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B043CC" w:rsidRPr="00B6358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6C1976">
        <w:rPr>
          <w:rFonts w:asciiTheme="minorBidi" w:hAnsiTheme="minorBidi" w:cstheme="minorBidi"/>
          <w:sz w:val="18"/>
          <w:szCs w:val="18"/>
        </w:rPr>
        <w:t>9</w:t>
      </w:r>
      <w:r w:rsidRPr="00B6358C">
        <w:rPr>
          <w:rFonts w:asciiTheme="minorBidi" w:hAnsiTheme="minorBidi" w:cstheme="minorBidi"/>
          <w:sz w:val="18"/>
          <w:szCs w:val="18"/>
        </w:rPr>
        <w:t xml:space="preserve">% </w:t>
      </w:r>
      <w:r w:rsidR="00306448" w:rsidRPr="00B6358C">
        <w:rPr>
          <w:rFonts w:asciiTheme="minorBidi" w:hAnsiTheme="minorBidi" w:cstheme="minorBidi"/>
          <w:sz w:val="18"/>
          <w:szCs w:val="18"/>
        </w:rPr>
        <w:t xml:space="preserve">et à </w:t>
      </w:r>
      <w:r w:rsidR="00306448">
        <w:rPr>
          <w:rFonts w:asciiTheme="minorBidi" w:hAnsiTheme="minorBidi" w:cstheme="minorBidi"/>
          <w:sz w:val="18"/>
          <w:szCs w:val="18"/>
        </w:rPr>
        <w:t>l’augmentation</w:t>
      </w:r>
      <w:r w:rsidR="00306448" w:rsidRPr="00B6358C">
        <w:rPr>
          <w:rFonts w:asciiTheme="minorBidi" w:hAnsiTheme="minorBidi" w:cstheme="minorBidi"/>
          <w:sz w:val="18"/>
          <w:szCs w:val="18"/>
        </w:rPr>
        <w:t xml:space="preserve"> de celui de</w:t>
      </w:r>
      <w:r w:rsidR="00306448">
        <w:rPr>
          <w:rFonts w:asciiTheme="minorBidi" w:hAnsiTheme="minorBidi" w:cstheme="minorBidi"/>
          <w:sz w:val="18"/>
          <w:szCs w:val="18"/>
        </w:rPr>
        <w:t>s</w:t>
      </w:r>
      <w:r w:rsidR="00306448"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306448">
        <w:rPr>
          <w:rFonts w:asciiTheme="minorBidi" w:hAnsiTheme="minorBidi" w:cstheme="minorBidi"/>
          <w:sz w:val="18"/>
          <w:szCs w:val="18"/>
        </w:rPr>
        <w:t>coolisées et tabac» de 0,1%.</w:t>
      </w:r>
    </w:p>
    <w:p w:rsidR="009D5FA1" w:rsidRPr="00BC7EED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2"/>
          <w:szCs w:val="12"/>
          <w:rtl/>
        </w:rPr>
      </w:pPr>
    </w:p>
    <w:p w:rsidR="0056138E" w:rsidRDefault="007E33F6" w:rsidP="00C563E3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baisses des produits alimentaires observées entre </w:t>
      </w:r>
      <w:r w:rsidR="00306448">
        <w:rPr>
          <w:rFonts w:asciiTheme="minorBidi" w:hAnsiTheme="minorBidi" w:cstheme="minorBidi"/>
          <w:sz w:val="18"/>
          <w:szCs w:val="18"/>
        </w:rPr>
        <w:t>octobre</w:t>
      </w:r>
      <w:r w:rsidR="0056138E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 xml:space="preserve">et </w:t>
      </w:r>
      <w:r w:rsidR="00306448">
        <w:rPr>
          <w:rFonts w:asciiTheme="minorBidi" w:hAnsiTheme="minorBidi" w:cstheme="minorBidi"/>
          <w:sz w:val="18"/>
          <w:szCs w:val="18"/>
        </w:rPr>
        <w:t>novembre</w:t>
      </w:r>
      <w:r w:rsidR="009755A6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principalement les </w:t>
      </w:r>
      <w:r w:rsidR="00306448" w:rsidRPr="00B6358C">
        <w:rPr>
          <w:rFonts w:asciiTheme="minorBidi" w:hAnsiTheme="minorBidi" w:cstheme="minorBidi"/>
          <w:sz w:val="18"/>
          <w:szCs w:val="18"/>
        </w:rPr>
        <w:t xml:space="preserve">«Fruits» avec </w:t>
      </w:r>
      <w:r w:rsidR="00306448">
        <w:rPr>
          <w:rFonts w:asciiTheme="minorBidi" w:hAnsiTheme="minorBidi" w:cstheme="minorBidi"/>
          <w:sz w:val="18"/>
          <w:szCs w:val="18"/>
        </w:rPr>
        <w:t>9</w:t>
      </w:r>
      <w:r w:rsidR="00306448" w:rsidRPr="00B6358C">
        <w:rPr>
          <w:rFonts w:asciiTheme="minorBidi" w:hAnsiTheme="minorBidi" w:cstheme="minorBidi"/>
          <w:sz w:val="18"/>
          <w:szCs w:val="18"/>
        </w:rPr>
        <w:t>,</w:t>
      </w:r>
      <w:r w:rsidR="00306448">
        <w:rPr>
          <w:rFonts w:asciiTheme="minorBidi" w:hAnsiTheme="minorBidi" w:cstheme="minorBidi"/>
          <w:sz w:val="18"/>
          <w:szCs w:val="18"/>
        </w:rPr>
        <w:t>7</w:t>
      </w:r>
      <w:r w:rsidR="00306448" w:rsidRPr="00B6358C">
        <w:rPr>
          <w:rFonts w:asciiTheme="minorBidi" w:hAnsiTheme="minorBidi" w:cstheme="minorBidi"/>
          <w:sz w:val="18"/>
          <w:szCs w:val="18"/>
        </w:rPr>
        <w:t>%,</w:t>
      </w:r>
      <w:r w:rsidR="00306448">
        <w:rPr>
          <w:rFonts w:asciiTheme="minorBidi" w:hAnsiTheme="minorBidi" w:cstheme="minorBidi"/>
          <w:sz w:val="18"/>
          <w:szCs w:val="18"/>
        </w:rPr>
        <w:t xml:space="preserve"> les </w:t>
      </w:r>
      <w:r w:rsidR="00306448" w:rsidRPr="00B6358C">
        <w:rPr>
          <w:rFonts w:asciiTheme="minorBidi" w:hAnsiTheme="minorBidi" w:cstheme="minorBidi"/>
          <w:sz w:val="18"/>
          <w:szCs w:val="18"/>
        </w:rPr>
        <w:t xml:space="preserve">«Poissons et fruits de mer» avec </w:t>
      </w:r>
      <w:r w:rsidR="00306448">
        <w:rPr>
          <w:rFonts w:asciiTheme="minorBidi" w:hAnsiTheme="minorBidi" w:cstheme="minorBidi"/>
          <w:sz w:val="18"/>
          <w:szCs w:val="18"/>
        </w:rPr>
        <w:t>3</w:t>
      </w:r>
      <w:r w:rsidR="00306448" w:rsidRPr="00B6358C">
        <w:rPr>
          <w:rFonts w:asciiTheme="minorBidi" w:hAnsiTheme="minorBidi" w:cstheme="minorBidi"/>
          <w:sz w:val="18"/>
          <w:szCs w:val="18"/>
        </w:rPr>
        <w:t>,</w:t>
      </w:r>
      <w:r w:rsidR="00306448">
        <w:rPr>
          <w:rFonts w:asciiTheme="minorBidi" w:hAnsiTheme="minorBidi" w:cstheme="minorBidi"/>
          <w:sz w:val="18"/>
          <w:szCs w:val="18"/>
        </w:rPr>
        <w:t>2</w:t>
      </w:r>
      <w:r w:rsidR="00306448" w:rsidRPr="00B6358C">
        <w:rPr>
          <w:rFonts w:asciiTheme="minorBidi" w:hAnsiTheme="minorBidi" w:cstheme="minorBidi"/>
          <w:sz w:val="18"/>
          <w:szCs w:val="18"/>
        </w:rPr>
        <w:t>%</w:t>
      </w:r>
      <w:r w:rsidR="00306448">
        <w:rPr>
          <w:rFonts w:asciiTheme="minorBidi" w:hAnsiTheme="minorBidi" w:cstheme="minorBidi"/>
          <w:sz w:val="18"/>
          <w:szCs w:val="18"/>
        </w:rPr>
        <w:t>, les «Viandes»  avec 0,7% et</w:t>
      </w:r>
      <w:r w:rsidR="00306448" w:rsidRPr="00306448">
        <w:rPr>
          <w:rFonts w:asciiTheme="minorBidi" w:hAnsiTheme="minorBidi" w:cstheme="minorBidi"/>
          <w:sz w:val="18"/>
          <w:szCs w:val="18"/>
        </w:rPr>
        <w:t xml:space="preserve"> </w:t>
      </w:r>
      <w:r w:rsidR="00306448">
        <w:rPr>
          <w:rFonts w:asciiTheme="minorBidi" w:hAnsiTheme="minorBidi" w:cstheme="minorBidi"/>
          <w:sz w:val="18"/>
          <w:szCs w:val="18"/>
        </w:rPr>
        <w:t>le</w:t>
      </w:r>
      <w:r w:rsidR="00306448" w:rsidRPr="00B6358C">
        <w:rPr>
          <w:rFonts w:asciiTheme="minorBidi" w:hAnsiTheme="minorBidi" w:cstheme="minorBidi"/>
          <w:sz w:val="18"/>
          <w:szCs w:val="18"/>
        </w:rPr>
        <w:t xml:space="preserve"> « Pain et céréales »</w:t>
      </w:r>
      <w:r w:rsidR="00306448">
        <w:rPr>
          <w:rFonts w:asciiTheme="minorBidi" w:hAnsiTheme="minorBidi" w:cstheme="minorBidi"/>
          <w:sz w:val="18"/>
          <w:szCs w:val="18"/>
        </w:rPr>
        <w:t xml:space="preserve"> avec 0</w:t>
      </w:r>
      <w:r w:rsidR="00306448" w:rsidRPr="00B6358C">
        <w:rPr>
          <w:rFonts w:asciiTheme="minorBidi" w:hAnsiTheme="minorBidi" w:cstheme="minorBidi"/>
          <w:sz w:val="18"/>
          <w:szCs w:val="18"/>
        </w:rPr>
        <w:t>,</w:t>
      </w:r>
      <w:r w:rsidR="00306448">
        <w:rPr>
          <w:rFonts w:asciiTheme="minorBidi" w:hAnsiTheme="minorBidi" w:cstheme="minorBidi"/>
          <w:sz w:val="18"/>
          <w:szCs w:val="18"/>
        </w:rPr>
        <w:t>2%.</w:t>
      </w:r>
      <w:r w:rsidR="00306448" w:rsidRPr="00306448">
        <w:rPr>
          <w:rFonts w:asciiTheme="minorBidi" w:hAnsiTheme="minorBidi" w:cstheme="minorBidi"/>
          <w:sz w:val="18"/>
          <w:szCs w:val="18"/>
        </w:rPr>
        <w:t xml:space="preserve"> </w:t>
      </w:r>
      <w:r w:rsidR="00306448" w:rsidRPr="00B6358C">
        <w:rPr>
          <w:rFonts w:asciiTheme="minorBidi" w:hAnsiTheme="minorBidi" w:cstheme="minorBidi"/>
          <w:sz w:val="18"/>
          <w:szCs w:val="18"/>
        </w:rPr>
        <w:t>Par contre, les prix ont augmenté de</w:t>
      </w:r>
      <w:r w:rsidR="00306448">
        <w:rPr>
          <w:rFonts w:asciiTheme="minorBidi" w:hAnsiTheme="minorBidi" w:cstheme="minorBidi"/>
          <w:sz w:val="18"/>
          <w:szCs w:val="18"/>
        </w:rPr>
        <w:t xml:space="preserve"> 1</w:t>
      </w:r>
      <w:r w:rsidR="00306448" w:rsidRPr="00B6358C">
        <w:rPr>
          <w:rFonts w:asciiTheme="minorBidi" w:hAnsiTheme="minorBidi" w:cstheme="minorBidi"/>
          <w:sz w:val="18"/>
          <w:szCs w:val="18"/>
        </w:rPr>
        <w:t>,</w:t>
      </w:r>
      <w:r w:rsidR="00306448">
        <w:rPr>
          <w:rFonts w:asciiTheme="minorBidi" w:hAnsiTheme="minorBidi" w:cstheme="minorBidi"/>
          <w:sz w:val="18"/>
          <w:szCs w:val="18"/>
        </w:rPr>
        <w:t xml:space="preserve">5% pour les </w:t>
      </w:r>
      <w:r w:rsidR="00306448" w:rsidRPr="00B6358C">
        <w:rPr>
          <w:rFonts w:asciiTheme="minorBidi" w:hAnsiTheme="minorBidi" w:cstheme="minorBidi"/>
          <w:sz w:val="18"/>
          <w:szCs w:val="18"/>
        </w:rPr>
        <w:t>«Légumes»</w:t>
      </w:r>
      <w:r w:rsidR="00306448" w:rsidRPr="00306448">
        <w:rPr>
          <w:rFonts w:asciiTheme="minorBidi" w:hAnsiTheme="minorBidi" w:cstheme="minorBidi"/>
          <w:sz w:val="18"/>
          <w:szCs w:val="18"/>
        </w:rPr>
        <w:t xml:space="preserve"> </w:t>
      </w:r>
      <w:r w:rsidR="00306448">
        <w:rPr>
          <w:rFonts w:asciiTheme="minorBidi" w:hAnsiTheme="minorBidi" w:cstheme="minorBidi"/>
          <w:sz w:val="18"/>
          <w:szCs w:val="18"/>
        </w:rPr>
        <w:t xml:space="preserve">et de 0,2% pour </w:t>
      </w:r>
      <w:r w:rsidR="00306448" w:rsidRPr="00B6358C">
        <w:rPr>
          <w:rFonts w:asciiTheme="minorBidi" w:hAnsiTheme="minorBidi" w:cstheme="minorBidi"/>
          <w:sz w:val="18"/>
          <w:szCs w:val="18"/>
        </w:rPr>
        <w:t>le « Lait, fromage et œufs»</w:t>
      </w:r>
      <w:r w:rsidR="00306448">
        <w:rPr>
          <w:rFonts w:asciiTheme="minorBidi" w:hAnsiTheme="minorBidi" w:cstheme="minorBidi"/>
          <w:sz w:val="18"/>
          <w:szCs w:val="18"/>
        </w:rPr>
        <w:t>, t</w:t>
      </w:r>
      <w:r w:rsidR="0056138E">
        <w:rPr>
          <w:rFonts w:asciiTheme="minorBidi" w:hAnsiTheme="minorBidi" w:cstheme="minorBidi"/>
          <w:sz w:val="18"/>
          <w:szCs w:val="18"/>
        </w:rPr>
        <w:t>andis que les autres groupes des produits alimentaires et boissons alcoolisées ont enregistré une stabilité.</w:t>
      </w:r>
    </w:p>
    <w:p w:rsidR="00B6358C" w:rsidRPr="00BC7EED" w:rsidRDefault="00B6358C" w:rsidP="00B6358C">
      <w:pPr>
        <w:tabs>
          <w:tab w:val="left" w:pos="851"/>
        </w:tabs>
        <w:bidi w:val="0"/>
        <w:jc w:val="both"/>
        <w:rPr>
          <w:rFonts w:asciiTheme="minorBidi" w:hAnsiTheme="minorBidi" w:cstheme="minorBidi"/>
          <w:sz w:val="12"/>
          <w:szCs w:val="12"/>
        </w:rPr>
      </w:pPr>
    </w:p>
    <w:p w:rsidR="007E33F6" w:rsidRDefault="007E33F6" w:rsidP="009350BA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 xml:space="preserve">la hausse a concerné principalement les prix des </w:t>
      </w:r>
      <w:r w:rsidR="0075301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9350BA">
        <w:rPr>
          <w:rFonts w:asciiTheme="minorBidi" w:hAnsiTheme="minorBidi" w:cstheme="minorBidi"/>
          <w:sz w:val="18"/>
          <w:szCs w:val="18"/>
        </w:rPr>
        <w:t xml:space="preserve">avec 2,7%, </w:t>
      </w:r>
      <w:r w:rsidR="00753010" w:rsidRPr="00B6358C">
        <w:rPr>
          <w:rFonts w:asciiTheme="minorBidi" w:hAnsiTheme="minorBidi" w:cstheme="minorBidi"/>
          <w:sz w:val="18"/>
          <w:szCs w:val="18"/>
        </w:rPr>
        <w:t>de « Transport »</w:t>
      </w:r>
      <w:r w:rsidR="009755A6">
        <w:rPr>
          <w:rFonts w:asciiTheme="minorBidi" w:hAnsiTheme="minorBidi" w:cstheme="minorBidi"/>
          <w:sz w:val="18"/>
          <w:szCs w:val="18"/>
        </w:rPr>
        <w:t xml:space="preserve"> </w:t>
      </w:r>
      <w:r w:rsidR="00753010">
        <w:rPr>
          <w:rFonts w:asciiTheme="minorBidi" w:hAnsiTheme="minorBidi" w:cstheme="minorBidi"/>
          <w:sz w:val="18"/>
          <w:szCs w:val="18"/>
        </w:rPr>
        <w:t>avec 0,</w:t>
      </w:r>
      <w:r w:rsidR="009350BA">
        <w:rPr>
          <w:rFonts w:asciiTheme="minorBidi" w:hAnsiTheme="minorBidi" w:cstheme="minorBidi"/>
          <w:sz w:val="18"/>
          <w:szCs w:val="18"/>
        </w:rPr>
        <w:t>8</w:t>
      </w:r>
      <w:r w:rsidR="00753010">
        <w:rPr>
          <w:rFonts w:asciiTheme="minorBidi" w:hAnsiTheme="minorBidi" w:cstheme="minorBidi"/>
          <w:sz w:val="18"/>
          <w:szCs w:val="18"/>
        </w:rPr>
        <w:t>%</w:t>
      </w:r>
      <w:r w:rsidR="009350BA">
        <w:rPr>
          <w:rFonts w:asciiTheme="minorBidi" w:hAnsiTheme="minorBidi" w:cstheme="minorBidi"/>
          <w:sz w:val="18"/>
          <w:szCs w:val="18"/>
        </w:rPr>
        <w:t>, de « </w:t>
      </w:r>
      <w:r w:rsidR="009350BA" w:rsidRPr="009350BA">
        <w:rPr>
          <w:rFonts w:asciiTheme="minorBidi" w:hAnsiTheme="minorBidi" w:cstheme="minorBidi"/>
          <w:sz w:val="18"/>
          <w:szCs w:val="18"/>
        </w:rPr>
        <w:t>Meubles, articles de ménage et entretien courant du foyer</w:t>
      </w:r>
      <w:r w:rsidR="009350BA">
        <w:rPr>
          <w:rFonts w:asciiTheme="minorBidi" w:hAnsiTheme="minorBidi" w:cstheme="minorBidi"/>
          <w:sz w:val="18"/>
          <w:szCs w:val="18"/>
        </w:rPr>
        <w:t> » avec 0,5%, de « L</w:t>
      </w:r>
      <w:r w:rsidR="009350BA" w:rsidRPr="009350BA">
        <w:rPr>
          <w:rFonts w:asciiTheme="minorBidi" w:hAnsiTheme="minorBidi" w:cstheme="minorBidi"/>
          <w:sz w:val="18"/>
          <w:szCs w:val="18"/>
        </w:rPr>
        <w:t>ogement, eau, gaz, électricité et autres combustibles</w:t>
      </w:r>
      <w:r w:rsidR="009350BA">
        <w:rPr>
          <w:rFonts w:asciiTheme="minorBidi" w:hAnsiTheme="minorBidi" w:cstheme="minorBidi"/>
          <w:sz w:val="18"/>
          <w:szCs w:val="18"/>
        </w:rPr>
        <w:t> » avec 0,3% et de celui des « Re</w:t>
      </w:r>
      <w:r w:rsidR="009350BA" w:rsidRPr="009350BA">
        <w:rPr>
          <w:rFonts w:asciiTheme="minorBidi" w:hAnsiTheme="minorBidi" w:cstheme="minorBidi"/>
          <w:sz w:val="18"/>
          <w:szCs w:val="18"/>
        </w:rPr>
        <w:t>staurants et hôtels</w:t>
      </w:r>
      <w:r w:rsidR="009350BA">
        <w:rPr>
          <w:rFonts w:asciiTheme="minorBidi" w:hAnsiTheme="minorBidi" w:cstheme="minorBidi"/>
          <w:sz w:val="18"/>
          <w:szCs w:val="18"/>
        </w:rPr>
        <w:t> » avec 0,1%</w:t>
      </w:r>
      <w:r w:rsidR="00707E06" w:rsidRPr="00B6358C">
        <w:rPr>
          <w:rFonts w:asciiTheme="minorBidi" w:hAnsiTheme="minorBidi" w:cstheme="minorBidi"/>
          <w:sz w:val="18"/>
          <w:szCs w:val="18"/>
        </w:rPr>
        <w:t>.</w:t>
      </w:r>
      <w:r w:rsidR="009755A6">
        <w:rPr>
          <w:rFonts w:asciiTheme="minorBidi" w:hAnsiTheme="minorBidi" w:cstheme="minorBidi"/>
          <w:sz w:val="18"/>
          <w:szCs w:val="18"/>
        </w:rPr>
        <w:t xml:space="preserve"> 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Cependant </w:t>
      </w:r>
      <w:r w:rsidRPr="00B6358C">
        <w:rPr>
          <w:rFonts w:asciiTheme="minorBidi" w:hAnsiTheme="minorBidi" w:cstheme="minorBidi"/>
          <w:sz w:val="18"/>
          <w:szCs w:val="18"/>
        </w:rPr>
        <w:t>les</w:t>
      </w:r>
      <w:r w:rsidR="000B258C" w:rsidRPr="00B6358C">
        <w:rPr>
          <w:rFonts w:asciiTheme="minorBidi" w:hAnsiTheme="minorBidi" w:cstheme="minorBidi"/>
          <w:sz w:val="18"/>
          <w:szCs w:val="18"/>
        </w:rPr>
        <w:t xml:space="preserve"> autres</w:t>
      </w:r>
      <w:r w:rsidRPr="00B6358C">
        <w:rPr>
          <w:rFonts w:asciiTheme="minorBidi" w:hAnsiTheme="minorBidi" w:cstheme="minorBidi"/>
          <w:sz w:val="18"/>
          <w:szCs w:val="18"/>
        </w:rPr>
        <w:t xml:space="preserve"> groupes ont enregistré une stagnation. </w:t>
      </w:r>
    </w:p>
    <w:p w:rsidR="00B6358C" w:rsidRPr="00AC6DF5" w:rsidRDefault="00B6358C" w:rsidP="00B6358C">
      <w:pPr>
        <w:tabs>
          <w:tab w:val="left" w:pos="851"/>
        </w:tabs>
        <w:bidi w:val="0"/>
        <w:jc w:val="both"/>
        <w:rPr>
          <w:rFonts w:asciiTheme="minorBidi" w:hAnsiTheme="minorBidi" w:cstheme="minorBidi"/>
          <w:sz w:val="12"/>
          <w:szCs w:val="12"/>
        </w:rPr>
      </w:pPr>
    </w:p>
    <w:p w:rsidR="00233061" w:rsidRDefault="00233061" w:rsidP="00E20357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>
        <w:rPr>
          <w:rFonts w:asciiTheme="minorBidi" w:hAnsiTheme="minorBidi" w:cstheme="minorBidi"/>
          <w:sz w:val="18"/>
          <w:szCs w:val="18"/>
        </w:rPr>
        <w:t>de novembre</w:t>
      </w:r>
      <w:r w:rsidRPr="00B6358C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202</w:t>
      </w:r>
      <w:r w:rsidR="00E20357">
        <w:rPr>
          <w:rFonts w:asciiTheme="minorBidi" w:hAnsiTheme="minorBidi" w:cstheme="minorBidi" w:hint="cs"/>
          <w:sz w:val="18"/>
          <w:szCs w:val="18"/>
          <w:rtl/>
        </w:rPr>
        <w:t>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2,6%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 xml:space="preserve">%. Pour les produits non alimentaires, les variations vont d’une baisse de </w:t>
      </w:r>
      <w:r>
        <w:rPr>
          <w:rFonts w:asciiTheme="minorBidi" w:hAnsiTheme="minorBidi" w:cstheme="minorBidi"/>
          <w:sz w:val="18"/>
          <w:szCs w:val="18"/>
        </w:rPr>
        <w:t>0,7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 xml:space="preserve">les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>
        <w:rPr>
          <w:rFonts w:asciiTheme="minorBidi" w:hAnsiTheme="minorBidi" w:cstheme="minorBidi"/>
          <w:sz w:val="18"/>
          <w:szCs w:val="18"/>
        </w:rPr>
        <w:t>Loisirs et culture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>
        <w:rPr>
          <w:rFonts w:asciiTheme="minorBidi" w:hAnsiTheme="minorBidi" w:cstheme="minorBidi"/>
          <w:sz w:val="18"/>
          <w:szCs w:val="18"/>
        </w:rPr>
        <w:t>8,0</w:t>
      </w:r>
      <w:r w:rsidRPr="008C4377">
        <w:rPr>
          <w:rFonts w:asciiTheme="minorBidi" w:hAnsiTheme="minorBidi" w:cstheme="minorBidi"/>
          <w:sz w:val="18"/>
          <w:szCs w:val="18"/>
        </w:rPr>
        <w:t>% pour l</w:t>
      </w:r>
      <w:r>
        <w:rPr>
          <w:rFonts w:asciiTheme="minorBidi" w:hAnsiTheme="minorBidi" w:cstheme="minorBidi"/>
          <w:sz w:val="18"/>
          <w:szCs w:val="18"/>
        </w:rPr>
        <w:t>es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>
        <w:rPr>
          <w:rFonts w:asciiTheme="minorBidi" w:hAnsiTheme="minorBidi" w:cstheme="minorBidi"/>
          <w:sz w:val="18"/>
          <w:szCs w:val="18"/>
        </w:rPr>
        <w:t>Articles d’habillement et chaussures »</w:t>
      </w:r>
      <w:r w:rsidRPr="008C4377">
        <w:rPr>
          <w:rFonts w:asciiTheme="minorBidi" w:hAnsiTheme="minorBidi" w:cstheme="minorBidi"/>
          <w:sz w:val="18"/>
          <w:szCs w:val="18"/>
        </w:rPr>
        <w:t>.</w:t>
      </w:r>
    </w:p>
    <w:p w:rsidR="007B47BB" w:rsidRPr="007B47BB" w:rsidRDefault="007B47BB" w:rsidP="007B47BB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13267A" w:rsidRDefault="007E33F6" w:rsidP="007B47BB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les hausses les plus importantes </w:t>
      </w:r>
      <w:r w:rsidR="008461C4" w:rsidRPr="00B6358C">
        <w:rPr>
          <w:rFonts w:asciiTheme="minorBidi" w:hAnsiTheme="minorBidi" w:cstheme="minorBidi"/>
          <w:sz w:val="18"/>
          <w:szCs w:val="18"/>
        </w:rPr>
        <w:t xml:space="preserve"> de l’IPC ont été enregistrées </w:t>
      </w:r>
      <w:r w:rsidR="008240E2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à </w:t>
      </w:r>
      <w:r w:rsidR="007B47BB">
        <w:rPr>
          <w:rFonts w:ascii="Arial" w:hAnsi="Arial" w:cs="Arial"/>
          <w:color w:val="333333"/>
          <w:sz w:val="14"/>
          <w:szCs w:val="14"/>
          <w:shd w:val="clear" w:color="auto" w:fill="F3F3F3"/>
        </w:rPr>
        <w:t> </w:t>
      </w:r>
      <w:r w:rsidR="007B47BB" w:rsidRPr="007B47BB">
        <w:rPr>
          <w:rFonts w:asciiTheme="minorBidi" w:hAnsiTheme="minorBidi" w:cstheme="minorBidi"/>
          <w:sz w:val="18"/>
          <w:szCs w:val="18"/>
        </w:rPr>
        <w:t xml:space="preserve">Marrakech avec 0,8%, à Casablanca et Dakhla avec 0,4%, à Meknès et Settat avec 0,3% et à Agadir, Fès, </w:t>
      </w:r>
      <w:proofErr w:type="spellStart"/>
      <w:r w:rsidR="007B47BB" w:rsidRPr="007B47BB">
        <w:rPr>
          <w:rFonts w:asciiTheme="minorBidi" w:hAnsiTheme="minorBidi" w:cstheme="minorBidi"/>
          <w:sz w:val="18"/>
          <w:szCs w:val="18"/>
        </w:rPr>
        <w:t>Laâyoune</w:t>
      </w:r>
      <w:proofErr w:type="spellEnd"/>
      <w:r w:rsidR="007B47BB" w:rsidRPr="007B47BB">
        <w:rPr>
          <w:rFonts w:asciiTheme="minorBidi" w:hAnsiTheme="minorBidi" w:cstheme="minorBidi"/>
          <w:sz w:val="18"/>
          <w:szCs w:val="18"/>
        </w:rPr>
        <w:t xml:space="preserve"> et </w:t>
      </w:r>
      <w:proofErr w:type="spellStart"/>
      <w:r w:rsidR="007B47BB" w:rsidRPr="007B47BB">
        <w:rPr>
          <w:rFonts w:asciiTheme="minorBidi" w:hAnsiTheme="minorBidi" w:cstheme="minorBidi"/>
          <w:sz w:val="18"/>
          <w:szCs w:val="18"/>
        </w:rPr>
        <w:t>Guelmim</w:t>
      </w:r>
      <w:proofErr w:type="spellEnd"/>
      <w:r w:rsidR="007B47BB" w:rsidRPr="007B47BB">
        <w:rPr>
          <w:rFonts w:asciiTheme="minorBidi" w:hAnsiTheme="minorBidi" w:cstheme="minorBidi"/>
          <w:sz w:val="18"/>
          <w:szCs w:val="18"/>
        </w:rPr>
        <w:t xml:space="preserve"> avec 0,1%. En revanche, des baisses ont été enregistrées à </w:t>
      </w:r>
      <w:proofErr w:type="spellStart"/>
      <w:r w:rsidR="007B47BB" w:rsidRPr="007B47BB">
        <w:rPr>
          <w:rFonts w:asciiTheme="minorBidi" w:hAnsiTheme="minorBidi" w:cstheme="minorBidi"/>
          <w:sz w:val="18"/>
          <w:szCs w:val="18"/>
        </w:rPr>
        <w:t>Al-hoceima</w:t>
      </w:r>
      <w:proofErr w:type="spellEnd"/>
      <w:r w:rsidR="007B47BB" w:rsidRPr="007B47BB">
        <w:rPr>
          <w:rFonts w:asciiTheme="minorBidi" w:hAnsiTheme="minorBidi" w:cstheme="minorBidi"/>
          <w:sz w:val="18"/>
          <w:szCs w:val="18"/>
        </w:rPr>
        <w:t xml:space="preserve"> avec 0,9%, à Tétouan et </w:t>
      </w:r>
      <w:proofErr w:type="spellStart"/>
      <w:r w:rsidR="007B47BB" w:rsidRPr="007B47BB">
        <w:rPr>
          <w:rFonts w:asciiTheme="minorBidi" w:hAnsiTheme="minorBidi" w:cstheme="minorBidi"/>
          <w:sz w:val="18"/>
          <w:szCs w:val="18"/>
        </w:rPr>
        <w:t>Beni</w:t>
      </w:r>
      <w:proofErr w:type="spellEnd"/>
      <w:r w:rsidR="007B47BB" w:rsidRPr="007B47BB">
        <w:rPr>
          <w:rFonts w:asciiTheme="minorBidi" w:hAnsiTheme="minorBidi" w:cstheme="minorBidi"/>
          <w:sz w:val="18"/>
          <w:szCs w:val="18"/>
        </w:rPr>
        <w:t xml:space="preserve">-Mellal avec 0,5% et à </w:t>
      </w:r>
      <w:proofErr w:type="spellStart"/>
      <w:r w:rsidR="007B47BB" w:rsidRPr="007B47BB">
        <w:rPr>
          <w:rFonts w:asciiTheme="minorBidi" w:hAnsiTheme="minorBidi" w:cstheme="minorBidi"/>
          <w:sz w:val="18"/>
          <w:szCs w:val="18"/>
        </w:rPr>
        <w:t>Kénitra</w:t>
      </w:r>
      <w:proofErr w:type="spellEnd"/>
      <w:r w:rsidR="007B47BB" w:rsidRPr="007B47BB">
        <w:rPr>
          <w:rFonts w:asciiTheme="minorBidi" w:hAnsiTheme="minorBidi" w:cstheme="minorBidi"/>
          <w:sz w:val="18"/>
          <w:szCs w:val="18"/>
        </w:rPr>
        <w:t xml:space="preserve"> avec 0,2%.</w:t>
      </w:r>
      <w:r w:rsidR="007B47BB">
        <w:rPr>
          <w:rFonts w:ascii="Arial" w:hAnsi="Arial" w:cs="Arial"/>
          <w:color w:val="333333"/>
          <w:sz w:val="14"/>
          <w:szCs w:val="14"/>
          <w:shd w:val="clear" w:color="auto" w:fill="F3F3F3"/>
        </w:rPr>
        <w:t> </w:t>
      </w:r>
      <w:r w:rsidR="008240E2" w:rsidRPr="008240E2">
        <w:rPr>
          <w:rFonts w:asciiTheme="minorBidi" w:hAnsiTheme="minorBidi" w:cstheme="minorBidi"/>
          <w:sz w:val="18"/>
          <w:szCs w:val="18"/>
        </w:rPr>
        <w:t>.</w:t>
      </w:r>
    </w:p>
    <w:p w:rsidR="00D060D8" w:rsidRDefault="00D060D8" w:rsidP="00D060D8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9142A2" w:rsidRPr="009142A2" w:rsidRDefault="009142A2" w:rsidP="00EB79F9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EB79F9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للأ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ثمان عند الاستهلاك لشهر </w:t>
      </w:r>
      <w:proofErr w:type="spellStart"/>
      <w:r w:rsidR="0046290F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نونبر</w:t>
      </w:r>
      <w:proofErr w:type="spellEnd"/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Pr="00C119CD" w:rsidRDefault="002C00BE" w:rsidP="0046290F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سجل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الرقم الاستدلالي للأثمان عند الاستهلاك (أساس 100: 2017) خلال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 xml:space="preserve"> شهر </w:t>
      </w:r>
      <w:proofErr w:type="spellStart"/>
      <w:r w:rsidR="0046290F">
        <w:rPr>
          <w:rFonts w:asciiTheme="minorBidi" w:hAnsiTheme="minorBidi" w:cstheme="minorBidi" w:hint="cs"/>
          <w:sz w:val="22"/>
          <w:szCs w:val="22"/>
          <w:rtl/>
        </w:rPr>
        <w:t>نونبر</w:t>
      </w:r>
      <w:proofErr w:type="spellEnd"/>
      <w:r w:rsidR="009755A6" w:rsidRPr="00C119CD">
        <w:rPr>
          <w:rFonts w:asciiTheme="minorBidi" w:hAnsiTheme="minorBidi" w:cstheme="minorBidi" w:hint="cs"/>
          <w:sz w:val="22"/>
          <w:szCs w:val="22"/>
          <w:rtl/>
        </w:rPr>
        <w:t xml:space="preserve"> 2021 </w:t>
      </w:r>
      <w:r w:rsidR="009D5FA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ب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مدينة الرباط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استقرارا نسبيا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بالمقارنة مع الشهر السابق مقابل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ارتفاع </w:t>
      </w:r>
      <w:r w:rsidR="0046290F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قدر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بنسبة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0,</w:t>
      </w:r>
      <w:r w:rsidR="0046290F">
        <w:rPr>
          <w:rFonts w:asciiTheme="minorBidi" w:hAnsiTheme="minorBidi" w:cstheme="minorBidi" w:hint="cs"/>
          <w:sz w:val="22"/>
          <w:szCs w:val="22"/>
          <w:rtl/>
          <w:lang w:bidi="ar-MA"/>
        </w:rPr>
        <w:t>2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على المستوى الوطني. ويرجع هذا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الاستقرار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 xml:space="preserve">إلى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تراجع 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>معدل الرقم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الاستدلالي للمواد الغذائية ب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0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46290F">
        <w:rPr>
          <w:rFonts w:asciiTheme="minorBidi" w:hAnsiTheme="minorBidi" w:cstheme="minorBidi" w:hint="cs"/>
          <w:sz w:val="22"/>
          <w:szCs w:val="22"/>
          <w:rtl/>
          <w:lang w:bidi="ar-MA"/>
        </w:rPr>
        <w:t>9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من جهة،  وتزايد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 xml:space="preserve"> معدل</w:t>
      </w:r>
      <w:r w:rsidR="0046290F">
        <w:rPr>
          <w:rFonts w:asciiTheme="minorBidi" w:hAnsiTheme="minorBidi" w:cstheme="minorBidi" w:hint="cs"/>
          <w:sz w:val="22"/>
          <w:szCs w:val="22"/>
          <w:rtl/>
        </w:rPr>
        <w:t xml:space="preserve"> 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>الرقم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الاستدلالي للمواد غير الغذائية ب 0,</w:t>
      </w:r>
      <w:r w:rsidR="0046290F">
        <w:rPr>
          <w:rFonts w:asciiTheme="minorBidi" w:hAnsiTheme="minorBidi" w:cstheme="minorBidi" w:hint="cs"/>
          <w:sz w:val="22"/>
          <w:szCs w:val="22"/>
          <w:rtl/>
          <w:lang w:bidi="ar-MA"/>
        </w:rPr>
        <w:t>4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من جهة أخرى. </w:t>
      </w:r>
    </w:p>
    <w:p w:rsidR="009D5FA1" w:rsidRPr="00C119CD" w:rsidRDefault="009D5FA1" w:rsidP="009D5FA1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46290F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ب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النسبة للمواد الغذائية، فقد نتج انخفاض رقمها الاستدلالي </w:t>
      </w:r>
      <w:r w:rsidR="009D5FA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بالأساس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إلى ت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راجع أثمان هذا المؤشر على مستوى قسم "المواد الغذائية والمشروبات غير الكحولية" بنسبة </w:t>
      </w:r>
      <w:r w:rsidR="00C2193A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0</w:t>
      </w:r>
      <w:proofErr w:type="gramStart"/>
      <w:r w:rsidR="00C2193A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,</w:t>
      </w:r>
      <w:r w:rsidR="0046290F">
        <w:rPr>
          <w:rFonts w:asciiTheme="minorBidi" w:hAnsiTheme="minorBidi" w:cstheme="minorBidi" w:hint="cs"/>
          <w:sz w:val="22"/>
          <w:szCs w:val="22"/>
          <w:rtl/>
          <w:lang w:bidi="ar-MA"/>
        </w:rPr>
        <w:t>9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proofErr w:type="gramEnd"/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و </w:t>
      </w:r>
      <w:r w:rsidR="0046290F">
        <w:rPr>
          <w:rFonts w:asciiTheme="minorBidi" w:hAnsiTheme="minorBidi" w:cstheme="minorBidi" w:hint="cs"/>
          <w:sz w:val="22"/>
          <w:szCs w:val="22"/>
          <w:rtl/>
          <w:lang w:bidi="ar-MA"/>
        </w:rPr>
        <w:t>تزايد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أثمان قسم "المشروبات الكحولية والتبغ"</w:t>
      </w:r>
      <w:r w:rsidR="0046290F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ب 0,1 </w:t>
      </w:r>
      <w:r w:rsidR="0046290F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.</w:t>
      </w:r>
    </w:p>
    <w:p w:rsidR="009D5FA1" w:rsidRPr="00C119CD" w:rsidRDefault="009D5FA1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C34FE2" w:rsidRPr="00C119CD" w:rsidRDefault="0013267A" w:rsidP="00B27564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وقد شملت أهم الانخفاضات المسجلة</w:t>
      </w:r>
      <w:r w:rsidR="00C563E3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7E3BB8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ما بين شهري </w:t>
      </w:r>
      <w:r w:rsidR="00C563E3">
        <w:rPr>
          <w:rFonts w:asciiTheme="minorBidi" w:hAnsiTheme="minorBidi" w:cstheme="minorBidi" w:hint="cs"/>
          <w:sz w:val="22"/>
          <w:szCs w:val="22"/>
          <w:rtl/>
          <w:lang w:bidi="ar-MA"/>
        </w:rPr>
        <w:t>أكتوبر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و </w:t>
      </w:r>
      <w:proofErr w:type="spellStart"/>
      <w:r w:rsidR="00C563E3">
        <w:rPr>
          <w:rFonts w:asciiTheme="minorBidi" w:hAnsiTheme="minorBidi" w:cstheme="minorBidi" w:hint="cs"/>
          <w:sz w:val="22"/>
          <w:szCs w:val="22"/>
          <w:rtl/>
          <w:lang w:bidi="ar-MA"/>
        </w:rPr>
        <w:t>نونبر</w:t>
      </w:r>
      <w:proofErr w:type="spellEnd"/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7E3BB8" w:rsidRPr="00C119CD">
        <w:rPr>
          <w:rFonts w:asciiTheme="minorBidi" w:hAnsiTheme="minorBidi" w:cstheme="minorBidi"/>
          <w:sz w:val="22"/>
          <w:szCs w:val="22"/>
          <w:rtl/>
          <w:lang w:bidi="ar-MA"/>
        </w:rPr>
        <w:t>2021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بقسم "المواد الغذائية والمشروبات غير الكحولية" على الخصوص أثمان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C563E3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"الفواكه" ب </w:t>
      </w:r>
      <w:r w:rsidR="00C563E3">
        <w:rPr>
          <w:rFonts w:asciiTheme="minorBidi" w:hAnsiTheme="minorBidi" w:cstheme="minorBidi" w:hint="cs"/>
          <w:sz w:val="22"/>
          <w:szCs w:val="22"/>
          <w:rtl/>
          <w:lang w:bidi="ar-MA"/>
        </w:rPr>
        <w:t>9</w:t>
      </w:r>
      <w:r w:rsidR="00C563E3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C563E3">
        <w:rPr>
          <w:rFonts w:asciiTheme="minorBidi" w:hAnsiTheme="minorBidi" w:cstheme="minorBidi" w:hint="cs"/>
          <w:sz w:val="22"/>
          <w:szCs w:val="22"/>
          <w:rtl/>
          <w:lang w:bidi="ar-MA"/>
        </w:rPr>
        <w:t>7</w:t>
      </w:r>
      <w:r w:rsidR="00C563E3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C563E3" w:rsidRPr="00C119CD">
        <w:rPr>
          <w:rFonts w:asciiTheme="minorBidi" w:hAnsiTheme="minorBidi" w:cstheme="minorBidi"/>
          <w:sz w:val="22"/>
          <w:szCs w:val="22"/>
          <w:rtl/>
          <w:lang w:bidi="ar-MA"/>
        </w:rPr>
        <w:t>،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"</w:t>
      </w:r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السمك وفواكه البحر" ب </w:t>
      </w:r>
      <w:r w:rsidR="00B27564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3</w:t>
      </w:r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>2</w:t>
      </w:r>
      <w:r w:rsidR="00B27564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B27564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،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>"</w:t>
      </w:r>
      <w:r w:rsidR="00B27564" w:rsidRPr="00C119CD">
        <w:rPr>
          <w:rFonts w:asciiTheme="minorBidi" w:hAnsiTheme="minorBidi" w:cstheme="minorBidi"/>
          <w:sz w:val="22"/>
          <w:szCs w:val="22"/>
          <w:rtl/>
        </w:rPr>
        <w:t xml:space="preserve">اللحوم" ب </w:t>
      </w:r>
      <w:r w:rsidR="00B27564">
        <w:rPr>
          <w:rFonts w:asciiTheme="minorBidi" w:hAnsiTheme="minorBidi" w:cstheme="minorBidi" w:hint="cs"/>
          <w:sz w:val="22"/>
          <w:szCs w:val="22"/>
          <w:rtl/>
        </w:rPr>
        <w:t>0</w:t>
      </w:r>
      <w:r w:rsidR="00B27564" w:rsidRPr="00C119CD">
        <w:rPr>
          <w:rFonts w:asciiTheme="minorBidi" w:hAnsiTheme="minorBidi" w:cstheme="minorBidi"/>
          <w:sz w:val="22"/>
          <w:szCs w:val="22"/>
          <w:rtl/>
        </w:rPr>
        <w:t>,</w:t>
      </w:r>
      <w:r w:rsidR="00B27564">
        <w:rPr>
          <w:rFonts w:asciiTheme="minorBidi" w:hAnsiTheme="minorBidi" w:cstheme="minorBidi" w:hint="cs"/>
          <w:sz w:val="22"/>
          <w:szCs w:val="22"/>
          <w:rtl/>
        </w:rPr>
        <w:t>7</w:t>
      </w:r>
      <w:r w:rsidR="00B27564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B27564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،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>"الخبز و الحبوب" ب 0,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>2</w:t>
      </w:r>
      <w:r w:rsidR="00B27564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. </w:t>
      </w:r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بينما ارتفعت </w:t>
      </w:r>
      <w:r w:rsidR="00B27564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بالمقابل أثما</w:t>
      </w:r>
      <w:r w:rsidR="00B27564" w:rsidRPr="00C119CD">
        <w:rPr>
          <w:rFonts w:asciiTheme="minorBidi" w:hAnsiTheme="minorBidi" w:cstheme="minorBidi" w:hint="eastAsia"/>
          <w:sz w:val="22"/>
          <w:szCs w:val="22"/>
          <w:rtl/>
          <w:lang w:bidi="ar-MA"/>
        </w:rPr>
        <w:t>ن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"الخضر" ب 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>1</w:t>
      </w:r>
      <w:proofErr w:type="gramStart"/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>5</w:t>
      </w:r>
      <w:r w:rsidR="00B27564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proofErr w:type="gramEnd"/>
      <w:r w:rsidR="00B27564" w:rsidRPr="00B27564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B27564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و "</w:t>
      </w:r>
      <w:r w:rsidR="00B27564" w:rsidRPr="00C119CD">
        <w:rPr>
          <w:rFonts w:asciiTheme="minorBidi" w:hAnsiTheme="minorBidi" w:cstheme="minorBidi"/>
          <w:sz w:val="22"/>
          <w:szCs w:val="22"/>
          <w:rtl/>
          <w:lang w:bidi="ar-MA"/>
        </w:rPr>
        <w:t>الحليب والجبن والبيض" ب 0,</w:t>
      </w:r>
      <w:r w:rsidR="00B27564">
        <w:rPr>
          <w:rFonts w:asciiTheme="minorBidi" w:hAnsiTheme="minorBidi" w:cstheme="minorBidi" w:hint="cs"/>
          <w:sz w:val="22"/>
          <w:szCs w:val="22"/>
          <w:rtl/>
          <w:lang w:bidi="ar-MA"/>
        </w:rPr>
        <w:t>2</w:t>
      </w:r>
      <w:r w:rsidR="00B27564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B27564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.</w:t>
      </w:r>
      <w:r w:rsidR="00C563E3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782E62" w:rsidRPr="00C119CD">
        <w:rPr>
          <w:rFonts w:asciiTheme="minorBidi" w:hAnsiTheme="minorBidi" w:cstheme="minorBidi"/>
          <w:sz w:val="22"/>
          <w:szCs w:val="22"/>
          <w:rtl/>
        </w:rPr>
        <w:t>في حين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</w:rPr>
        <w:t xml:space="preserve"> عرفت باقي أقسام المواد الغ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</w:rPr>
        <w:t>ذا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</w:rPr>
        <w:t>ئية و المشروبات الكحولية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</w:rPr>
        <w:t xml:space="preserve"> استقرارا نسبيا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5A35B6" w:rsidRPr="00C119CD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13267A" w:rsidRPr="00C119CD" w:rsidRDefault="0013267A" w:rsidP="00702C7E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أما فيما يخص المواد غير الغذائية فقد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هم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الارتفاع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على الخصوص أثمان "الملابس و الأحذية"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>ب 2</w:t>
      </w:r>
      <w:proofErr w:type="gramStart"/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>,7</w:t>
      </w:r>
      <w:r w:rsidR="00702C7E" w:rsidRPr="00C119C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proofErr w:type="gramEnd"/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،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C209B9" w:rsidRPr="00C119CD">
        <w:rPr>
          <w:rFonts w:asciiTheme="minorBidi" w:hAnsiTheme="minorBidi" w:cstheme="minorBidi"/>
          <w:sz w:val="22"/>
          <w:szCs w:val="22"/>
          <w:rtl/>
          <w:lang w:bidi="ar-MA"/>
        </w:rPr>
        <w:t>"النقل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" ب 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>0,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>8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r w:rsidR="00C209B9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>، "الأثاث و الأدوات المنزلية و الصيانة العادية للمنزل" ب  0,5</w:t>
      </w:r>
      <w:r w:rsidR="00702C7E" w:rsidRPr="00C119C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>، "السكن</w:t>
      </w:r>
      <w:r w:rsidR="00EB79F9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   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و الماء و الكهرباء و الغاز و محروقات أخرى" ب 0,3</w:t>
      </w:r>
      <w:r w:rsidR="00702C7E" w:rsidRPr="00C119C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و "مطاعم</w:t>
      </w:r>
      <w:r w:rsidR="00EB79F9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و فنادق" ب 0,1</w:t>
      </w:r>
      <w:r w:rsidR="00702C7E" w:rsidRPr="00C119C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r w:rsidR="00702C7E">
        <w:rPr>
          <w:rFonts w:asciiTheme="minorBidi" w:hAnsiTheme="minorBidi" w:cstheme="minorBidi" w:hint="cs"/>
          <w:sz w:val="22"/>
          <w:szCs w:val="22"/>
          <w:rtl/>
          <w:lang w:bidi="ar-MA"/>
        </w:rPr>
        <w:t>.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في حين سجلت باقي  الأقسام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ركودا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نسبيا.</w:t>
      </w:r>
    </w:p>
    <w:p w:rsidR="0007272A" w:rsidRPr="00C119CD" w:rsidRDefault="0007272A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A35B6" w:rsidRPr="00C119CD" w:rsidRDefault="005A35B6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9D5FA1" w:rsidRPr="00C119CD" w:rsidRDefault="0013267A" w:rsidP="00BC7EED">
      <w:pPr>
        <w:spacing w:line="360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و مقارنة مع نفس الشهر ل</w:t>
      </w:r>
      <w:r w:rsidR="00DB2110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ل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سنة</w:t>
      </w:r>
      <w:r w:rsidR="00DB2110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الماضية،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فقد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سجل الرقم الاستدلالي للأثمان عند الاستهلاك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بمدينة الرباط </w:t>
      </w:r>
      <w:r w:rsidRPr="00C119CD">
        <w:rPr>
          <w:rFonts w:asciiTheme="minorBidi" w:hAnsiTheme="minorBidi" w:cstheme="minorBidi"/>
          <w:sz w:val="22"/>
          <w:szCs w:val="22"/>
          <w:rtl/>
        </w:rPr>
        <w:t xml:space="preserve">ارتفاعا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قدر ب </w:t>
      </w:r>
      <w:r w:rsidR="00E20357">
        <w:rPr>
          <w:rFonts w:asciiTheme="minorBidi" w:hAnsiTheme="minorBidi" w:cstheme="minorBidi" w:hint="cs"/>
          <w:sz w:val="22"/>
          <w:szCs w:val="22"/>
          <w:rtl/>
          <w:lang w:bidi="ar-MA"/>
        </w:rPr>
        <w:t>2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E20357">
        <w:rPr>
          <w:rFonts w:asciiTheme="minorBidi" w:hAnsiTheme="minorBidi" w:cstheme="minorBidi" w:hint="cs"/>
          <w:sz w:val="22"/>
          <w:szCs w:val="22"/>
          <w:rtl/>
          <w:lang w:bidi="ar-MA"/>
        </w:rPr>
        <w:t>1</w:t>
      </w:r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% خلال شهر </w:t>
      </w:r>
      <w:proofErr w:type="spellStart"/>
      <w:r w:rsidR="00E20357">
        <w:rPr>
          <w:rFonts w:asciiTheme="minorBidi" w:hAnsiTheme="minorBidi" w:cstheme="minorBidi" w:hint="cs"/>
          <w:sz w:val="22"/>
          <w:szCs w:val="22"/>
          <w:rtl/>
          <w:lang w:bidi="ar-MA"/>
        </w:rPr>
        <w:t>نونبر</w:t>
      </w:r>
      <w:proofErr w:type="spellEnd"/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202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1</w:t>
      </w:r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 </w:t>
      </w:r>
      <w:r w:rsidR="00BC7EED">
        <w:rPr>
          <w:rFonts w:asciiTheme="minorBidi" w:hAnsiTheme="minorBidi" w:cstheme="minorBidi" w:hint="cs"/>
          <w:rtl/>
          <w:lang w:bidi="ar-MA"/>
        </w:rPr>
        <w:t>مقابل ارتفاع قدره 2,6</w:t>
      </w:r>
      <w:r w:rsidR="00BC7EED" w:rsidRPr="004A2A46">
        <w:rPr>
          <w:rFonts w:asciiTheme="minorBidi" w:hAnsiTheme="minorBidi" w:cstheme="minorBidi"/>
          <w:lang w:bidi="ar-MA"/>
        </w:rPr>
        <w:t>%</w:t>
      </w:r>
      <w:r w:rsidR="00BC7EED">
        <w:rPr>
          <w:rFonts w:asciiTheme="minorBidi" w:hAnsiTheme="minorBidi" w:cstheme="minorBidi" w:hint="cs"/>
          <w:rtl/>
          <w:lang w:bidi="ar-MA"/>
        </w:rPr>
        <w:t xml:space="preserve"> على المستوى الوطني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. </w:t>
      </w:r>
      <w:r w:rsidR="00BC7EED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BC7EED">
        <w:rPr>
          <w:rFonts w:asciiTheme="minorBidi" w:hAnsiTheme="minorBidi" w:cstheme="minorBidi" w:hint="cs"/>
          <w:rtl/>
          <w:lang w:bidi="ar-MA"/>
        </w:rPr>
        <w:t xml:space="preserve"> 2</w:t>
      </w:r>
      <w:proofErr w:type="gramStart"/>
      <w:r w:rsidR="00BC7EED">
        <w:rPr>
          <w:rFonts w:asciiTheme="minorBidi" w:hAnsiTheme="minorBidi" w:cstheme="minorBidi" w:hint="cs"/>
          <w:rtl/>
          <w:lang w:bidi="ar-MA"/>
        </w:rPr>
        <w:t>,0</w:t>
      </w:r>
      <w:proofErr w:type="gramEnd"/>
      <w:r w:rsidR="00BC7EED">
        <w:rPr>
          <w:rFonts w:asciiTheme="minorBidi" w:hAnsiTheme="minorBidi" w:cstheme="minorBidi" w:hint="cs"/>
          <w:rtl/>
          <w:lang w:bidi="ar-MA"/>
        </w:rPr>
        <w:t xml:space="preserve"> </w:t>
      </w:r>
      <w:r w:rsidR="00BC7EED" w:rsidRPr="004A2A46">
        <w:rPr>
          <w:rFonts w:asciiTheme="minorBidi" w:hAnsiTheme="minorBidi" w:cstheme="minorBidi"/>
          <w:lang w:bidi="ar-MA"/>
        </w:rPr>
        <w:t>%</w:t>
      </w:r>
      <w:r w:rsidR="00BC7EED">
        <w:rPr>
          <w:rFonts w:asciiTheme="minorBidi" w:hAnsiTheme="minorBidi" w:cstheme="minorBidi" w:hint="cs"/>
          <w:rtl/>
          <w:lang w:bidi="ar-MA"/>
        </w:rPr>
        <w:t xml:space="preserve"> و </w:t>
      </w:r>
      <w:r w:rsidR="00BC7EED" w:rsidRPr="004A2A46">
        <w:rPr>
          <w:rFonts w:asciiTheme="minorBidi" w:hAnsiTheme="minorBidi" w:cstheme="minorBidi"/>
          <w:rtl/>
          <w:lang w:bidi="ar-MA"/>
        </w:rPr>
        <w:t>أثمان المواد غير الغذائية ب</w:t>
      </w:r>
      <w:r w:rsidR="00BC7EED" w:rsidRPr="004A2A46">
        <w:rPr>
          <w:rFonts w:asciiTheme="minorBidi" w:hAnsiTheme="minorBidi" w:cstheme="minorBidi"/>
          <w:lang w:bidi="ar-MA"/>
        </w:rPr>
        <w:t> </w:t>
      </w:r>
      <w:r w:rsidR="00BC7EED">
        <w:rPr>
          <w:rFonts w:asciiTheme="minorBidi" w:hAnsiTheme="minorBidi" w:cstheme="minorBidi" w:hint="cs"/>
          <w:rtl/>
          <w:lang w:bidi="ar-MA"/>
        </w:rPr>
        <w:t xml:space="preserve">2,1 </w:t>
      </w:r>
      <w:r w:rsidR="00BC7EED" w:rsidRPr="00CB1CEC">
        <w:rPr>
          <w:rFonts w:asciiTheme="minorBidi" w:hAnsiTheme="minorBidi" w:cstheme="minorBidi"/>
          <w:lang w:bidi="ar-MA"/>
        </w:rPr>
        <w:t>%</w:t>
      </w:r>
      <w:r w:rsidR="00BC7EED">
        <w:rPr>
          <w:rFonts w:asciiTheme="minorBidi" w:hAnsiTheme="minorBidi" w:cstheme="minorBidi" w:hint="cs"/>
          <w:rtl/>
          <w:lang w:bidi="ar-MA"/>
        </w:rPr>
        <w:t xml:space="preserve">. </w:t>
      </w:r>
      <w:r w:rsidR="00BC7EED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BC7EED">
        <w:rPr>
          <w:rFonts w:asciiTheme="minorBidi" w:hAnsiTheme="minorBidi" w:cstheme="minorBidi" w:hint="cs"/>
          <w:rtl/>
          <w:lang w:bidi="ar-MA"/>
        </w:rPr>
        <w:t xml:space="preserve"> 0</w:t>
      </w:r>
      <w:proofErr w:type="gramStart"/>
      <w:r w:rsidR="00BC7EED">
        <w:rPr>
          <w:rFonts w:asciiTheme="minorBidi" w:hAnsiTheme="minorBidi" w:cstheme="minorBidi" w:hint="cs"/>
          <w:rtl/>
          <w:lang w:bidi="ar-MA"/>
        </w:rPr>
        <w:t>,7</w:t>
      </w:r>
      <w:r w:rsidR="00BC7EED" w:rsidRPr="00CB1CEC">
        <w:rPr>
          <w:rFonts w:asciiTheme="minorBidi" w:hAnsiTheme="minorBidi" w:cstheme="minorBidi"/>
          <w:lang w:bidi="ar-MA"/>
        </w:rPr>
        <w:t>%</w:t>
      </w:r>
      <w:r w:rsidR="00BC7EED" w:rsidRPr="004A2A46">
        <w:rPr>
          <w:rFonts w:asciiTheme="minorBidi" w:hAnsiTheme="minorBidi" w:cstheme="minorBidi"/>
          <w:lang w:bidi="ar-MA"/>
        </w:rPr>
        <w:t> </w:t>
      </w:r>
      <w:proofErr w:type="gramEnd"/>
      <w:r w:rsidR="00BC7EED">
        <w:rPr>
          <w:rFonts w:asciiTheme="minorBidi" w:hAnsiTheme="minorBidi" w:cstheme="minorBidi" w:hint="cs"/>
          <w:rtl/>
          <w:lang w:bidi="ar-MA"/>
        </w:rPr>
        <w:t xml:space="preserve"> </w:t>
      </w:r>
      <w:r w:rsidR="00BC7EED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BC7EED">
        <w:rPr>
          <w:rFonts w:asciiTheme="minorBidi" w:hAnsiTheme="minorBidi" w:cstheme="minorBidi" w:hint="cs"/>
          <w:rtl/>
          <w:lang w:bidi="ar-MA"/>
        </w:rPr>
        <w:t>الترفيه و الثقافة</w:t>
      </w:r>
      <w:r w:rsidR="00BC7EED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BC7EED">
        <w:rPr>
          <w:rFonts w:asciiTheme="minorBidi" w:hAnsiTheme="minorBidi" w:cstheme="minorBidi" w:hint="cs"/>
          <w:rtl/>
          <w:lang w:bidi="ar-MA"/>
        </w:rPr>
        <w:t xml:space="preserve"> </w:t>
      </w:r>
      <w:r w:rsidR="00BC7EED" w:rsidRPr="004A2A46">
        <w:rPr>
          <w:rFonts w:asciiTheme="minorBidi" w:hAnsiTheme="minorBidi" w:cstheme="minorBidi"/>
          <w:lang w:bidi="ar-MA"/>
        </w:rPr>
        <w:t> </w:t>
      </w:r>
      <w:r w:rsidR="00BC7EED">
        <w:rPr>
          <w:rFonts w:asciiTheme="minorBidi" w:hAnsiTheme="minorBidi" w:cstheme="minorBidi" w:hint="cs"/>
          <w:rtl/>
          <w:lang w:bidi="ar-MA"/>
        </w:rPr>
        <w:t xml:space="preserve">8,0 </w:t>
      </w:r>
      <w:r w:rsidR="00BC7EED" w:rsidRPr="00CB1CEC">
        <w:rPr>
          <w:rFonts w:asciiTheme="minorBidi" w:hAnsiTheme="minorBidi" w:cstheme="minorBidi"/>
          <w:lang w:bidi="ar-MA"/>
        </w:rPr>
        <w:t>%</w:t>
      </w:r>
      <w:r w:rsidR="00BC7EED">
        <w:rPr>
          <w:rFonts w:asciiTheme="minorBidi" w:hAnsiTheme="minorBidi" w:cstheme="minorBidi" w:hint="cs"/>
          <w:rtl/>
          <w:lang w:bidi="ar-MA"/>
        </w:rPr>
        <w:t xml:space="preserve"> </w:t>
      </w:r>
      <w:r w:rsidR="00BC7EED" w:rsidRPr="004A2A46">
        <w:rPr>
          <w:rFonts w:asciiTheme="minorBidi" w:hAnsiTheme="minorBidi" w:cstheme="minorBidi"/>
          <w:rtl/>
          <w:lang w:bidi="ar-MA"/>
        </w:rPr>
        <w:t xml:space="preserve">بالنسبة ل </w:t>
      </w:r>
      <w:r w:rsidR="00BC7EED">
        <w:rPr>
          <w:rFonts w:asciiTheme="minorBidi" w:hAnsiTheme="minorBidi" w:cstheme="minorBidi" w:hint="cs"/>
          <w:rtl/>
          <w:lang w:bidi="ar-MA"/>
        </w:rPr>
        <w:t>"</w:t>
      </w:r>
      <w:r w:rsidR="00BC7EED" w:rsidRPr="004B4A37">
        <w:rPr>
          <w:rFonts w:asciiTheme="minorBidi" w:hAnsiTheme="minorBidi" w:cstheme="minorBidi" w:hint="cs"/>
          <w:rtl/>
          <w:lang w:bidi="ar-MA"/>
        </w:rPr>
        <w:t>الملابس و الأحذية</w:t>
      </w:r>
      <w:r w:rsidR="00BC7EED">
        <w:rPr>
          <w:rFonts w:asciiTheme="minorBidi" w:hAnsiTheme="minorBidi" w:cstheme="minorBidi" w:hint="cs"/>
          <w:rtl/>
          <w:lang w:bidi="ar-MA"/>
        </w:rPr>
        <w:t xml:space="preserve"> ".</w:t>
      </w:r>
    </w:p>
    <w:p w:rsidR="0007272A" w:rsidRDefault="0007272A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BC7EED" w:rsidRDefault="00BC7EED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BC7EED" w:rsidRPr="00C119CD" w:rsidRDefault="00BC7EED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EF6F87" w:rsidRPr="00BC7EED" w:rsidRDefault="0013267A" w:rsidP="00BC7EED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أما فيما يخص التغير </w:t>
      </w:r>
      <w:r w:rsidR="00DB2110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الشهري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على مستوى المدن، فقد سجل الرقم الاستدلالي للاثمان عند الاستهلاك </w:t>
      </w:r>
      <w:r w:rsidR="00DB2110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أهم الارتفاعات </w:t>
      </w:r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في  مراكش ب 0,8% وفي  الدار البيضاء و الداخلة ب 0,4% وفي  مكناس و </w:t>
      </w:r>
      <w:proofErr w:type="spellStart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سطات</w:t>
      </w:r>
      <w:proofErr w:type="spellEnd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 0,3</w:t>
      </w:r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% وفي  </w:t>
      </w:r>
      <w:proofErr w:type="spellStart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أكادير</w:t>
      </w:r>
      <w:proofErr w:type="spellEnd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proofErr w:type="spellStart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وفاس</w:t>
      </w:r>
      <w:proofErr w:type="spellEnd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والعيون و </w:t>
      </w:r>
      <w:proofErr w:type="spellStart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كلميم</w:t>
      </w:r>
      <w:proofErr w:type="spellEnd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 0,1%. بينما سجلت انخفاضات في  </w:t>
      </w:r>
      <w:proofErr w:type="spellStart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الحسيمة</w:t>
      </w:r>
      <w:proofErr w:type="spellEnd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 0,9% وفي  </w:t>
      </w:r>
      <w:proofErr w:type="spellStart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تطوان</w:t>
      </w:r>
      <w:proofErr w:type="spellEnd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و بني </w:t>
      </w:r>
      <w:proofErr w:type="spellStart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ملال</w:t>
      </w:r>
      <w:proofErr w:type="spellEnd"/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 0,5</w:t>
      </w:r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% وفي  القنيطرة ب</w:t>
      </w:r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0,2</w:t>
      </w:r>
      <w:r w:rsidR="00BC7EE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BC7EED" w:rsidRPr="00BC7EE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r w:rsidR="00BC7EED" w:rsidRPr="00BC7EED">
        <w:rPr>
          <w:rFonts w:asciiTheme="minorBidi" w:hAnsiTheme="minorBidi" w:cstheme="minorBidi"/>
          <w:sz w:val="22"/>
          <w:szCs w:val="22"/>
          <w:lang w:bidi="ar-MA"/>
        </w:rPr>
        <w:t xml:space="preserve"> 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341344">
      <w:pPr>
        <w:spacing w:line="360" w:lineRule="auto"/>
        <w:ind w:hanging="1"/>
        <w:rPr>
          <w:rFonts w:asciiTheme="minorBidi" w:hAnsiTheme="minorBidi" w:cstheme="minorBidi"/>
          <w:rtl/>
          <w:lang w:bidi="ar-MA"/>
        </w:rPr>
        <w:sectPr w:rsidR="00D060D8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084331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084331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341344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أكتوبر</w:t>
            </w:r>
            <w:proofErr w:type="gramEnd"/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341344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نونبر</w:t>
            </w:r>
            <w:proofErr w:type="spellEnd"/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3413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Octobre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341344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Novembre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341344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341344" w:rsidRPr="00D060D8" w:rsidRDefault="00341344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106,0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105,1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-0,9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341344" w:rsidRPr="00231C38" w:rsidRDefault="00341344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341344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105,3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104,3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-0,9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124,9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125,0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341344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341344" w:rsidRPr="00D060D8" w:rsidRDefault="00341344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104,4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104,8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341344" w:rsidRPr="00231C38" w:rsidRDefault="00341344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109,9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112,9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2,7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341344" w:rsidRPr="000F1C3A" w:rsidTr="00EB79F9">
        <w:trPr>
          <w:trHeight w:hRule="exact" w:val="621"/>
        </w:trPr>
        <w:tc>
          <w:tcPr>
            <w:tcW w:w="5140" w:type="dxa"/>
            <w:vAlign w:val="center"/>
          </w:tcPr>
          <w:p w:rsidR="00341344" w:rsidRPr="00D060D8" w:rsidRDefault="00341344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0,3</w:t>
            </w:r>
          </w:p>
        </w:tc>
        <w:tc>
          <w:tcPr>
            <w:tcW w:w="2979" w:type="dxa"/>
            <w:vAlign w:val="center"/>
          </w:tcPr>
          <w:p w:rsidR="00341344" w:rsidRDefault="00341344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  <w:p w:rsidR="00EB79F9" w:rsidRPr="00DC0469" w:rsidRDefault="00EB79F9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341344" w:rsidRPr="000F1C3A" w:rsidTr="00EB79F9">
        <w:trPr>
          <w:trHeight w:hRule="exact" w:val="715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101,4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2979" w:type="dxa"/>
          </w:tcPr>
          <w:p w:rsidR="00341344" w:rsidRPr="00DC0469" w:rsidRDefault="00341344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الصحة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107,4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108,3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0,8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  <w:proofErr w:type="gramEnd"/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المواصلات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100,7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100,7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الثقافة </w:t>
            </w:r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التعليم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341344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101,7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فنادق </w:t>
            </w:r>
          </w:p>
        </w:tc>
      </w:tr>
      <w:tr w:rsidR="00341344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341344" w:rsidRPr="00D060D8" w:rsidRDefault="00341344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104,1</w:t>
            </w:r>
          </w:p>
        </w:tc>
        <w:tc>
          <w:tcPr>
            <w:tcW w:w="1082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104,1</w:t>
            </w:r>
          </w:p>
        </w:tc>
        <w:tc>
          <w:tcPr>
            <w:tcW w:w="790" w:type="dxa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341344" w:rsidRPr="00DC0469" w:rsidRDefault="00341344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خدمات أخرى </w:t>
            </w:r>
          </w:p>
        </w:tc>
      </w:tr>
      <w:tr w:rsidR="00341344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341344" w:rsidRPr="00D060D8" w:rsidRDefault="00341344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341344" w:rsidRPr="00341344" w:rsidRDefault="00341344" w:rsidP="00341344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kern w:val="0"/>
                <w:sz w:val="18"/>
                <w:szCs w:val="18"/>
              </w:rPr>
              <w:t>105,0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341344" w:rsidRPr="00341344" w:rsidRDefault="00341344" w:rsidP="00341344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kern w:val="0"/>
                <w:sz w:val="18"/>
                <w:szCs w:val="18"/>
              </w:rPr>
              <w:t>105,0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341344" w:rsidRPr="00341344" w:rsidRDefault="00341344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341344" w:rsidRPr="009D7D4B" w:rsidRDefault="00341344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341344" w:rsidRPr="000E4427" w:rsidRDefault="00341344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77441F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341344">
          <w:type w:val="continuous"/>
          <w:pgSz w:w="11906" w:h="16838"/>
          <w:pgMar w:top="0" w:right="849" w:bottom="1417" w:left="426" w:header="708" w:footer="708" w:gutter="0"/>
          <w:cols w:space="708"/>
          <w:docGrid w:linePitch="360"/>
        </w:sectPr>
      </w:pPr>
      <w:r>
        <w:rPr>
          <w:rFonts w:asciiTheme="minorBidi" w:hAnsiTheme="minorBidi" w:cstheme="minorBidi"/>
          <w:rtl/>
          <w:lang w:bidi="ar-MA"/>
        </w:rPr>
        <w:br w:type="textWrapping" w:clear="all"/>
      </w:r>
    </w:p>
    <w:p w:rsidR="00EF6F87" w:rsidRPr="00DB2110" w:rsidRDefault="00905BEC" w:rsidP="00905BEC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76200</wp:posOffset>
            </wp:positionV>
            <wp:extent cx="5849620" cy="4493260"/>
            <wp:effectExtent l="19050" t="0" r="17780" b="2540"/>
            <wp:wrapSquare wrapText="bothSides"/>
            <wp:docPr id="1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33F6"/>
    <w:rsid w:val="0007272A"/>
    <w:rsid w:val="00084331"/>
    <w:rsid w:val="000B258C"/>
    <w:rsid w:val="0011062A"/>
    <w:rsid w:val="0013267A"/>
    <w:rsid w:val="00165CC1"/>
    <w:rsid w:val="00194D4C"/>
    <w:rsid w:val="001A57A1"/>
    <w:rsid w:val="001B4491"/>
    <w:rsid w:val="001D1619"/>
    <w:rsid w:val="00231C38"/>
    <w:rsid w:val="00233061"/>
    <w:rsid w:val="002C00BE"/>
    <w:rsid w:val="00306448"/>
    <w:rsid w:val="00341344"/>
    <w:rsid w:val="003A0E3A"/>
    <w:rsid w:val="003A5BA0"/>
    <w:rsid w:val="003A79EA"/>
    <w:rsid w:val="00403476"/>
    <w:rsid w:val="0040711B"/>
    <w:rsid w:val="004112D9"/>
    <w:rsid w:val="0046290F"/>
    <w:rsid w:val="004F315D"/>
    <w:rsid w:val="00536BC7"/>
    <w:rsid w:val="00552265"/>
    <w:rsid w:val="0056138E"/>
    <w:rsid w:val="00577DE5"/>
    <w:rsid w:val="005A2696"/>
    <w:rsid w:val="005A35B6"/>
    <w:rsid w:val="005C1F20"/>
    <w:rsid w:val="005C78BB"/>
    <w:rsid w:val="00645138"/>
    <w:rsid w:val="0066327E"/>
    <w:rsid w:val="006C1976"/>
    <w:rsid w:val="00702C7E"/>
    <w:rsid w:val="00707E06"/>
    <w:rsid w:val="0072211C"/>
    <w:rsid w:val="00753010"/>
    <w:rsid w:val="0077441F"/>
    <w:rsid w:val="0078122F"/>
    <w:rsid w:val="00782E62"/>
    <w:rsid w:val="00797CF3"/>
    <w:rsid w:val="007B47BB"/>
    <w:rsid w:val="007E33F6"/>
    <w:rsid w:val="007E3BB8"/>
    <w:rsid w:val="0082202F"/>
    <w:rsid w:val="008240E2"/>
    <w:rsid w:val="008461C4"/>
    <w:rsid w:val="008B7698"/>
    <w:rsid w:val="008D0E53"/>
    <w:rsid w:val="008E7D34"/>
    <w:rsid w:val="00905BEC"/>
    <w:rsid w:val="009142A2"/>
    <w:rsid w:val="009350BA"/>
    <w:rsid w:val="00937C6A"/>
    <w:rsid w:val="00971622"/>
    <w:rsid w:val="009755A6"/>
    <w:rsid w:val="009D5FA1"/>
    <w:rsid w:val="009D7D4B"/>
    <w:rsid w:val="00A04644"/>
    <w:rsid w:val="00A93304"/>
    <w:rsid w:val="00AC6DF5"/>
    <w:rsid w:val="00B043CC"/>
    <w:rsid w:val="00B22E9B"/>
    <w:rsid w:val="00B25D6E"/>
    <w:rsid w:val="00B27564"/>
    <w:rsid w:val="00B6095A"/>
    <w:rsid w:val="00B6358C"/>
    <w:rsid w:val="00BC7EED"/>
    <w:rsid w:val="00C119CD"/>
    <w:rsid w:val="00C209B9"/>
    <w:rsid w:val="00C2193A"/>
    <w:rsid w:val="00C34FE2"/>
    <w:rsid w:val="00C563E3"/>
    <w:rsid w:val="00C97090"/>
    <w:rsid w:val="00CF1FBA"/>
    <w:rsid w:val="00CF3B2E"/>
    <w:rsid w:val="00CF7D8B"/>
    <w:rsid w:val="00D060D8"/>
    <w:rsid w:val="00D11F62"/>
    <w:rsid w:val="00D618BC"/>
    <w:rsid w:val="00DB2110"/>
    <w:rsid w:val="00DB3673"/>
    <w:rsid w:val="00DF4AAC"/>
    <w:rsid w:val="00E02CA0"/>
    <w:rsid w:val="00E20357"/>
    <w:rsid w:val="00E21B96"/>
    <w:rsid w:val="00E438B8"/>
    <w:rsid w:val="00E74D3D"/>
    <w:rsid w:val="00E93DC4"/>
    <w:rsid w:val="00EA0AF4"/>
    <w:rsid w:val="00EA44BB"/>
    <w:rsid w:val="00EB79F9"/>
    <w:rsid w:val="00EF6F87"/>
    <w:rsid w:val="00F13347"/>
    <w:rsid w:val="00F41AF3"/>
    <w:rsid w:val="00F603E2"/>
    <w:rsid w:val="00F77D26"/>
    <w:rsid w:val="00F85960"/>
    <w:rsid w:val="00FD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245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805125803043617"/>
          <c:y val="0.14449709119881793"/>
          <c:w val="0.84407690692684667"/>
          <c:h val="0.64968624307020761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0772904906643571E-2"/>
                  <c:y val="-2.96566412804956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9014386301289804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7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718E-2"/>
                  <c:y val="2.341171673236389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816E-2"/>
                  <c:y val="3.287151341251871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51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63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031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49E-2"/>
                  <c:y val="-2.702809763296385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69962151388E-2"/>
                  <c:y val="-2.133083774364271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545E-2"/>
                  <c:y val="2.982193829006401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904E-2"/>
                  <c:y val="1.589282001010020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0272113957115913E-3"/>
                  <c:y val="-2.593665791776034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09E-2"/>
                  <c:y val="-3.844292796733744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525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46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67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5.8488783499589116E-2"/>
                  <c:y val="-3.6441644794400825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5058333319097262E-2"/>
                  <c:y val="1.6162146398366932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5187676285528331E-2"/>
                  <c:y val="8.8888888888889114E-3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-2.7482297995425377E-2"/>
                  <c:y val="2.8633553366598015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2.6957912465709697E-2"/>
                  <c:y val="-8.886653878592967E-3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-5.1628481850103131E-2"/>
                  <c:y val="-3.813600815443575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  <c:pt idx="9">
                  <c:v>105</c:v>
                </c:pt>
                <c:pt idx="10">
                  <c:v>105</c:v>
                </c:pt>
              </c:numCache>
            </c:numRef>
          </c:val>
        </c:ser>
        <c:dLbls>
          <c:showVal val="1"/>
        </c:dLbls>
        <c:marker val="1"/>
        <c:axId val="35029760"/>
        <c:axId val="94135808"/>
      </c:lineChart>
      <c:catAx>
        <c:axId val="35029760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94135808"/>
        <c:crosses val="autoZero"/>
        <c:auto val="1"/>
        <c:lblAlgn val="ctr"/>
        <c:lblOffset val="50"/>
        <c:tickLblSkip val="1"/>
      </c:catAx>
      <c:valAx>
        <c:axId val="94135808"/>
        <c:scaling>
          <c:orientation val="minMax"/>
          <c:max val="106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35029760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477446683"/>
          <c:y val="0.94487323199183471"/>
          <c:w val="0.40241827960145676"/>
          <c:h val="4.3552630442561989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3E8EB-0D4B-483F-B4AD-7BD668EA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3</cp:revision>
  <dcterms:created xsi:type="dcterms:W3CDTF">2022-01-06T12:19:00Z</dcterms:created>
  <dcterms:modified xsi:type="dcterms:W3CDTF">2022-01-06T12:32:00Z</dcterms:modified>
</cp:coreProperties>
</file>