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DC4674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شتنبر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DC4674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Septembre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DC4674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0906A0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DE </w:t>
      </w:r>
      <w:r w:rsidR="00DC4674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SEPTEMBRE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DC467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DC4674">
        <w:rPr>
          <w:rFonts w:asciiTheme="minorBidi" w:hAnsiTheme="minorBidi" w:cstheme="minorBidi"/>
          <w:sz w:val="18"/>
          <w:szCs w:val="18"/>
        </w:rPr>
        <w:t>septembre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DC4674">
        <w:rPr>
          <w:rFonts w:asciiTheme="minorBidi" w:hAnsiTheme="minorBidi" w:cstheme="minorBidi"/>
          <w:sz w:val="18"/>
          <w:szCs w:val="18"/>
        </w:rPr>
        <w:t>4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DC4674">
        <w:rPr>
          <w:rFonts w:asciiTheme="minorBidi" w:hAnsiTheme="minorBidi" w:cstheme="minorBidi"/>
          <w:sz w:val="18"/>
          <w:szCs w:val="18"/>
        </w:rPr>
        <w:t>2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DC4674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,5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E36447">
        <w:rPr>
          <w:rFonts w:asciiTheme="minorBidi" w:hAnsiTheme="minorBidi" w:cstheme="minorBidi"/>
          <w:sz w:val="18"/>
          <w:szCs w:val="18"/>
        </w:rPr>
        <w:t>enregistrant ainsi une hausse de 0,</w:t>
      </w:r>
      <w:r w:rsidR="00DC4674">
        <w:rPr>
          <w:rFonts w:asciiTheme="minorBidi" w:hAnsiTheme="minorBidi" w:cstheme="minorBidi"/>
          <w:sz w:val="18"/>
          <w:szCs w:val="18"/>
        </w:rPr>
        <w:t>7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811D2D">
        <w:rPr>
          <w:rFonts w:asciiTheme="minorBidi" w:hAnsiTheme="minorBidi" w:cstheme="minorBidi"/>
          <w:sz w:val="18"/>
          <w:szCs w:val="18"/>
        </w:rPr>
        <w:t xml:space="preserve">la </w:t>
      </w:r>
      <w:r w:rsidR="00EC2B79">
        <w:rPr>
          <w:rFonts w:asciiTheme="minorBidi" w:hAnsiTheme="minorBidi" w:cstheme="minorBidi"/>
          <w:sz w:val="18"/>
          <w:szCs w:val="18"/>
        </w:rPr>
        <w:t xml:space="preserve">même </w:t>
      </w:r>
      <w:r w:rsidR="00811D2D">
        <w:rPr>
          <w:rFonts w:asciiTheme="minorBidi" w:hAnsiTheme="minorBidi" w:cstheme="minorBidi"/>
          <w:sz w:val="18"/>
          <w:szCs w:val="18"/>
        </w:rPr>
        <w:t>valeur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DC4674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DC4674">
        <w:rPr>
          <w:rFonts w:asciiTheme="minorBidi" w:hAnsiTheme="minorBidi" w:cstheme="minorBidi"/>
          <w:sz w:val="18"/>
          <w:szCs w:val="18"/>
        </w:rPr>
        <w:t>7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DC4674">
        <w:rPr>
          <w:rFonts w:asciiTheme="minorBidi" w:hAnsiTheme="minorBidi" w:cstheme="minorBidi"/>
          <w:sz w:val="18"/>
          <w:szCs w:val="18"/>
        </w:rPr>
        <w:t xml:space="preserve">et de 0,1% de l’indice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Pr="00D91F21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DC467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 la division « Produits alimentaires et boissons alcoolisées » de </w:t>
      </w:r>
      <w:r w:rsidR="00DC4674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DC4674">
        <w:rPr>
          <w:rFonts w:asciiTheme="minorBidi" w:hAnsiTheme="minorBidi" w:cstheme="minorBidi"/>
          <w:sz w:val="18"/>
          <w:szCs w:val="18"/>
        </w:rPr>
        <w:t>8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 la division « Boissons al</w:t>
      </w:r>
      <w:r w:rsidR="00DC4674">
        <w:rPr>
          <w:rFonts w:asciiTheme="minorBidi" w:hAnsiTheme="minorBidi" w:cstheme="minorBidi"/>
          <w:sz w:val="18"/>
          <w:szCs w:val="18"/>
        </w:rPr>
        <w:t>coolisées, tabac »</w:t>
      </w:r>
      <w:r w:rsidR="00CF1FBA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F735B9" w:rsidRDefault="007E33F6" w:rsidP="00525EF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F735B9">
        <w:rPr>
          <w:rFonts w:asciiTheme="minorBidi" w:hAnsiTheme="minorBidi" w:cstheme="minorBidi"/>
          <w:sz w:val="18"/>
          <w:szCs w:val="18"/>
        </w:rPr>
        <w:t>août</w:t>
      </w:r>
      <w:r w:rsidR="000906A0">
        <w:rPr>
          <w:rFonts w:asciiTheme="minorBidi" w:hAnsiTheme="minorBidi" w:cstheme="minorBidi"/>
          <w:sz w:val="18"/>
          <w:szCs w:val="18"/>
        </w:rPr>
        <w:t xml:space="preserve"> </w:t>
      </w:r>
      <w:r w:rsidR="005566C1">
        <w:rPr>
          <w:rFonts w:asciiTheme="minorBidi" w:hAnsiTheme="minorBidi" w:cstheme="minorBidi"/>
          <w:sz w:val="18"/>
          <w:szCs w:val="18"/>
        </w:rPr>
        <w:t xml:space="preserve">et </w:t>
      </w:r>
      <w:r w:rsidR="00F735B9">
        <w:rPr>
          <w:rFonts w:asciiTheme="minorBidi" w:hAnsiTheme="minorBidi" w:cstheme="minorBidi"/>
          <w:sz w:val="18"/>
          <w:szCs w:val="18"/>
        </w:rPr>
        <w:t>septembre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="00F735B9">
        <w:rPr>
          <w:rFonts w:asciiTheme="minorBidi" w:hAnsiTheme="minorBidi" w:cstheme="minorBidi"/>
          <w:sz w:val="18"/>
          <w:szCs w:val="18"/>
        </w:rPr>
        <w:t xml:space="preserve"> le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F735B9">
        <w:rPr>
          <w:rFonts w:asciiTheme="minorBidi" w:hAnsiTheme="minorBidi" w:cstheme="minorBidi"/>
          <w:sz w:val="18"/>
          <w:szCs w:val="18"/>
        </w:rPr>
        <w:t xml:space="preserve">«Pain et céréales »  avec 6,8%, </w:t>
      </w:r>
      <w:r w:rsidR="00F735B9" w:rsidRPr="00B6358C">
        <w:rPr>
          <w:rFonts w:asciiTheme="minorBidi" w:hAnsiTheme="minorBidi" w:cstheme="minorBidi"/>
          <w:sz w:val="18"/>
          <w:szCs w:val="18"/>
        </w:rPr>
        <w:t xml:space="preserve">les «Fruits» avec </w:t>
      </w:r>
      <w:r w:rsidR="00F735B9">
        <w:rPr>
          <w:rFonts w:asciiTheme="minorBidi" w:hAnsiTheme="minorBidi" w:cstheme="minorBidi"/>
          <w:sz w:val="18"/>
          <w:szCs w:val="18"/>
        </w:rPr>
        <w:t>3</w:t>
      </w:r>
      <w:r w:rsidR="00F735B9" w:rsidRPr="00B6358C">
        <w:rPr>
          <w:rFonts w:asciiTheme="minorBidi" w:hAnsiTheme="minorBidi" w:cstheme="minorBidi"/>
          <w:sz w:val="18"/>
          <w:szCs w:val="18"/>
        </w:rPr>
        <w:t>,</w:t>
      </w:r>
      <w:r w:rsidR="00F735B9">
        <w:rPr>
          <w:rFonts w:asciiTheme="minorBidi" w:hAnsiTheme="minorBidi" w:cstheme="minorBidi"/>
          <w:sz w:val="18"/>
          <w:szCs w:val="18"/>
        </w:rPr>
        <w:t xml:space="preserve">0%, les « Huiles et graisse » avec 1,6%, </w:t>
      </w:r>
      <w:r w:rsidR="00525EFA">
        <w:rPr>
          <w:rFonts w:asciiTheme="minorBidi" w:hAnsiTheme="minorBidi" w:cstheme="minorBidi"/>
          <w:sz w:val="18"/>
          <w:szCs w:val="18"/>
        </w:rPr>
        <w:t xml:space="preserve">le « Sucre, confiture, miel, chocolat et confiserie » avec 1,0% et </w:t>
      </w:r>
      <w:r w:rsidR="00F735B9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525EFA">
        <w:rPr>
          <w:rFonts w:asciiTheme="minorBidi" w:hAnsiTheme="minorBidi" w:cstheme="minorBidi"/>
          <w:sz w:val="18"/>
          <w:szCs w:val="18"/>
        </w:rPr>
        <w:t xml:space="preserve"> avec 0,5% </w:t>
      </w:r>
      <w:r w:rsidR="00F735B9">
        <w:rPr>
          <w:rFonts w:asciiTheme="minorBidi" w:hAnsiTheme="minorBidi" w:cstheme="minorBidi"/>
          <w:sz w:val="18"/>
          <w:szCs w:val="18"/>
        </w:rPr>
        <w:t xml:space="preserve">En revanche, </w:t>
      </w:r>
      <w:r w:rsidR="00F735B9" w:rsidRPr="00B6358C">
        <w:rPr>
          <w:rFonts w:asciiTheme="minorBidi" w:hAnsiTheme="minorBidi" w:cstheme="minorBidi"/>
          <w:sz w:val="18"/>
          <w:szCs w:val="18"/>
        </w:rPr>
        <w:t>les prix ont</w:t>
      </w:r>
      <w:r w:rsidR="00F735B9">
        <w:rPr>
          <w:rFonts w:asciiTheme="minorBidi" w:hAnsiTheme="minorBidi" w:cstheme="minorBidi"/>
          <w:sz w:val="18"/>
          <w:szCs w:val="18"/>
        </w:rPr>
        <w:t xml:space="preserve"> diminué de 0,7% pour les </w:t>
      </w:r>
      <w:r w:rsidR="00F735B9" w:rsidRPr="00B6358C">
        <w:rPr>
          <w:rFonts w:asciiTheme="minorBidi" w:hAnsiTheme="minorBidi" w:cstheme="minorBidi"/>
          <w:sz w:val="18"/>
          <w:szCs w:val="18"/>
        </w:rPr>
        <w:t>«Légumes»</w:t>
      </w:r>
      <w:r w:rsidR="00F735B9">
        <w:rPr>
          <w:rFonts w:asciiTheme="minorBidi" w:hAnsiTheme="minorBidi" w:cstheme="minorBidi"/>
          <w:sz w:val="18"/>
          <w:szCs w:val="18"/>
        </w:rPr>
        <w:t xml:space="preserve">, de 0,5% les </w:t>
      </w:r>
      <w:r w:rsidR="00F735B9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F735B9">
        <w:rPr>
          <w:rFonts w:asciiTheme="minorBidi" w:hAnsiTheme="minorBidi" w:cstheme="minorBidi"/>
          <w:sz w:val="18"/>
          <w:szCs w:val="18"/>
        </w:rPr>
        <w:t xml:space="preserve"> et de 0,4% pour les «Viandes»</w:t>
      </w:r>
      <w:r w:rsidR="00B11622">
        <w:rPr>
          <w:rFonts w:asciiTheme="minorBidi" w:hAnsiTheme="minorBidi" w:cstheme="minorBidi"/>
          <w:sz w:val="18"/>
          <w:szCs w:val="18"/>
        </w:rPr>
        <w:t>.</w:t>
      </w:r>
    </w:p>
    <w:p w:rsidR="00F735B9" w:rsidRDefault="00F735B9" w:rsidP="00F735B9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7E33F6" w:rsidRDefault="007E33F6" w:rsidP="00B11622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>la hausse a concerné principalement les prix des</w:t>
      </w:r>
      <w:r w:rsidR="000906A0">
        <w:rPr>
          <w:rFonts w:asciiTheme="minorBidi" w:hAnsiTheme="minorBidi" w:cstheme="minorBidi"/>
          <w:sz w:val="18"/>
          <w:szCs w:val="18"/>
        </w:rPr>
        <w:t xml:space="preserve"> 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D8016D">
        <w:rPr>
          <w:rFonts w:asciiTheme="minorBidi" w:hAnsiTheme="minorBidi" w:cstheme="minorBidi"/>
          <w:sz w:val="18"/>
          <w:szCs w:val="18"/>
        </w:rPr>
        <w:t xml:space="preserve">avec </w:t>
      </w:r>
      <w:r w:rsidR="00B11622">
        <w:rPr>
          <w:rFonts w:asciiTheme="minorBidi" w:hAnsiTheme="minorBidi" w:cstheme="minorBidi"/>
          <w:sz w:val="18"/>
          <w:szCs w:val="18"/>
        </w:rPr>
        <w:t>1</w:t>
      </w:r>
      <w:r w:rsidR="00D8016D">
        <w:rPr>
          <w:rFonts w:asciiTheme="minorBidi" w:hAnsiTheme="minorBidi" w:cstheme="minorBidi"/>
          <w:sz w:val="18"/>
          <w:szCs w:val="18"/>
        </w:rPr>
        <w:t>,</w:t>
      </w:r>
      <w:r w:rsidR="00B11622">
        <w:rPr>
          <w:rFonts w:asciiTheme="minorBidi" w:hAnsiTheme="minorBidi" w:cstheme="minorBidi"/>
          <w:sz w:val="18"/>
          <w:szCs w:val="18"/>
        </w:rPr>
        <w:t>0</w:t>
      </w:r>
      <w:r w:rsidR="00D8016D">
        <w:rPr>
          <w:rFonts w:asciiTheme="minorBidi" w:hAnsiTheme="minorBidi" w:cstheme="minorBidi"/>
          <w:sz w:val="18"/>
          <w:szCs w:val="18"/>
        </w:rPr>
        <w:t xml:space="preserve">%, </w:t>
      </w:r>
      <w:r w:rsidR="00B11622">
        <w:rPr>
          <w:rFonts w:asciiTheme="minorBidi" w:hAnsiTheme="minorBidi" w:cstheme="minorBidi"/>
          <w:sz w:val="18"/>
          <w:szCs w:val="18"/>
        </w:rPr>
        <w:t xml:space="preserve">des « Restaurants et hôtels » avec 0,3%, des « Transports » avec 0,2% et le prix </w:t>
      </w:r>
      <w:r w:rsidR="00D8016D">
        <w:rPr>
          <w:rFonts w:asciiTheme="minorBidi" w:hAnsiTheme="minorBidi" w:cstheme="minorBidi"/>
          <w:sz w:val="18"/>
          <w:szCs w:val="18"/>
        </w:rPr>
        <w:t>de « Logement, eau, gaz, électricité et autres combustibles » avec</w:t>
      </w:r>
      <w:r w:rsidR="00B11622">
        <w:rPr>
          <w:rFonts w:asciiTheme="minorBidi" w:hAnsiTheme="minorBidi" w:cstheme="minorBidi"/>
          <w:sz w:val="18"/>
          <w:szCs w:val="18"/>
        </w:rPr>
        <w:t xml:space="preserve"> 0,1%. 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Cependant </w:t>
      </w:r>
      <w:r w:rsidR="00E20AB0" w:rsidRPr="00B6358C">
        <w:rPr>
          <w:rFonts w:asciiTheme="minorBidi" w:hAnsiTheme="minorBidi" w:cstheme="minorBidi"/>
          <w:sz w:val="18"/>
          <w:szCs w:val="18"/>
        </w:rPr>
        <w:t xml:space="preserve">les autres groupes ont enregistré une stagnation.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E70A53" w:rsidRDefault="007E33F6" w:rsidP="00C506F5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 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enregistrées </w:t>
      </w:r>
      <w:r w:rsidR="00C506F5" w:rsidRPr="00C506F5">
        <w:rPr>
          <w:rFonts w:asciiTheme="minorBidi" w:hAnsiTheme="minorBidi" w:cstheme="minorBidi"/>
          <w:sz w:val="18"/>
          <w:szCs w:val="18"/>
        </w:rPr>
        <w:t xml:space="preserve"> à Fès et Settat avec 1,5%, à </w:t>
      </w:r>
      <w:proofErr w:type="spellStart"/>
      <w:r w:rsidR="00C506F5" w:rsidRPr="00C506F5">
        <w:rPr>
          <w:rFonts w:asciiTheme="minorBidi" w:hAnsiTheme="minorBidi" w:cstheme="minorBidi"/>
          <w:sz w:val="18"/>
          <w:szCs w:val="18"/>
        </w:rPr>
        <w:t>Beni</w:t>
      </w:r>
      <w:proofErr w:type="spellEnd"/>
      <w:r w:rsidR="00C506F5" w:rsidRPr="00C506F5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C506F5" w:rsidRPr="00C506F5">
        <w:rPr>
          <w:rFonts w:asciiTheme="minorBidi" w:hAnsiTheme="minorBidi" w:cstheme="minorBidi"/>
          <w:sz w:val="18"/>
          <w:szCs w:val="18"/>
        </w:rPr>
        <w:t>mellal</w:t>
      </w:r>
      <w:proofErr w:type="spellEnd"/>
      <w:r w:rsidR="00C506F5" w:rsidRPr="00C506F5">
        <w:rPr>
          <w:rFonts w:asciiTheme="minorBidi" w:hAnsiTheme="minorBidi" w:cstheme="minorBidi"/>
          <w:sz w:val="18"/>
          <w:szCs w:val="18"/>
        </w:rPr>
        <w:t xml:space="preserve"> avec 1,4%, à Kenitra avec 1,1%, à </w:t>
      </w:r>
      <w:proofErr w:type="spellStart"/>
      <w:r w:rsidR="00C506F5" w:rsidRPr="00C506F5">
        <w:rPr>
          <w:rFonts w:asciiTheme="minorBidi" w:hAnsiTheme="minorBidi" w:cstheme="minorBidi"/>
          <w:sz w:val="18"/>
          <w:szCs w:val="18"/>
        </w:rPr>
        <w:t>Guelmim</w:t>
      </w:r>
      <w:proofErr w:type="spellEnd"/>
      <w:r w:rsidR="00C506F5" w:rsidRPr="00C506F5">
        <w:rPr>
          <w:rFonts w:asciiTheme="minorBidi" w:hAnsiTheme="minorBidi" w:cstheme="minorBidi"/>
          <w:sz w:val="18"/>
          <w:szCs w:val="18"/>
        </w:rPr>
        <w:t xml:space="preserve"> avec 1,0%, à Oujda avec 0,8%, à Casablanca, </w:t>
      </w:r>
      <w:proofErr w:type="spellStart"/>
      <w:r w:rsidR="00C506F5" w:rsidRPr="00C506F5">
        <w:rPr>
          <w:rFonts w:asciiTheme="minorBidi" w:hAnsiTheme="minorBidi" w:cstheme="minorBidi"/>
          <w:sz w:val="18"/>
          <w:szCs w:val="18"/>
        </w:rPr>
        <w:t>Laayoune</w:t>
      </w:r>
      <w:proofErr w:type="spellEnd"/>
      <w:r w:rsidR="00C506F5" w:rsidRPr="00C506F5">
        <w:rPr>
          <w:rFonts w:asciiTheme="minorBidi" w:hAnsiTheme="minorBidi" w:cstheme="minorBidi"/>
          <w:sz w:val="18"/>
          <w:szCs w:val="18"/>
        </w:rPr>
        <w:t xml:space="preserve"> et Safi avec 0,7% et à </w:t>
      </w:r>
      <w:proofErr w:type="spellStart"/>
      <w:r w:rsidR="00C506F5" w:rsidRPr="00C506F5">
        <w:rPr>
          <w:rFonts w:asciiTheme="minorBidi" w:hAnsiTheme="minorBidi" w:cstheme="minorBidi"/>
          <w:sz w:val="18"/>
          <w:szCs w:val="18"/>
        </w:rPr>
        <w:t>Errachidia</w:t>
      </w:r>
      <w:proofErr w:type="spellEnd"/>
      <w:r w:rsidR="00C506F5" w:rsidRPr="00C506F5">
        <w:rPr>
          <w:rFonts w:asciiTheme="minorBidi" w:hAnsiTheme="minorBidi" w:cstheme="minorBidi"/>
          <w:sz w:val="18"/>
          <w:szCs w:val="18"/>
        </w:rPr>
        <w:t xml:space="preserve"> avec 0,6%. En revanche, des baisses ont été enregistrées à Al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="00C506F5" w:rsidRPr="00C506F5">
        <w:rPr>
          <w:rFonts w:asciiTheme="minorBidi" w:hAnsiTheme="minorBidi" w:cstheme="minorBidi"/>
          <w:sz w:val="18"/>
          <w:szCs w:val="18"/>
        </w:rPr>
        <w:t>Hoceima avec 1,1% et à Marrakech avec 0,1%.</w:t>
      </w:r>
    </w:p>
    <w:p w:rsidR="00C506F5" w:rsidRDefault="00C506F5" w:rsidP="00C506F5">
      <w:pPr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525EFA" w:rsidRPr="00EB4D32" w:rsidRDefault="00525EFA" w:rsidP="00525EFA">
      <w:pPr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</w:rPr>
      </w:pPr>
    </w:p>
    <w:p w:rsidR="00E70A53" w:rsidRDefault="00E70A53" w:rsidP="00EB4D32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C506F5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de </w:t>
      </w:r>
      <w:r w:rsidR="00C506F5">
        <w:rPr>
          <w:rFonts w:asciiTheme="minorBidi" w:hAnsiTheme="minorBidi" w:cstheme="minorBidi"/>
          <w:sz w:val="18"/>
          <w:szCs w:val="18"/>
        </w:rPr>
        <w:t>septembre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</w:t>
      </w:r>
      <w:r w:rsidR="00A81772">
        <w:rPr>
          <w:rFonts w:asciiTheme="minorBidi" w:hAnsiTheme="minorBidi" w:cstheme="minorBidi"/>
          <w:sz w:val="18"/>
          <w:szCs w:val="18"/>
        </w:rPr>
        <w:t>de la même valeur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 xml:space="preserve">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A81772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A81772">
        <w:rPr>
          <w:rFonts w:asciiTheme="minorBidi" w:hAnsiTheme="minorBidi" w:cstheme="minorBidi"/>
          <w:sz w:val="18"/>
          <w:szCs w:val="18"/>
        </w:rPr>
        <w:t>8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A81772">
        <w:rPr>
          <w:rFonts w:asciiTheme="minorBidi" w:hAnsiTheme="minorBidi" w:cstheme="minorBidi"/>
          <w:sz w:val="18"/>
          <w:szCs w:val="18"/>
        </w:rPr>
        <w:t>non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alimentaires de 1,</w:t>
      </w:r>
      <w:r w:rsidR="00A81772">
        <w:rPr>
          <w:rFonts w:asciiTheme="minorBidi" w:hAnsiTheme="minorBidi" w:cstheme="minorBidi"/>
          <w:sz w:val="18"/>
          <w:szCs w:val="18"/>
        </w:rPr>
        <w:t>4</w:t>
      </w:r>
      <w:r w:rsidRPr="008C4377">
        <w:rPr>
          <w:rFonts w:asciiTheme="minorBidi" w:hAnsiTheme="minorBidi" w:cstheme="minorBidi"/>
          <w:sz w:val="18"/>
          <w:szCs w:val="18"/>
        </w:rPr>
        <w:t>%. Pour les produits non alimentaires, les variations vont d’une baisse de 0,</w:t>
      </w:r>
      <w:r w:rsidR="00A81772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A81772">
        <w:rPr>
          <w:rFonts w:asciiTheme="minorBidi" w:hAnsiTheme="minorBidi" w:cstheme="minorBidi"/>
          <w:sz w:val="18"/>
          <w:szCs w:val="18"/>
        </w:rPr>
        <w:t>a</w:t>
      </w:r>
      <w:r w:rsidR="00525EFA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A81772">
        <w:rPr>
          <w:rFonts w:asciiTheme="minorBidi" w:hAnsiTheme="minorBidi" w:cstheme="minorBidi"/>
          <w:sz w:val="18"/>
          <w:szCs w:val="18"/>
        </w:rPr>
        <w:t>Santé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A81772">
        <w:rPr>
          <w:rFonts w:asciiTheme="minorBidi" w:hAnsiTheme="minorBidi" w:cstheme="minorBidi"/>
          <w:sz w:val="18"/>
          <w:szCs w:val="18"/>
        </w:rPr>
        <w:t>5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A81772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% pour le</w:t>
      </w:r>
      <w:r w:rsidR="00A81772">
        <w:rPr>
          <w:rFonts w:asciiTheme="minorBidi" w:hAnsiTheme="minorBidi" w:cstheme="minorBidi"/>
          <w:sz w:val="18"/>
          <w:szCs w:val="18"/>
        </w:rPr>
        <w:t>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A81772">
        <w:rPr>
          <w:rFonts w:asciiTheme="minorBidi" w:hAnsiTheme="minorBidi" w:cstheme="minorBidi"/>
          <w:sz w:val="18"/>
          <w:szCs w:val="18"/>
        </w:rPr>
        <w:t>Articles d’habillement et cha</w:t>
      </w:r>
      <w:r w:rsidR="00EB4D32">
        <w:rPr>
          <w:rFonts w:asciiTheme="minorBidi" w:hAnsiTheme="minorBidi" w:cstheme="minorBidi"/>
          <w:sz w:val="18"/>
          <w:szCs w:val="18"/>
        </w:rPr>
        <w:t>u</w:t>
      </w:r>
      <w:r w:rsidR="00A81772">
        <w:rPr>
          <w:rFonts w:asciiTheme="minorBidi" w:hAnsiTheme="minorBidi" w:cstheme="minorBidi"/>
          <w:sz w:val="18"/>
          <w:szCs w:val="18"/>
        </w:rPr>
        <w:t>ssures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9142A2" w:rsidRPr="009142A2" w:rsidRDefault="009142A2" w:rsidP="00BD6FB4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الأثمان عند الاستهلاك لشهر </w:t>
      </w:r>
      <w:r w:rsidR="00BD6FB4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شتنبر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525EFA">
      <w:pPr>
        <w:tabs>
          <w:tab w:val="right" w:pos="0"/>
        </w:tabs>
        <w:spacing w:line="48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Pr="004B4A37">
        <w:rPr>
          <w:rFonts w:asciiTheme="minorBidi" w:hAnsiTheme="minorBidi" w:cstheme="minorBidi"/>
          <w:rtl/>
        </w:rPr>
        <w:t>ى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Pr="004B4A37">
        <w:rPr>
          <w:rFonts w:asciiTheme="minorBidi" w:hAnsiTheme="minorBidi" w:cstheme="minorBidi" w:hint="cs"/>
          <w:rtl/>
        </w:rPr>
        <w:t>مارس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BD6FB4">
        <w:rPr>
          <w:rFonts w:asciiTheme="minorBidi" w:hAnsiTheme="minorBidi" w:cstheme="minorBidi" w:hint="cs"/>
          <w:rtl/>
          <w:lang w:bidi="ar-MA"/>
        </w:rPr>
        <w:t>4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BD6FB4">
        <w:rPr>
          <w:rFonts w:asciiTheme="minorBidi" w:hAnsiTheme="minorBidi" w:cstheme="minorBidi" w:hint="cs"/>
          <w:rtl/>
          <w:lang w:bidi="ar-MA"/>
        </w:rPr>
        <w:t>2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10</w:t>
      </w:r>
      <w:r w:rsidR="00BD6FB4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,5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>ا قدره 0,</w:t>
      </w:r>
      <w:r w:rsidR="00BD6FB4">
        <w:rPr>
          <w:rFonts w:asciiTheme="minorBidi" w:hAnsiTheme="minorBidi" w:cstheme="minorBidi" w:hint="cs"/>
          <w:rtl/>
          <w:lang w:bidi="ar-MA"/>
        </w:rPr>
        <w:t xml:space="preserve">7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ارتفاع قدر بنفس النسبة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 xml:space="preserve">عن </w:t>
      </w:r>
      <w:proofErr w:type="spellStart"/>
      <w:r w:rsidR="00B92523" w:rsidRPr="004B4A37">
        <w:rPr>
          <w:rFonts w:asciiTheme="minorBidi" w:hAnsiTheme="minorBidi" w:cstheme="minorBidi" w:hint="cs"/>
          <w:rtl/>
        </w:rPr>
        <w:t>تزايد</w:t>
      </w:r>
      <w:r w:rsidR="0013267A" w:rsidRPr="004B4A37">
        <w:rPr>
          <w:rFonts w:asciiTheme="minorBidi" w:hAnsiTheme="minorBidi" w:cstheme="minorBidi"/>
          <w:rtl/>
        </w:rPr>
        <w:t>الرقم</w:t>
      </w:r>
      <w:proofErr w:type="spellEnd"/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BD6FB4">
        <w:rPr>
          <w:rFonts w:asciiTheme="minorBidi" w:hAnsiTheme="minorBidi" w:cstheme="minorBidi" w:hint="cs"/>
          <w:rtl/>
          <w:lang w:bidi="ar-MA"/>
        </w:rPr>
        <w:t xml:space="preserve"> ب 1,7</w:t>
      </w:r>
      <w:r w:rsidR="00BD6FB4" w:rsidRPr="004B4A37">
        <w:rPr>
          <w:rFonts w:asciiTheme="minorBidi" w:hAnsiTheme="minorBidi" w:cstheme="minorBidi"/>
          <w:lang w:bidi="ar-MA"/>
        </w:rPr>
        <w:t>%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كذا</w:t>
      </w:r>
      <w:r w:rsidR="000906A0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</w:rPr>
        <w:t>ا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 ب 0,</w:t>
      </w:r>
      <w:r w:rsidR="00BD6FB4">
        <w:rPr>
          <w:rFonts w:asciiTheme="minorBidi" w:hAnsiTheme="minorBidi" w:cstheme="minorBidi" w:hint="cs"/>
          <w:rtl/>
          <w:lang w:bidi="ar-MA"/>
        </w:rPr>
        <w:t xml:space="preserve">1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CC4029" w:rsidRDefault="00CC4029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Pr="00CC4029" w:rsidRDefault="00525EFA" w:rsidP="00F44C84">
      <w:pPr>
        <w:tabs>
          <w:tab w:val="right" w:pos="0"/>
        </w:tabs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525EFA">
      <w:pPr>
        <w:spacing w:line="48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</w:t>
      </w:r>
      <w:r w:rsidR="007B08FA">
        <w:rPr>
          <w:rFonts w:asciiTheme="minorBidi" w:hAnsiTheme="minorBidi" w:cstheme="minorBidi" w:hint="cs"/>
          <w:rtl/>
          <w:lang w:bidi="ar-MA"/>
        </w:rPr>
        <w:t xml:space="preserve"> 1</w:t>
      </w:r>
      <w:proofErr w:type="gramStart"/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7B08FA">
        <w:rPr>
          <w:rFonts w:asciiTheme="minorBidi" w:hAnsiTheme="minorBidi" w:cstheme="minorBidi" w:hint="cs"/>
          <w:rtl/>
          <w:lang w:bidi="ar-MA"/>
        </w:rPr>
        <w:t>8</w:t>
      </w:r>
      <w:r w:rsidR="007B08FA" w:rsidRPr="004B4A37">
        <w:rPr>
          <w:rFonts w:asciiTheme="minorBidi" w:hAnsiTheme="minorBidi" w:cstheme="minorBidi"/>
          <w:lang w:bidi="ar-MA"/>
        </w:rPr>
        <w:t>%</w:t>
      </w:r>
      <w:proofErr w:type="gramEnd"/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C2193A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25EFA" w:rsidRPr="00525EFA" w:rsidRDefault="00525EFA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5A35B6" w:rsidRDefault="0013267A" w:rsidP="00525EFA">
      <w:pPr>
        <w:tabs>
          <w:tab w:val="right" w:pos="0"/>
        </w:tabs>
        <w:spacing w:line="480" w:lineRule="auto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0906A0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7B08FA">
        <w:rPr>
          <w:rFonts w:asciiTheme="minorBidi" w:hAnsiTheme="minorBidi" w:cstheme="minorBidi" w:hint="cs"/>
          <w:rtl/>
          <w:lang w:bidi="ar-MA"/>
        </w:rPr>
        <w:t>غشت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و </w:t>
      </w:r>
      <w:r w:rsidR="007B08FA">
        <w:rPr>
          <w:rFonts w:asciiTheme="minorBidi" w:hAnsiTheme="minorBidi" w:cstheme="minorBidi" w:hint="cs"/>
          <w:rtl/>
          <w:lang w:bidi="ar-MA"/>
        </w:rPr>
        <w:t>شتنبر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Pr="004B4A37">
        <w:rPr>
          <w:rFonts w:asciiTheme="minorBidi" w:hAnsiTheme="minorBidi" w:cstheme="minorBidi"/>
          <w:rtl/>
          <w:lang w:bidi="ar-MA"/>
        </w:rPr>
        <w:t xml:space="preserve"> بقسم "المواد الغذائية والمشروبات غير الكحولية" على الخصوص أثمان</w:t>
      </w:r>
      <w:r w:rsidR="007B08FA">
        <w:rPr>
          <w:rFonts w:asciiTheme="minorBidi" w:hAnsiTheme="minorBidi" w:cstheme="minorBidi" w:hint="cs"/>
          <w:rtl/>
          <w:lang w:bidi="ar-MA"/>
        </w:rPr>
        <w:t xml:space="preserve"> "الخبز و الحبوب" ب 6,8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7B08FA">
        <w:rPr>
          <w:rFonts w:asciiTheme="minorBidi" w:hAnsiTheme="minorBidi" w:cstheme="minorBidi" w:hint="cs"/>
          <w:rtl/>
          <w:lang w:bidi="ar-MA"/>
        </w:rPr>
        <w:t xml:space="preserve">، </w:t>
      </w:r>
      <w:r w:rsidR="007B08FA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7B08FA">
        <w:rPr>
          <w:rFonts w:asciiTheme="minorBidi" w:hAnsiTheme="minorBidi" w:cstheme="minorBidi" w:hint="cs"/>
          <w:rtl/>
          <w:lang w:bidi="ar-MA"/>
        </w:rPr>
        <w:t>3</w:t>
      </w:r>
      <w:r w:rsidR="007B08FA" w:rsidRPr="004B4A37">
        <w:rPr>
          <w:rFonts w:asciiTheme="minorBidi" w:hAnsiTheme="minorBidi" w:cstheme="minorBidi"/>
          <w:rtl/>
          <w:lang w:bidi="ar-MA"/>
        </w:rPr>
        <w:t>,</w:t>
      </w:r>
      <w:r w:rsidR="007B08FA">
        <w:rPr>
          <w:rFonts w:asciiTheme="minorBidi" w:hAnsiTheme="minorBidi" w:cstheme="minorBidi" w:hint="cs"/>
          <w:rtl/>
          <w:lang w:bidi="ar-MA"/>
        </w:rPr>
        <w:t xml:space="preserve">0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7B08FA">
        <w:rPr>
          <w:rFonts w:asciiTheme="minorBidi" w:hAnsiTheme="minorBidi" w:cstheme="minorBidi" w:hint="cs"/>
          <w:rtl/>
          <w:lang w:bidi="ar-MA"/>
        </w:rPr>
        <w:t xml:space="preserve">، </w:t>
      </w:r>
      <w:r w:rsidR="007B08FA" w:rsidRPr="004B4A37">
        <w:rPr>
          <w:rFonts w:asciiTheme="minorBidi" w:hAnsiTheme="minorBidi" w:cstheme="minorBidi"/>
          <w:rtl/>
          <w:lang w:bidi="ar-MA"/>
        </w:rPr>
        <w:t>"</w:t>
      </w:r>
      <w:r w:rsidR="007B08FA" w:rsidRPr="004B4A37">
        <w:rPr>
          <w:rFonts w:asciiTheme="minorBidi" w:hAnsiTheme="minorBidi" w:cstheme="minorBidi" w:hint="cs"/>
          <w:rtl/>
          <w:lang w:bidi="ar-MA"/>
        </w:rPr>
        <w:t>الزيوت</w:t>
      </w:r>
      <w:r w:rsidR="000906A0">
        <w:rPr>
          <w:rFonts w:asciiTheme="minorBidi" w:hAnsiTheme="minorBidi" w:cstheme="minorBidi" w:hint="cs"/>
          <w:rtl/>
          <w:lang w:bidi="ar-MA"/>
        </w:rPr>
        <w:t xml:space="preserve"> </w:t>
      </w:r>
      <w:proofErr w:type="spellStart"/>
      <w:r w:rsidR="007B08FA" w:rsidRPr="004B4A37">
        <w:rPr>
          <w:rFonts w:asciiTheme="minorBidi" w:hAnsiTheme="minorBidi" w:cstheme="minorBidi"/>
          <w:rtl/>
          <w:lang w:bidi="ar-MA"/>
        </w:rPr>
        <w:t>والذهنيات</w:t>
      </w:r>
      <w:proofErr w:type="spellEnd"/>
      <w:r w:rsidR="007B08FA" w:rsidRPr="004B4A37">
        <w:rPr>
          <w:rFonts w:asciiTheme="minorBidi" w:hAnsiTheme="minorBidi" w:cstheme="minorBidi" w:hint="cs"/>
          <w:rtl/>
          <w:lang w:bidi="ar-MA"/>
        </w:rPr>
        <w:t xml:space="preserve">" ب </w:t>
      </w:r>
      <w:r w:rsidR="007B08FA">
        <w:rPr>
          <w:rFonts w:asciiTheme="minorBidi" w:hAnsiTheme="minorBidi" w:cstheme="minorBidi" w:hint="cs"/>
          <w:rtl/>
          <w:lang w:bidi="ar-MA"/>
        </w:rPr>
        <w:t>1</w:t>
      </w:r>
      <w:r w:rsidR="007B08FA" w:rsidRPr="004B4A37">
        <w:rPr>
          <w:rFonts w:asciiTheme="minorBidi" w:hAnsiTheme="minorBidi" w:cstheme="minorBidi"/>
          <w:rtl/>
          <w:lang w:bidi="ar-MA"/>
        </w:rPr>
        <w:t>,</w:t>
      </w:r>
      <w:r w:rsidR="007B08FA">
        <w:rPr>
          <w:rFonts w:asciiTheme="minorBidi" w:hAnsiTheme="minorBidi" w:cstheme="minorBidi" w:hint="cs"/>
          <w:rtl/>
          <w:lang w:bidi="ar-MA"/>
        </w:rPr>
        <w:t>6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7B08FA" w:rsidRPr="004B4A37">
        <w:rPr>
          <w:rFonts w:asciiTheme="minorBidi" w:hAnsiTheme="minorBidi" w:cstheme="minorBidi" w:hint="cs"/>
          <w:rtl/>
          <w:lang w:bidi="ar-MA"/>
        </w:rPr>
        <w:t>،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7B08FA" w:rsidRPr="004B4A37">
        <w:rPr>
          <w:rFonts w:asciiTheme="minorBidi" w:hAnsiTheme="minorBidi" w:cstheme="minorBidi" w:hint="cs"/>
          <w:rtl/>
          <w:lang w:bidi="ar-MA"/>
        </w:rPr>
        <w:t>"السكر و</w:t>
      </w:r>
      <w:r w:rsidR="007B08FA">
        <w:rPr>
          <w:rFonts w:asciiTheme="minorBidi" w:hAnsiTheme="minorBidi" w:cstheme="minorBidi" w:hint="cs"/>
          <w:rtl/>
          <w:lang w:bidi="ar-MA"/>
        </w:rPr>
        <w:t xml:space="preserve">المربى والعسل </w:t>
      </w:r>
      <w:proofErr w:type="spellStart"/>
      <w:r w:rsidR="007B08FA">
        <w:rPr>
          <w:rFonts w:asciiTheme="minorBidi" w:hAnsiTheme="minorBidi" w:cstheme="minorBidi" w:hint="cs"/>
          <w:rtl/>
          <w:lang w:bidi="ar-MA"/>
        </w:rPr>
        <w:t>والشكولاتة</w:t>
      </w:r>
      <w:proofErr w:type="spellEnd"/>
      <w:r w:rsidR="007B08FA">
        <w:rPr>
          <w:rFonts w:asciiTheme="minorBidi" w:hAnsiTheme="minorBidi" w:cstheme="minorBidi" w:hint="cs"/>
          <w:rtl/>
          <w:lang w:bidi="ar-MA"/>
        </w:rPr>
        <w:t xml:space="preserve"> والحلويات</w:t>
      </w:r>
      <w:r w:rsidR="007B08FA" w:rsidRPr="004B4A37">
        <w:rPr>
          <w:rFonts w:asciiTheme="minorBidi" w:hAnsiTheme="minorBidi" w:cstheme="minorBidi" w:hint="cs"/>
          <w:rtl/>
          <w:lang w:bidi="ar-MA"/>
        </w:rPr>
        <w:t>" ب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7B08FA">
        <w:rPr>
          <w:rFonts w:asciiTheme="minorBidi" w:hAnsiTheme="minorBidi" w:cstheme="minorBidi" w:hint="cs"/>
          <w:rtl/>
          <w:lang w:bidi="ar-MA"/>
        </w:rPr>
        <w:t>1</w:t>
      </w:r>
      <w:r w:rsidR="007B08FA" w:rsidRPr="004B4A37">
        <w:rPr>
          <w:rFonts w:asciiTheme="minorBidi" w:hAnsiTheme="minorBidi" w:cstheme="minorBidi" w:hint="cs"/>
          <w:rtl/>
          <w:lang w:bidi="ar-MA"/>
        </w:rPr>
        <w:t>,</w:t>
      </w:r>
      <w:r w:rsidR="007B08FA">
        <w:rPr>
          <w:rFonts w:asciiTheme="minorBidi" w:hAnsiTheme="minorBidi" w:cstheme="minorBidi" w:hint="cs"/>
          <w:rtl/>
          <w:lang w:bidi="ar-MA"/>
        </w:rPr>
        <w:t>0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525EFA">
        <w:rPr>
          <w:rFonts w:asciiTheme="minorBidi" w:hAnsiTheme="minorBidi" w:cstheme="minorBidi" w:hint="cs"/>
          <w:rtl/>
          <w:lang w:bidi="ar-MA"/>
        </w:rPr>
        <w:t xml:space="preserve"> و </w:t>
      </w:r>
      <w:r w:rsidR="00525EFA" w:rsidRPr="004B4A37">
        <w:rPr>
          <w:rFonts w:asciiTheme="minorBidi" w:hAnsiTheme="minorBidi" w:cstheme="minorBidi" w:hint="cs"/>
          <w:rtl/>
          <w:lang w:bidi="ar-MA"/>
        </w:rPr>
        <w:t>"</w:t>
      </w:r>
      <w:r w:rsidR="00525EFA" w:rsidRPr="004B4A37">
        <w:rPr>
          <w:rFonts w:asciiTheme="minorBidi" w:hAnsiTheme="minorBidi" w:cstheme="minorBidi"/>
          <w:rtl/>
          <w:lang w:bidi="ar-MA"/>
        </w:rPr>
        <w:t xml:space="preserve">الحليب والجبن والبيض" </w:t>
      </w:r>
      <w:r w:rsidR="00525EFA" w:rsidRPr="004B4A37">
        <w:rPr>
          <w:rFonts w:asciiTheme="minorBidi" w:hAnsiTheme="minorBidi" w:cstheme="minorBidi"/>
          <w:rtl/>
        </w:rPr>
        <w:t xml:space="preserve">ب </w:t>
      </w:r>
      <w:r w:rsidR="00525EFA" w:rsidRPr="004B4A37">
        <w:rPr>
          <w:rFonts w:asciiTheme="minorBidi" w:hAnsiTheme="minorBidi" w:cstheme="minorBidi" w:hint="cs"/>
          <w:rtl/>
        </w:rPr>
        <w:t>0</w:t>
      </w:r>
      <w:r w:rsidR="00525EFA" w:rsidRPr="004B4A37">
        <w:rPr>
          <w:rFonts w:asciiTheme="minorBidi" w:hAnsiTheme="minorBidi" w:cstheme="minorBidi"/>
          <w:rtl/>
        </w:rPr>
        <w:t>,</w:t>
      </w:r>
      <w:r w:rsidR="00525EFA">
        <w:rPr>
          <w:rFonts w:asciiTheme="minorBidi" w:hAnsiTheme="minorBidi" w:cstheme="minorBidi" w:hint="cs"/>
          <w:rtl/>
        </w:rPr>
        <w:t xml:space="preserve">5 </w:t>
      </w:r>
      <w:r w:rsidR="00525EFA" w:rsidRPr="004B4A37">
        <w:rPr>
          <w:rFonts w:asciiTheme="minorBidi" w:hAnsiTheme="minorBidi" w:cstheme="minorBidi"/>
          <w:lang w:bidi="ar-MA"/>
        </w:rPr>
        <w:t>%</w:t>
      </w:r>
      <w:r w:rsidR="007B08FA" w:rsidRPr="004B4A37">
        <w:rPr>
          <w:rFonts w:asciiTheme="minorBidi" w:hAnsiTheme="minorBidi" w:cstheme="minorBidi" w:hint="cs"/>
          <w:rtl/>
          <w:lang w:bidi="ar-MA"/>
        </w:rPr>
        <w:t>.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2B1E5B" w:rsidRPr="002A7932">
        <w:rPr>
          <w:rFonts w:asciiTheme="minorBidi" w:hAnsiTheme="minorBidi" w:cstheme="minorBidi"/>
          <w:rtl/>
          <w:lang w:bidi="ar-MA"/>
        </w:rPr>
        <w:t>وعلى العكس من ذلك، انخفضت أثمان</w:t>
      </w:r>
      <w:r w:rsidR="002B1E5B" w:rsidRPr="002A7932">
        <w:rPr>
          <w:rFonts w:asciiTheme="minorBidi" w:hAnsiTheme="minorBidi" w:cstheme="minorBidi"/>
          <w:lang w:bidi="ar-MA"/>
        </w:rPr>
        <w:t> </w:t>
      </w:r>
      <w:r w:rsidR="007B08FA" w:rsidRPr="004B4A37">
        <w:rPr>
          <w:rFonts w:asciiTheme="minorBidi" w:hAnsiTheme="minorBidi" w:cstheme="minorBidi"/>
          <w:rtl/>
          <w:lang w:bidi="ar-MA"/>
        </w:rPr>
        <w:t xml:space="preserve">"الخضر" ب </w:t>
      </w:r>
      <w:r w:rsidR="007B08FA" w:rsidRPr="004B4A37">
        <w:rPr>
          <w:rFonts w:asciiTheme="minorBidi" w:hAnsiTheme="minorBidi" w:cstheme="minorBidi" w:hint="cs"/>
          <w:rtl/>
          <w:lang w:bidi="ar-MA"/>
        </w:rPr>
        <w:t>0</w:t>
      </w:r>
      <w:r w:rsidR="007B08FA" w:rsidRPr="004B4A37">
        <w:rPr>
          <w:rFonts w:asciiTheme="minorBidi" w:hAnsiTheme="minorBidi" w:cstheme="minorBidi"/>
          <w:rtl/>
          <w:lang w:bidi="ar-MA"/>
        </w:rPr>
        <w:t>,</w:t>
      </w:r>
      <w:r w:rsidR="00CC4029">
        <w:rPr>
          <w:rFonts w:asciiTheme="minorBidi" w:hAnsiTheme="minorBidi" w:cstheme="minorBidi" w:hint="cs"/>
          <w:rtl/>
          <w:lang w:bidi="ar-MA"/>
        </w:rPr>
        <w:t>7</w:t>
      </w:r>
      <w:r w:rsidR="007B08FA" w:rsidRPr="004B4A37">
        <w:rPr>
          <w:rFonts w:asciiTheme="minorBidi" w:hAnsiTheme="minorBidi" w:cstheme="minorBidi"/>
          <w:lang w:bidi="ar-MA"/>
        </w:rPr>
        <w:t>%</w:t>
      </w:r>
      <w:r w:rsidR="00CC4029">
        <w:rPr>
          <w:rFonts w:asciiTheme="minorBidi" w:hAnsiTheme="minorBidi" w:cstheme="minorBidi" w:hint="cs"/>
          <w:rtl/>
          <w:lang w:bidi="ar-MA"/>
        </w:rPr>
        <w:t xml:space="preserve">، </w:t>
      </w:r>
      <w:r w:rsidR="00A06A0D" w:rsidRPr="004B4A37">
        <w:rPr>
          <w:rFonts w:asciiTheme="minorBidi" w:hAnsiTheme="minorBidi" w:cstheme="minorBidi" w:hint="cs"/>
          <w:rtl/>
          <w:lang w:bidi="ar-MA"/>
        </w:rPr>
        <w:t>"</w:t>
      </w:r>
      <w:r w:rsidR="00A06A0D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CC4029">
        <w:rPr>
          <w:rFonts w:asciiTheme="minorBidi" w:hAnsiTheme="minorBidi" w:cstheme="minorBidi" w:hint="cs"/>
          <w:rtl/>
          <w:lang w:bidi="ar-MA"/>
        </w:rPr>
        <w:t>0</w:t>
      </w:r>
      <w:r w:rsidR="007642DD">
        <w:rPr>
          <w:rFonts w:asciiTheme="minorBidi" w:hAnsiTheme="minorBidi" w:cstheme="minorBidi" w:hint="cs"/>
          <w:rtl/>
          <w:lang w:bidi="ar-MA"/>
        </w:rPr>
        <w:t>,</w:t>
      </w:r>
      <w:r w:rsidR="00CC4029">
        <w:rPr>
          <w:rFonts w:asciiTheme="minorBidi" w:hAnsiTheme="minorBidi" w:cstheme="minorBidi" w:hint="cs"/>
          <w:rtl/>
          <w:lang w:bidi="ar-MA"/>
        </w:rPr>
        <w:t xml:space="preserve">5 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و </w:t>
      </w:r>
      <w:r w:rsidR="00A06A0D" w:rsidRPr="004B4A37">
        <w:rPr>
          <w:rFonts w:asciiTheme="minorBidi" w:hAnsiTheme="minorBidi" w:cstheme="minorBidi"/>
          <w:rtl/>
          <w:lang w:bidi="ar-MA"/>
        </w:rPr>
        <w:t>"</w:t>
      </w:r>
      <w:r w:rsidR="00A06A0D" w:rsidRPr="004B4A37">
        <w:rPr>
          <w:rFonts w:asciiTheme="minorBidi" w:hAnsiTheme="minorBidi" w:cstheme="minorBidi"/>
          <w:rtl/>
        </w:rPr>
        <w:t xml:space="preserve">اللحوم" </w:t>
      </w:r>
      <w:r w:rsidR="002B1E5B">
        <w:rPr>
          <w:rFonts w:asciiTheme="minorBidi" w:hAnsiTheme="minorBidi" w:cstheme="minorBidi" w:hint="cs"/>
          <w:rtl/>
        </w:rPr>
        <w:t xml:space="preserve"> ب 0,4 </w:t>
      </w:r>
      <w:r w:rsidR="002B1E5B" w:rsidRPr="004B4A37">
        <w:rPr>
          <w:rFonts w:asciiTheme="minorBidi" w:hAnsiTheme="minorBidi" w:cstheme="minorBidi"/>
          <w:lang w:bidi="ar-MA"/>
        </w:rPr>
        <w:t>%</w:t>
      </w:r>
      <w:r w:rsidR="002B1E5B">
        <w:rPr>
          <w:rFonts w:asciiTheme="minorBidi" w:hAnsiTheme="minorBidi" w:cstheme="minorBidi" w:hint="cs"/>
          <w:rtl/>
          <w:lang w:bidi="ar-MA"/>
        </w:rPr>
        <w:t>.</w:t>
      </w:r>
    </w:p>
    <w:p w:rsidR="00525EFA" w:rsidRPr="00525EFA" w:rsidRDefault="00525EFA" w:rsidP="00525EFA">
      <w:pPr>
        <w:spacing w:line="480" w:lineRule="auto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13267A" w:rsidRPr="004B4A37" w:rsidRDefault="0013267A" w:rsidP="00525EFA">
      <w:pPr>
        <w:spacing w:line="48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A06A0D" w:rsidRPr="004B4A37">
        <w:rPr>
          <w:rFonts w:ascii="Arial" w:hAnsi="Arial" w:cs="Arial" w:hint="cs"/>
          <w:color w:val="333333"/>
          <w:rtl/>
        </w:rPr>
        <w:t>فإن</w:t>
      </w:r>
      <w:r w:rsidR="00A06A0D" w:rsidRPr="004B4A37">
        <w:rPr>
          <w:rFonts w:asciiTheme="minorBidi" w:hAnsiTheme="minorBidi" w:cstheme="minorBidi"/>
          <w:lang w:bidi="ar-MA"/>
        </w:rPr>
        <w:t> </w:t>
      </w:r>
      <w:r w:rsidRPr="004B4A37">
        <w:rPr>
          <w:rFonts w:asciiTheme="minorBidi" w:hAnsiTheme="minorBidi" w:cstheme="minorBidi"/>
          <w:rtl/>
          <w:lang w:bidi="ar-MA"/>
        </w:rPr>
        <w:t xml:space="preserve">الارتفاع 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هم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ب </w:t>
      </w:r>
      <w:r w:rsidR="00FF7BBC">
        <w:rPr>
          <w:rFonts w:asciiTheme="minorBidi" w:hAnsiTheme="minorBidi" w:cstheme="minorBidi" w:hint="cs"/>
          <w:rtl/>
          <w:lang w:bidi="ar-MA"/>
        </w:rPr>
        <w:t>1</w:t>
      </w:r>
      <w:proofErr w:type="gramStart"/>
      <w:r w:rsidR="00A06A0D" w:rsidRPr="004B4A37">
        <w:rPr>
          <w:rFonts w:asciiTheme="minorBidi" w:hAnsiTheme="minorBidi" w:cstheme="minorBidi"/>
          <w:rtl/>
          <w:lang w:bidi="ar-MA"/>
        </w:rPr>
        <w:t>,</w:t>
      </w:r>
      <w:r w:rsidR="00FF7BBC">
        <w:rPr>
          <w:rFonts w:asciiTheme="minorBidi" w:hAnsiTheme="minorBidi" w:cstheme="minorBidi" w:hint="cs"/>
          <w:rtl/>
          <w:lang w:bidi="ar-MA"/>
        </w:rPr>
        <w:t>0</w:t>
      </w:r>
      <w:r w:rsidR="00A06A0D" w:rsidRPr="004B4A37">
        <w:rPr>
          <w:rFonts w:asciiTheme="minorBidi" w:hAnsiTheme="minorBidi" w:cstheme="minorBidi"/>
          <w:lang w:bidi="ar-MA"/>
        </w:rPr>
        <w:t>%</w:t>
      </w:r>
      <w:proofErr w:type="gramEnd"/>
      <w:r w:rsidR="00F44C84" w:rsidRPr="004B4A37">
        <w:rPr>
          <w:rFonts w:asciiTheme="minorBidi" w:hAnsiTheme="minorBidi" w:cstheme="minorBidi" w:hint="cs"/>
          <w:rtl/>
          <w:lang w:bidi="ar-MA"/>
        </w:rPr>
        <w:t>،</w:t>
      </w:r>
      <w:r w:rsidR="00FF7BBC">
        <w:rPr>
          <w:rFonts w:asciiTheme="minorBidi" w:hAnsiTheme="minorBidi" w:cstheme="minorBidi" w:hint="cs"/>
          <w:rtl/>
          <w:lang w:bidi="ar-MA"/>
        </w:rPr>
        <w:t>"المطاعم و الفنادق" ب 0</w:t>
      </w:r>
      <w:r w:rsidR="00FF7BBC" w:rsidRPr="004B4A37">
        <w:rPr>
          <w:rFonts w:asciiTheme="minorBidi" w:hAnsiTheme="minorBidi" w:cstheme="minorBidi" w:hint="cs"/>
          <w:rtl/>
          <w:lang w:bidi="ar-MA"/>
        </w:rPr>
        <w:t>,</w:t>
      </w:r>
      <w:r w:rsidR="00FF7BBC">
        <w:rPr>
          <w:rFonts w:asciiTheme="minorBidi" w:hAnsiTheme="minorBidi" w:cstheme="minorBidi" w:hint="cs"/>
          <w:rtl/>
          <w:lang w:bidi="ar-MA"/>
        </w:rPr>
        <w:t>3</w:t>
      </w:r>
      <w:r w:rsidR="00FF7BBC" w:rsidRPr="004B4A37">
        <w:rPr>
          <w:rFonts w:asciiTheme="minorBidi" w:hAnsiTheme="minorBidi" w:cstheme="minorBidi"/>
          <w:lang w:bidi="ar-MA"/>
        </w:rPr>
        <w:t>%</w:t>
      </w:r>
      <w:r w:rsidR="00FF7BBC">
        <w:rPr>
          <w:rFonts w:asciiTheme="minorBidi" w:hAnsiTheme="minorBidi" w:cstheme="minorBidi" w:hint="cs"/>
          <w:rtl/>
          <w:lang w:bidi="ar-MA"/>
        </w:rPr>
        <w:t>، "النقل" ب 0,2</w:t>
      </w:r>
      <w:r w:rsidR="00FF7BBC" w:rsidRPr="004B4A37">
        <w:rPr>
          <w:rFonts w:asciiTheme="minorBidi" w:hAnsiTheme="minorBidi" w:cstheme="minorBidi"/>
          <w:lang w:bidi="ar-MA"/>
        </w:rPr>
        <w:t>%</w:t>
      </w:r>
      <w:r w:rsidR="00FF7BBC">
        <w:rPr>
          <w:rFonts w:asciiTheme="minorBidi" w:hAnsiTheme="minorBidi" w:cstheme="minorBidi" w:hint="cs"/>
          <w:rtl/>
          <w:lang w:bidi="ar-MA"/>
        </w:rPr>
        <w:t xml:space="preserve">،  و </w:t>
      </w:r>
      <w:r w:rsidR="00C209B9" w:rsidRPr="004B4A37">
        <w:rPr>
          <w:rFonts w:asciiTheme="minorBidi" w:hAnsiTheme="minorBidi" w:cstheme="minorBidi"/>
          <w:rtl/>
          <w:lang w:bidi="ar-MA"/>
        </w:rPr>
        <w:t>"</w:t>
      </w:r>
      <w:r w:rsidR="006E18A2" w:rsidRPr="004B4A37">
        <w:rPr>
          <w:rFonts w:asciiTheme="minorBidi" w:hAnsiTheme="minorBidi" w:cstheme="minorBidi" w:hint="cs"/>
          <w:rtl/>
          <w:lang w:bidi="ar-MA"/>
        </w:rPr>
        <w:t xml:space="preserve"> السكن والماء والكهرباء والغاز ومحروقات أخرى</w:t>
      </w:r>
      <w:r w:rsidR="00C209B9" w:rsidRPr="004B4A37">
        <w:rPr>
          <w:rFonts w:asciiTheme="minorBidi" w:hAnsiTheme="minorBidi" w:cstheme="minorBidi"/>
          <w:rtl/>
          <w:lang w:bidi="ar-MA"/>
        </w:rPr>
        <w:t>"</w:t>
      </w:r>
      <w:r w:rsidR="00F44C84" w:rsidRPr="004B4A37">
        <w:rPr>
          <w:rFonts w:asciiTheme="minorBidi" w:hAnsiTheme="minorBidi" w:cstheme="minorBidi" w:hint="cs"/>
          <w:rtl/>
          <w:lang w:bidi="ar-MA"/>
        </w:rPr>
        <w:t>ب</w:t>
      </w:r>
      <w:r w:rsidR="00E21B96" w:rsidRPr="004B4A37">
        <w:rPr>
          <w:rFonts w:asciiTheme="minorBidi" w:hAnsiTheme="minorBidi" w:cstheme="minorBidi"/>
          <w:rtl/>
          <w:lang w:bidi="ar-MA"/>
        </w:rPr>
        <w:t>0,</w:t>
      </w:r>
      <w:r w:rsidR="00F44C84" w:rsidRPr="004B4A37">
        <w:rPr>
          <w:rFonts w:asciiTheme="minorBidi" w:hAnsiTheme="minorBidi" w:cstheme="minorBidi" w:hint="cs"/>
          <w:rtl/>
          <w:lang w:bidi="ar-MA"/>
        </w:rPr>
        <w:t>1</w:t>
      </w:r>
      <w:r w:rsidR="00722820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>.</w:t>
      </w:r>
      <w:r w:rsidRPr="004B4A37">
        <w:rPr>
          <w:rFonts w:asciiTheme="minorBidi" w:hAnsiTheme="minorBidi" w:cstheme="minorBidi"/>
          <w:rtl/>
          <w:lang w:bidi="ar-MA"/>
        </w:rPr>
        <w:t xml:space="preserve">في حين سجلت باقي  الأقسام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ركودا</w:t>
      </w:r>
      <w:r w:rsidRPr="004B4A37">
        <w:rPr>
          <w:rFonts w:asciiTheme="minorBidi" w:hAnsiTheme="minorBidi" w:cstheme="minorBidi"/>
          <w:rtl/>
          <w:lang w:bidi="ar-MA"/>
        </w:rPr>
        <w:t xml:space="preserve"> نسبيا.</w:t>
      </w:r>
    </w:p>
    <w:p w:rsidR="0007272A" w:rsidRDefault="0007272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25EFA" w:rsidRPr="00FF7BBC" w:rsidRDefault="00525EF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E54CE" w:rsidRDefault="0013267A" w:rsidP="00525EFA">
      <w:pPr>
        <w:spacing w:line="48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525EFA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سجل الرقم الاستدلالي </w:t>
      </w:r>
      <w:r w:rsidR="007642DD" w:rsidRPr="004B4A37">
        <w:rPr>
          <w:rFonts w:asciiTheme="minorBidi" w:hAnsiTheme="minorBidi" w:cstheme="minorBidi" w:hint="cs"/>
          <w:rtl/>
          <w:lang w:bidi="ar-MA"/>
        </w:rPr>
        <w:t>للأثمان</w:t>
      </w:r>
      <w:r w:rsidRPr="004B4A37">
        <w:rPr>
          <w:rFonts w:asciiTheme="minorBidi" w:hAnsiTheme="minorBidi" w:cstheme="minorBidi"/>
          <w:rtl/>
          <w:lang w:bidi="ar-MA"/>
        </w:rPr>
        <w:t xml:space="preserve"> عند الاستهلاك </w:t>
      </w:r>
      <w:r w:rsidR="00DB2110" w:rsidRPr="004B4A37">
        <w:rPr>
          <w:rFonts w:asciiTheme="minorBidi" w:hAnsiTheme="minorBidi" w:cstheme="minorBidi"/>
          <w:rtl/>
          <w:lang w:bidi="ar-MA"/>
        </w:rPr>
        <w:t xml:space="preserve">أهم الارتفاعات </w:t>
      </w:r>
      <w:r w:rsidR="009F501D" w:rsidRPr="009F501D">
        <w:rPr>
          <w:rFonts w:asciiTheme="minorBidi" w:hAnsiTheme="minorBidi" w:cstheme="minorBidi"/>
          <w:rtl/>
          <w:lang w:bidi="ar-MA"/>
        </w:rPr>
        <w:t>في فاس و سطات ب 1,5% وفي بني ملال ب 1,4% وفي القنيطرة ب 1,1% وفي كلميم ب  1,0%وفي وجدة ب 0,8% وفي الدار البيضاء, الرباط, العيون و آسفي ب   0,7%وفي الرشيدية ب 0,6%. بينما سجلت انخفاضات في كل من الحسيمة ب 1,1% و مراكش ب 0,1</w:t>
      </w:r>
      <w:r w:rsidR="009F501D" w:rsidRPr="009F501D">
        <w:rPr>
          <w:rFonts w:asciiTheme="minorBidi" w:hAnsiTheme="minorBidi" w:cstheme="minorBidi"/>
          <w:lang w:bidi="ar-MA"/>
        </w:rPr>
        <w:t>%</w:t>
      </w:r>
      <w:r w:rsidR="009F501D">
        <w:rPr>
          <w:rFonts w:asciiTheme="minorBidi" w:hAnsiTheme="minorBidi" w:cstheme="minorBidi" w:hint="cs"/>
          <w:rtl/>
          <w:lang w:bidi="ar-MA"/>
        </w:rPr>
        <w:t>.</w:t>
      </w:r>
    </w:p>
    <w:p w:rsidR="00D060D8" w:rsidRDefault="00F44C84" w:rsidP="00525EFA">
      <w:pPr>
        <w:spacing w:line="48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الماضية،فقد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0D7FF4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/>
          <w:rtl/>
          <w:lang w:bidi="ar-MA"/>
        </w:rPr>
        <w:t>,</w:t>
      </w:r>
      <w:r w:rsidR="00EF79DC">
        <w:rPr>
          <w:rFonts w:asciiTheme="minorBidi" w:hAnsiTheme="minorBidi" w:cstheme="minorBidi" w:hint="cs"/>
          <w:rtl/>
          <w:lang w:bidi="ar-MA"/>
        </w:rPr>
        <w:t>2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0D7FF4">
        <w:rPr>
          <w:rFonts w:asciiTheme="minorBidi" w:hAnsiTheme="minorBidi" w:cstheme="minorBidi" w:hint="cs"/>
          <w:rtl/>
          <w:lang w:bidi="ar-MA"/>
        </w:rPr>
        <w:t>شتنبر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ارتفاع </w:t>
      </w:r>
      <w:r w:rsidR="000D7FF4" w:rsidRPr="004B4A37">
        <w:rPr>
          <w:rFonts w:asciiTheme="minorBidi" w:hAnsiTheme="minorBidi" w:cstheme="minorBidi" w:hint="cs"/>
          <w:rtl/>
          <w:lang w:bidi="ar-MA"/>
        </w:rPr>
        <w:t>قدر بنفس النسبة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D7FF4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0D7FF4">
        <w:rPr>
          <w:rFonts w:asciiTheme="minorBidi" w:hAnsiTheme="minorBidi" w:cstheme="minorBidi" w:hint="cs"/>
          <w:rtl/>
          <w:lang w:bidi="ar-MA"/>
        </w:rPr>
        <w:t>8</w:t>
      </w:r>
      <w:proofErr w:type="gramEnd"/>
      <w:r w:rsidR="00B7672A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0D7FF4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>
        <w:rPr>
          <w:rFonts w:asciiTheme="minorBidi" w:hAnsiTheme="minorBidi" w:cstheme="minorBidi" w:hint="cs"/>
          <w:rtl/>
          <w:lang w:bidi="ar-MA"/>
        </w:rPr>
        <w:t xml:space="preserve"> 1,</w:t>
      </w:r>
      <w:r w:rsidR="000E42A3">
        <w:rPr>
          <w:rFonts w:asciiTheme="minorBidi" w:hAnsiTheme="minorBidi" w:cstheme="minorBidi" w:hint="cs"/>
          <w:rtl/>
          <w:lang w:bidi="ar-MA"/>
        </w:rPr>
        <w:t xml:space="preserve">4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906A0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>
        <w:rPr>
          <w:rFonts w:asciiTheme="minorBidi" w:hAnsiTheme="minorBidi" w:cstheme="minorBidi" w:hint="cs"/>
          <w:rtl/>
          <w:lang w:bidi="ar-MA"/>
        </w:rPr>
        <w:t>0</w:t>
      </w:r>
      <w:proofErr w:type="gramStart"/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0E42A3">
        <w:rPr>
          <w:rFonts w:asciiTheme="minorBidi" w:hAnsiTheme="minorBidi" w:cstheme="minorBidi" w:hint="cs"/>
          <w:rtl/>
          <w:lang w:bidi="ar-MA"/>
        </w:rPr>
        <w:t>3</w:t>
      </w:r>
      <w:proofErr w:type="gramEnd"/>
      <w:r w:rsidR="000906A0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0E42A3"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E42A3">
        <w:rPr>
          <w:rFonts w:asciiTheme="minorBidi" w:hAnsiTheme="minorBidi" w:cstheme="minorBidi" w:hint="cs"/>
          <w:rtl/>
          <w:lang w:bidi="ar-MA"/>
        </w:rPr>
        <w:t>5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0E42A3">
        <w:rPr>
          <w:rFonts w:asciiTheme="minorBidi" w:hAnsiTheme="minorBidi" w:cstheme="minorBidi" w:hint="cs"/>
          <w:rtl/>
          <w:lang w:bidi="ar-MA"/>
        </w:rPr>
        <w:t xml:space="preserve">1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0E42A3" w:rsidRPr="004B4A37">
        <w:rPr>
          <w:rFonts w:asciiTheme="minorBidi" w:hAnsiTheme="minorBidi" w:cstheme="minorBidi" w:hint="cs"/>
          <w:rtl/>
          <w:lang w:bidi="ar-MA"/>
        </w:rPr>
        <w:t>الملابس و الأحذية"</w:t>
      </w:r>
      <w:r w:rsidR="000E42A3">
        <w:rPr>
          <w:rFonts w:asciiTheme="minorBidi" w:hAnsiTheme="minorBidi" w:cstheme="minorBidi" w:hint="cs"/>
          <w:rtl/>
          <w:lang w:bidi="ar-MA"/>
        </w:rPr>
        <w:t>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Pr="00722820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0906A0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0906A0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5D4C8C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غشت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5D4C8C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شتنبر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5D4C8C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Août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5D4C8C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Septembre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5D4C8C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5D4C8C" w:rsidRPr="00D060D8" w:rsidRDefault="005D4C8C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D4C8C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102,8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D4C8C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104,6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D4C8C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1,7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5D4C8C" w:rsidRPr="00231C38" w:rsidRDefault="005D4C8C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5D4C8C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102,0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103,8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1,8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</w:t>
            </w:r>
            <w:r w:rsidR="000906A0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المشروبات غير الكحولية</w:t>
            </w: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124,9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124,9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5D4C8C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5D4C8C" w:rsidRPr="00D060D8" w:rsidRDefault="005D4C8C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D4C8C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103,9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D4C8C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104,0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D4C8C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0,1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5D4C8C" w:rsidRPr="00231C38" w:rsidRDefault="005D4C8C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106,7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107,8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5D4C8C" w:rsidRPr="000F1C3A" w:rsidTr="00C119CD">
        <w:trPr>
          <w:trHeight w:hRule="exact" w:val="472"/>
        </w:trPr>
        <w:tc>
          <w:tcPr>
            <w:tcW w:w="5140" w:type="dxa"/>
            <w:vAlign w:val="center"/>
          </w:tcPr>
          <w:p w:rsidR="005D4C8C" w:rsidRPr="00D060D8" w:rsidRDefault="005D4C8C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101,5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5D4C8C" w:rsidRPr="000F1C3A" w:rsidTr="00C119CD">
        <w:trPr>
          <w:trHeight w:hRule="exact" w:val="549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</w:tcPr>
          <w:p w:rsidR="005D4C8C" w:rsidRPr="00DC0469" w:rsidRDefault="005D4C8C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106,3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106,5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100,6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100,6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5D4C8C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101,4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101,7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5D4C8C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5D4C8C" w:rsidRPr="00D060D8" w:rsidRDefault="005D4C8C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103,0</w:t>
            </w:r>
          </w:p>
        </w:tc>
        <w:tc>
          <w:tcPr>
            <w:tcW w:w="1082" w:type="dxa"/>
            <w:vAlign w:val="center"/>
          </w:tcPr>
          <w:p w:rsidR="005D4C8C" w:rsidRPr="00964FFC" w:rsidRDefault="005D4C8C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964FFC">
              <w:rPr>
                <w:rFonts w:ascii="Comic Sans MS" w:hAnsi="Comic Sans MS" w:cs="Andalus"/>
                <w:sz w:val="18"/>
                <w:szCs w:val="18"/>
              </w:rPr>
              <w:t>103,0</w:t>
            </w:r>
          </w:p>
        </w:tc>
        <w:tc>
          <w:tcPr>
            <w:tcW w:w="790" w:type="dxa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D4C8C" w:rsidRPr="00DC0469" w:rsidRDefault="005D4C8C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5D4C8C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5D4C8C" w:rsidRPr="00D060D8" w:rsidRDefault="005D4C8C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103,5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104,2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5D4C8C" w:rsidRPr="005D4C8C" w:rsidRDefault="005D4C8C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D4C8C">
              <w:rPr>
                <w:rFonts w:ascii="Comic Sans MS" w:hAnsi="Comic Sans MS" w:cs="Arial"/>
                <w:b/>
                <w:bCs/>
                <w:sz w:val="18"/>
                <w:szCs w:val="18"/>
              </w:rPr>
              <w:t>0,7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5D4C8C" w:rsidRPr="009D7D4B" w:rsidRDefault="005D4C8C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5D4C8C" w:rsidRPr="000E4427" w:rsidRDefault="005D4C8C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964FFC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bookmarkStart w:id="0" w:name="_GoBack"/>
      <w:r w:rsidRPr="005D4C8C">
        <w:rPr>
          <w:rFonts w:asciiTheme="minorBidi" w:hAnsiTheme="minorBidi" w:cstheme="minorBidi"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855980</wp:posOffset>
            </wp:positionH>
            <wp:positionV relativeFrom="paragraph">
              <wp:posOffset>194310</wp:posOffset>
            </wp:positionV>
            <wp:extent cx="5544820" cy="3993515"/>
            <wp:effectExtent l="0" t="0" r="17780" b="26035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F6F87" w:rsidRPr="00DB2110" w:rsidRDefault="00EF6F87" w:rsidP="002906E2">
      <w:pPr>
        <w:spacing w:line="360" w:lineRule="auto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7E33F6"/>
    <w:rsid w:val="0002044C"/>
    <w:rsid w:val="0007272A"/>
    <w:rsid w:val="000830C2"/>
    <w:rsid w:val="000906A0"/>
    <w:rsid w:val="000B258C"/>
    <w:rsid w:val="000D7FF4"/>
    <w:rsid w:val="000E42A3"/>
    <w:rsid w:val="0013267A"/>
    <w:rsid w:val="00142D35"/>
    <w:rsid w:val="00165CC1"/>
    <w:rsid w:val="001A57A1"/>
    <w:rsid w:val="001B4491"/>
    <w:rsid w:val="001D1619"/>
    <w:rsid w:val="001D6EEE"/>
    <w:rsid w:val="001E54CE"/>
    <w:rsid w:val="00231C38"/>
    <w:rsid w:val="002505B4"/>
    <w:rsid w:val="002906E2"/>
    <w:rsid w:val="002B1E5B"/>
    <w:rsid w:val="002B58E5"/>
    <w:rsid w:val="002C00BE"/>
    <w:rsid w:val="00380284"/>
    <w:rsid w:val="00395A0E"/>
    <w:rsid w:val="003A5BA0"/>
    <w:rsid w:val="003A79EA"/>
    <w:rsid w:val="00403476"/>
    <w:rsid w:val="0040711B"/>
    <w:rsid w:val="004112D9"/>
    <w:rsid w:val="00426326"/>
    <w:rsid w:val="004A2A46"/>
    <w:rsid w:val="004A2D91"/>
    <w:rsid w:val="004B4A37"/>
    <w:rsid w:val="004F315D"/>
    <w:rsid w:val="0051765C"/>
    <w:rsid w:val="00525EFA"/>
    <w:rsid w:val="00536BC7"/>
    <w:rsid w:val="005566C1"/>
    <w:rsid w:val="0056138E"/>
    <w:rsid w:val="00577DE5"/>
    <w:rsid w:val="005A2696"/>
    <w:rsid w:val="005A35B6"/>
    <w:rsid w:val="005C1F20"/>
    <w:rsid w:val="005C78BB"/>
    <w:rsid w:val="005D4C8C"/>
    <w:rsid w:val="00645138"/>
    <w:rsid w:val="0066327E"/>
    <w:rsid w:val="006A1A07"/>
    <w:rsid w:val="006E18A2"/>
    <w:rsid w:val="00704762"/>
    <w:rsid w:val="00707E06"/>
    <w:rsid w:val="0071441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B08FA"/>
    <w:rsid w:val="007E33F6"/>
    <w:rsid w:val="007E3BB8"/>
    <w:rsid w:val="00811D2D"/>
    <w:rsid w:val="008240E2"/>
    <w:rsid w:val="008461C4"/>
    <w:rsid w:val="00855874"/>
    <w:rsid w:val="008B7698"/>
    <w:rsid w:val="008C4377"/>
    <w:rsid w:val="008D0E53"/>
    <w:rsid w:val="008D4F77"/>
    <w:rsid w:val="008E7D34"/>
    <w:rsid w:val="009142A2"/>
    <w:rsid w:val="00937C6A"/>
    <w:rsid w:val="00964FFC"/>
    <w:rsid w:val="009755A6"/>
    <w:rsid w:val="009D5FA1"/>
    <w:rsid w:val="009D7D4B"/>
    <w:rsid w:val="009F501D"/>
    <w:rsid w:val="00A06A0D"/>
    <w:rsid w:val="00A81772"/>
    <w:rsid w:val="00A93304"/>
    <w:rsid w:val="00AC6DF5"/>
    <w:rsid w:val="00B043CC"/>
    <w:rsid w:val="00B11622"/>
    <w:rsid w:val="00B473F9"/>
    <w:rsid w:val="00B6358C"/>
    <w:rsid w:val="00B7672A"/>
    <w:rsid w:val="00B92523"/>
    <w:rsid w:val="00BD6FB4"/>
    <w:rsid w:val="00C119CD"/>
    <w:rsid w:val="00C209B9"/>
    <w:rsid w:val="00C2193A"/>
    <w:rsid w:val="00C34FE2"/>
    <w:rsid w:val="00C506F5"/>
    <w:rsid w:val="00C70A61"/>
    <w:rsid w:val="00CB1CEC"/>
    <w:rsid w:val="00CC4029"/>
    <w:rsid w:val="00CF1FBA"/>
    <w:rsid w:val="00CF3B2E"/>
    <w:rsid w:val="00CF7D8B"/>
    <w:rsid w:val="00D060D8"/>
    <w:rsid w:val="00D11F62"/>
    <w:rsid w:val="00D618BC"/>
    <w:rsid w:val="00D8016D"/>
    <w:rsid w:val="00D91F21"/>
    <w:rsid w:val="00DB2110"/>
    <w:rsid w:val="00DC4674"/>
    <w:rsid w:val="00DF4AAC"/>
    <w:rsid w:val="00E20AB0"/>
    <w:rsid w:val="00E21B96"/>
    <w:rsid w:val="00E36447"/>
    <w:rsid w:val="00E438B8"/>
    <w:rsid w:val="00E70A53"/>
    <w:rsid w:val="00E74D3D"/>
    <w:rsid w:val="00EA44BB"/>
    <w:rsid w:val="00EB4D32"/>
    <w:rsid w:val="00EC2B79"/>
    <w:rsid w:val="00EF6F87"/>
    <w:rsid w:val="00EF79DC"/>
    <w:rsid w:val="00F13347"/>
    <w:rsid w:val="00F41AF3"/>
    <w:rsid w:val="00F44C84"/>
    <w:rsid w:val="00F603E2"/>
    <w:rsid w:val="00F735B9"/>
    <w:rsid w:val="00F77D26"/>
    <w:rsid w:val="00F85960"/>
    <w:rsid w:val="00FD39C0"/>
    <w:rsid w:val="00FF7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78237600628571"/>
          <c:y val="3.1779589701895615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889795905117493"/>
          <c:y val="0.14471784290059173"/>
          <c:w val="0.8307747871138913"/>
          <c:h val="0.59230908948102168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622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39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579E-2"/>
                  <c:y val="2.341171673236381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42E-2"/>
                  <c:y val="3.28715134125184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177E-2"/>
                  <c:y val="-2.9948225157657531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439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747E-2"/>
                  <c:y val="-2.698379389780004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004E-2"/>
                  <c:y val="-2.702809763296378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3.1235792178103225E-2"/>
                  <c:y val="-1.7894321727050414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4E-2"/>
                  <c:y val="2.9821938290063896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878E-2"/>
                  <c:y val="1.589282001010013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8575673743212058E-3"/>
                  <c:y val="-3.778843602141141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0909915483122262E-2"/>
                  <c:y val="-4.4368757969410477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386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356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895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5"/>
              <c:layout>
                <c:manualLayout>
                  <c:x val="-6.6088781819467229E-2"/>
                  <c:y val="2.1639278785804007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2.6957912465709468E-2"/>
                  <c:y val="-8.886653878592895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</c:numCache>
            </c:numRef>
          </c:val>
        </c:ser>
        <c:dLbls>
          <c:showVal val="1"/>
        </c:dLbls>
        <c:marker val="1"/>
        <c:axId val="70844800"/>
        <c:axId val="70846336"/>
      </c:lineChart>
      <c:catAx>
        <c:axId val="70844800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800" i="1"/>
            </a:pPr>
            <a:endParaRPr lang="fr-FR"/>
          </a:p>
        </c:txPr>
        <c:crossAx val="70846336"/>
        <c:crosses val="autoZero"/>
        <c:auto val="1"/>
        <c:lblAlgn val="ctr"/>
        <c:lblOffset val="50"/>
        <c:tickLblSkip val="1"/>
      </c:catAx>
      <c:valAx>
        <c:axId val="70846336"/>
        <c:scaling>
          <c:orientation val="minMax"/>
          <c:max val="105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 sz="800"/>
            </a:pPr>
            <a:endParaRPr lang="fr-FR"/>
          </a:p>
        </c:txPr>
        <c:crossAx val="70844800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6785810900985113"/>
          <c:y val="0.91418869165668515"/>
          <c:w val="0.40241827960145493"/>
          <c:h val="4.3552630442561718E-2"/>
        </c:manualLayout>
      </c:layout>
      <c:spPr>
        <a:solidFill>
          <a:schemeClr val="accent6">
            <a:lumMod val="40000"/>
            <a:lumOff val="60000"/>
          </a:schemeClr>
        </a:solidFill>
      </c:spPr>
      <c:txPr>
        <a:bodyPr/>
        <a:lstStyle/>
        <a:p>
          <a:pPr>
            <a:defRPr sz="800"/>
          </a:pPr>
          <a:endParaRPr lang="fr-FR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1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268D1-BA12-4E0F-B520-073BC12B3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898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5</cp:revision>
  <dcterms:created xsi:type="dcterms:W3CDTF">2021-12-02T13:06:00Z</dcterms:created>
  <dcterms:modified xsi:type="dcterms:W3CDTF">2021-12-02T13:39:00Z</dcterms:modified>
</cp:coreProperties>
</file>