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4D" w:rsidRDefault="002F4223" w:rsidP="00CE574D">
      <w:pPr>
        <w:ind w:firstLine="708"/>
        <w:jc w:val="center"/>
        <w:rPr>
          <w:rFonts w:asciiTheme="majorBidi" w:hAnsiTheme="majorBidi" w:cstheme="majorBidi"/>
          <w:b/>
          <w:bCs/>
          <w:color w:val="000000" w:themeColor="text1"/>
          <w:sz w:val="32"/>
          <w:szCs w:val="32"/>
          <w:u w:val="single"/>
          <w:shd w:val="clear" w:color="auto" w:fill="FABF8F" w:themeFill="accent6" w:themeFillTint="99"/>
          <w:lang w:eastAsia="en-US" w:bidi="ar-MA"/>
        </w:rPr>
      </w:pPr>
      <w:r w:rsidRPr="002F4223">
        <w:rPr>
          <w:rFonts w:asciiTheme="majorBidi" w:hAnsiTheme="majorBidi" w:cstheme="majorBidi" w:hint="cs"/>
          <w:b/>
          <w:bCs/>
          <w:color w:val="000000" w:themeColor="text1"/>
          <w:sz w:val="32"/>
          <w:szCs w:val="32"/>
          <w:u w:val="single"/>
          <w:shd w:val="clear" w:color="auto" w:fill="FABF8F" w:themeFill="accent6" w:themeFillTint="99"/>
          <w:rtl/>
          <w:lang w:eastAsia="en-US" w:bidi="ar-MA"/>
        </w:rPr>
        <w:t xml:space="preserve">تطور الرقم الاستدلالي للأثمان عند </w:t>
      </w:r>
      <w:r w:rsidR="00CE574D">
        <w:rPr>
          <w:rFonts w:asciiTheme="majorBidi" w:hAnsiTheme="majorBidi" w:cstheme="majorBidi" w:hint="cs"/>
          <w:b/>
          <w:bCs/>
          <w:color w:val="000000" w:themeColor="text1"/>
          <w:sz w:val="32"/>
          <w:szCs w:val="32"/>
          <w:u w:val="single"/>
          <w:shd w:val="clear" w:color="auto" w:fill="FABF8F" w:themeFill="accent6" w:themeFillTint="99"/>
          <w:rtl/>
          <w:lang w:eastAsia="en-US" w:bidi="ar-MA"/>
        </w:rPr>
        <w:t xml:space="preserve">الاستهلاك ( أساس 100: 2017) </w:t>
      </w:r>
      <w:r w:rsidRPr="002F4223">
        <w:rPr>
          <w:rFonts w:asciiTheme="majorBidi" w:hAnsiTheme="majorBidi" w:cstheme="majorBidi" w:hint="cs"/>
          <w:b/>
          <w:bCs/>
          <w:color w:val="000000" w:themeColor="text1"/>
          <w:sz w:val="32"/>
          <w:szCs w:val="32"/>
          <w:u w:val="single"/>
          <w:shd w:val="clear" w:color="auto" w:fill="FABF8F" w:themeFill="accent6" w:themeFillTint="99"/>
          <w:rtl/>
          <w:lang w:eastAsia="en-US" w:bidi="ar-MA"/>
        </w:rPr>
        <w:t xml:space="preserve"> </w:t>
      </w:r>
    </w:p>
    <w:p w:rsidR="002F4223" w:rsidRPr="002F4223" w:rsidRDefault="002F4223" w:rsidP="002F4223">
      <w:pPr>
        <w:ind w:firstLine="708"/>
        <w:jc w:val="center"/>
        <w:rPr>
          <w:rFonts w:asciiTheme="majorBidi" w:hAnsiTheme="majorBidi" w:cstheme="majorBidi"/>
          <w:b/>
          <w:bCs/>
          <w:color w:val="000000" w:themeColor="text1"/>
          <w:sz w:val="32"/>
          <w:szCs w:val="32"/>
          <w:u w:val="single"/>
          <w:shd w:val="clear" w:color="auto" w:fill="FABF8F" w:themeFill="accent6" w:themeFillTint="99"/>
          <w:rtl/>
          <w:lang w:eastAsia="en-US" w:bidi="ar-MA"/>
        </w:rPr>
      </w:pPr>
      <w:r w:rsidRPr="002F4223">
        <w:rPr>
          <w:rFonts w:asciiTheme="majorBidi" w:hAnsiTheme="majorBidi" w:cstheme="majorBidi" w:hint="cs"/>
          <w:b/>
          <w:bCs/>
          <w:color w:val="000000" w:themeColor="text1"/>
          <w:sz w:val="32"/>
          <w:szCs w:val="32"/>
          <w:u w:val="single"/>
          <w:shd w:val="clear" w:color="auto" w:fill="FABF8F" w:themeFill="accent6" w:themeFillTint="99"/>
          <w:rtl/>
          <w:lang w:eastAsia="en-US" w:bidi="ar-MA"/>
        </w:rPr>
        <w:t>بمدينة الرباط</w:t>
      </w:r>
    </w:p>
    <w:p w:rsidR="002F4223" w:rsidRDefault="002F4223" w:rsidP="009B1D4D">
      <w:pPr>
        <w:ind w:firstLine="708"/>
        <w:jc w:val="both"/>
        <w:rPr>
          <w:rFonts w:asciiTheme="majorBidi" w:hAnsiTheme="majorBidi" w:cstheme="majorBidi"/>
          <w:b/>
          <w:bCs/>
          <w:color w:val="000000" w:themeColor="text1"/>
          <w:sz w:val="28"/>
          <w:szCs w:val="28"/>
          <w:u w:val="single"/>
          <w:shd w:val="clear" w:color="auto" w:fill="FABF8F" w:themeFill="accent6" w:themeFillTint="99"/>
          <w:rtl/>
          <w:lang w:eastAsia="en-US" w:bidi="ar-MA"/>
        </w:rPr>
      </w:pPr>
    </w:p>
    <w:p w:rsidR="002F4223" w:rsidRDefault="002F4223" w:rsidP="009B1D4D">
      <w:pPr>
        <w:ind w:firstLine="708"/>
        <w:jc w:val="both"/>
        <w:rPr>
          <w:rFonts w:asciiTheme="majorBidi" w:hAnsiTheme="majorBidi" w:cstheme="majorBidi"/>
          <w:b/>
          <w:bCs/>
          <w:color w:val="000000" w:themeColor="text1"/>
          <w:sz w:val="28"/>
          <w:szCs w:val="28"/>
          <w:u w:val="single"/>
          <w:shd w:val="clear" w:color="auto" w:fill="FABF8F" w:themeFill="accent6" w:themeFillTint="99"/>
          <w:rtl/>
          <w:lang w:eastAsia="en-US" w:bidi="ar-MA"/>
        </w:rPr>
      </w:pPr>
    </w:p>
    <w:p w:rsidR="009B1D4D" w:rsidRPr="00E61673" w:rsidRDefault="009B1D4D" w:rsidP="009B1D4D">
      <w:pPr>
        <w:ind w:firstLine="708"/>
        <w:jc w:val="both"/>
        <w:rPr>
          <w:color w:val="000000" w:themeColor="text1"/>
          <w:sz w:val="24"/>
          <w:szCs w:val="24"/>
          <w:lang w:bidi="ar-MA"/>
        </w:rPr>
      </w:pPr>
      <w:r w:rsidRPr="00E61673">
        <w:rPr>
          <w:rFonts w:asciiTheme="majorBidi" w:hAnsiTheme="majorBidi" w:cstheme="majorBidi" w:hint="cs"/>
          <w:b/>
          <w:bCs/>
          <w:color w:val="000000" w:themeColor="text1"/>
          <w:sz w:val="28"/>
          <w:szCs w:val="28"/>
          <w:u w:val="single"/>
          <w:shd w:val="clear" w:color="auto" w:fill="FABF8F" w:themeFill="accent6" w:themeFillTint="99"/>
          <w:rtl/>
          <w:lang w:eastAsia="en-US" w:bidi="ar-MA"/>
        </w:rPr>
        <w:t>تقـديــــم</w:t>
      </w:r>
      <w:r w:rsidRPr="00E61673">
        <w:rPr>
          <w:rFonts w:asciiTheme="majorBidi" w:hAnsiTheme="majorBidi" w:cstheme="majorBidi" w:hint="cs"/>
          <w:b/>
          <w:bCs/>
          <w:color w:val="000000" w:themeColor="text1"/>
          <w:sz w:val="28"/>
          <w:szCs w:val="28"/>
          <w:shd w:val="clear" w:color="auto" w:fill="FABF8F" w:themeFill="accent6" w:themeFillTint="99"/>
          <w:rtl/>
          <w:lang w:eastAsia="en-US" w:bidi="ar-MA"/>
        </w:rPr>
        <w:t>:</w:t>
      </w:r>
    </w:p>
    <w:p w:rsidR="00A86B05" w:rsidRPr="009B1D4D" w:rsidRDefault="00A86B05" w:rsidP="009B1D4D">
      <w:pPr>
        <w:ind w:firstLine="708"/>
        <w:jc w:val="both"/>
        <w:rPr>
          <w:sz w:val="24"/>
          <w:szCs w:val="24"/>
          <w:rtl/>
          <w:lang w:bidi="ar-MA"/>
        </w:rPr>
      </w:pPr>
      <w:r w:rsidRPr="009B1D4D">
        <w:rPr>
          <w:rFonts w:hint="cs"/>
          <w:sz w:val="24"/>
          <w:szCs w:val="24"/>
          <w:rtl/>
          <w:lang w:bidi="ar-MA"/>
        </w:rPr>
        <w:t>تطبيقا للمرسوم رقم 2.19.1083 المنشور بالجريدة الرسمية عدد 6880 الصادرة في 13 رمضان 1441 الموافق ل 7 ماي 2020، والمتعلق بتحديد العناصر الداخلة في تكوين الرقم الاستدلالي الجديد للأثمان عند الاستهلاك الذي يعتمد اساس2017 وينسخ المرسوم رقم 2.09.529 المتعلق بالرقم الاستدلالي للأثمان عند الاستهلاك أساس 2006، قامت المندوبي</w:t>
      </w:r>
      <w:r w:rsidRPr="009B1D4D">
        <w:rPr>
          <w:rFonts w:hint="eastAsia"/>
          <w:sz w:val="24"/>
          <w:szCs w:val="24"/>
          <w:rtl/>
          <w:lang w:bidi="ar-MA"/>
        </w:rPr>
        <w:t>ة</w:t>
      </w:r>
      <w:r w:rsidRPr="009B1D4D">
        <w:rPr>
          <w:rFonts w:hint="cs"/>
          <w:sz w:val="24"/>
          <w:szCs w:val="24"/>
          <w:rtl/>
          <w:lang w:bidi="ar-MA"/>
        </w:rPr>
        <w:t xml:space="preserve"> السامية للتخطيط بنشر الرقم الاستدلالي الجديد للاثمان عند الاستهلاك أساس 2017 ابتداء من 20 ماي 2020.</w:t>
      </w:r>
    </w:p>
    <w:p w:rsidR="00A86B05" w:rsidRPr="009B1D4D" w:rsidRDefault="00A86B05" w:rsidP="00302463">
      <w:pPr>
        <w:ind w:firstLine="708"/>
        <w:jc w:val="both"/>
        <w:rPr>
          <w:sz w:val="24"/>
          <w:szCs w:val="24"/>
          <w:lang w:bidi="ar-MA"/>
        </w:rPr>
      </w:pPr>
    </w:p>
    <w:p w:rsidR="00A86B05" w:rsidRPr="009B1D4D" w:rsidRDefault="00A86B05" w:rsidP="009B1D4D">
      <w:pPr>
        <w:ind w:firstLine="708"/>
        <w:jc w:val="both"/>
        <w:rPr>
          <w:sz w:val="24"/>
          <w:szCs w:val="24"/>
          <w:rtl/>
          <w:lang w:bidi="ar-MA"/>
        </w:rPr>
      </w:pPr>
      <w:r w:rsidRPr="009B1D4D">
        <w:rPr>
          <w:rFonts w:hint="cs"/>
          <w:sz w:val="24"/>
          <w:szCs w:val="24"/>
          <w:rtl/>
          <w:lang w:bidi="ar-MA"/>
        </w:rPr>
        <w:t xml:space="preserve">وللتذكير فان </w:t>
      </w:r>
      <w:r w:rsidRPr="009B1D4D">
        <w:rPr>
          <w:sz w:val="24"/>
          <w:szCs w:val="24"/>
          <w:rtl/>
          <w:lang w:bidi="ar-MA"/>
        </w:rPr>
        <w:t xml:space="preserve">إصلاح الرقم </w:t>
      </w:r>
      <w:r w:rsidRPr="009B1D4D">
        <w:rPr>
          <w:rFonts w:hint="cs"/>
          <w:sz w:val="24"/>
          <w:szCs w:val="24"/>
          <w:rtl/>
          <w:lang w:bidi="ar-MA"/>
        </w:rPr>
        <w:t>الاستدلالي</w:t>
      </w:r>
      <w:r w:rsidRPr="009B1D4D">
        <w:rPr>
          <w:sz w:val="24"/>
          <w:szCs w:val="24"/>
          <w:rtl/>
          <w:lang w:bidi="ar-MA"/>
        </w:rPr>
        <w:t xml:space="preserve"> </w:t>
      </w:r>
      <w:r w:rsidRPr="009B1D4D">
        <w:rPr>
          <w:rFonts w:hint="cs"/>
          <w:sz w:val="24"/>
          <w:szCs w:val="24"/>
          <w:rtl/>
          <w:lang w:bidi="ar-MA"/>
        </w:rPr>
        <w:t xml:space="preserve">للأثمان عند الاستهلاك كان </w:t>
      </w:r>
      <w:r w:rsidRPr="009B1D4D">
        <w:rPr>
          <w:sz w:val="24"/>
          <w:szCs w:val="24"/>
          <w:rtl/>
          <w:lang w:bidi="ar-MA"/>
        </w:rPr>
        <w:t>ضروري</w:t>
      </w:r>
      <w:r w:rsidRPr="009B1D4D">
        <w:rPr>
          <w:rFonts w:hint="cs"/>
          <w:sz w:val="24"/>
          <w:szCs w:val="24"/>
          <w:rtl/>
          <w:lang w:bidi="ar-MA"/>
        </w:rPr>
        <w:t>ا</w:t>
      </w:r>
      <w:r w:rsidRPr="009B1D4D">
        <w:rPr>
          <w:sz w:val="24"/>
          <w:szCs w:val="24"/>
          <w:rtl/>
          <w:lang w:bidi="ar-MA"/>
        </w:rPr>
        <w:t xml:space="preserve"> </w:t>
      </w:r>
      <w:r w:rsidRPr="009B1D4D">
        <w:rPr>
          <w:rFonts w:hint="cs"/>
          <w:sz w:val="24"/>
          <w:szCs w:val="24"/>
          <w:rtl/>
          <w:lang w:bidi="ar-MA"/>
        </w:rPr>
        <w:t>على</w:t>
      </w:r>
      <w:r w:rsidRPr="009B1D4D">
        <w:rPr>
          <w:sz w:val="24"/>
          <w:szCs w:val="24"/>
          <w:rtl/>
          <w:lang w:bidi="ar-MA"/>
        </w:rPr>
        <w:t xml:space="preserve"> ضوء التغيرات</w:t>
      </w:r>
      <w:r w:rsidRPr="009B1D4D">
        <w:rPr>
          <w:rFonts w:hint="cs"/>
          <w:sz w:val="24"/>
          <w:szCs w:val="24"/>
          <w:rtl/>
          <w:lang w:bidi="ar-MA"/>
        </w:rPr>
        <w:t xml:space="preserve"> التي عرفتها عادا</w:t>
      </w:r>
      <w:r w:rsidRPr="009B1D4D">
        <w:rPr>
          <w:rFonts w:hint="eastAsia"/>
          <w:sz w:val="24"/>
          <w:szCs w:val="24"/>
          <w:rtl/>
          <w:lang w:bidi="ar-MA"/>
        </w:rPr>
        <w:t>ت</w:t>
      </w:r>
      <w:r w:rsidRPr="009B1D4D">
        <w:rPr>
          <w:sz w:val="24"/>
          <w:szCs w:val="24"/>
          <w:rtl/>
          <w:lang w:bidi="ar-MA"/>
        </w:rPr>
        <w:t xml:space="preserve"> استهلاك الأسر المغربية و</w:t>
      </w:r>
      <w:r w:rsidRPr="009B1D4D">
        <w:rPr>
          <w:rFonts w:hint="cs"/>
          <w:sz w:val="24"/>
          <w:szCs w:val="24"/>
          <w:rtl/>
          <w:lang w:bidi="ar-MA"/>
        </w:rPr>
        <w:t>الأ</w:t>
      </w:r>
      <w:r w:rsidRPr="009B1D4D">
        <w:rPr>
          <w:sz w:val="24"/>
          <w:szCs w:val="24"/>
          <w:rtl/>
          <w:lang w:bidi="ar-MA"/>
        </w:rPr>
        <w:t>ساليب المنهجية الجديدة في مجال</w:t>
      </w:r>
      <w:r w:rsidRPr="009B1D4D">
        <w:rPr>
          <w:rFonts w:hint="cs"/>
          <w:sz w:val="24"/>
          <w:szCs w:val="24"/>
          <w:rtl/>
          <w:lang w:bidi="ar-MA"/>
        </w:rPr>
        <w:t xml:space="preserve"> إعداد الأرقام الاستدلالية للأثمان عند الاستهلاك</w:t>
      </w:r>
      <w:r w:rsidRPr="009B1D4D">
        <w:rPr>
          <w:sz w:val="24"/>
          <w:szCs w:val="24"/>
          <w:rtl/>
          <w:lang w:bidi="ar-MA"/>
        </w:rPr>
        <w:t>.</w:t>
      </w:r>
      <w:r w:rsidRPr="009B1D4D">
        <w:rPr>
          <w:rFonts w:hint="cs"/>
          <w:sz w:val="24"/>
          <w:szCs w:val="24"/>
          <w:rtl/>
          <w:lang w:bidi="ar-MA"/>
        </w:rPr>
        <w:t xml:space="preserve"> وكان هذا ممكنا من خلال توفر معطيات محينة من البحث الوطني حول الاستهلاك ونفقات الأسر لسنة 2014 وكذا الإحصاء العام للسكان والسكنى لسنة 2014.  </w:t>
      </w:r>
    </w:p>
    <w:p w:rsidR="00A86B05" w:rsidRPr="009B1D4D" w:rsidRDefault="009B1D4D" w:rsidP="00302463">
      <w:pPr>
        <w:tabs>
          <w:tab w:val="left" w:pos="-720"/>
          <w:tab w:val="left" w:pos="0"/>
          <w:tab w:val="left" w:pos="142"/>
        </w:tabs>
        <w:suppressAutoHyphens/>
        <w:spacing w:before="120" w:after="60"/>
        <w:ind w:right="57"/>
        <w:jc w:val="both"/>
        <w:rPr>
          <w:sz w:val="24"/>
          <w:szCs w:val="24"/>
          <w:lang w:bidi="ar-MA"/>
        </w:rPr>
      </w:pPr>
      <w:r w:rsidRPr="009B1D4D">
        <w:rPr>
          <w:sz w:val="24"/>
          <w:szCs w:val="24"/>
          <w:lang w:bidi="ar-MA"/>
        </w:rPr>
        <w:tab/>
      </w:r>
      <w:r w:rsidRPr="009B1D4D">
        <w:rPr>
          <w:sz w:val="24"/>
          <w:szCs w:val="24"/>
          <w:lang w:bidi="ar-MA"/>
        </w:rPr>
        <w:tab/>
      </w:r>
      <w:r w:rsidR="00A86B05" w:rsidRPr="009B1D4D">
        <w:rPr>
          <w:rFonts w:hint="cs"/>
          <w:sz w:val="24"/>
          <w:szCs w:val="24"/>
          <w:rtl/>
          <w:lang w:bidi="ar-MA"/>
        </w:rPr>
        <w:t>ويشكل إصلاح 2017 الجيل الخامس من الإصلاحات منذ الاستقلال بالمغرب، وقد ارتكز هذا الإصلاح على</w:t>
      </w:r>
      <w:r w:rsidR="00A86B05" w:rsidRPr="009B1D4D">
        <w:rPr>
          <w:sz w:val="24"/>
          <w:szCs w:val="24"/>
          <w:rtl/>
          <w:lang w:bidi="ar-MA"/>
        </w:rPr>
        <w:t xml:space="preserve"> عدة محاور.</w:t>
      </w:r>
      <w:r w:rsidR="00A86B05" w:rsidRPr="009B1D4D">
        <w:rPr>
          <w:rFonts w:hint="cs"/>
          <w:sz w:val="24"/>
          <w:szCs w:val="24"/>
          <w:rtl/>
          <w:lang w:bidi="ar-MA"/>
        </w:rPr>
        <w:t xml:space="preserve"> نذكر من أهمها </w:t>
      </w:r>
      <w:r w:rsidR="00A86B05" w:rsidRPr="009B1D4D">
        <w:rPr>
          <w:sz w:val="24"/>
          <w:szCs w:val="24"/>
          <w:lang w:bidi="ar-MA"/>
        </w:rPr>
        <w:t>:</w:t>
      </w:r>
    </w:p>
    <w:p w:rsidR="00A86B05" w:rsidRPr="009B1D4D" w:rsidRDefault="00A86B05" w:rsidP="00302463">
      <w:pPr>
        <w:pStyle w:val="Paragraphedeliste"/>
        <w:numPr>
          <w:ilvl w:val="0"/>
          <w:numId w:val="1"/>
        </w:numPr>
        <w:tabs>
          <w:tab w:val="left" w:pos="-720"/>
          <w:tab w:val="left" w:pos="0"/>
          <w:tab w:val="left" w:pos="142"/>
        </w:tabs>
        <w:suppressAutoHyphens/>
        <w:spacing w:after="60"/>
        <w:ind w:left="0" w:firstLine="0"/>
        <w:jc w:val="both"/>
        <w:rPr>
          <w:sz w:val="24"/>
          <w:szCs w:val="24"/>
          <w:lang w:bidi="ar-MA"/>
        </w:rPr>
      </w:pPr>
      <w:r w:rsidRPr="009B1D4D">
        <w:rPr>
          <w:rFonts w:hint="cs"/>
          <w:sz w:val="24"/>
          <w:szCs w:val="24"/>
          <w:rtl/>
          <w:lang w:bidi="ar-MA"/>
        </w:rPr>
        <w:t xml:space="preserve">توسيع مجال التغطية الجغــــــراـفي ليشمل 18 مدينة </w:t>
      </w:r>
      <w:r w:rsidRPr="009B1D4D">
        <w:rPr>
          <w:sz w:val="24"/>
          <w:szCs w:val="24"/>
          <w:rtl/>
          <w:lang w:bidi="ar-MA"/>
        </w:rPr>
        <w:t>تمث</w:t>
      </w:r>
      <w:r w:rsidRPr="009B1D4D">
        <w:rPr>
          <w:rFonts w:hint="cs"/>
          <w:sz w:val="24"/>
          <w:szCs w:val="24"/>
          <w:rtl/>
          <w:lang w:bidi="ar-MA"/>
        </w:rPr>
        <w:t>ــ</w:t>
      </w:r>
      <w:r w:rsidRPr="009B1D4D">
        <w:rPr>
          <w:sz w:val="24"/>
          <w:szCs w:val="24"/>
          <w:rtl/>
          <w:lang w:bidi="ar-MA"/>
        </w:rPr>
        <w:t xml:space="preserve">ل جميع </w:t>
      </w:r>
      <w:r w:rsidRPr="009B1D4D">
        <w:rPr>
          <w:rFonts w:hint="cs"/>
          <w:sz w:val="24"/>
          <w:szCs w:val="24"/>
          <w:rtl/>
          <w:lang w:bidi="ar-MA"/>
        </w:rPr>
        <w:t>جهـــات</w:t>
      </w:r>
      <w:r w:rsidRPr="009B1D4D">
        <w:rPr>
          <w:sz w:val="24"/>
          <w:szCs w:val="24"/>
          <w:rtl/>
          <w:lang w:bidi="ar-MA"/>
        </w:rPr>
        <w:t xml:space="preserve"> المم</w:t>
      </w:r>
      <w:r w:rsidRPr="009B1D4D">
        <w:rPr>
          <w:rFonts w:hint="cs"/>
          <w:sz w:val="24"/>
          <w:szCs w:val="24"/>
          <w:rtl/>
          <w:lang w:bidi="ar-MA"/>
        </w:rPr>
        <w:t>ــ</w:t>
      </w:r>
      <w:r w:rsidRPr="009B1D4D">
        <w:rPr>
          <w:sz w:val="24"/>
          <w:szCs w:val="24"/>
          <w:rtl/>
          <w:lang w:bidi="ar-MA"/>
        </w:rPr>
        <w:t>لك</w:t>
      </w:r>
      <w:r w:rsidRPr="009B1D4D">
        <w:rPr>
          <w:rFonts w:hint="cs"/>
          <w:sz w:val="24"/>
          <w:szCs w:val="24"/>
          <w:rtl/>
          <w:lang w:bidi="ar-MA"/>
        </w:rPr>
        <w:t>ــ</w:t>
      </w:r>
      <w:r w:rsidRPr="009B1D4D">
        <w:rPr>
          <w:sz w:val="24"/>
          <w:szCs w:val="24"/>
          <w:rtl/>
          <w:lang w:bidi="ar-MA"/>
        </w:rPr>
        <w:t>ة</w:t>
      </w:r>
      <w:r w:rsidRPr="009B1D4D">
        <w:rPr>
          <w:rFonts w:hint="cs"/>
          <w:sz w:val="24"/>
          <w:szCs w:val="24"/>
          <w:rtl/>
          <w:lang w:bidi="ar-MA"/>
        </w:rPr>
        <w:t xml:space="preserve"> </w:t>
      </w:r>
      <w:r w:rsidRPr="009B1D4D">
        <w:rPr>
          <w:sz w:val="24"/>
          <w:szCs w:val="24"/>
          <w:rtl/>
          <w:lang w:bidi="ar-MA"/>
        </w:rPr>
        <w:t>بدلا من 1</w:t>
      </w:r>
      <w:r w:rsidRPr="009B1D4D">
        <w:rPr>
          <w:rFonts w:hint="cs"/>
          <w:sz w:val="24"/>
          <w:szCs w:val="24"/>
          <w:rtl/>
          <w:lang w:bidi="ar-MA"/>
        </w:rPr>
        <w:t>7</w:t>
      </w:r>
      <w:r w:rsidRPr="009B1D4D">
        <w:rPr>
          <w:sz w:val="24"/>
          <w:szCs w:val="24"/>
          <w:rtl/>
          <w:lang w:bidi="ar-MA"/>
        </w:rPr>
        <w:t xml:space="preserve"> مدين</w:t>
      </w:r>
      <w:r w:rsidRPr="009B1D4D">
        <w:rPr>
          <w:rFonts w:hint="cs"/>
          <w:sz w:val="24"/>
          <w:szCs w:val="24"/>
          <w:rtl/>
          <w:lang w:bidi="ar-MA"/>
        </w:rPr>
        <w:t>ــــــــــ</w:t>
      </w:r>
      <w:r w:rsidRPr="009B1D4D">
        <w:rPr>
          <w:sz w:val="24"/>
          <w:szCs w:val="24"/>
          <w:rtl/>
          <w:lang w:bidi="ar-MA"/>
        </w:rPr>
        <w:t xml:space="preserve">ة </w:t>
      </w:r>
      <w:r w:rsidRPr="009B1D4D">
        <w:rPr>
          <w:rFonts w:hint="cs"/>
          <w:sz w:val="24"/>
          <w:szCs w:val="24"/>
          <w:rtl/>
          <w:lang w:bidi="ar-MA"/>
        </w:rPr>
        <w:t>سابقا،</w:t>
      </w:r>
    </w:p>
    <w:p w:rsidR="00A86B05" w:rsidRPr="009B1D4D" w:rsidRDefault="00A86B05" w:rsidP="00302463">
      <w:pPr>
        <w:pStyle w:val="Paragraphedeliste"/>
        <w:numPr>
          <w:ilvl w:val="0"/>
          <w:numId w:val="1"/>
        </w:numPr>
        <w:tabs>
          <w:tab w:val="left" w:pos="-720"/>
          <w:tab w:val="left" w:pos="0"/>
          <w:tab w:val="left" w:pos="142"/>
        </w:tabs>
        <w:suppressAutoHyphens/>
        <w:spacing w:before="120" w:after="60"/>
        <w:ind w:left="0" w:firstLine="0"/>
        <w:jc w:val="both"/>
        <w:rPr>
          <w:sz w:val="24"/>
          <w:szCs w:val="24"/>
          <w:lang w:bidi="ar-MA"/>
        </w:rPr>
      </w:pPr>
      <w:r w:rsidRPr="009B1D4D">
        <w:rPr>
          <w:sz w:val="24"/>
          <w:szCs w:val="24"/>
          <w:rtl/>
          <w:lang w:bidi="ar-MA"/>
        </w:rPr>
        <w:t>تحديث</w:t>
      </w:r>
      <w:r w:rsidRPr="009B1D4D">
        <w:rPr>
          <w:rFonts w:hint="cs"/>
          <w:sz w:val="24"/>
          <w:szCs w:val="24"/>
          <w:rtl/>
          <w:lang w:bidi="ar-MA"/>
        </w:rPr>
        <w:t xml:space="preserve"> ال</w:t>
      </w:r>
      <w:r w:rsidRPr="009B1D4D">
        <w:rPr>
          <w:sz w:val="24"/>
          <w:szCs w:val="24"/>
          <w:rtl/>
          <w:lang w:bidi="ar-MA"/>
        </w:rPr>
        <w:t xml:space="preserve">سلة </w:t>
      </w:r>
      <w:r w:rsidRPr="009B1D4D">
        <w:rPr>
          <w:rFonts w:hint="cs"/>
          <w:sz w:val="24"/>
          <w:szCs w:val="24"/>
          <w:rtl/>
          <w:lang w:bidi="ar-MA"/>
        </w:rPr>
        <w:t>ال</w:t>
      </w:r>
      <w:r w:rsidRPr="009B1D4D">
        <w:rPr>
          <w:sz w:val="24"/>
          <w:szCs w:val="24"/>
          <w:rtl/>
          <w:lang w:bidi="ar-MA"/>
        </w:rPr>
        <w:t>مرجعية وتوسيعه</w:t>
      </w:r>
      <w:r w:rsidRPr="009B1D4D">
        <w:rPr>
          <w:rFonts w:hint="cs"/>
          <w:sz w:val="24"/>
          <w:szCs w:val="24"/>
          <w:rtl/>
          <w:lang w:bidi="ar-MA"/>
        </w:rPr>
        <w:t>ا</w:t>
      </w:r>
      <w:r w:rsidRPr="009B1D4D">
        <w:rPr>
          <w:sz w:val="24"/>
          <w:szCs w:val="24"/>
          <w:rtl/>
          <w:lang w:bidi="ar-MA"/>
        </w:rPr>
        <w:t xml:space="preserve"> ل</w:t>
      </w:r>
      <w:r w:rsidRPr="009B1D4D">
        <w:rPr>
          <w:rFonts w:hint="cs"/>
          <w:sz w:val="24"/>
          <w:szCs w:val="24"/>
          <w:rtl/>
          <w:lang w:bidi="ar-MA"/>
        </w:rPr>
        <w:t>ت</w:t>
      </w:r>
      <w:r w:rsidRPr="009B1D4D">
        <w:rPr>
          <w:sz w:val="24"/>
          <w:szCs w:val="24"/>
          <w:rtl/>
          <w:lang w:bidi="ar-MA"/>
        </w:rPr>
        <w:t xml:space="preserve">شمل </w:t>
      </w:r>
      <w:r w:rsidRPr="009B1D4D">
        <w:rPr>
          <w:rFonts w:hint="cs"/>
          <w:sz w:val="24"/>
          <w:szCs w:val="24"/>
          <w:rtl/>
          <w:lang w:bidi="ar-MA"/>
        </w:rPr>
        <w:t>546</w:t>
      </w:r>
      <w:r w:rsidRPr="009B1D4D">
        <w:rPr>
          <w:sz w:val="24"/>
          <w:szCs w:val="24"/>
          <w:rtl/>
          <w:lang w:bidi="ar-MA"/>
        </w:rPr>
        <w:t xml:space="preserve"> </w:t>
      </w:r>
      <w:r w:rsidRPr="009B1D4D">
        <w:rPr>
          <w:rFonts w:hint="cs"/>
          <w:sz w:val="24"/>
          <w:szCs w:val="24"/>
          <w:rtl/>
          <w:lang w:bidi="ar-MA"/>
        </w:rPr>
        <w:t>مادة</w:t>
      </w:r>
      <w:r w:rsidRPr="009B1D4D">
        <w:rPr>
          <w:sz w:val="24"/>
          <w:szCs w:val="24"/>
          <w:rtl/>
          <w:lang w:bidi="ar-MA"/>
        </w:rPr>
        <w:t xml:space="preserve"> و</w:t>
      </w:r>
      <w:r w:rsidRPr="009B1D4D">
        <w:rPr>
          <w:rFonts w:hint="cs"/>
          <w:sz w:val="24"/>
          <w:szCs w:val="24"/>
          <w:rtl/>
          <w:lang w:bidi="ar-MA"/>
        </w:rPr>
        <w:t>1391</w:t>
      </w:r>
      <w:r w:rsidRPr="009B1D4D">
        <w:rPr>
          <w:sz w:val="24"/>
          <w:szCs w:val="24"/>
          <w:rtl/>
          <w:lang w:bidi="ar-MA"/>
        </w:rPr>
        <w:t xml:space="preserve"> </w:t>
      </w:r>
      <w:r w:rsidRPr="009B1D4D">
        <w:rPr>
          <w:rFonts w:hint="cs"/>
          <w:sz w:val="24"/>
          <w:szCs w:val="24"/>
          <w:rtl/>
          <w:lang w:bidi="ar-MA"/>
        </w:rPr>
        <w:t xml:space="preserve">عينة </w:t>
      </w:r>
      <w:r w:rsidRPr="009B1D4D">
        <w:rPr>
          <w:sz w:val="24"/>
          <w:szCs w:val="24"/>
          <w:rtl/>
          <w:lang w:bidi="ar-MA"/>
        </w:rPr>
        <w:t xml:space="preserve">بدلا من </w:t>
      </w:r>
      <w:r w:rsidRPr="009B1D4D">
        <w:rPr>
          <w:rFonts w:hint="cs"/>
          <w:sz w:val="24"/>
          <w:szCs w:val="24"/>
          <w:rtl/>
          <w:lang w:bidi="ar-MA"/>
        </w:rPr>
        <w:t>478</w:t>
      </w:r>
      <w:r w:rsidRPr="009B1D4D">
        <w:rPr>
          <w:sz w:val="24"/>
          <w:szCs w:val="24"/>
          <w:lang w:bidi="ar-MA"/>
        </w:rPr>
        <w:t xml:space="preserve"> </w:t>
      </w:r>
      <w:r w:rsidRPr="009B1D4D">
        <w:rPr>
          <w:rFonts w:hint="cs"/>
          <w:sz w:val="24"/>
          <w:szCs w:val="24"/>
          <w:rtl/>
          <w:lang w:bidi="ar-MA"/>
        </w:rPr>
        <w:t>مادة</w:t>
      </w:r>
      <w:r w:rsidRPr="009B1D4D">
        <w:rPr>
          <w:sz w:val="24"/>
          <w:szCs w:val="24"/>
          <w:rtl/>
          <w:lang w:bidi="ar-MA"/>
        </w:rPr>
        <w:t xml:space="preserve"> و</w:t>
      </w:r>
      <w:r w:rsidRPr="009B1D4D">
        <w:rPr>
          <w:rFonts w:hint="cs"/>
          <w:sz w:val="24"/>
          <w:szCs w:val="24"/>
          <w:rtl/>
          <w:lang w:bidi="ar-MA"/>
        </w:rPr>
        <w:t xml:space="preserve">1067عينة </w:t>
      </w:r>
      <w:r w:rsidRPr="009B1D4D">
        <w:rPr>
          <w:sz w:val="24"/>
          <w:szCs w:val="24"/>
          <w:rtl/>
          <w:lang w:bidi="ar-MA"/>
        </w:rPr>
        <w:t xml:space="preserve">في سلة الرقم </w:t>
      </w:r>
      <w:r w:rsidRPr="009B1D4D">
        <w:rPr>
          <w:rFonts w:hint="cs"/>
          <w:sz w:val="24"/>
          <w:szCs w:val="24"/>
          <w:rtl/>
          <w:lang w:bidi="ar-MA"/>
        </w:rPr>
        <w:t>الاستدلالي</w:t>
      </w:r>
      <w:r w:rsidRPr="009B1D4D">
        <w:rPr>
          <w:sz w:val="24"/>
          <w:szCs w:val="24"/>
          <w:rtl/>
          <w:lang w:bidi="ar-MA"/>
        </w:rPr>
        <w:t xml:space="preserve"> ال</w:t>
      </w:r>
      <w:r w:rsidRPr="009B1D4D">
        <w:rPr>
          <w:rFonts w:hint="cs"/>
          <w:sz w:val="24"/>
          <w:szCs w:val="24"/>
          <w:rtl/>
          <w:lang w:bidi="ar-MA"/>
        </w:rPr>
        <w:t>سابق</w:t>
      </w:r>
      <w:r w:rsidRPr="009B1D4D">
        <w:rPr>
          <w:sz w:val="24"/>
          <w:szCs w:val="24"/>
          <w:rtl/>
          <w:lang w:bidi="ar-MA"/>
        </w:rPr>
        <w:t>.</w:t>
      </w:r>
    </w:p>
    <w:p w:rsidR="00A86B05" w:rsidRPr="009B1D4D" w:rsidRDefault="00A86B05" w:rsidP="00302463">
      <w:pPr>
        <w:pStyle w:val="Paragraphedeliste"/>
        <w:numPr>
          <w:ilvl w:val="0"/>
          <w:numId w:val="1"/>
        </w:numPr>
        <w:tabs>
          <w:tab w:val="left" w:pos="-720"/>
          <w:tab w:val="left" w:pos="0"/>
          <w:tab w:val="left" w:pos="142"/>
        </w:tabs>
        <w:suppressAutoHyphens/>
        <w:spacing w:before="120" w:after="60"/>
        <w:ind w:left="0" w:firstLine="0"/>
        <w:jc w:val="both"/>
        <w:rPr>
          <w:sz w:val="24"/>
          <w:szCs w:val="24"/>
          <w:lang w:bidi="ar-MA"/>
        </w:rPr>
      </w:pPr>
      <w:r w:rsidRPr="009B1D4D">
        <w:rPr>
          <w:sz w:val="24"/>
          <w:szCs w:val="24"/>
          <w:rtl/>
          <w:lang w:bidi="ar-MA"/>
        </w:rPr>
        <w:t>كما تم تح</w:t>
      </w:r>
      <w:r w:rsidRPr="009B1D4D">
        <w:rPr>
          <w:rFonts w:hint="cs"/>
          <w:sz w:val="24"/>
          <w:szCs w:val="24"/>
          <w:rtl/>
          <w:lang w:bidi="ar-MA"/>
        </w:rPr>
        <w:t xml:space="preserve">يين ترجيحات المواد </w:t>
      </w:r>
      <w:r w:rsidRPr="009B1D4D">
        <w:rPr>
          <w:sz w:val="24"/>
          <w:szCs w:val="24"/>
          <w:rtl/>
          <w:lang w:bidi="ar-MA"/>
        </w:rPr>
        <w:t xml:space="preserve">استنادا إلى </w:t>
      </w:r>
      <w:r w:rsidRPr="009B1D4D">
        <w:rPr>
          <w:rFonts w:hint="cs"/>
          <w:sz w:val="24"/>
          <w:szCs w:val="24"/>
          <w:rtl/>
          <w:lang w:bidi="ar-MA"/>
        </w:rPr>
        <w:t>المعطيات</w:t>
      </w:r>
      <w:r w:rsidRPr="009B1D4D">
        <w:rPr>
          <w:sz w:val="24"/>
          <w:szCs w:val="24"/>
          <w:rtl/>
          <w:lang w:bidi="ar-MA"/>
        </w:rPr>
        <w:t xml:space="preserve"> </w:t>
      </w:r>
      <w:r w:rsidRPr="009B1D4D">
        <w:rPr>
          <w:rFonts w:hint="cs"/>
          <w:sz w:val="24"/>
          <w:szCs w:val="24"/>
          <w:rtl/>
          <w:lang w:bidi="ar-MA"/>
        </w:rPr>
        <w:t>ال</w:t>
      </w:r>
      <w:r w:rsidRPr="009B1D4D">
        <w:rPr>
          <w:sz w:val="24"/>
          <w:szCs w:val="24"/>
          <w:rtl/>
          <w:lang w:bidi="ar-MA"/>
        </w:rPr>
        <w:t>جديدة</w:t>
      </w:r>
      <w:r w:rsidRPr="009B1D4D">
        <w:rPr>
          <w:rFonts w:hint="cs"/>
          <w:sz w:val="24"/>
          <w:szCs w:val="24"/>
          <w:rtl/>
          <w:lang w:bidi="ar-MA"/>
        </w:rPr>
        <w:t xml:space="preserve"> حول بنية استهلاك الأسر الحضرية</w:t>
      </w:r>
      <w:r w:rsidRPr="009B1D4D">
        <w:rPr>
          <w:sz w:val="24"/>
          <w:szCs w:val="24"/>
          <w:rtl/>
          <w:lang w:bidi="ar-MA"/>
        </w:rPr>
        <w:t>.</w:t>
      </w:r>
    </w:p>
    <w:p w:rsidR="00323110" w:rsidRPr="009B1D4D" w:rsidRDefault="00323110" w:rsidP="00302463">
      <w:pPr>
        <w:rPr>
          <w:sz w:val="24"/>
          <w:szCs w:val="24"/>
          <w:lang w:val="en-US"/>
        </w:rPr>
      </w:pPr>
    </w:p>
    <w:p w:rsidR="00A86B05" w:rsidRPr="00302463" w:rsidRDefault="00A86B05" w:rsidP="00302463">
      <w:pPr>
        <w:rPr>
          <w:sz w:val="28"/>
          <w:szCs w:val="28"/>
          <w:lang w:val="en-US"/>
        </w:rPr>
      </w:pPr>
    </w:p>
    <w:p w:rsidR="00A86B05" w:rsidRPr="00E61673" w:rsidRDefault="00A86B05" w:rsidP="00E61673">
      <w:pPr>
        <w:tabs>
          <w:tab w:val="left" w:pos="-720"/>
          <w:tab w:val="left" w:pos="540"/>
          <w:tab w:val="left" w:pos="9000"/>
        </w:tabs>
        <w:bidi w:val="0"/>
        <w:spacing w:before="240" w:after="120"/>
        <w:ind w:right="74"/>
        <w:jc w:val="right"/>
        <w:rPr>
          <w:rFonts w:asciiTheme="majorBidi" w:hAnsiTheme="majorBidi" w:cstheme="majorBidi"/>
          <w:b/>
          <w:bCs/>
          <w:color w:val="000000" w:themeColor="text1"/>
          <w:sz w:val="28"/>
          <w:szCs w:val="28"/>
          <w:u w:val="single"/>
          <w:shd w:val="clear" w:color="auto" w:fill="943634" w:themeFill="accent2" w:themeFillShade="BF"/>
          <w:lang w:eastAsia="en-US" w:bidi="ar-MA"/>
        </w:rPr>
      </w:pPr>
      <w:r w:rsidRPr="00E61673">
        <w:rPr>
          <w:rFonts w:asciiTheme="majorBidi" w:hAnsiTheme="majorBidi" w:cstheme="majorBidi" w:hint="cs"/>
          <w:b/>
          <w:bCs/>
          <w:color w:val="000000" w:themeColor="text1"/>
          <w:sz w:val="28"/>
          <w:szCs w:val="28"/>
          <w:u w:val="single"/>
          <w:shd w:val="clear" w:color="auto" w:fill="FABF8F" w:themeFill="accent6" w:themeFillTint="99"/>
          <w:rtl/>
          <w:lang w:eastAsia="en-US" w:bidi="ar-MA"/>
        </w:rPr>
        <w:t xml:space="preserve">تطور الرقم الاستدلالي للأثمان عند الاستهلاك خلال شهر دجنبر </w:t>
      </w:r>
      <w:r w:rsidR="00E61673" w:rsidRPr="00E61673">
        <w:rPr>
          <w:rFonts w:asciiTheme="majorBidi" w:hAnsiTheme="majorBidi" w:cstheme="majorBidi" w:hint="cs"/>
          <w:b/>
          <w:bCs/>
          <w:color w:val="000000" w:themeColor="text1"/>
          <w:sz w:val="28"/>
          <w:szCs w:val="28"/>
          <w:u w:val="single"/>
          <w:shd w:val="clear" w:color="auto" w:fill="FABF8F" w:themeFill="accent6" w:themeFillTint="99"/>
          <w:rtl/>
          <w:lang w:eastAsia="en-US" w:bidi="ar-MA"/>
        </w:rPr>
        <w:t>2020:</w:t>
      </w:r>
    </w:p>
    <w:p w:rsidR="00A86B05" w:rsidRPr="009B1D4D" w:rsidRDefault="00E61673" w:rsidP="00302463">
      <w:pPr>
        <w:tabs>
          <w:tab w:val="right" w:pos="0"/>
        </w:tabs>
        <w:jc w:val="both"/>
        <w:rPr>
          <w:sz w:val="24"/>
          <w:szCs w:val="24"/>
          <w:lang w:bidi="ar-MA"/>
        </w:rPr>
      </w:pPr>
      <w:r>
        <w:rPr>
          <w:rFonts w:hint="cs"/>
          <w:sz w:val="24"/>
          <w:szCs w:val="24"/>
          <w:rtl/>
          <w:lang w:bidi="ar-MA"/>
        </w:rPr>
        <w:tab/>
      </w:r>
      <w:r w:rsidR="00A86B05" w:rsidRPr="009B1D4D">
        <w:rPr>
          <w:sz w:val="24"/>
          <w:szCs w:val="24"/>
          <w:rtl/>
          <w:lang w:bidi="ar-MA"/>
        </w:rPr>
        <w:t xml:space="preserve">بلغ </w:t>
      </w:r>
      <w:r w:rsidR="00A86B05" w:rsidRPr="009B1D4D">
        <w:rPr>
          <w:rFonts w:hint="cs"/>
          <w:sz w:val="24"/>
          <w:szCs w:val="24"/>
          <w:rtl/>
          <w:lang w:bidi="ar-MA"/>
        </w:rPr>
        <w:t>مستوى الرقم</w:t>
      </w:r>
      <w:r w:rsidR="00A86B05" w:rsidRPr="009B1D4D">
        <w:rPr>
          <w:sz w:val="24"/>
          <w:szCs w:val="24"/>
          <w:rtl/>
          <w:lang w:bidi="ar-MA"/>
        </w:rPr>
        <w:t xml:space="preserve"> </w:t>
      </w:r>
      <w:r w:rsidR="00A86B05" w:rsidRPr="009B1D4D">
        <w:rPr>
          <w:rFonts w:hint="eastAsia"/>
          <w:sz w:val="24"/>
          <w:szCs w:val="24"/>
          <w:rtl/>
          <w:lang w:bidi="ar-MA"/>
        </w:rPr>
        <w:t>الاستدلالي</w:t>
      </w:r>
      <w:r w:rsidR="00A86B05" w:rsidRPr="009B1D4D">
        <w:rPr>
          <w:sz w:val="24"/>
          <w:szCs w:val="24"/>
          <w:rtl/>
          <w:lang w:bidi="ar-MA"/>
        </w:rPr>
        <w:t xml:space="preserve"> </w:t>
      </w:r>
      <w:r w:rsidR="00A86B05" w:rsidRPr="009B1D4D">
        <w:rPr>
          <w:rFonts w:hint="cs"/>
          <w:sz w:val="24"/>
          <w:szCs w:val="24"/>
          <w:rtl/>
          <w:lang w:bidi="ar-MA"/>
        </w:rPr>
        <w:t xml:space="preserve">للأثمان عند الاستهلاك (أساس 100: 2017) </w:t>
      </w:r>
      <w:r w:rsidR="00A86B05" w:rsidRPr="009B1D4D">
        <w:rPr>
          <w:rFonts w:hint="eastAsia"/>
          <w:sz w:val="24"/>
          <w:szCs w:val="24"/>
          <w:rtl/>
          <w:lang w:bidi="ar-MA"/>
        </w:rPr>
        <w:t>خلال</w:t>
      </w:r>
      <w:r w:rsidR="00A86B05" w:rsidRPr="009B1D4D">
        <w:rPr>
          <w:rFonts w:hint="cs"/>
          <w:sz w:val="24"/>
          <w:szCs w:val="24"/>
          <w:rtl/>
        </w:rPr>
        <w:t xml:space="preserve"> شهر دجنبر 2020 </w:t>
      </w:r>
      <w:r w:rsidR="00A86B05" w:rsidRPr="009B1D4D">
        <w:rPr>
          <w:sz w:val="24"/>
          <w:szCs w:val="24"/>
          <w:rtl/>
          <w:lang w:bidi="ar-MA"/>
        </w:rPr>
        <w:t>على صعيد مدينة</w:t>
      </w:r>
      <w:r w:rsidR="00A86B05" w:rsidRPr="009B1D4D">
        <w:rPr>
          <w:rFonts w:hint="cs"/>
          <w:sz w:val="24"/>
          <w:szCs w:val="24"/>
          <w:rtl/>
          <w:lang w:bidi="ar-MA"/>
        </w:rPr>
        <w:t xml:space="preserve"> الرباط</w:t>
      </w:r>
      <w:r w:rsidR="00A86B05" w:rsidRPr="009B1D4D">
        <w:rPr>
          <w:sz w:val="24"/>
          <w:szCs w:val="24"/>
          <w:rtl/>
          <w:lang w:bidi="ar-MA"/>
        </w:rPr>
        <w:t xml:space="preserve"> 1</w:t>
      </w:r>
      <w:r w:rsidR="00A86B05" w:rsidRPr="009B1D4D">
        <w:rPr>
          <w:rFonts w:hint="cs"/>
          <w:sz w:val="24"/>
          <w:szCs w:val="24"/>
          <w:rtl/>
          <w:lang w:bidi="ar-MA"/>
        </w:rPr>
        <w:t xml:space="preserve">02,5 مقابل </w:t>
      </w:r>
      <w:r w:rsidR="00A86B05" w:rsidRPr="009B1D4D">
        <w:rPr>
          <w:sz w:val="24"/>
          <w:szCs w:val="24"/>
          <w:lang w:bidi="ar-MA"/>
        </w:rPr>
        <w:t xml:space="preserve"> </w:t>
      </w:r>
      <w:r w:rsidR="00A86B05" w:rsidRPr="009B1D4D">
        <w:rPr>
          <w:rFonts w:hint="cs"/>
          <w:sz w:val="24"/>
          <w:szCs w:val="24"/>
          <w:rtl/>
          <w:lang w:bidi="ar-MA"/>
        </w:rPr>
        <w:t>102,8</w:t>
      </w:r>
      <w:r w:rsidR="00A86B05" w:rsidRPr="009B1D4D">
        <w:rPr>
          <w:sz w:val="24"/>
          <w:szCs w:val="24"/>
          <w:rtl/>
          <w:lang w:bidi="ar-MA"/>
        </w:rPr>
        <w:t xml:space="preserve"> </w:t>
      </w:r>
      <w:r w:rsidR="00302463" w:rsidRPr="009B1D4D">
        <w:rPr>
          <w:rFonts w:hint="cs"/>
          <w:sz w:val="24"/>
          <w:szCs w:val="24"/>
          <w:rtl/>
          <w:lang w:bidi="ar-MA"/>
        </w:rPr>
        <w:t>بالمقارنة</w:t>
      </w:r>
      <w:r w:rsidR="00302463" w:rsidRPr="009B1D4D">
        <w:rPr>
          <w:sz w:val="24"/>
          <w:szCs w:val="24"/>
          <w:rtl/>
          <w:lang w:bidi="ar-MA"/>
        </w:rPr>
        <w:t xml:space="preserve"> </w:t>
      </w:r>
      <w:r w:rsidR="00302463" w:rsidRPr="009B1D4D">
        <w:rPr>
          <w:rFonts w:hint="eastAsia"/>
          <w:sz w:val="24"/>
          <w:szCs w:val="24"/>
          <w:rtl/>
          <w:lang w:bidi="ar-MA"/>
        </w:rPr>
        <w:t>مع</w:t>
      </w:r>
      <w:r w:rsidR="00302463" w:rsidRPr="009B1D4D">
        <w:rPr>
          <w:sz w:val="24"/>
          <w:szCs w:val="24"/>
          <w:rtl/>
          <w:lang w:bidi="ar-MA"/>
        </w:rPr>
        <w:t xml:space="preserve"> </w:t>
      </w:r>
      <w:r w:rsidR="00302463" w:rsidRPr="009B1D4D">
        <w:rPr>
          <w:rFonts w:hint="cs"/>
          <w:sz w:val="24"/>
          <w:szCs w:val="24"/>
          <w:rtl/>
          <w:lang w:bidi="ar-MA"/>
        </w:rPr>
        <w:t xml:space="preserve">الشهر السابق </w:t>
      </w:r>
      <w:r w:rsidR="00A86B05" w:rsidRPr="009B1D4D">
        <w:rPr>
          <w:sz w:val="24"/>
          <w:szCs w:val="24"/>
          <w:rtl/>
          <w:lang w:bidi="ar-MA"/>
        </w:rPr>
        <w:t xml:space="preserve">مسجلا </w:t>
      </w:r>
      <w:r w:rsidR="00A86B05" w:rsidRPr="009B1D4D">
        <w:rPr>
          <w:rFonts w:hint="cs"/>
          <w:sz w:val="24"/>
          <w:szCs w:val="24"/>
          <w:rtl/>
          <w:lang w:bidi="ar-MA"/>
        </w:rPr>
        <w:t>بذلك انخفاضا</w:t>
      </w:r>
      <w:r w:rsidR="00A86B05" w:rsidRPr="009B1D4D">
        <w:rPr>
          <w:sz w:val="24"/>
          <w:szCs w:val="24"/>
          <w:rtl/>
          <w:lang w:bidi="ar-MA"/>
        </w:rPr>
        <w:t xml:space="preserve"> </w:t>
      </w:r>
      <w:r w:rsidR="00A86B05" w:rsidRPr="009B1D4D">
        <w:rPr>
          <w:rFonts w:hint="cs"/>
          <w:sz w:val="24"/>
          <w:szCs w:val="24"/>
          <w:rtl/>
          <w:lang w:bidi="ar-MA"/>
        </w:rPr>
        <w:t xml:space="preserve">قدره </w:t>
      </w:r>
      <w:r w:rsidR="00A86B05" w:rsidRPr="009B1D4D">
        <w:rPr>
          <w:rFonts w:hint="cs"/>
          <w:b/>
          <w:bCs/>
          <w:sz w:val="24"/>
          <w:szCs w:val="24"/>
          <w:rtl/>
          <w:lang w:bidi="ar-MA"/>
        </w:rPr>
        <w:t xml:space="preserve">0,3 </w:t>
      </w:r>
      <w:r w:rsidR="00A86B05" w:rsidRPr="009B1D4D">
        <w:rPr>
          <w:b/>
          <w:bCs/>
          <w:sz w:val="24"/>
          <w:szCs w:val="24"/>
          <w:lang w:bidi="ar-MA"/>
        </w:rPr>
        <w:t>%</w:t>
      </w:r>
      <w:r w:rsidR="00A86B05" w:rsidRPr="009B1D4D">
        <w:rPr>
          <w:rFonts w:hint="cs"/>
          <w:sz w:val="24"/>
          <w:szCs w:val="24"/>
          <w:rtl/>
          <w:lang w:bidi="ar-MA"/>
        </w:rPr>
        <w:t xml:space="preserve"> مقابل انخفاض</w:t>
      </w:r>
      <w:r w:rsidR="00A86B05" w:rsidRPr="009B1D4D">
        <w:rPr>
          <w:sz w:val="24"/>
          <w:szCs w:val="24"/>
          <w:rtl/>
          <w:lang w:bidi="ar-MA"/>
        </w:rPr>
        <w:t xml:space="preserve"> </w:t>
      </w:r>
      <w:r w:rsidR="00A86B05" w:rsidRPr="009B1D4D">
        <w:rPr>
          <w:rFonts w:hint="cs"/>
          <w:sz w:val="24"/>
          <w:szCs w:val="24"/>
          <w:rtl/>
          <w:lang w:bidi="ar-MA"/>
        </w:rPr>
        <w:t xml:space="preserve">قدر بنسبة 0,5 </w:t>
      </w:r>
      <w:r w:rsidR="00A86B05" w:rsidRPr="009B1D4D">
        <w:rPr>
          <w:sz w:val="24"/>
          <w:szCs w:val="24"/>
          <w:lang w:bidi="ar-MA"/>
        </w:rPr>
        <w:t>%</w:t>
      </w:r>
      <w:r w:rsidR="00A86B05" w:rsidRPr="009B1D4D">
        <w:rPr>
          <w:rFonts w:hint="cs"/>
          <w:b/>
          <w:bCs/>
          <w:sz w:val="24"/>
          <w:szCs w:val="24"/>
          <w:rtl/>
          <w:lang w:bidi="ar-MA"/>
        </w:rPr>
        <w:t xml:space="preserve"> </w:t>
      </w:r>
      <w:r w:rsidR="00A86B05" w:rsidRPr="009B1D4D">
        <w:rPr>
          <w:rFonts w:hint="cs"/>
          <w:sz w:val="24"/>
          <w:szCs w:val="24"/>
          <w:rtl/>
          <w:lang w:bidi="ar-MA"/>
        </w:rPr>
        <w:t>على</w:t>
      </w:r>
      <w:r w:rsidR="00A86B05" w:rsidRPr="009B1D4D">
        <w:rPr>
          <w:sz w:val="24"/>
          <w:szCs w:val="24"/>
          <w:rtl/>
          <w:lang w:bidi="ar-MA"/>
        </w:rPr>
        <w:t xml:space="preserve"> </w:t>
      </w:r>
      <w:r w:rsidR="00A86B05" w:rsidRPr="009B1D4D">
        <w:rPr>
          <w:rFonts w:hint="cs"/>
          <w:sz w:val="24"/>
          <w:szCs w:val="24"/>
          <w:rtl/>
          <w:lang w:bidi="ar-MA"/>
        </w:rPr>
        <w:t>المستوى الوطني. ويرجع هذا</w:t>
      </w:r>
      <w:r w:rsidR="00A86B05" w:rsidRPr="009B1D4D">
        <w:rPr>
          <w:sz w:val="24"/>
          <w:szCs w:val="24"/>
          <w:rtl/>
          <w:lang w:bidi="ar-MA"/>
        </w:rPr>
        <w:t xml:space="preserve"> </w:t>
      </w:r>
      <w:r w:rsidR="00A86B05" w:rsidRPr="009B1D4D">
        <w:rPr>
          <w:rFonts w:hint="cs"/>
          <w:sz w:val="24"/>
          <w:szCs w:val="24"/>
          <w:rtl/>
          <w:lang w:bidi="ar-MA"/>
        </w:rPr>
        <w:t>الانخفاض بالأساس</w:t>
      </w:r>
      <w:r w:rsidR="00A86B05" w:rsidRPr="009B1D4D">
        <w:rPr>
          <w:rFonts w:hint="cs"/>
          <w:sz w:val="24"/>
          <w:szCs w:val="24"/>
          <w:rtl/>
        </w:rPr>
        <w:t xml:space="preserve"> إلى</w:t>
      </w:r>
      <w:r w:rsidR="00A86B05" w:rsidRPr="009B1D4D">
        <w:rPr>
          <w:sz w:val="24"/>
          <w:szCs w:val="24"/>
          <w:rtl/>
        </w:rPr>
        <w:t xml:space="preserve"> </w:t>
      </w:r>
      <w:r w:rsidR="00A86B05" w:rsidRPr="009B1D4D">
        <w:rPr>
          <w:rFonts w:hint="cs"/>
          <w:sz w:val="24"/>
          <w:szCs w:val="24"/>
          <w:rtl/>
          <w:lang w:bidi="ar-MA"/>
        </w:rPr>
        <w:t xml:space="preserve">تراجع </w:t>
      </w:r>
      <w:r w:rsidR="00A86B05" w:rsidRPr="009B1D4D">
        <w:rPr>
          <w:rFonts w:hint="cs"/>
          <w:sz w:val="24"/>
          <w:szCs w:val="24"/>
          <w:rtl/>
        </w:rPr>
        <w:t>معدل الرقم</w:t>
      </w:r>
      <w:r w:rsidR="00A86B05" w:rsidRPr="009B1D4D">
        <w:rPr>
          <w:sz w:val="24"/>
          <w:szCs w:val="24"/>
          <w:rtl/>
          <w:lang w:bidi="ar-MA"/>
        </w:rPr>
        <w:t xml:space="preserve"> </w:t>
      </w:r>
      <w:r w:rsidR="00A86B05" w:rsidRPr="009B1D4D">
        <w:rPr>
          <w:rFonts w:hint="eastAsia"/>
          <w:sz w:val="24"/>
          <w:szCs w:val="24"/>
          <w:rtl/>
          <w:lang w:bidi="ar-MA"/>
        </w:rPr>
        <w:t>الاستدلالي</w:t>
      </w:r>
      <w:r w:rsidR="00A86B05" w:rsidRPr="009B1D4D">
        <w:rPr>
          <w:rFonts w:hint="cs"/>
          <w:sz w:val="24"/>
          <w:szCs w:val="24"/>
          <w:rtl/>
          <w:lang w:bidi="ar-MA"/>
        </w:rPr>
        <w:t xml:space="preserve"> لل</w:t>
      </w:r>
      <w:r w:rsidR="00A86B05" w:rsidRPr="009B1D4D">
        <w:rPr>
          <w:rFonts w:hint="eastAsia"/>
          <w:sz w:val="24"/>
          <w:szCs w:val="24"/>
          <w:rtl/>
          <w:lang w:bidi="ar-MA"/>
        </w:rPr>
        <w:t>مواد</w:t>
      </w:r>
      <w:r w:rsidR="00A86B05" w:rsidRPr="009B1D4D">
        <w:rPr>
          <w:sz w:val="24"/>
          <w:szCs w:val="24"/>
          <w:rtl/>
          <w:lang w:bidi="ar-MA"/>
        </w:rPr>
        <w:t xml:space="preserve"> </w:t>
      </w:r>
      <w:r w:rsidR="00A86B05" w:rsidRPr="009B1D4D">
        <w:rPr>
          <w:rFonts w:hint="eastAsia"/>
          <w:sz w:val="24"/>
          <w:szCs w:val="24"/>
          <w:rtl/>
          <w:lang w:bidi="ar-MA"/>
        </w:rPr>
        <w:t>الغذائية</w:t>
      </w:r>
      <w:r w:rsidR="00A86B05" w:rsidRPr="009B1D4D">
        <w:rPr>
          <w:sz w:val="24"/>
          <w:szCs w:val="24"/>
          <w:rtl/>
          <w:lang w:bidi="ar-MA"/>
        </w:rPr>
        <w:t xml:space="preserve"> </w:t>
      </w:r>
      <w:r w:rsidR="00A86B05" w:rsidRPr="009B1D4D">
        <w:rPr>
          <w:rFonts w:hint="eastAsia"/>
          <w:sz w:val="24"/>
          <w:szCs w:val="24"/>
          <w:rtl/>
          <w:lang w:bidi="ar-MA"/>
        </w:rPr>
        <w:t>ب</w:t>
      </w:r>
      <w:r w:rsidR="00A86B05" w:rsidRPr="009B1D4D">
        <w:rPr>
          <w:rFonts w:hint="cs"/>
          <w:sz w:val="24"/>
          <w:szCs w:val="24"/>
          <w:rtl/>
          <w:lang w:bidi="ar-MA"/>
        </w:rPr>
        <w:t xml:space="preserve"> 1,1 </w:t>
      </w:r>
      <w:r w:rsidR="00A86B05" w:rsidRPr="009B1D4D">
        <w:rPr>
          <w:sz w:val="24"/>
          <w:szCs w:val="24"/>
          <w:lang w:bidi="ar-MA"/>
        </w:rPr>
        <w:t>%</w:t>
      </w:r>
      <w:r w:rsidR="00A86B05" w:rsidRPr="009B1D4D">
        <w:rPr>
          <w:rFonts w:hint="cs"/>
          <w:sz w:val="24"/>
          <w:szCs w:val="24"/>
          <w:rtl/>
          <w:lang w:bidi="ar-MA"/>
        </w:rPr>
        <w:t xml:space="preserve"> من جهة،  وتزايد</w:t>
      </w:r>
      <w:r w:rsidR="00A86B05" w:rsidRPr="009B1D4D">
        <w:rPr>
          <w:rFonts w:hint="cs"/>
          <w:sz w:val="24"/>
          <w:szCs w:val="24"/>
          <w:rtl/>
        </w:rPr>
        <w:t xml:space="preserve"> معدل</w:t>
      </w:r>
      <w:r w:rsidR="00A86B05" w:rsidRPr="009B1D4D">
        <w:rPr>
          <w:rFonts w:hint="cs"/>
          <w:sz w:val="24"/>
          <w:szCs w:val="24"/>
          <w:rtl/>
          <w:lang w:bidi="ar-MA"/>
        </w:rPr>
        <w:t xml:space="preserve"> </w:t>
      </w:r>
      <w:r w:rsidR="00A86B05" w:rsidRPr="009B1D4D">
        <w:rPr>
          <w:rFonts w:hint="cs"/>
          <w:sz w:val="24"/>
          <w:szCs w:val="24"/>
          <w:rtl/>
        </w:rPr>
        <w:t>الرقم</w:t>
      </w:r>
      <w:r w:rsidR="00A86B05" w:rsidRPr="009B1D4D">
        <w:rPr>
          <w:sz w:val="24"/>
          <w:szCs w:val="24"/>
          <w:rtl/>
          <w:lang w:bidi="ar-MA"/>
        </w:rPr>
        <w:t xml:space="preserve"> </w:t>
      </w:r>
      <w:r w:rsidR="00A86B05" w:rsidRPr="009B1D4D">
        <w:rPr>
          <w:rFonts w:hint="eastAsia"/>
          <w:sz w:val="24"/>
          <w:szCs w:val="24"/>
          <w:rtl/>
          <w:lang w:bidi="ar-MA"/>
        </w:rPr>
        <w:t>الاستدلالي</w:t>
      </w:r>
      <w:r w:rsidR="00A86B05" w:rsidRPr="009B1D4D">
        <w:rPr>
          <w:rFonts w:hint="cs"/>
          <w:sz w:val="24"/>
          <w:szCs w:val="24"/>
          <w:rtl/>
          <w:lang w:bidi="ar-MA"/>
        </w:rPr>
        <w:t xml:space="preserve"> للمواد غير الغذائية ب 0,2 </w:t>
      </w:r>
      <w:r w:rsidR="00A86B05" w:rsidRPr="009B1D4D">
        <w:rPr>
          <w:sz w:val="24"/>
          <w:szCs w:val="24"/>
          <w:lang w:bidi="ar-MA"/>
        </w:rPr>
        <w:t>%</w:t>
      </w:r>
      <w:r w:rsidR="00A86B05" w:rsidRPr="009B1D4D">
        <w:rPr>
          <w:rFonts w:hint="cs"/>
          <w:sz w:val="24"/>
          <w:szCs w:val="24"/>
          <w:rtl/>
          <w:lang w:bidi="ar-MA"/>
        </w:rPr>
        <w:t xml:space="preserve"> من جهة أخرى.</w:t>
      </w:r>
      <w:r w:rsidR="00302463" w:rsidRPr="009B1D4D">
        <w:rPr>
          <w:rFonts w:hint="cs"/>
          <w:sz w:val="24"/>
          <w:szCs w:val="24"/>
          <w:rtl/>
          <w:lang w:bidi="ar-MA"/>
        </w:rPr>
        <w:t xml:space="preserve"> </w:t>
      </w:r>
    </w:p>
    <w:p w:rsidR="00A86B05" w:rsidRPr="009B1D4D" w:rsidRDefault="00A86B05" w:rsidP="00E61673">
      <w:pPr>
        <w:ind w:firstLine="708"/>
        <w:jc w:val="both"/>
        <w:rPr>
          <w:sz w:val="24"/>
          <w:szCs w:val="24"/>
          <w:rtl/>
          <w:lang w:bidi="ar-MA"/>
        </w:rPr>
      </w:pPr>
      <w:r w:rsidRPr="009B1D4D">
        <w:rPr>
          <w:rFonts w:hint="cs"/>
          <w:sz w:val="24"/>
          <w:szCs w:val="24"/>
          <w:rtl/>
          <w:lang w:bidi="ar-MA"/>
        </w:rPr>
        <w:t>بالنسبة للمواد</w:t>
      </w:r>
      <w:r w:rsidRPr="009B1D4D">
        <w:rPr>
          <w:sz w:val="24"/>
          <w:szCs w:val="24"/>
          <w:rtl/>
          <w:lang w:bidi="ar-MA"/>
        </w:rPr>
        <w:t xml:space="preserve"> </w:t>
      </w:r>
      <w:r w:rsidRPr="009B1D4D">
        <w:rPr>
          <w:rFonts w:hint="eastAsia"/>
          <w:sz w:val="24"/>
          <w:szCs w:val="24"/>
          <w:rtl/>
          <w:lang w:bidi="ar-MA"/>
        </w:rPr>
        <w:t>الغذائية</w:t>
      </w:r>
      <w:r w:rsidRPr="009B1D4D">
        <w:rPr>
          <w:sz w:val="24"/>
          <w:szCs w:val="24"/>
          <w:rtl/>
          <w:lang w:bidi="ar-MA"/>
        </w:rPr>
        <w:t xml:space="preserve">، </w:t>
      </w:r>
      <w:r w:rsidRPr="009B1D4D">
        <w:rPr>
          <w:rFonts w:hint="cs"/>
          <w:sz w:val="24"/>
          <w:szCs w:val="24"/>
          <w:rtl/>
          <w:lang w:bidi="ar-MA"/>
        </w:rPr>
        <w:t xml:space="preserve">فقد </w:t>
      </w:r>
      <w:r w:rsidRPr="009B1D4D">
        <w:rPr>
          <w:sz w:val="24"/>
          <w:szCs w:val="24"/>
          <w:rtl/>
          <w:lang w:bidi="ar-MA"/>
        </w:rPr>
        <w:t xml:space="preserve">نتج </w:t>
      </w:r>
      <w:r w:rsidRPr="009B1D4D">
        <w:rPr>
          <w:rFonts w:hint="cs"/>
          <w:sz w:val="24"/>
          <w:szCs w:val="24"/>
          <w:rtl/>
          <w:lang w:bidi="ar-MA"/>
        </w:rPr>
        <w:t>انخفاض</w:t>
      </w:r>
      <w:r w:rsidRPr="009B1D4D">
        <w:rPr>
          <w:sz w:val="24"/>
          <w:szCs w:val="24"/>
          <w:rtl/>
          <w:lang w:bidi="ar-MA"/>
        </w:rPr>
        <w:t xml:space="preserve"> </w:t>
      </w:r>
      <w:r w:rsidRPr="009B1D4D">
        <w:rPr>
          <w:rFonts w:hint="eastAsia"/>
          <w:sz w:val="24"/>
          <w:szCs w:val="24"/>
          <w:rtl/>
          <w:lang w:bidi="ar-MA"/>
        </w:rPr>
        <w:t>رقم</w:t>
      </w:r>
      <w:r w:rsidRPr="009B1D4D">
        <w:rPr>
          <w:sz w:val="24"/>
          <w:szCs w:val="24"/>
          <w:rtl/>
          <w:lang w:bidi="ar-MA"/>
        </w:rPr>
        <w:t xml:space="preserve">ها </w:t>
      </w:r>
      <w:r w:rsidRPr="009B1D4D">
        <w:rPr>
          <w:rFonts w:hint="eastAsia"/>
          <w:sz w:val="24"/>
          <w:szCs w:val="24"/>
          <w:rtl/>
          <w:lang w:bidi="ar-MA"/>
        </w:rPr>
        <w:t>الاستدلالي</w:t>
      </w:r>
      <w:r w:rsidRPr="009B1D4D">
        <w:rPr>
          <w:sz w:val="24"/>
          <w:szCs w:val="24"/>
          <w:rtl/>
          <w:lang w:bidi="ar-MA"/>
        </w:rPr>
        <w:t xml:space="preserve"> </w:t>
      </w:r>
      <w:r w:rsidRPr="009B1D4D">
        <w:rPr>
          <w:rFonts w:hint="eastAsia"/>
          <w:sz w:val="24"/>
          <w:szCs w:val="24"/>
          <w:rtl/>
          <w:lang w:bidi="ar-MA"/>
        </w:rPr>
        <w:t>خلال</w:t>
      </w:r>
      <w:r w:rsidRPr="009B1D4D">
        <w:rPr>
          <w:rFonts w:hint="cs"/>
          <w:sz w:val="24"/>
          <w:szCs w:val="24"/>
          <w:rtl/>
        </w:rPr>
        <w:t xml:space="preserve"> شهر دجنبر 2020 </w:t>
      </w:r>
      <w:r w:rsidRPr="009B1D4D">
        <w:rPr>
          <w:sz w:val="24"/>
          <w:szCs w:val="24"/>
          <w:rtl/>
        </w:rPr>
        <w:t xml:space="preserve">عن </w:t>
      </w:r>
      <w:r w:rsidRPr="009B1D4D">
        <w:rPr>
          <w:rFonts w:hint="cs"/>
          <w:sz w:val="24"/>
          <w:szCs w:val="24"/>
          <w:rtl/>
          <w:lang w:bidi="ar-MA"/>
        </w:rPr>
        <w:t>تراجع أثمان هذ</w:t>
      </w:r>
      <w:r w:rsidRPr="009B1D4D">
        <w:rPr>
          <w:rFonts w:hint="eastAsia"/>
          <w:sz w:val="24"/>
          <w:szCs w:val="24"/>
          <w:rtl/>
          <w:lang w:bidi="ar-MA"/>
        </w:rPr>
        <w:t>ا</w:t>
      </w:r>
      <w:r w:rsidRPr="009B1D4D">
        <w:rPr>
          <w:rFonts w:hint="cs"/>
          <w:sz w:val="24"/>
          <w:szCs w:val="24"/>
          <w:rtl/>
          <w:lang w:bidi="ar-MA"/>
        </w:rPr>
        <w:t xml:space="preserve"> المؤشر على مستوى قسم</w:t>
      </w:r>
      <w:r w:rsidRPr="009B1D4D">
        <w:rPr>
          <w:sz w:val="24"/>
          <w:szCs w:val="24"/>
          <w:rtl/>
          <w:lang w:bidi="ar-MA"/>
        </w:rPr>
        <w:t xml:space="preserve"> </w:t>
      </w:r>
      <w:r w:rsidRPr="009B1D4D">
        <w:rPr>
          <w:rFonts w:hint="cs"/>
          <w:sz w:val="24"/>
          <w:szCs w:val="24"/>
          <w:rtl/>
          <w:lang w:bidi="ar-MA"/>
        </w:rPr>
        <w:t>"</w:t>
      </w:r>
      <w:r w:rsidRPr="009B1D4D">
        <w:rPr>
          <w:sz w:val="24"/>
          <w:szCs w:val="24"/>
          <w:rtl/>
          <w:lang w:bidi="ar-MA"/>
        </w:rPr>
        <w:t xml:space="preserve">المواد </w:t>
      </w:r>
      <w:r w:rsidRPr="009B1D4D">
        <w:rPr>
          <w:rFonts w:hint="eastAsia"/>
          <w:sz w:val="24"/>
          <w:szCs w:val="24"/>
          <w:rtl/>
          <w:lang w:bidi="ar-MA"/>
        </w:rPr>
        <w:t>الغذائية</w:t>
      </w:r>
      <w:r w:rsidRPr="009B1D4D">
        <w:rPr>
          <w:sz w:val="24"/>
          <w:szCs w:val="24"/>
          <w:rtl/>
          <w:lang w:bidi="ar-MA"/>
        </w:rPr>
        <w:t xml:space="preserve"> </w:t>
      </w:r>
      <w:r w:rsidRPr="009B1D4D">
        <w:rPr>
          <w:rFonts w:hint="cs"/>
          <w:sz w:val="24"/>
          <w:szCs w:val="24"/>
          <w:rtl/>
          <w:lang w:bidi="ar-MA"/>
        </w:rPr>
        <w:t>والمشروبات غير</w:t>
      </w:r>
      <w:r w:rsidRPr="009B1D4D">
        <w:rPr>
          <w:sz w:val="24"/>
          <w:szCs w:val="24"/>
          <w:rtl/>
          <w:lang w:bidi="ar-MA"/>
        </w:rPr>
        <w:t xml:space="preserve"> </w:t>
      </w:r>
      <w:r w:rsidRPr="009B1D4D">
        <w:rPr>
          <w:rFonts w:hint="cs"/>
          <w:sz w:val="24"/>
          <w:szCs w:val="24"/>
          <w:rtl/>
          <w:lang w:bidi="ar-MA"/>
        </w:rPr>
        <w:t>الكحولية" بنسبة 1,2</w:t>
      </w:r>
      <w:r w:rsidRPr="009B1D4D">
        <w:rPr>
          <w:sz w:val="24"/>
          <w:szCs w:val="24"/>
          <w:rtl/>
          <w:lang w:bidi="ar-MA"/>
        </w:rPr>
        <w:t xml:space="preserve"> </w:t>
      </w:r>
      <w:r w:rsidRPr="009B1D4D">
        <w:rPr>
          <w:sz w:val="24"/>
          <w:szCs w:val="24"/>
          <w:lang w:bidi="ar-MA"/>
        </w:rPr>
        <w:t>%</w:t>
      </w:r>
      <w:r w:rsidRPr="009B1D4D">
        <w:rPr>
          <w:rFonts w:hint="cs"/>
          <w:sz w:val="24"/>
          <w:szCs w:val="24"/>
          <w:rtl/>
          <w:lang w:bidi="ar-MA"/>
        </w:rPr>
        <w:t xml:space="preserve">  و تزايد أثمان قسم "المشروبات</w:t>
      </w:r>
      <w:r w:rsidRPr="009B1D4D">
        <w:rPr>
          <w:sz w:val="24"/>
          <w:szCs w:val="24"/>
          <w:rtl/>
          <w:lang w:bidi="ar-MA"/>
        </w:rPr>
        <w:t xml:space="preserve"> الكحولية </w:t>
      </w:r>
      <w:r w:rsidRPr="009B1D4D">
        <w:rPr>
          <w:rFonts w:hint="cs"/>
          <w:sz w:val="24"/>
          <w:szCs w:val="24"/>
          <w:rtl/>
          <w:lang w:bidi="ar-MA"/>
        </w:rPr>
        <w:t xml:space="preserve">والتبغ" بنسبة 0,1 </w:t>
      </w:r>
      <w:r w:rsidRPr="009B1D4D">
        <w:rPr>
          <w:sz w:val="24"/>
          <w:szCs w:val="24"/>
          <w:lang w:bidi="ar-MA"/>
        </w:rPr>
        <w:t>%</w:t>
      </w:r>
      <w:r w:rsidRPr="009B1D4D">
        <w:rPr>
          <w:rFonts w:hint="cs"/>
          <w:sz w:val="24"/>
          <w:szCs w:val="24"/>
          <w:rtl/>
          <w:lang w:bidi="ar-MA"/>
        </w:rPr>
        <w:t>.</w:t>
      </w:r>
    </w:p>
    <w:p w:rsidR="00A86B05" w:rsidRPr="009B1D4D" w:rsidRDefault="00E61673" w:rsidP="00302463">
      <w:pPr>
        <w:tabs>
          <w:tab w:val="right" w:pos="0"/>
        </w:tabs>
        <w:jc w:val="both"/>
        <w:rPr>
          <w:rFonts w:ascii="Tahoma" w:hAnsi="Tahoma" w:cs="Tahoma"/>
          <w:sz w:val="24"/>
          <w:szCs w:val="24"/>
          <w:rtl/>
          <w:lang w:val="en-US" w:eastAsia="en-US" w:bidi="ar-MA"/>
        </w:rPr>
      </w:pPr>
      <w:r>
        <w:rPr>
          <w:rFonts w:hint="cs"/>
          <w:sz w:val="24"/>
          <w:szCs w:val="24"/>
          <w:rtl/>
          <w:lang w:bidi="ar-MA"/>
        </w:rPr>
        <w:tab/>
      </w:r>
      <w:r w:rsidR="00A86B05" w:rsidRPr="009B1D4D">
        <w:rPr>
          <w:rFonts w:hint="cs"/>
          <w:sz w:val="24"/>
          <w:szCs w:val="24"/>
          <w:rtl/>
          <w:lang w:bidi="ar-MA"/>
        </w:rPr>
        <w:t xml:space="preserve">وقد شملت </w:t>
      </w:r>
      <w:r w:rsidR="00A86B05" w:rsidRPr="009B1D4D">
        <w:rPr>
          <w:sz w:val="24"/>
          <w:szCs w:val="24"/>
          <w:rtl/>
          <w:lang w:bidi="ar-MA"/>
        </w:rPr>
        <w:t xml:space="preserve">أهم </w:t>
      </w:r>
      <w:r w:rsidR="00A86B05" w:rsidRPr="009B1D4D">
        <w:rPr>
          <w:rFonts w:hint="cs"/>
          <w:sz w:val="24"/>
          <w:szCs w:val="24"/>
          <w:rtl/>
          <w:lang w:bidi="ar-MA"/>
        </w:rPr>
        <w:t>الانخفاضات</w:t>
      </w:r>
      <w:r w:rsidR="00A86B05" w:rsidRPr="009B1D4D">
        <w:rPr>
          <w:sz w:val="24"/>
          <w:szCs w:val="24"/>
          <w:rtl/>
          <w:lang w:bidi="ar-MA"/>
        </w:rPr>
        <w:t xml:space="preserve"> </w:t>
      </w:r>
      <w:r w:rsidR="00A86B05" w:rsidRPr="009B1D4D">
        <w:rPr>
          <w:rFonts w:hint="cs"/>
          <w:sz w:val="24"/>
          <w:szCs w:val="24"/>
          <w:rtl/>
          <w:lang w:bidi="ar-MA"/>
        </w:rPr>
        <w:t>المسجلة بقسم</w:t>
      </w:r>
      <w:r w:rsidR="00A86B05" w:rsidRPr="009B1D4D">
        <w:rPr>
          <w:sz w:val="24"/>
          <w:szCs w:val="24"/>
          <w:rtl/>
          <w:lang w:bidi="ar-MA"/>
        </w:rPr>
        <w:t xml:space="preserve"> </w:t>
      </w:r>
      <w:r w:rsidR="00A86B05" w:rsidRPr="009B1D4D">
        <w:rPr>
          <w:rFonts w:hint="cs"/>
          <w:sz w:val="24"/>
          <w:szCs w:val="24"/>
          <w:rtl/>
          <w:lang w:bidi="ar-MA"/>
        </w:rPr>
        <w:t>"</w:t>
      </w:r>
      <w:r w:rsidR="00A86B05" w:rsidRPr="009B1D4D">
        <w:rPr>
          <w:sz w:val="24"/>
          <w:szCs w:val="24"/>
          <w:rtl/>
          <w:lang w:bidi="ar-MA"/>
        </w:rPr>
        <w:t xml:space="preserve">المواد </w:t>
      </w:r>
      <w:r w:rsidR="00A86B05" w:rsidRPr="009B1D4D">
        <w:rPr>
          <w:rFonts w:hint="eastAsia"/>
          <w:sz w:val="24"/>
          <w:szCs w:val="24"/>
          <w:rtl/>
          <w:lang w:bidi="ar-MA"/>
        </w:rPr>
        <w:t>الغذائية</w:t>
      </w:r>
      <w:r w:rsidR="00A86B05" w:rsidRPr="009B1D4D">
        <w:rPr>
          <w:sz w:val="24"/>
          <w:szCs w:val="24"/>
          <w:rtl/>
          <w:lang w:bidi="ar-MA"/>
        </w:rPr>
        <w:t xml:space="preserve"> </w:t>
      </w:r>
      <w:r w:rsidR="00A86B05" w:rsidRPr="009B1D4D">
        <w:rPr>
          <w:rFonts w:hint="cs"/>
          <w:sz w:val="24"/>
          <w:szCs w:val="24"/>
          <w:rtl/>
          <w:lang w:bidi="ar-MA"/>
        </w:rPr>
        <w:t>والمشروبات غير</w:t>
      </w:r>
      <w:r w:rsidR="00A86B05" w:rsidRPr="009B1D4D">
        <w:rPr>
          <w:sz w:val="24"/>
          <w:szCs w:val="24"/>
          <w:rtl/>
          <w:lang w:bidi="ar-MA"/>
        </w:rPr>
        <w:t xml:space="preserve"> </w:t>
      </w:r>
      <w:r w:rsidR="00A86B05" w:rsidRPr="009B1D4D">
        <w:rPr>
          <w:rFonts w:hint="cs"/>
          <w:sz w:val="24"/>
          <w:szCs w:val="24"/>
          <w:rtl/>
          <w:lang w:bidi="ar-MA"/>
        </w:rPr>
        <w:t>الكحولية" على الخصوص</w:t>
      </w:r>
      <w:r w:rsidR="00A86B05" w:rsidRPr="009B1D4D">
        <w:rPr>
          <w:sz w:val="24"/>
          <w:szCs w:val="24"/>
          <w:rtl/>
          <w:lang w:bidi="ar-MA"/>
        </w:rPr>
        <w:t xml:space="preserve"> </w:t>
      </w:r>
      <w:r w:rsidR="00A86B05" w:rsidRPr="009B1D4D">
        <w:rPr>
          <w:rFonts w:hint="cs"/>
          <w:sz w:val="24"/>
          <w:szCs w:val="24"/>
          <w:rtl/>
          <w:lang w:bidi="ar-MA"/>
        </w:rPr>
        <w:t>أثمان</w:t>
      </w:r>
      <w:r w:rsidR="00A86B05" w:rsidRPr="009B1D4D">
        <w:rPr>
          <w:sz w:val="24"/>
          <w:szCs w:val="24"/>
          <w:rtl/>
          <w:lang w:bidi="ar-MA"/>
        </w:rPr>
        <w:t xml:space="preserve"> </w:t>
      </w:r>
      <w:r w:rsidR="00A86B05" w:rsidRPr="009B1D4D">
        <w:rPr>
          <w:rFonts w:hint="cs"/>
          <w:sz w:val="24"/>
          <w:szCs w:val="24"/>
          <w:rtl/>
          <w:lang w:bidi="ar-MA"/>
        </w:rPr>
        <w:t xml:space="preserve">"الخضر" ب 7,3 </w:t>
      </w:r>
      <w:r w:rsidR="00A86B05" w:rsidRPr="009B1D4D">
        <w:rPr>
          <w:sz w:val="24"/>
          <w:szCs w:val="24"/>
          <w:lang w:bidi="ar-MA"/>
        </w:rPr>
        <w:t>%</w:t>
      </w:r>
      <w:r w:rsidR="00A86B05" w:rsidRPr="009B1D4D">
        <w:rPr>
          <w:rFonts w:hint="cs"/>
          <w:sz w:val="24"/>
          <w:szCs w:val="24"/>
          <w:rtl/>
          <w:lang w:bidi="ar-MA"/>
        </w:rPr>
        <w:t xml:space="preserve">، "الفواكه" ب 3,8 </w:t>
      </w:r>
      <w:r w:rsidR="00A86B05" w:rsidRPr="009B1D4D">
        <w:rPr>
          <w:sz w:val="24"/>
          <w:szCs w:val="24"/>
          <w:lang w:bidi="ar-MA"/>
        </w:rPr>
        <w:t>%</w:t>
      </w:r>
      <w:r w:rsidR="00A86B05" w:rsidRPr="009B1D4D">
        <w:rPr>
          <w:rFonts w:hint="cs"/>
          <w:sz w:val="24"/>
          <w:szCs w:val="24"/>
          <w:rtl/>
          <w:lang w:bidi="ar-MA"/>
        </w:rPr>
        <w:t xml:space="preserve">، " السمك وفواكه البحر" ب 1,4 </w:t>
      </w:r>
      <w:r w:rsidR="00A86B05" w:rsidRPr="009B1D4D">
        <w:rPr>
          <w:sz w:val="24"/>
          <w:szCs w:val="24"/>
          <w:lang w:bidi="ar-MA"/>
        </w:rPr>
        <w:t>%</w:t>
      </w:r>
      <w:r w:rsidR="00A86B05" w:rsidRPr="009B1D4D">
        <w:rPr>
          <w:rFonts w:hint="cs"/>
          <w:sz w:val="24"/>
          <w:szCs w:val="24"/>
          <w:rtl/>
          <w:lang w:bidi="ar-MA"/>
        </w:rPr>
        <w:t xml:space="preserve"> و "</w:t>
      </w:r>
      <w:r w:rsidR="00A86B05" w:rsidRPr="009B1D4D">
        <w:rPr>
          <w:rFonts w:hint="cs"/>
          <w:sz w:val="24"/>
          <w:szCs w:val="24"/>
          <w:rtl/>
        </w:rPr>
        <w:t xml:space="preserve">اللحوم" ب 0,3 </w:t>
      </w:r>
      <w:r w:rsidR="00A86B05" w:rsidRPr="009B1D4D">
        <w:rPr>
          <w:sz w:val="24"/>
          <w:szCs w:val="24"/>
          <w:lang w:bidi="ar-MA"/>
        </w:rPr>
        <w:t>%</w:t>
      </w:r>
      <w:r w:rsidR="00A86B05" w:rsidRPr="009B1D4D">
        <w:rPr>
          <w:rFonts w:hint="cs"/>
          <w:sz w:val="24"/>
          <w:szCs w:val="24"/>
          <w:rtl/>
          <w:lang w:bidi="ar-MA"/>
        </w:rPr>
        <w:t xml:space="preserve"> . بينما ارتفعت بالمقابل أثمان "الحليب والجبن والبيض" ب 0,5 </w:t>
      </w:r>
      <w:r w:rsidR="00A86B05" w:rsidRPr="009B1D4D">
        <w:rPr>
          <w:sz w:val="24"/>
          <w:szCs w:val="24"/>
          <w:lang w:bidi="ar-MA"/>
        </w:rPr>
        <w:t>%</w:t>
      </w:r>
      <w:r w:rsidR="00A86B05" w:rsidRPr="009B1D4D">
        <w:rPr>
          <w:rFonts w:hint="cs"/>
          <w:sz w:val="24"/>
          <w:szCs w:val="24"/>
          <w:rtl/>
          <w:lang w:bidi="ar-MA"/>
        </w:rPr>
        <w:t xml:space="preserve"> و "الخبز و الحبوب" ب 0,3 </w:t>
      </w:r>
      <w:r w:rsidR="00A86B05" w:rsidRPr="009B1D4D">
        <w:rPr>
          <w:sz w:val="24"/>
          <w:szCs w:val="24"/>
          <w:lang w:bidi="ar-MA"/>
        </w:rPr>
        <w:t>%</w:t>
      </w:r>
      <w:r w:rsidR="00A86B05" w:rsidRPr="009B1D4D">
        <w:rPr>
          <w:rFonts w:hint="cs"/>
          <w:sz w:val="24"/>
          <w:szCs w:val="24"/>
          <w:rtl/>
          <w:lang w:bidi="ar-MA"/>
        </w:rPr>
        <w:t xml:space="preserve"> و استقرت أثمان كل من "الزيوت و الدهنيات"، </w:t>
      </w:r>
      <w:r w:rsidR="00A86B05" w:rsidRPr="009B1D4D">
        <w:rPr>
          <w:rFonts w:hint="cs"/>
          <w:sz w:val="24"/>
          <w:szCs w:val="24"/>
          <w:rtl/>
        </w:rPr>
        <w:t>"السكر و مشتقاته"</w:t>
      </w:r>
      <w:r w:rsidR="00A86B05" w:rsidRPr="009B1D4D">
        <w:rPr>
          <w:rFonts w:hint="cs"/>
          <w:sz w:val="24"/>
          <w:szCs w:val="24"/>
          <w:rtl/>
          <w:lang w:bidi="ar-MA"/>
        </w:rPr>
        <w:t xml:space="preserve"> و</w:t>
      </w:r>
      <w:r w:rsidR="00A86B05" w:rsidRPr="009B1D4D">
        <w:rPr>
          <w:rFonts w:hint="cs"/>
          <w:sz w:val="24"/>
          <w:szCs w:val="24"/>
          <w:rtl/>
        </w:rPr>
        <w:t>"القهوة و الشاي و الكاكاو". في حين نتج ارتفاع الرقم الاستدلال</w:t>
      </w:r>
      <w:r w:rsidR="00A86B05" w:rsidRPr="009B1D4D">
        <w:rPr>
          <w:rFonts w:hint="eastAsia"/>
          <w:sz w:val="24"/>
          <w:szCs w:val="24"/>
          <w:rtl/>
        </w:rPr>
        <w:t>ي</w:t>
      </w:r>
      <w:r w:rsidR="00A86B05" w:rsidRPr="009B1D4D">
        <w:rPr>
          <w:rFonts w:hint="cs"/>
          <w:sz w:val="24"/>
          <w:szCs w:val="24"/>
          <w:rtl/>
        </w:rPr>
        <w:t xml:space="preserve"> لقسم "المشروبات الكحولية و التبغ" عن الزيادة التي عرفتها على الخصوص أثمان المشروبات الكحولية ب 1,4 </w:t>
      </w:r>
      <w:r w:rsidR="00A86B05" w:rsidRPr="009B1D4D">
        <w:rPr>
          <w:sz w:val="24"/>
          <w:szCs w:val="24"/>
        </w:rPr>
        <w:t>%</w:t>
      </w:r>
      <w:r w:rsidR="00A86B05" w:rsidRPr="009B1D4D">
        <w:rPr>
          <w:rFonts w:hint="cs"/>
          <w:sz w:val="24"/>
          <w:szCs w:val="24"/>
          <w:rtl/>
        </w:rPr>
        <w:t xml:space="preserve"> و استقرار أثمان التبغ</w:t>
      </w:r>
      <w:r w:rsidR="00302463" w:rsidRPr="009B1D4D">
        <w:rPr>
          <w:rFonts w:hint="cs"/>
          <w:sz w:val="24"/>
          <w:szCs w:val="24"/>
          <w:rtl/>
        </w:rPr>
        <w:t>.</w:t>
      </w:r>
    </w:p>
    <w:p w:rsidR="00A86B05" w:rsidRPr="009B1D4D" w:rsidRDefault="00A86B05" w:rsidP="00E61673">
      <w:pPr>
        <w:ind w:firstLine="708"/>
        <w:jc w:val="both"/>
        <w:rPr>
          <w:sz w:val="24"/>
          <w:szCs w:val="24"/>
          <w:lang w:bidi="ar-MA"/>
        </w:rPr>
      </w:pPr>
      <w:r w:rsidRPr="009B1D4D">
        <w:rPr>
          <w:rFonts w:ascii="Comic Sans MS" w:hAnsi="Comic Sans MS"/>
          <w:b/>
          <w:bCs/>
          <w:color w:val="FFFFFF" w:themeColor="background1"/>
          <w:sz w:val="24"/>
          <w:szCs w:val="24"/>
          <w:lang w:val="en-US" w:eastAsia="en-US"/>
        </w:rPr>
        <w:t> </w:t>
      </w:r>
      <w:r w:rsidRPr="009B1D4D">
        <w:rPr>
          <w:rFonts w:hint="cs"/>
          <w:sz w:val="24"/>
          <w:szCs w:val="24"/>
          <w:rtl/>
          <w:lang w:bidi="ar-MA"/>
        </w:rPr>
        <w:t>أما فيما يخص المواد غير الغذائية فقد تراوحت نسب الارتفاع ما بين 0,3 % بالنسبة لقسم "</w:t>
      </w:r>
      <w:r w:rsidR="00302463" w:rsidRPr="009B1D4D">
        <w:rPr>
          <w:rFonts w:hint="cs"/>
          <w:sz w:val="24"/>
          <w:szCs w:val="24"/>
          <w:rtl/>
          <w:lang w:bidi="ar-MA"/>
        </w:rPr>
        <w:t>السكن و الماء و الكهرباء و الغاز و المحروقات</w:t>
      </w:r>
      <w:r w:rsidRPr="009B1D4D">
        <w:rPr>
          <w:rFonts w:hint="cs"/>
          <w:sz w:val="24"/>
          <w:szCs w:val="24"/>
          <w:rtl/>
          <w:lang w:bidi="ar-MA"/>
        </w:rPr>
        <w:t xml:space="preserve">" و 0,9 % بانسبة لقسم "النقل". بينما تراجع الرقم الاستدلالي لأقسام "الأثاث و الأدوات المنزلية و الصيانة العادية للمنزل"  و "الترفيه و الثقافة" و "مطاعم و فنادق" على التوالي ب 0,1 </w:t>
      </w:r>
      <w:r w:rsidRPr="009B1D4D">
        <w:rPr>
          <w:sz w:val="24"/>
          <w:szCs w:val="24"/>
          <w:lang w:bidi="ar-MA"/>
        </w:rPr>
        <w:t>%</w:t>
      </w:r>
      <w:r w:rsidRPr="009B1D4D">
        <w:rPr>
          <w:rFonts w:hint="cs"/>
          <w:sz w:val="24"/>
          <w:szCs w:val="24"/>
          <w:rtl/>
          <w:lang w:bidi="ar-MA"/>
        </w:rPr>
        <w:t xml:space="preserve"> ،  0,6 </w:t>
      </w:r>
      <w:r w:rsidRPr="009B1D4D">
        <w:rPr>
          <w:sz w:val="24"/>
          <w:szCs w:val="24"/>
          <w:lang w:bidi="ar-MA"/>
        </w:rPr>
        <w:t>%</w:t>
      </w:r>
      <w:r w:rsidRPr="009B1D4D">
        <w:rPr>
          <w:rFonts w:hint="cs"/>
          <w:sz w:val="24"/>
          <w:szCs w:val="24"/>
          <w:rtl/>
          <w:lang w:bidi="ar-MA"/>
        </w:rPr>
        <w:t xml:space="preserve"> و 0,4 </w:t>
      </w:r>
      <w:r w:rsidRPr="009B1D4D">
        <w:rPr>
          <w:sz w:val="24"/>
          <w:szCs w:val="24"/>
          <w:lang w:bidi="ar-MA"/>
        </w:rPr>
        <w:t>%</w:t>
      </w:r>
      <w:r w:rsidRPr="009B1D4D">
        <w:rPr>
          <w:rFonts w:hint="cs"/>
          <w:sz w:val="24"/>
          <w:szCs w:val="24"/>
          <w:rtl/>
          <w:lang w:bidi="ar-MA"/>
        </w:rPr>
        <w:t xml:space="preserve"> ، في حين سجلت باقي  الأقسام استقرارا نسبيا.</w:t>
      </w:r>
    </w:p>
    <w:p w:rsidR="00484DD3" w:rsidRPr="009B1D4D" w:rsidRDefault="00A86B05" w:rsidP="00484DD3">
      <w:pPr>
        <w:ind w:firstLine="24"/>
        <w:jc w:val="both"/>
        <w:rPr>
          <w:rFonts w:asciiTheme="majorBidi" w:hAnsiTheme="majorBidi" w:cstheme="majorBidi"/>
          <w:b/>
          <w:bCs/>
          <w:color w:val="FFFFFF" w:themeColor="background1"/>
          <w:sz w:val="24"/>
          <w:szCs w:val="24"/>
          <w:rtl/>
          <w:lang w:eastAsia="en-US"/>
        </w:rPr>
      </w:pPr>
      <w:r w:rsidRPr="009B1D4D">
        <w:rPr>
          <w:rFonts w:hint="cs"/>
          <w:sz w:val="24"/>
          <w:szCs w:val="24"/>
          <w:rtl/>
          <w:lang w:bidi="ar-MA"/>
        </w:rPr>
        <w:t xml:space="preserve">و </w:t>
      </w:r>
      <w:r w:rsidRPr="009B1D4D">
        <w:rPr>
          <w:rFonts w:hint="eastAsia"/>
          <w:sz w:val="24"/>
          <w:szCs w:val="24"/>
          <w:rtl/>
          <w:lang w:bidi="ar-MA"/>
        </w:rPr>
        <w:t>مقارنة</w:t>
      </w:r>
      <w:r w:rsidRPr="009B1D4D">
        <w:rPr>
          <w:sz w:val="24"/>
          <w:szCs w:val="24"/>
          <w:rtl/>
          <w:lang w:bidi="ar-MA"/>
        </w:rPr>
        <w:t xml:space="preserve"> </w:t>
      </w:r>
      <w:r w:rsidRPr="009B1D4D">
        <w:rPr>
          <w:rFonts w:hint="cs"/>
          <w:sz w:val="24"/>
          <w:szCs w:val="24"/>
          <w:rtl/>
          <w:lang w:bidi="ar-MA"/>
        </w:rPr>
        <w:t>مع نفس الشهر لسنة 2019،</w:t>
      </w:r>
      <w:r w:rsidRPr="009B1D4D">
        <w:rPr>
          <w:sz w:val="24"/>
          <w:szCs w:val="24"/>
          <w:rtl/>
          <w:lang w:bidi="ar-MA"/>
        </w:rPr>
        <w:t xml:space="preserve"> </w:t>
      </w:r>
      <w:r w:rsidRPr="009B1D4D">
        <w:rPr>
          <w:rFonts w:hint="eastAsia"/>
          <w:sz w:val="24"/>
          <w:szCs w:val="24"/>
          <w:rtl/>
          <w:lang w:bidi="ar-MA"/>
        </w:rPr>
        <w:t>سجل</w:t>
      </w:r>
      <w:r w:rsidRPr="009B1D4D">
        <w:rPr>
          <w:sz w:val="24"/>
          <w:szCs w:val="24"/>
          <w:rtl/>
          <w:lang w:bidi="ar-MA"/>
        </w:rPr>
        <w:t xml:space="preserve"> </w:t>
      </w:r>
      <w:r w:rsidRPr="009B1D4D">
        <w:rPr>
          <w:rFonts w:hint="eastAsia"/>
          <w:sz w:val="24"/>
          <w:szCs w:val="24"/>
          <w:rtl/>
          <w:lang w:bidi="ar-MA"/>
        </w:rPr>
        <w:t>الرقم</w:t>
      </w:r>
      <w:r w:rsidRPr="009B1D4D">
        <w:rPr>
          <w:sz w:val="24"/>
          <w:szCs w:val="24"/>
          <w:rtl/>
          <w:lang w:bidi="ar-MA"/>
        </w:rPr>
        <w:t xml:space="preserve"> </w:t>
      </w:r>
      <w:r w:rsidRPr="009B1D4D">
        <w:rPr>
          <w:rFonts w:hint="eastAsia"/>
          <w:sz w:val="24"/>
          <w:szCs w:val="24"/>
          <w:rtl/>
          <w:lang w:bidi="ar-MA"/>
        </w:rPr>
        <w:t>الاستدلالي</w:t>
      </w:r>
      <w:r w:rsidRPr="009B1D4D">
        <w:rPr>
          <w:sz w:val="24"/>
          <w:szCs w:val="24"/>
          <w:rtl/>
          <w:lang w:bidi="ar-MA"/>
        </w:rPr>
        <w:t xml:space="preserve"> </w:t>
      </w:r>
      <w:r w:rsidRPr="009B1D4D">
        <w:rPr>
          <w:rFonts w:hint="cs"/>
          <w:sz w:val="24"/>
          <w:szCs w:val="24"/>
          <w:rtl/>
          <w:lang w:bidi="ar-MA"/>
        </w:rPr>
        <w:t>للأثمان عن</w:t>
      </w:r>
      <w:r w:rsidRPr="009B1D4D">
        <w:rPr>
          <w:rFonts w:hint="eastAsia"/>
          <w:sz w:val="24"/>
          <w:szCs w:val="24"/>
          <w:rtl/>
          <w:lang w:bidi="ar-MA"/>
        </w:rPr>
        <w:t>د</w:t>
      </w:r>
      <w:r w:rsidRPr="009B1D4D">
        <w:rPr>
          <w:rFonts w:hint="cs"/>
          <w:sz w:val="24"/>
          <w:szCs w:val="24"/>
          <w:rtl/>
          <w:lang w:bidi="ar-MA"/>
        </w:rPr>
        <w:t xml:space="preserve"> الاستهلاك </w:t>
      </w:r>
      <w:r w:rsidRPr="009B1D4D">
        <w:rPr>
          <w:rFonts w:hint="cs"/>
          <w:sz w:val="24"/>
          <w:szCs w:val="24"/>
          <w:rtl/>
        </w:rPr>
        <w:t xml:space="preserve">ارتفاعا </w:t>
      </w:r>
      <w:r w:rsidRPr="009B1D4D">
        <w:rPr>
          <w:rFonts w:hint="eastAsia"/>
          <w:sz w:val="24"/>
          <w:szCs w:val="24"/>
          <w:rtl/>
          <w:lang w:bidi="ar-MA"/>
        </w:rPr>
        <w:t>قدر</w:t>
      </w:r>
      <w:r w:rsidRPr="009B1D4D">
        <w:rPr>
          <w:rFonts w:hint="cs"/>
          <w:sz w:val="24"/>
          <w:szCs w:val="24"/>
          <w:rtl/>
          <w:lang w:bidi="ar-MA"/>
        </w:rPr>
        <w:t xml:space="preserve"> ب</w:t>
      </w:r>
      <w:r w:rsidRPr="009B1D4D">
        <w:rPr>
          <w:sz w:val="24"/>
          <w:szCs w:val="24"/>
          <w:rtl/>
          <w:lang w:bidi="ar-MA"/>
        </w:rPr>
        <w:t xml:space="preserve"> </w:t>
      </w:r>
      <w:r w:rsidRPr="009B1D4D">
        <w:rPr>
          <w:rFonts w:hint="cs"/>
          <w:sz w:val="24"/>
          <w:szCs w:val="24"/>
          <w:rtl/>
          <w:lang w:bidi="ar-MA"/>
        </w:rPr>
        <w:t>0,4 % خلال شهر دجنبر 2020</w:t>
      </w:r>
      <w:r w:rsidRPr="009B1D4D">
        <w:rPr>
          <w:rFonts w:hint="cs"/>
          <w:sz w:val="24"/>
          <w:szCs w:val="24"/>
          <w:rtl/>
        </w:rPr>
        <w:t xml:space="preserve"> </w:t>
      </w:r>
      <w:r w:rsidRPr="009B1D4D">
        <w:rPr>
          <w:rFonts w:hint="cs"/>
          <w:sz w:val="24"/>
          <w:szCs w:val="24"/>
          <w:rtl/>
          <w:lang w:bidi="ar-MA"/>
        </w:rPr>
        <w:t xml:space="preserve">مقابل </w:t>
      </w:r>
      <w:r w:rsidRPr="009B1D4D">
        <w:rPr>
          <w:rFonts w:hint="cs"/>
          <w:sz w:val="24"/>
          <w:szCs w:val="24"/>
          <w:rtl/>
        </w:rPr>
        <w:t xml:space="preserve">انخفاض قدر ب </w:t>
      </w:r>
      <w:r w:rsidRPr="009B1D4D">
        <w:rPr>
          <w:rFonts w:hint="cs"/>
          <w:sz w:val="24"/>
          <w:szCs w:val="24"/>
          <w:rtl/>
          <w:lang w:bidi="ar-MA"/>
        </w:rPr>
        <w:t>0,3 % على الصعيد الوطني</w:t>
      </w:r>
      <w:r w:rsidRPr="009B1D4D">
        <w:rPr>
          <w:sz w:val="24"/>
          <w:szCs w:val="24"/>
          <w:rtl/>
          <w:lang w:bidi="ar-MA"/>
        </w:rPr>
        <w:t xml:space="preserve">. </w:t>
      </w:r>
      <w:r w:rsidRPr="009B1D4D">
        <w:rPr>
          <w:rFonts w:hint="cs"/>
          <w:sz w:val="24"/>
          <w:szCs w:val="24"/>
          <w:rtl/>
          <w:lang w:bidi="ar-MA"/>
        </w:rPr>
        <w:t>و فيما يتعلق بالتغير السنوي فقد عرف متوسط</w:t>
      </w:r>
      <w:r w:rsidRPr="009B1D4D">
        <w:rPr>
          <w:sz w:val="24"/>
          <w:szCs w:val="24"/>
          <w:rtl/>
          <w:lang w:bidi="ar-MA"/>
        </w:rPr>
        <w:t xml:space="preserve"> </w:t>
      </w:r>
      <w:r w:rsidRPr="009B1D4D">
        <w:rPr>
          <w:rFonts w:hint="eastAsia"/>
          <w:sz w:val="24"/>
          <w:szCs w:val="24"/>
          <w:rtl/>
          <w:lang w:bidi="ar-MA"/>
        </w:rPr>
        <w:t>الرقم</w:t>
      </w:r>
      <w:r w:rsidRPr="009B1D4D">
        <w:rPr>
          <w:sz w:val="24"/>
          <w:szCs w:val="24"/>
          <w:rtl/>
          <w:lang w:bidi="ar-MA"/>
        </w:rPr>
        <w:t xml:space="preserve"> </w:t>
      </w:r>
      <w:r w:rsidRPr="009B1D4D">
        <w:rPr>
          <w:rFonts w:hint="eastAsia"/>
          <w:sz w:val="24"/>
          <w:szCs w:val="24"/>
          <w:rtl/>
          <w:lang w:bidi="ar-MA"/>
        </w:rPr>
        <w:t>الاستدلالي</w:t>
      </w:r>
      <w:r w:rsidRPr="009B1D4D">
        <w:rPr>
          <w:sz w:val="24"/>
          <w:szCs w:val="24"/>
          <w:rtl/>
          <w:lang w:bidi="ar-MA"/>
        </w:rPr>
        <w:t xml:space="preserve"> </w:t>
      </w:r>
      <w:r w:rsidRPr="009B1D4D">
        <w:rPr>
          <w:rFonts w:hint="cs"/>
          <w:sz w:val="24"/>
          <w:szCs w:val="24"/>
          <w:rtl/>
          <w:lang w:bidi="ar-MA"/>
        </w:rPr>
        <w:t>للأثمان عن</w:t>
      </w:r>
      <w:r w:rsidRPr="009B1D4D">
        <w:rPr>
          <w:rFonts w:hint="eastAsia"/>
          <w:sz w:val="24"/>
          <w:szCs w:val="24"/>
          <w:rtl/>
          <w:lang w:bidi="ar-MA"/>
        </w:rPr>
        <w:t>د</w:t>
      </w:r>
      <w:r w:rsidRPr="009B1D4D">
        <w:rPr>
          <w:rFonts w:hint="cs"/>
          <w:sz w:val="24"/>
          <w:szCs w:val="24"/>
          <w:rtl/>
          <w:lang w:bidi="ar-MA"/>
        </w:rPr>
        <w:t xml:space="preserve"> الاستهلاك خلال</w:t>
      </w:r>
      <w:r w:rsidRPr="009B1D4D">
        <w:rPr>
          <w:sz w:val="24"/>
          <w:szCs w:val="24"/>
          <w:rtl/>
          <w:lang w:bidi="ar-MA"/>
        </w:rPr>
        <w:t xml:space="preserve"> </w:t>
      </w:r>
      <w:r w:rsidRPr="009B1D4D">
        <w:rPr>
          <w:rFonts w:hint="cs"/>
          <w:sz w:val="24"/>
          <w:szCs w:val="24"/>
          <w:rtl/>
          <w:lang w:bidi="ar-MA"/>
        </w:rPr>
        <w:t xml:space="preserve">سنة 2020 بمدينة الرباط تزايدا قدر بنسبة 0,9 </w:t>
      </w:r>
      <w:r w:rsidRPr="009B1D4D">
        <w:rPr>
          <w:sz w:val="24"/>
          <w:szCs w:val="24"/>
          <w:lang w:bidi="ar-MA"/>
        </w:rPr>
        <w:t>%</w:t>
      </w:r>
      <w:r w:rsidRPr="009B1D4D">
        <w:rPr>
          <w:rFonts w:hint="cs"/>
          <w:sz w:val="24"/>
          <w:szCs w:val="24"/>
          <w:rtl/>
          <w:lang w:bidi="ar-MA"/>
        </w:rPr>
        <w:t xml:space="preserve"> مقارنة مع </w:t>
      </w:r>
      <w:r w:rsidR="00484DD3" w:rsidRPr="009B1D4D">
        <w:rPr>
          <w:rFonts w:hint="cs"/>
          <w:sz w:val="24"/>
          <w:szCs w:val="24"/>
          <w:rtl/>
          <w:lang w:bidi="ar-MA"/>
        </w:rPr>
        <w:t>ال</w:t>
      </w:r>
      <w:r w:rsidRPr="009B1D4D">
        <w:rPr>
          <w:rFonts w:hint="cs"/>
          <w:sz w:val="24"/>
          <w:szCs w:val="24"/>
          <w:rtl/>
          <w:lang w:bidi="ar-MA"/>
        </w:rPr>
        <w:t xml:space="preserve">سنة </w:t>
      </w:r>
      <w:r w:rsidR="00484DD3" w:rsidRPr="009B1D4D">
        <w:rPr>
          <w:rFonts w:hint="cs"/>
          <w:sz w:val="24"/>
          <w:szCs w:val="24"/>
          <w:rtl/>
          <w:lang w:bidi="ar-MA"/>
        </w:rPr>
        <w:t>الماضية</w:t>
      </w:r>
      <w:r w:rsidRPr="009B1D4D">
        <w:rPr>
          <w:rFonts w:hint="cs"/>
          <w:sz w:val="24"/>
          <w:szCs w:val="24"/>
          <w:rtl/>
          <w:lang w:bidi="ar-MA"/>
        </w:rPr>
        <w:t xml:space="preserve"> مقابل نسبة 0,7 % على المستوى الوطني.</w:t>
      </w:r>
      <w:r w:rsidRPr="009B1D4D">
        <w:rPr>
          <w:rFonts w:asciiTheme="majorBidi" w:hAnsiTheme="majorBidi" w:cstheme="majorBidi" w:hint="cs"/>
          <w:b/>
          <w:bCs/>
          <w:color w:val="FFFFFF" w:themeColor="background1"/>
          <w:sz w:val="24"/>
          <w:szCs w:val="24"/>
          <w:rtl/>
          <w:lang w:eastAsia="en-US"/>
        </w:rPr>
        <w:t>3.</w:t>
      </w:r>
      <w:r w:rsidRPr="009B1D4D">
        <w:rPr>
          <w:rFonts w:asciiTheme="majorBidi" w:hAnsiTheme="majorBidi" w:cstheme="majorBidi"/>
          <w:b/>
          <w:bCs/>
          <w:color w:val="FFFFFF" w:themeColor="background1"/>
          <w:sz w:val="24"/>
          <w:szCs w:val="24"/>
          <w:rtl/>
          <w:lang w:eastAsia="en-US"/>
        </w:rPr>
        <w:t>الغ</w:t>
      </w:r>
    </w:p>
    <w:p w:rsidR="00297A5A" w:rsidRPr="009B1D4D" w:rsidRDefault="00E61673" w:rsidP="00E61673">
      <w:pPr>
        <w:ind w:firstLine="708"/>
        <w:jc w:val="both"/>
        <w:rPr>
          <w:sz w:val="24"/>
          <w:szCs w:val="24"/>
          <w:rtl/>
          <w:lang w:bidi="ar-MA"/>
        </w:rPr>
      </w:pPr>
      <w:r>
        <w:rPr>
          <w:rFonts w:hint="cs"/>
          <w:sz w:val="24"/>
          <w:szCs w:val="24"/>
          <w:rtl/>
          <w:lang w:bidi="ar-MA"/>
        </w:rPr>
        <w:t>أ</w:t>
      </w:r>
      <w:r w:rsidR="00484DD3" w:rsidRPr="009B1D4D">
        <w:rPr>
          <w:rFonts w:hint="cs"/>
          <w:sz w:val="24"/>
          <w:szCs w:val="24"/>
          <w:rtl/>
          <w:lang w:bidi="ar-MA"/>
        </w:rPr>
        <w:t>ما فيما يخص التغير عل</w:t>
      </w:r>
      <w:r w:rsidR="00484DD3" w:rsidRPr="009B1D4D">
        <w:rPr>
          <w:rFonts w:hint="eastAsia"/>
          <w:sz w:val="24"/>
          <w:szCs w:val="24"/>
          <w:rtl/>
          <w:lang w:bidi="ar-MA"/>
        </w:rPr>
        <w:t>ى</w:t>
      </w:r>
      <w:r w:rsidR="00484DD3" w:rsidRPr="009B1D4D">
        <w:rPr>
          <w:rFonts w:hint="cs"/>
          <w:sz w:val="24"/>
          <w:szCs w:val="24"/>
          <w:rtl/>
          <w:lang w:bidi="ar-MA"/>
        </w:rPr>
        <w:t xml:space="preserve"> </w:t>
      </w:r>
      <w:r w:rsidR="00484DD3" w:rsidRPr="009B1D4D">
        <w:rPr>
          <w:sz w:val="24"/>
          <w:szCs w:val="24"/>
          <w:rtl/>
          <w:lang w:bidi="ar-MA"/>
        </w:rPr>
        <w:t>مست</w:t>
      </w:r>
      <w:r w:rsidR="00484DD3" w:rsidRPr="009B1D4D">
        <w:rPr>
          <w:rFonts w:hint="cs"/>
          <w:sz w:val="24"/>
          <w:szCs w:val="24"/>
          <w:rtl/>
          <w:lang w:bidi="ar-MA"/>
        </w:rPr>
        <w:t>و</w:t>
      </w:r>
      <w:r w:rsidR="00484DD3" w:rsidRPr="009B1D4D">
        <w:rPr>
          <w:sz w:val="24"/>
          <w:szCs w:val="24"/>
          <w:rtl/>
          <w:lang w:bidi="ar-MA"/>
        </w:rPr>
        <w:t xml:space="preserve">ى </w:t>
      </w:r>
      <w:r w:rsidR="00484DD3" w:rsidRPr="009B1D4D">
        <w:rPr>
          <w:rFonts w:hint="cs"/>
          <w:sz w:val="24"/>
          <w:szCs w:val="24"/>
          <w:rtl/>
          <w:lang w:bidi="ar-MA"/>
        </w:rPr>
        <w:t>المدن،</w:t>
      </w:r>
      <w:r w:rsidR="00484DD3" w:rsidRPr="009B1D4D">
        <w:rPr>
          <w:sz w:val="24"/>
          <w:szCs w:val="24"/>
          <w:rtl/>
          <w:lang w:bidi="ar-MA"/>
        </w:rPr>
        <w:t xml:space="preserve"> فقد سجل </w:t>
      </w:r>
      <w:r w:rsidR="00484DD3" w:rsidRPr="009B1D4D">
        <w:rPr>
          <w:rFonts w:hint="cs"/>
          <w:sz w:val="24"/>
          <w:szCs w:val="24"/>
          <w:rtl/>
          <w:lang w:bidi="ar-MA"/>
        </w:rPr>
        <w:t xml:space="preserve">معدل </w:t>
      </w:r>
      <w:r w:rsidR="00484DD3" w:rsidRPr="009B1D4D">
        <w:rPr>
          <w:sz w:val="24"/>
          <w:szCs w:val="24"/>
          <w:rtl/>
          <w:lang w:bidi="ar-MA"/>
        </w:rPr>
        <w:t xml:space="preserve">الرقم الاستدلالي للاثمان عند الاستهلاك خلال </w:t>
      </w:r>
      <w:r w:rsidR="00484DD3" w:rsidRPr="009B1D4D">
        <w:rPr>
          <w:rFonts w:hint="cs"/>
          <w:sz w:val="24"/>
          <w:szCs w:val="24"/>
          <w:rtl/>
          <w:lang w:bidi="ar-MA"/>
        </w:rPr>
        <w:t xml:space="preserve">شهر دجنبر لسنة 2020  </w:t>
      </w:r>
      <w:r w:rsidR="00484DD3" w:rsidRPr="009B1D4D">
        <w:rPr>
          <w:sz w:val="24"/>
          <w:szCs w:val="24"/>
          <w:rtl/>
          <w:lang w:bidi="ar-MA"/>
        </w:rPr>
        <w:t>أهم الارتفاعات في</w:t>
      </w:r>
      <w:r w:rsidR="00484DD3" w:rsidRPr="009B1D4D">
        <w:rPr>
          <w:rFonts w:hint="cs"/>
          <w:sz w:val="24"/>
          <w:szCs w:val="24"/>
          <w:rtl/>
          <w:lang w:bidi="ar-MA"/>
        </w:rPr>
        <w:t xml:space="preserve"> مدن </w:t>
      </w:r>
      <w:r w:rsidR="00297A5A" w:rsidRPr="009B1D4D">
        <w:rPr>
          <w:rFonts w:hint="cs"/>
          <w:sz w:val="24"/>
          <w:szCs w:val="24"/>
          <w:rtl/>
          <w:lang w:bidi="ar-MA"/>
        </w:rPr>
        <w:t xml:space="preserve">و بني ملال ، و في مراكش و الحسيمة ب 0,9 </w:t>
      </w:r>
      <w:r w:rsidR="00297A5A" w:rsidRPr="009B1D4D">
        <w:rPr>
          <w:sz w:val="24"/>
          <w:szCs w:val="24"/>
          <w:lang w:bidi="ar-MA"/>
        </w:rPr>
        <w:t>%</w:t>
      </w:r>
      <w:r w:rsidR="00297A5A" w:rsidRPr="009B1D4D">
        <w:rPr>
          <w:rFonts w:hint="cs"/>
          <w:sz w:val="24"/>
          <w:szCs w:val="24"/>
          <w:rtl/>
          <w:lang w:bidi="ar-MA"/>
        </w:rPr>
        <w:t xml:space="preserve">، وفي  العيون و كلميم ب 0,8 </w:t>
      </w:r>
      <w:r w:rsidR="00297A5A" w:rsidRPr="009B1D4D">
        <w:rPr>
          <w:sz w:val="24"/>
          <w:szCs w:val="24"/>
          <w:lang w:bidi="ar-MA"/>
        </w:rPr>
        <w:t>%</w:t>
      </w:r>
      <w:r w:rsidR="00297A5A" w:rsidRPr="009B1D4D">
        <w:rPr>
          <w:rFonts w:hint="cs"/>
          <w:sz w:val="24"/>
          <w:szCs w:val="24"/>
          <w:rtl/>
          <w:lang w:bidi="ar-MA"/>
        </w:rPr>
        <w:t xml:space="preserve">،  و في وجدة و سطات و الراشدية ب 0,7 </w:t>
      </w:r>
      <w:r w:rsidR="00297A5A" w:rsidRPr="009B1D4D">
        <w:rPr>
          <w:sz w:val="24"/>
          <w:szCs w:val="24"/>
          <w:lang w:bidi="ar-MA"/>
        </w:rPr>
        <w:t>%</w:t>
      </w:r>
      <w:r w:rsidR="00297A5A" w:rsidRPr="009B1D4D">
        <w:rPr>
          <w:rFonts w:hint="cs"/>
          <w:sz w:val="24"/>
          <w:szCs w:val="24"/>
          <w:rtl/>
          <w:lang w:bidi="ar-MA"/>
        </w:rPr>
        <w:t xml:space="preserve">، و في القنيطرة و مكناس ب 0,6 </w:t>
      </w:r>
      <w:r w:rsidR="00297A5A" w:rsidRPr="009B1D4D">
        <w:rPr>
          <w:sz w:val="24"/>
          <w:szCs w:val="24"/>
          <w:lang w:bidi="ar-MA"/>
        </w:rPr>
        <w:t>%</w:t>
      </w:r>
      <w:r w:rsidR="00297A5A" w:rsidRPr="009B1D4D">
        <w:rPr>
          <w:rFonts w:hint="cs"/>
          <w:sz w:val="24"/>
          <w:szCs w:val="24"/>
          <w:rtl/>
          <w:lang w:bidi="ar-MA"/>
        </w:rPr>
        <w:t xml:space="preserve">، و في طنجة و تطوان ب 0,5 </w:t>
      </w:r>
      <w:r w:rsidR="00297A5A" w:rsidRPr="009B1D4D">
        <w:rPr>
          <w:sz w:val="24"/>
          <w:szCs w:val="24"/>
          <w:lang w:bidi="ar-MA"/>
        </w:rPr>
        <w:lastRenderedPageBreak/>
        <w:t>%</w:t>
      </w:r>
      <w:r w:rsidR="00297A5A" w:rsidRPr="009B1D4D">
        <w:rPr>
          <w:rFonts w:hint="cs"/>
          <w:sz w:val="24"/>
          <w:szCs w:val="24"/>
          <w:rtl/>
          <w:lang w:bidi="ar-MA"/>
        </w:rPr>
        <w:t xml:space="preserve">، و في اكادير ب 0,4 </w:t>
      </w:r>
      <w:r w:rsidR="00297A5A" w:rsidRPr="009B1D4D">
        <w:rPr>
          <w:sz w:val="24"/>
          <w:szCs w:val="24"/>
          <w:lang w:bidi="ar-MA"/>
        </w:rPr>
        <w:t>%</w:t>
      </w:r>
      <w:r w:rsidR="00297A5A" w:rsidRPr="009B1D4D">
        <w:rPr>
          <w:rFonts w:hint="cs"/>
          <w:sz w:val="24"/>
          <w:szCs w:val="24"/>
          <w:rtl/>
          <w:lang w:bidi="ar-MA"/>
        </w:rPr>
        <w:t xml:space="preserve">،  و في الدار البيضاء ب 0,3 </w:t>
      </w:r>
      <w:r w:rsidR="00297A5A" w:rsidRPr="009B1D4D">
        <w:rPr>
          <w:sz w:val="24"/>
          <w:szCs w:val="24"/>
          <w:lang w:bidi="ar-MA"/>
        </w:rPr>
        <w:t>%</w:t>
      </w:r>
      <w:r w:rsidR="00297A5A" w:rsidRPr="009B1D4D">
        <w:rPr>
          <w:rFonts w:hint="cs"/>
          <w:sz w:val="24"/>
          <w:szCs w:val="24"/>
          <w:rtl/>
          <w:lang w:bidi="ar-MA"/>
        </w:rPr>
        <w:t xml:space="preserve">، و في أسفي ب 0,2 </w:t>
      </w:r>
      <w:r w:rsidR="00297A5A" w:rsidRPr="009B1D4D">
        <w:rPr>
          <w:sz w:val="24"/>
          <w:szCs w:val="24"/>
          <w:lang w:bidi="ar-MA"/>
        </w:rPr>
        <w:t>%</w:t>
      </w:r>
      <w:r w:rsidR="00297A5A" w:rsidRPr="009B1D4D">
        <w:rPr>
          <w:rFonts w:hint="cs"/>
          <w:sz w:val="24"/>
          <w:szCs w:val="24"/>
          <w:rtl/>
          <w:lang w:bidi="ar-MA"/>
        </w:rPr>
        <w:t xml:space="preserve"> في حين سجل استقرارا نسبيا في كل من مدن فاس و الداخلة.</w:t>
      </w:r>
    </w:p>
    <w:p w:rsidR="00484DD3" w:rsidRPr="009B1D4D" w:rsidRDefault="00484DD3" w:rsidP="00297A5A">
      <w:pPr>
        <w:ind w:firstLine="24"/>
        <w:jc w:val="both"/>
        <w:rPr>
          <w:sz w:val="24"/>
          <w:szCs w:val="24"/>
          <w:rtl/>
          <w:lang w:bidi="ar-MA"/>
        </w:rPr>
      </w:pPr>
    </w:p>
    <w:p w:rsidR="00A86B05" w:rsidRPr="009B1D4D" w:rsidRDefault="00A86B05" w:rsidP="00302463">
      <w:pPr>
        <w:rPr>
          <w:sz w:val="24"/>
          <w:szCs w:val="24"/>
          <w:rtl/>
          <w:lang w:bidi="ar-MA"/>
        </w:rPr>
      </w:pPr>
    </w:p>
    <w:p w:rsidR="00E61673" w:rsidRPr="00E61673" w:rsidRDefault="00AE039C" w:rsidP="00AE039C">
      <w:pPr>
        <w:jc w:val="center"/>
        <w:rPr>
          <w:rFonts w:asciiTheme="majorBidi" w:hAnsiTheme="majorBidi" w:cstheme="majorBidi"/>
          <w:b/>
          <w:bCs/>
          <w:color w:val="000000" w:themeColor="text1"/>
          <w:sz w:val="24"/>
          <w:szCs w:val="24"/>
          <w:u w:val="single"/>
          <w:rtl/>
          <w:lang w:eastAsia="en-US" w:bidi="ar-MA"/>
        </w:rPr>
      </w:pPr>
      <w:r w:rsidRPr="00AE039C">
        <w:rPr>
          <w:rFonts w:asciiTheme="majorBidi" w:hAnsiTheme="majorBidi" w:cstheme="majorBidi" w:hint="cs"/>
          <w:b/>
          <w:bCs/>
          <w:color w:val="000000" w:themeColor="text1"/>
          <w:sz w:val="24"/>
          <w:szCs w:val="24"/>
          <w:rtl/>
          <w:lang w:eastAsia="en-US" w:bidi="ar-MA"/>
        </w:rPr>
        <w:t>تغير الرقم الاستدلالي للأثمان عند الاستهلا</w:t>
      </w:r>
      <w:r w:rsidRPr="00AE039C">
        <w:rPr>
          <w:rFonts w:asciiTheme="majorBidi" w:hAnsiTheme="majorBidi" w:cstheme="majorBidi" w:hint="eastAsia"/>
          <w:b/>
          <w:bCs/>
          <w:color w:val="000000" w:themeColor="text1"/>
          <w:sz w:val="24"/>
          <w:szCs w:val="24"/>
          <w:rtl/>
          <w:lang w:eastAsia="en-US" w:bidi="ar-MA"/>
        </w:rPr>
        <w:t>ك</w:t>
      </w:r>
      <w:r w:rsidRPr="00AE039C">
        <w:rPr>
          <w:rFonts w:asciiTheme="majorBidi" w:hAnsiTheme="majorBidi" w:cstheme="majorBidi"/>
          <w:b/>
          <w:bCs/>
          <w:color w:val="000000" w:themeColor="text1"/>
          <w:sz w:val="24"/>
          <w:szCs w:val="24"/>
          <w:lang w:eastAsia="en-US" w:bidi="ar-MA"/>
        </w:rPr>
        <w:t xml:space="preserve"> </w:t>
      </w:r>
      <w:r w:rsidRPr="00AE039C">
        <w:rPr>
          <w:rFonts w:asciiTheme="majorBidi" w:hAnsiTheme="majorBidi" w:cstheme="majorBidi" w:hint="cs"/>
          <w:b/>
          <w:bCs/>
          <w:color w:val="000000" w:themeColor="text1"/>
          <w:sz w:val="24"/>
          <w:szCs w:val="24"/>
          <w:rtl/>
          <w:lang w:eastAsia="en-US" w:bidi="ar-MA"/>
        </w:rPr>
        <w:t xml:space="preserve">(أساس 100: 2017) </w:t>
      </w:r>
      <w:r w:rsidRPr="00AE039C">
        <w:rPr>
          <w:rFonts w:asciiTheme="majorBidi" w:hAnsiTheme="majorBidi" w:cstheme="majorBidi"/>
          <w:b/>
          <w:bCs/>
          <w:color w:val="000000" w:themeColor="text1"/>
          <w:sz w:val="24"/>
          <w:szCs w:val="24"/>
          <w:rtl/>
          <w:lang w:eastAsia="en-US" w:bidi="ar-MA"/>
        </w:rPr>
        <w:t xml:space="preserve">حسب </w:t>
      </w:r>
      <w:r w:rsidRPr="00AE039C">
        <w:rPr>
          <w:rFonts w:asciiTheme="majorBidi" w:hAnsiTheme="majorBidi" w:cstheme="majorBidi" w:hint="cs"/>
          <w:b/>
          <w:bCs/>
          <w:color w:val="000000" w:themeColor="text1"/>
          <w:sz w:val="24"/>
          <w:szCs w:val="24"/>
          <w:rtl/>
          <w:lang w:eastAsia="en-US" w:bidi="ar-MA"/>
        </w:rPr>
        <w:t>الأقسام</w:t>
      </w:r>
      <w:r w:rsidRPr="00E61673">
        <w:rPr>
          <w:rFonts w:asciiTheme="majorBidi" w:hAnsiTheme="majorBidi" w:cstheme="majorBidi" w:hint="cs"/>
          <w:b/>
          <w:bCs/>
          <w:color w:val="000000" w:themeColor="text1"/>
          <w:sz w:val="24"/>
          <w:szCs w:val="24"/>
          <w:u w:val="single"/>
          <w:rtl/>
          <w:lang w:eastAsia="en-US" w:bidi="ar-MA"/>
        </w:rPr>
        <w:t xml:space="preserve"> </w:t>
      </w:r>
    </w:p>
    <w:p w:rsidR="00484DD3" w:rsidRPr="00AE039C" w:rsidRDefault="00484DD3" w:rsidP="00E61673">
      <w:pPr>
        <w:jc w:val="center"/>
        <w:rPr>
          <w:b/>
          <w:bCs/>
          <w:color w:val="000000"/>
          <w:sz w:val="24"/>
          <w:szCs w:val="24"/>
          <w:rtl/>
          <w:lang w:bidi="ar-MA"/>
        </w:rPr>
      </w:pPr>
      <w:r w:rsidRPr="00AE039C">
        <w:rPr>
          <w:rFonts w:asciiTheme="majorBidi" w:hAnsiTheme="majorBidi" w:cstheme="majorBidi" w:hint="cs"/>
          <w:b/>
          <w:bCs/>
          <w:color w:val="000000" w:themeColor="text1"/>
          <w:sz w:val="24"/>
          <w:szCs w:val="24"/>
          <w:rtl/>
          <w:lang w:eastAsia="en-US" w:bidi="ar-MA"/>
        </w:rPr>
        <w:t xml:space="preserve"> بمدين</w:t>
      </w:r>
      <w:r w:rsidR="003C2AC4" w:rsidRPr="00AE039C">
        <w:rPr>
          <w:rFonts w:asciiTheme="majorBidi" w:hAnsiTheme="majorBidi" w:cstheme="majorBidi" w:hint="cs"/>
          <w:b/>
          <w:bCs/>
          <w:color w:val="000000" w:themeColor="text1"/>
          <w:sz w:val="24"/>
          <w:szCs w:val="24"/>
          <w:rtl/>
          <w:lang w:eastAsia="en-US" w:bidi="ar-MA"/>
        </w:rPr>
        <w:t>ة ال</w:t>
      </w:r>
      <w:r w:rsidRPr="00AE039C">
        <w:rPr>
          <w:rFonts w:asciiTheme="majorBidi" w:hAnsiTheme="majorBidi" w:cstheme="majorBidi" w:hint="cs"/>
          <w:b/>
          <w:bCs/>
          <w:color w:val="000000" w:themeColor="text1"/>
          <w:sz w:val="24"/>
          <w:szCs w:val="24"/>
          <w:rtl/>
          <w:lang w:eastAsia="en-US" w:bidi="ar-MA"/>
        </w:rPr>
        <w:t>رباط</w:t>
      </w:r>
      <w:r w:rsidRPr="00AE039C">
        <w:rPr>
          <w:rFonts w:hint="cs"/>
          <w:b/>
          <w:bCs/>
          <w:color w:val="000000"/>
          <w:sz w:val="24"/>
          <w:szCs w:val="24"/>
          <w:rtl/>
          <w:lang w:bidi="ar-MA"/>
        </w:rPr>
        <w:t xml:space="preserve"> </w:t>
      </w:r>
    </w:p>
    <w:p w:rsidR="00E61673" w:rsidRPr="00E61673" w:rsidRDefault="00E61673" w:rsidP="00E61673">
      <w:pPr>
        <w:spacing w:line="180" w:lineRule="exact"/>
        <w:jc w:val="center"/>
        <w:rPr>
          <w:b/>
          <w:bCs/>
          <w:color w:val="000000"/>
          <w:sz w:val="28"/>
          <w:szCs w:val="28"/>
          <w:u w:val="single"/>
          <w:lang w:bidi="ar-MA"/>
        </w:rPr>
      </w:pPr>
    </w:p>
    <w:tbl>
      <w:tblPr>
        <w:tblW w:w="9483" w:type="dxa"/>
        <w:jc w:val="center"/>
        <w:tblInd w:w="55" w:type="dxa"/>
        <w:tblCellMar>
          <w:left w:w="70" w:type="dxa"/>
          <w:right w:w="70" w:type="dxa"/>
        </w:tblCellMar>
        <w:tblLook w:val="04A0"/>
      </w:tblPr>
      <w:tblGrid>
        <w:gridCol w:w="498"/>
        <w:gridCol w:w="697"/>
        <w:gridCol w:w="704"/>
        <w:gridCol w:w="709"/>
        <w:gridCol w:w="707"/>
        <w:gridCol w:w="641"/>
        <w:gridCol w:w="547"/>
        <w:gridCol w:w="847"/>
        <w:gridCol w:w="709"/>
        <w:gridCol w:w="3424"/>
      </w:tblGrid>
      <w:tr w:rsidR="00484DD3" w:rsidRPr="00DF3AD6" w:rsidTr="007636EB">
        <w:trPr>
          <w:trHeight w:val="583"/>
          <w:jc w:val="center"/>
        </w:trPr>
        <w:tc>
          <w:tcPr>
            <w:tcW w:w="189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84DD3" w:rsidRPr="00DF3AD6" w:rsidRDefault="00484DD3" w:rsidP="003C2AC4">
            <w:pPr>
              <w:jc w:val="center"/>
              <w:rPr>
                <w:b/>
                <w:bCs/>
                <w:color w:val="000000"/>
              </w:rPr>
            </w:pPr>
            <w:r w:rsidRPr="00DF3AD6">
              <w:rPr>
                <w:rFonts w:hint="cs"/>
                <w:b/>
                <w:bCs/>
                <w:color w:val="000000"/>
                <w:rtl/>
                <w:lang w:bidi="ar-MA"/>
              </w:rPr>
              <w:t xml:space="preserve">الـرقـم الاستدلالي </w:t>
            </w:r>
            <w:r w:rsidR="003C2AC4">
              <w:rPr>
                <w:rFonts w:hint="cs"/>
                <w:b/>
                <w:bCs/>
                <w:color w:val="000000"/>
                <w:rtl/>
                <w:lang w:bidi="ar-MA"/>
              </w:rPr>
              <w:t>السنوي</w:t>
            </w:r>
          </w:p>
        </w:tc>
        <w:tc>
          <w:tcPr>
            <w:tcW w:w="2057" w:type="dxa"/>
            <w:gridSpan w:val="3"/>
            <w:tcBorders>
              <w:top w:val="single" w:sz="4" w:space="0" w:color="auto"/>
              <w:left w:val="nil"/>
              <w:bottom w:val="single" w:sz="4" w:space="0" w:color="auto"/>
              <w:right w:val="single" w:sz="4" w:space="0" w:color="auto"/>
            </w:tcBorders>
            <w:shd w:val="clear" w:color="auto" w:fill="auto"/>
            <w:vAlign w:val="center"/>
            <w:hideMark/>
          </w:tcPr>
          <w:p w:rsidR="00484DD3" w:rsidRPr="00DF3AD6" w:rsidRDefault="00484DD3" w:rsidP="003C2AC4">
            <w:pPr>
              <w:jc w:val="center"/>
              <w:rPr>
                <w:b/>
                <w:bCs/>
                <w:color w:val="000000"/>
              </w:rPr>
            </w:pPr>
            <w:r w:rsidRPr="00DF3AD6">
              <w:rPr>
                <w:rFonts w:hint="cs"/>
                <w:b/>
                <w:bCs/>
                <w:color w:val="000000"/>
                <w:rtl/>
                <w:lang w:bidi="ar-MA"/>
              </w:rPr>
              <w:t>الـرقـم الاستدلالي الشهري</w:t>
            </w:r>
          </w:p>
        </w:tc>
        <w:tc>
          <w:tcPr>
            <w:tcW w:w="2103" w:type="dxa"/>
            <w:gridSpan w:val="3"/>
            <w:tcBorders>
              <w:top w:val="single" w:sz="4" w:space="0" w:color="auto"/>
              <w:left w:val="nil"/>
              <w:bottom w:val="single" w:sz="4" w:space="0" w:color="auto"/>
              <w:right w:val="single" w:sz="4" w:space="0" w:color="auto"/>
            </w:tcBorders>
            <w:shd w:val="clear" w:color="auto" w:fill="auto"/>
            <w:vAlign w:val="center"/>
            <w:hideMark/>
          </w:tcPr>
          <w:p w:rsidR="00484DD3" w:rsidRPr="00DF3AD6" w:rsidRDefault="00484DD3" w:rsidP="003C2AC4">
            <w:pPr>
              <w:jc w:val="center"/>
              <w:rPr>
                <w:b/>
                <w:bCs/>
                <w:color w:val="000000"/>
              </w:rPr>
            </w:pPr>
            <w:r w:rsidRPr="00DF3AD6">
              <w:rPr>
                <w:rFonts w:hint="cs"/>
                <w:b/>
                <w:bCs/>
                <w:color w:val="000000"/>
                <w:rtl/>
                <w:lang w:bidi="ar-MA"/>
              </w:rPr>
              <w:t>الـرقـم الاستدلالي الشهري</w:t>
            </w:r>
          </w:p>
        </w:tc>
        <w:tc>
          <w:tcPr>
            <w:tcW w:w="34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4DD3" w:rsidRPr="00DF3AD6" w:rsidRDefault="00484DD3" w:rsidP="00527E87">
            <w:pPr>
              <w:rPr>
                <w:b/>
                <w:bCs/>
                <w:color w:val="000000"/>
              </w:rPr>
            </w:pPr>
            <w:r w:rsidRPr="00DF3AD6">
              <w:rPr>
                <w:rFonts w:hint="cs"/>
                <w:b/>
                <w:bCs/>
                <w:color w:val="000000"/>
                <w:rtl/>
                <w:lang w:bidi="ar-MA"/>
              </w:rPr>
              <w:t>مجمـوعـات المــواد</w:t>
            </w:r>
          </w:p>
        </w:tc>
      </w:tr>
      <w:tr w:rsidR="00484DD3" w:rsidRPr="00DF3AD6" w:rsidTr="007636EB">
        <w:trPr>
          <w:trHeight w:val="561"/>
          <w:jc w:val="center"/>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484DD3" w:rsidRPr="00DF3AD6" w:rsidRDefault="00484DD3" w:rsidP="00527E87">
            <w:pPr>
              <w:jc w:val="center"/>
              <w:rPr>
                <w:b/>
                <w:bCs/>
                <w:color w:val="000000"/>
              </w:rPr>
            </w:pPr>
            <w:r w:rsidRPr="00DF3AD6">
              <w:rPr>
                <w:rFonts w:hint="cs"/>
                <w:b/>
                <w:bCs/>
                <w:color w:val="000000"/>
                <w:rtl/>
                <w:lang w:bidi="ar-MA"/>
              </w:rPr>
              <w:t>التغير %</w:t>
            </w:r>
          </w:p>
        </w:tc>
        <w:tc>
          <w:tcPr>
            <w:tcW w:w="697" w:type="dxa"/>
            <w:tcBorders>
              <w:top w:val="nil"/>
              <w:left w:val="nil"/>
              <w:bottom w:val="single" w:sz="4" w:space="0" w:color="auto"/>
              <w:right w:val="single" w:sz="4" w:space="0" w:color="auto"/>
            </w:tcBorders>
            <w:shd w:val="clear" w:color="auto" w:fill="auto"/>
            <w:vAlign w:val="center"/>
            <w:hideMark/>
          </w:tcPr>
          <w:p w:rsidR="00484DD3" w:rsidRPr="00DF3AD6" w:rsidRDefault="007636EB" w:rsidP="00527E87">
            <w:pPr>
              <w:jc w:val="center"/>
              <w:rPr>
                <w:b/>
                <w:bCs/>
                <w:color w:val="000000"/>
              </w:rPr>
            </w:pPr>
            <w:r>
              <w:rPr>
                <w:rFonts w:hint="cs"/>
                <w:b/>
                <w:bCs/>
                <w:color w:val="000000"/>
                <w:rtl/>
                <w:lang w:bidi="ar-MA"/>
              </w:rPr>
              <w:t>سنة 2019</w:t>
            </w:r>
          </w:p>
        </w:tc>
        <w:tc>
          <w:tcPr>
            <w:tcW w:w="704" w:type="dxa"/>
            <w:tcBorders>
              <w:top w:val="nil"/>
              <w:left w:val="nil"/>
              <w:bottom w:val="single" w:sz="4" w:space="0" w:color="auto"/>
              <w:right w:val="single" w:sz="4" w:space="0" w:color="auto"/>
            </w:tcBorders>
            <w:shd w:val="clear" w:color="auto" w:fill="auto"/>
            <w:vAlign w:val="center"/>
            <w:hideMark/>
          </w:tcPr>
          <w:p w:rsidR="00484DD3" w:rsidRPr="00DF3AD6" w:rsidRDefault="007636EB" w:rsidP="007636EB">
            <w:pPr>
              <w:jc w:val="center"/>
              <w:rPr>
                <w:b/>
                <w:bCs/>
                <w:color w:val="000000"/>
              </w:rPr>
            </w:pPr>
            <w:r>
              <w:rPr>
                <w:rFonts w:hint="cs"/>
                <w:b/>
                <w:bCs/>
                <w:color w:val="000000"/>
                <w:rtl/>
                <w:lang w:bidi="ar-MA"/>
              </w:rPr>
              <w:t xml:space="preserve">سنة 2020 </w:t>
            </w:r>
          </w:p>
        </w:tc>
        <w:tc>
          <w:tcPr>
            <w:tcW w:w="709" w:type="dxa"/>
            <w:tcBorders>
              <w:top w:val="nil"/>
              <w:left w:val="nil"/>
              <w:bottom w:val="single" w:sz="4" w:space="0" w:color="auto"/>
              <w:right w:val="single" w:sz="4" w:space="0" w:color="auto"/>
            </w:tcBorders>
            <w:shd w:val="clear" w:color="auto" w:fill="auto"/>
            <w:vAlign w:val="center"/>
            <w:hideMark/>
          </w:tcPr>
          <w:p w:rsidR="00484DD3" w:rsidRPr="00DF3AD6" w:rsidRDefault="00484DD3" w:rsidP="00527E87">
            <w:pPr>
              <w:jc w:val="center"/>
              <w:rPr>
                <w:b/>
                <w:bCs/>
                <w:color w:val="000000"/>
              </w:rPr>
            </w:pPr>
            <w:r w:rsidRPr="00DF3AD6">
              <w:rPr>
                <w:rFonts w:hint="cs"/>
                <w:b/>
                <w:bCs/>
                <w:color w:val="000000"/>
                <w:rtl/>
                <w:lang w:bidi="ar-MA"/>
              </w:rPr>
              <w:t>التغير %</w:t>
            </w:r>
          </w:p>
        </w:tc>
        <w:tc>
          <w:tcPr>
            <w:tcW w:w="707" w:type="dxa"/>
            <w:tcBorders>
              <w:top w:val="nil"/>
              <w:left w:val="nil"/>
              <w:bottom w:val="single" w:sz="4" w:space="0" w:color="auto"/>
              <w:right w:val="single" w:sz="4" w:space="0" w:color="auto"/>
            </w:tcBorders>
            <w:shd w:val="clear" w:color="auto" w:fill="auto"/>
            <w:vAlign w:val="center"/>
            <w:hideMark/>
          </w:tcPr>
          <w:p w:rsidR="00484DD3" w:rsidRPr="00DF3AD6" w:rsidRDefault="003C2AC4" w:rsidP="00527E87">
            <w:pPr>
              <w:jc w:val="center"/>
              <w:rPr>
                <w:b/>
                <w:bCs/>
                <w:color w:val="000000"/>
              </w:rPr>
            </w:pPr>
            <w:r>
              <w:rPr>
                <w:rFonts w:hint="cs"/>
                <w:b/>
                <w:bCs/>
                <w:color w:val="000000"/>
                <w:rtl/>
                <w:lang w:bidi="ar-MA"/>
              </w:rPr>
              <w:t>دجنبر 2019</w:t>
            </w:r>
          </w:p>
        </w:tc>
        <w:tc>
          <w:tcPr>
            <w:tcW w:w="641" w:type="dxa"/>
            <w:tcBorders>
              <w:top w:val="nil"/>
              <w:left w:val="nil"/>
              <w:bottom w:val="single" w:sz="4" w:space="0" w:color="auto"/>
              <w:right w:val="single" w:sz="4" w:space="0" w:color="auto"/>
            </w:tcBorders>
            <w:shd w:val="clear" w:color="auto" w:fill="auto"/>
            <w:vAlign w:val="center"/>
            <w:hideMark/>
          </w:tcPr>
          <w:p w:rsidR="00484DD3" w:rsidRPr="00DF3AD6" w:rsidRDefault="003C2AC4" w:rsidP="00527E87">
            <w:pPr>
              <w:jc w:val="center"/>
              <w:rPr>
                <w:b/>
                <w:bCs/>
                <w:color w:val="000000"/>
              </w:rPr>
            </w:pPr>
            <w:r>
              <w:rPr>
                <w:rFonts w:hint="cs"/>
                <w:b/>
                <w:bCs/>
                <w:color w:val="000000"/>
                <w:rtl/>
                <w:lang w:bidi="ar-MA"/>
              </w:rPr>
              <w:t>دجنبر 2020</w:t>
            </w:r>
          </w:p>
        </w:tc>
        <w:tc>
          <w:tcPr>
            <w:tcW w:w="547" w:type="dxa"/>
            <w:tcBorders>
              <w:top w:val="nil"/>
              <w:left w:val="nil"/>
              <w:bottom w:val="single" w:sz="4" w:space="0" w:color="auto"/>
              <w:right w:val="single" w:sz="4" w:space="0" w:color="auto"/>
            </w:tcBorders>
            <w:shd w:val="clear" w:color="auto" w:fill="auto"/>
            <w:vAlign w:val="center"/>
            <w:hideMark/>
          </w:tcPr>
          <w:p w:rsidR="00484DD3" w:rsidRPr="00DF3AD6" w:rsidRDefault="00484DD3" w:rsidP="00527E87">
            <w:pPr>
              <w:jc w:val="center"/>
              <w:rPr>
                <w:b/>
                <w:bCs/>
                <w:color w:val="000000"/>
              </w:rPr>
            </w:pPr>
            <w:r w:rsidRPr="00DF3AD6">
              <w:rPr>
                <w:rFonts w:hint="cs"/>
                <w:b/>
                <w:bCs/>
                <w:color w:val="000000"/>
                <w:rtl/>
                <w:lang w:bidi="ar-MA"/>
              </w:rPr>
              <w:t>التغير %</w:t>
            </w:r>
          </w:p>
        </w:tc>
        <w:tc>
          <w:tcPr>
            <w:tcW w:w="847" w:type="dxa"/>
            <w:tcBorders>
              <w:top w:val="nil"/>
              <w:left w:val="nil"/>
              <w:bottom w:val="single" w:sz="4" w:space="0" w:color="auto"/>
              <w:right w:val="single" w:sz="4" w:space="0" w:color="auto"/>
            </w:tcBorders>
            <w:shd w:val="clear" w:color="auto" w:fill="auto"/>
            <w:vAlign w:val="center"/>
            <w:hideMark/>
          </w:tcPr>
          <w:p w:rsidR="003C2AC4" w:rsidRDefault="003C2AC4" w:rsidP="00527E87">
            <w:pPr>
              <w:jc w:val="center"/>
              <w:rPr>
                <w:b/>
                <w:bCs/>
                <w:color w:val="000000"/>
                <w:rtl/>
                <w:lang w:bidi="ar-MA"/>
              </w:rPr>
            </w:pPr>
            <w:r>
              <w:rPr>
                <w:rFonts w:hint="cs"/>
                <w:b/>
                <w:bCs/>
                <w:color w:val="000000"/>
                <w:rtl/>
                <w:lang w:bidi="ar-MA"/>
              </w:rPr>
              <w:t>نونبر</w:t>
            </w:r>
          </w:p>
          <w:p w:rsidR="00484DD3" w:rsidRPr="00DF3AD6" w:rsidRDefault="003C2AC4" w:rsidP="00527E87">
            <w:pPr>
              <w:jc w:val="center"/>
              <w:rPr>
                <w:b/>
                <w:bCs/>
                <w:color w:val="000000"/>
              </w:rPr>
            </w:pPr>
            <w:r>
              <w:rPr>
                <w:rFonts w:hint="cs"/>
                <w:b/>
                <w:bCs/>
                <w:color w:val="000000"/>
                <w:rtl/>
                <w:lang w:bidi="ar-MA"/>
              </w:rPr>
              <w:t xml:space="preserve"> 2020</w:t>
            </w:r>
          </w:p>
        </w:tc>
        <w:tc>
          <w:tcPr>
            <w:tcW w:w="709" w:type="dxa"/>
            <w:tcBorders>
              <w:top w:val="nil"/>
              <w:left w:val="nil"/>
              <w:bottom w:val="single" w:sz="4" w:space="0" w:color="auto"/>
              <w:right w:val="single" w:sz="4" w:space="0" w:color="auto"/>
            </w:tcBorders>
            <w:shd w:val="clear" w:color="auto" w:fill="auto"/>
            <w:vAlign w:val="center"/>
            <w:hideMark/>
          </w:tcPr>
          <w:p w:rsidR="00484DD3" w:rsidRPr="00DF3AD6" w:rsidRDefault="003C2AC4" w:rsidP="00527E87">
            <w:pPr>
              <w:jc w:val="center"/>
              <w:rPr>
                <w:b/>
                <w:bCs/>
                <w:color w:val="000000"/>
                <w:lang w:bidi="ar-MA"/>
              </w:rPr>
            </w:pPr>
            <w:r>
              <w:rPr>
                <w:rFonts w:hint="cs"/>
                <w:b/>
                <w:bCs/>
                <w:color w:val="000000"/>
                <w:rtl/>
                <w:lang w:bidi="ar-MA"/>
              </w:rPr>
              <w:t>دجنبر 2020</w:t>
            </w:r>
          </w:p>
        </w:tc>
        <w:tc>
          <w:tcPr>
            <w:tcW w:w="3424" w:type="dxa"/>
            <w:vMerge/>
            <w:tcBorders>
              <w:top w:val="single" w:sz="4" w:space="0" w:color="auto"/>
              <w:left w:val="single" w:sz="4" w:space="0" w:color="auto"/>
              <w:bottom w:val="single" w:sz="4" w:space="0" w:color="auto"/>
              <w:right w:val="single" w:sz="4" w:space="0" w:color="auto"/>
            </w:tcBorders>
            <w:vAlign w:val="center"/>
            <w:hideMark/>
          </w:tcPr>
          <w:p w:rsidR="00484DD3" w:rsidRPr="00DF3AD6" w:rsidRDefault="00484DD3" w:rsidP="00527E87">
            <w:pPr>
              <w:rPr>
                <w:b/>
                <w:bCs/>
                <w:color w:val="000000"/>
              </w:rPr>
            </w:pPr>
          </w:p>
        </w:tc>
      </w:tr>
      <w:tr w:rsidR="007636EB" w:rsidRPr="00DF3AD6" w:rsidTr="007636EB">
        <w:trPr>
          <w:trHeight w:val="428"/>
          <w:jc w:val="center"/>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1,2</w:t>
            </w:r>
          </w:p>
        </w:tc>
        <w:tc>
          <w:tcPr>
            <w:tcW w:w="697"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101,4</w:t>
            </w:r>
          </w:p>
        </w:tc>
        <w:tc>
          <w:tcPr>
            <w:tcW w:w="704"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102,6</w:t>
            </w:r>
          </w:p>
        </w:tc>
        <w:tc>
          <w:tcPr>
            <w:tcW w:w="709"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-0,8</w:t>
            </w:r>
          </w:p>
        </w:tc>
        <w:tc>
          <w:tcPr>
            <w:tcW w:w="707"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102,7</w:t>
            </w:r>
          </w:p>
        </w:tc>
        <w:tc>
          <w:tcPr>
            <w:tcW w:w="641"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101,9</w:t>
            </w:r>
          </w:p>
        </w:tc>
        <w:tc>
          <w:tcPr>
            <w:tcW w:w="547"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-1,1</w:t>
            </w:r>
          </w:p>
        </w:tc>
        <w:tc>
          <w:tcPr>
            <w:tcW w:w="847"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103,0</w:t>
            </w:r>
          </w:p>
        </w:tc>
        <w:tc>
          <w:tcPr>
            <w:tcW w:w="709"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101,9</w:t>
            </w:r>
          </w:p>
        </w:tc>
        <w:tc>
          <w:tcPr>
            <w:tcW w:w="3424" w:type="dxa"/>
            <w:tcBorders>
              <w:top w:val="nil"/>
              <w:left w:val="nil"/>
              <w:bottom w:val="single" w:sz="4" w:space="0" w:color="auto"/>
              <w:right w:val="single" w:sz="4" w:space="0" w:color="auto"/>
            </w:tcBorders>
            <w:shd w:val="clear" w:color="auto" w:fill="auto"/>
            <w:vAlign w:val="center"/>
            <w:hideMark/>
          </w:tcPr>
          <w:p w:rsidR="007636EB" w:rsidRPr="00DF3AD6" w:rsidRDefault="007636EB" w:rsidP="00527E87">
            <w:pPr>
              <w:rPr>
                <w:b/>
                <w:bCs/>
                <w:color w:val="FF0000"/>
              </w:rPr>
            </w:pPr>
            <w:r w:rsidRPr="00DF3AD6">
              <w:rPr>
                <w:rFonts w:hint="cs"/>
                <w:b/>
                <w:bCs/>
                <w:color w:val="FF0000"/>
                <w:rtl/>
                <w:lang w:bidi="ar-MA"/>
              </w:rPr>
              <w:t>المواد الغذائية</w:t>
            </w:r>
          </w:p>
        </w:tc>
      </w:tr>
      <w:tr w:rsidR="007636EB" w:rsidRPr="00DF3AD6" w:rsidTr="007636EB">
        <w:trPr>
          <w:trHeight w:val="382"/>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1,2</w:t>
            </w:r>
          </w:p>
        </w:tc>
        <w:tc>
          <w:tcPr>
            <w:tcW w:w="69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100,7</w:t>
            </w:r>
          </w:p>
        </w:tc>
        <w:tc>
          <w:tcPr>
            <w:tcW w:w="704"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101,9</w:t>
            </w:r>
          </w:p>
        </w:tc>
        <w:tc>
          <w:tcPr>
            <w:tcW w:w="709"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-1,0</w:t>
            </w:r>
          </w:p>
        </w:tc>
        <w:tc>
          <w:tcPr>
            <w:tcW w:w="70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102,1</w:t>
            </w:r>
          </w:p>
        </w:tc>
        <w:tc>
          <w:tcPr>
            <w:tcW w:w="641"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101,1</w:t>
            </w:r>
          </w:p>
        </w:tc>
        <w:tc>
          <w:tcPr>
            <w:tcW w:w="547"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-1,2</w:t>
            </w:r>
          </w:p>
        </w:tc>
        <w:tc>
          <w:tcPr>
            <w:tcW w:w="84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102,3</w:t>
            </w:r>
          </w:p>
        </w:tc>
        <w:tc>
          <w:tcPr>
            <w:tcW w:w="709"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101,1</w:t>
            </w:r>
          </w:p>
        </w:tc>
        <w:tc>
          <w:tcPr>
            <w:tcW w:w="3424" w:type="dxa"/>
            <w:tcBorders>
              <w:top w:val="nil"/>
              <w:left w:val="nil"/>
              <w:bottom w:val="single" w:sz="4" w:space="0" w:color="auto"/>
              <w:right w:val="single" w:sz="4" w:space="0" w:color="auto"/>
            </w:tcBorders>
            <w:shd w:val="clear" w:color="auto" w:fill="auto"/>
            <w:vAlign w:val="center"/>
            <w:hideMark/>
          </w:tcPr>
          <w:p w:rsidR="007636EB" w:rsidRPr="00DF3AD6" w:rsidRDefault="007636EB" w:rsidP="00527E87">
            <w:pPr>
              <w:rPr>
                <w:color w:val="000000"/>
              </w:rPr>
            </w:pPr>
            <w:r w:rsidRPr="00DF3AD6">
              <w:rPr>
                <w:rFonts w:hint="cs"/>
                <w:color w:val="000000"/>
                <w:rtl/>
                <w:lang w:bidi="ar-MA"/>
              </w:rPr>
              <w:t>01.المواد الغذائية والمشروبات غير الكحولية</w:t>
            </w:r>
          </w:p>
        </w:tc>
      </w:tr>
      <w:tr w:rsidR="007636EB" w:rsidRPr="00DF3AD6" w:rsidTr="007636EB">
        <w:trPr>
          <w:trHeight w:val="364"/>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0,8</w:t>
            </w:r>
          </w:p>
        </w:tc>
        <w:tc>
          <w:tcPr>
            <w:tcW w:w="69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119,6</w:t>
            </w:r>
          </w:p>
        </w:tc>
        <w:tc>
          <w:tcPr>
            <w:tcW w:w="704"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120,5</w:t>
            </w:r>
          </w:p>
        </w:tc>
        <w:tc>
          <w:tcPr>
            <w:tcW w:w="709"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2,2</w:t>
            </w:r>
          </w:p>
        </w:tc>
        <w:tc>
          <w:tcPr>
            <w:tcW w:w="70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119,4</w:t>
            </w:r>
          </w:p>
        </w:tc>
        <w:tc>
          <w:tcPr>
            <w:tcW w:w="641"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122,0</w:t>
            </w:r>
          </w:p>
        </w:tc>
        <w:tc>
          <w:tcPr>
            <w:tcW w:w="547"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0,1</w:t>
            </w:r>
          </w:p>
        </w:tc>
        <w:tc>
          <w:tcPr>
            <w:tcW w:w="84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121,9</w:t>
            </w:r>
          </w:p>
        </w:tc>
        <w:tc>
          <w:tcPr>
            <w:tcW w:w="709"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122,0</w:t>
            </w:r>
          </w:p>
        </w:tc>
        <w:tc>
          <w:tcPr>
            <w:tcW w:w="3424" w:type="dxa"/>
            <w:tcBorders>
              <w:top w:val="nil"/>
              <w:left w:val="nil"/>
              <w:bottom w:val="single" w:sz="4" w:space="0" w:color="auto"/>
              <w:right w:val="single" w:sz="4" w:space="0" w:color="auto"/>
            </w:tcBorders>
            <w:shd w:val="clear" w:color="auto" w:fill="auto"/>
            <w:vAlign w:val="center"/>
            <w:hideMark/>
          </w:tcPr>
          <w:p w:rsidR="007636EB" w:rsidRPr="00DF3AD6" w:rsidRDefault="007636EB" w:rsidP="00527E87">
            <w:pPr>
              <w:rPr>
                <w:color w:val="000000"/>
              </w:rPr>
            </w:pPr>
            <w:r w:rsidRPr="00DF3AD6">
              <w:rPr>
                <w:rFonts w:hint="cs"/>
                <w:color w:val="000000"/>
                <w:rtl/>
                <w:lang w:bidi="ar-MA"/>
              </w:rPr>
              <w:t>02.المشروبات الكحولية والتبغ</w:t>
            </w:r>
          </w:p>
        </w:tc>
      </w:tr>
      <w:tr w:rsidR="007636EB" w:rsidRPr="00DF3AD6" w:rsidTr="007636EB">
        <w:trPr>
          <w:trHeight w:val="336"/>
          <w:jc w:val="center"/>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0,6</w:t>
            </w:r>
          </w:p>
        </w:tc>
        <w:tc>
          <w:tcPr>
            <w:tcW w:w="697"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101,8</w:t>
            </w:r>
          </w:p>
        </w:tc>
        <w:tc>
          <w:tcPr>
            <w:tcW w:w="704"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102,4</w:t>
            </w:r>
          </w:p>
        </w:tc>
        <w:tc>
          <w:tcPr>
            <w:tcW w:w="709"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0,7</w:t>
            </w:r>
          </w:p>
        </w:tc>
        <w:tc>
          <w:tcPr>
            <w:tcW w:w="707"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102,2</w:t>
            </w:r>
          </w:p>
        </w:tc>
        <w:tc>
          <w:tcPr>
            <w:tcW w:w="641"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102,9</w:t>
            </w:r>
          </w:p>
        </w:tc>
        <w:tc>
          <w:tcPr>
            <w:tcW w:w="547" w:type="dxa"/>
            <w:tcBorders>
              <w:top w:val="nil"/>
              <w:left w:val="nil"/>
              <w:bottom w:val="single" w:sz="4" w:space="0" w:color="auto"/>
              <w:right w:val="single" w:sz="4" w:space="0" w:color="auto"/>
            </w:tcBorders>
            <w:shd w:val="clear" w:color="auto" w:fill="auto"/>
            <w:noWrap/>
            <w:vAlign w:val="center"/>
            <w:hideMark/>
          </w:tcPr>
          <w:p w:rsidR="007636EB" w:rsidRPr="007636EB" w:rsidRDefault="007636EB">
            <w:pPr>
              <w:bidi w:val="0"/>
              <w:jc w:val="center"/>
              <w:rPr>
                <w:b/>
                <w:bCs/>
                <w:color w:val="FF0000"/>
                <w:lang w:bidi="ar-MA"/>
              </w:rPr>
            </w:pPr>
            <w:r w:rsidRPr="007636EB">
              <w:rPr>
                <w:b/>
                <w:bCs/>
                <w:color w:val="FF0000"/>
                <w:lang w:bidi="ar-MA"/>
              </w:rPr>
              <w:t>0,2</w:t>
            </w:r>
          </w:p>
        </w:tc>
        <w:tc>
          <w:tcPr>
            <w:tcW w:w="847"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102,7</w:t>
            </w:r>
          </w:p>
        </w:tc>
        <w:tc>
          <w:tcPr>
            <w:tcW w:w="709" w:type="dxa"/>
            <w:tcBorders>
              <w:top w:val="nil"/>
              <w:left w:val="nil"/>
              <w:bottom w:val="single" w:sz="4" w:space="0" w:color="auto"/>
              <w:right w:val="single" w:sz="4" w:space="0" w:color="auto"/>
            </w:tcBorders>
            <w:shd w:val="clear" w:color="auto" w:fill="auto"/>
            <w:vAlign w:val="center"/>
            <w:hideMark/>
          </w:tcPr>
          <w:p w:rsidR="007636EB" w:rsidRPr="007636EB" w:rsidRDefault="007636EB">
            <w:pPr>
              <w:bidi w:val="0"/>
              <w:jc w:val="center"/>
              <w:rPr>
                <w:b/>
                <w:bCs/>
                <w:color w:val="FF0000"/>
                <w:lang w:bidi="ar-MA"/>
              </w:rPr>
            </w:pPr>
            <w:r w:rsidRPr="007636EB">
              <w:rPr>
                <w:b/>
                <w:bCs/>
                <w:color w:val="FF0000"/>
                <w:lang w:bidi="ar-MA"/>
              </w:rPr>
              <w:t>102,9</w:t>
            </w:r>
          </w:p>
        </w:tc>
        <w:tc>
          <w:tcPr>
            <w:tcW w:w="3424" w:type="dxa"/>
            <w:tcBorders>
              <w:top w:val="nil"/>
              <w:left w:val="nil"/>
              <w:bottom w:val="single" w:sz="4" w:space="0" w:color="auto"/>
              <w:right w:val="single" w:sz="4" w:space="0" w:color="auto"/>
            </w:tcBorders>
            <w:shd w:val="clear" w:color="auto" w:fill="auto"/>
            <w:vAlign w:val="center"/>
            <w:hideMark/>
          </w:tcPr>
          <w:p w:rsidR="007636EB" w:rsidRPr="00DF3AD6" w:rsidRDefault="007636EB" w:rsidP="00527E87">
            <w:pPr>
              <w:rPr>
                <w:b/>
                <w:bCs/>
                <w:color w:val="FF0000"/>
              </w:rPr>
            </w:pPr>
            <w:r w:rsidRPr="00DF3AD6">
              <w:rPr>
                <w:rFonts w:hint="cs"/>
                <w:b/>
                <w:bCs/>
                <w:color w:val="FF0000"/>
                <w:rtl/>
                <w:lang w:bidi="ar-MA"/>
              </w:rPr>
              <w:t>المواد غير الغذائية</w:t>
            </w:r>
          </w:p>
        </w:tc>
      </w:tr>
      <w:tr w:rsidR="007636EB" w:rsidRPr="00DF3AD6" w:rsidTr="007636EB">
        <w:trPr>
          <w:trHeight w:val="364"/>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0,8</w:t>
            </w:r>
          </w:p>
        </w:tc>
        <w:tc>
          <w:tcPr>
            <w:tcW w:w="69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103,3</w:t>
            </w:r>
          </w:p>
        </w:tc>
        <w:tc>
          <w:tcPr>
            <w:tcW w:w="704"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104,1</w:t>
            </w:r>
          </w:p>
        </w:tc>
        <w:tc>
          <w:tcPr>
            <w:tcW w:w="709"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-0,3</w:t>
            </w:r>
          </w:p>
        </w:tc>
        <w:tc>
          <w:tcPr>
            <w:tcW w:w="70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104,8</w:t>
            </w:r>
          </w:p>
        </w:tc>
        <w:tc>
          <w:tcPr>
            <w:tcW w:w="641"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104,5</w:t>
            </w:r>
          </w:p>
        </w:tc>
        <w:tc>
          <w:tcPr>
            <w:tcW w:w="547"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0,0</w:t>
            </w:r>
          </w:p>
        </w:tc>
        <w:tc>
          <w:tcPr>
            <w:tcW w:w="84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104,5</w:t>
            </w:r>
          </w:p>
        </w:tc>
        <w:tc>
          <w:tcPr>
            <w:tcW w:w="709" w:type="dxa"/>
            <w:tcBorders>
              <w:top w:val="nil"/>
              <w:left w:val="nil"/>
              <w:bottom w:val="nil"/>
              <w:right w:val="nil"/>
            </w:tcBorders>
            <w:shd w:val="clear" w:color="auto" w:fill="auto"/>
            <w:noWrap/>
            <w:vAlign w:val="center"/>
            <w:hideMark/>
          </w:tcPr>
          <w:p w:rsidR="007636EB" w:rsidRDefault="007636EB">
            <w:pPr>
              <w:bidi w:val="0"/>
              <w:jc w:val="center"/>
              <w:rPr>
                <w:rFonts w:ascii="Arial" w:hAnsi="Arial" w:cs="Arial"/>
                <w:sz w:val="24"/>
                <w:szCs w:val="24"/>
              </w:rPr>
            </w:pPr>
            <w:r>
              <w:rPr>
                <w:rFonts w:ascii="Arial" w:hAnsi="Arial" w:cs="Arial"/>
              </w:rPr>
              <w:t>104,5</w:t>
            </w:r>
          </w:p>
        </w:tc>
        <w:tc>
          <w:tcPr>
            <w:tcW w:w="3424" w:type="dxa"/>
            <w:tcBorders>
              <w:top w:val="nil"/>
              <w:left w:val="single" w:sz="4" w:space="0" w:color="auto"/>
              <w:bottom w:val="single" w:sz="4" w:space="0" w:color="auto"/>
              <w:right w:val="single" w:sz="4" w:space="0" w:color="auto"/>
            </w:tcBorders>
            <w:shd w:val="clear" w:color="auto" w:fill="auto"/>
            <w:vAlign w:val="center"/>
            <w:hideMark/>
          </w:tcPr>
          <w:p w:rsidR="007636EB" w:rsidRPr="00DF3AD6" w:rsidRDefault="007636EB" w:rsidP="00527E87">
            <w:pPr>
              <w:rPr>
                <w:color w:val="000000"/>
              </w:rPr>
            </w:pPr>
            <w:r w:rsidRPr="00DF3AD6">
              <w:rPr>
                <w:rFonts w:hint="cs"/>
                <w:color w:val="000000"/>
                <w:rtl/>
                <w:lang w:bidi="ar-MA"/>
              </w:rPr>
              <w:t>03. الملابس والأحذية</w:t>
            </w:r>
          </w:p>
        </w:tc>
      </w:tr>
      <w:tr w:rsidR="007636EB" w:rsidRPr="00DF3AD6" w:rsidTr="007636EB">
        <w:trPr>
          <w:trHeight w:val="46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0,3</w:t>
            </w:r>
          </w:p>
        </w:tc>
        <w:tc>
          <w:tcPr>
            <w:tcW w:w="69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100,4</w:t>
            </w:r>
          </w:p>
        </w:tc>
        <w:tc>
          <w:tcPr>
            <w:tcW w:w="704"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100,7</w:t>
            </w:r>
          </w:p>
        </w:tc>
        <w:tc>
          <w:tcPr>
            <w:tcW w:w="709"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0,2</w:t>
            </w:r>
          </w:p>
        </w:tc>
        <w:tc>
          <w:tcPr>
            <w:tcW w:w="70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100,7</w:t>
            </w:r>
          </w:p>
        </w:tc>
        <w:tc>
          <w:tcPr>
            <w:tcW w:w="641"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100,9</w:t>
            </w:r>
          </w:p>
        </w:tc>
        <w:tc>
          <w:tcPr>
            <w:tcW w:w="547"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0,3</w:t>
            </w:r>
          </w:p>
        </w:tc>
        <w:tc>
          <w:tcPr>
            <w:tcW w:w="84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100,6</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100,9</w:t>
            </w:r>
          </w:p>
        </w:tc>
        <w:tc>
          <w:tcPr>
            <w:tcW w:w="3424" w:type="dxa"/>
            <w:tcBorders>
              <w:top w:val="nil"/>
              <w:left w:val="nil"/>
              <w:bottom w:val="single" w:sz="4" w:space="0" w:color="auto"/>
              <w:right w:val="single" w:sz="4" w:space="0" w:color="auto"/>
            </w:tcBorders>
            <w:shd w:val="clear" w:color="auto" w:fill="auto"/>
            <w:vAlign w:val="center"/>
            <w:hideMark/>
          </w:tcPr>
          <w:p w:rsidR="007636EB" w:rsidRPr="00DF3AD6" w:rsidRDefault="007636EB" w:rsidP="00527E87">
            <w:pPr>
              <w:rPr>
                <w:color w:val="000000"/>
              </w:rPr>
            </w:pPr>
            <w:r w:rsidRPr="00DF3AD6">
              <w:rPr>
                <w:rFonts w:hint="cs"/>
                <w:color w:val="000000"/>
                <w:rtl/>
                <w:lang w:bidi="ar-MA"/>
              </w:rPr>
              <w:t>04. السكن والماء والكهرباء والغاز ومحروقات أخرى</w:t>
            </w:r>
          </w:p>
        </w:tc>
      </w:tr>
      <w:tr w:rsidR="007636EB" w:rsidRPr="00DF3AD6" w:rsidTr="007636EB">
        <w:trPr>
          <w:trHeight w:val="520"/>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-0,1</w:t>
            </w:r>
          </w:p>
        </w:tc>
        <w:tc>
          <w:tcPr>
            <w:tcW w:w="69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101,1</w:t>
            </w:r>
          </w:p>
        </w:tc>
        <w:tc>
          <w:tcPr>
            <w:tcW w:w="704"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101,0</w:t>
            </w:r>
          </w:p>
        </w:tc>
        <w:tc>
          <w:tcPr>
            <w:tcW w:w="709"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-0,4</w:t>
            </w:r>
          </w:p>
        </w:tc>
        <w:tc>
          <w:tcPr>
            <w:tcW w:w="70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101,1</w:t>
            </w:r>
          </w:p>
        </w:tc>
        <w:tc>
          <w:tcPr>
            <w:tcW w:w="641"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100,7</w:t>
            </w:r>
          </w:p>
        </w:tc>
        <w:tc>
          <w:tcPr>
            <w:tcW w:w="547"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-0,1</w:t>
            </w:r>
          </w:p>
        </w:tc>
        <w:tc>
          <w:tcPr>
            <w:tcW w:w="84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100,8</w:t>
            </w:r>
          </w:p>
        </w:tc>
        <w:tc>
          <w:tcPr>
            <w:tcW w:w="709"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100,7</w:t>
            </w:r>
          </w:p>
        </w:tc>
        <w:tc>
          <w:tcPr>
            <w:tcW w:w="3424" w:type="dxa"/>
            <w:tcBorders>
              <w:top w:val="nil"/>
              <w:left w:val="nil"/>
              <w:bottom w:val="single" w:sz="4" w:space="0" w:color="auto"/>
              <w:right w:val="single" w:sz="4" w:space="0" w:color="auto"/>
            </w:tcBorders>
            <w:shd w:val="clear" w:color="auto" w:fill="auto"/>
            <w:vAlign w:val="center"/>
            <w:hideMark/>
          </w:tcPr>
          <w:p w:rsidR="007636EB" w:rsidRPr="00DF3AD6" w:rsidRDefault="007636EB" w:rsidP="00527E87">
            <w:pPr>
              <w:rPr>
                <w:color w:val="000000"/>
              </w:rPr>
            </w:pPr>
            <w:r w:rsidRPr="00DF3AD6">
              <w:rPr>
                <w:rFonts w:hint="cs"/>
                <w:color w:val="000000"/>
                <w:rtl/>
                <w:lang w:bidi="ar-MA"/>
              </w:rPr>
              <w:t>05. الأثاث والأدوات المنزلية والصيانة العادية للمنزل</w:t>
            </w:r>
          </w:p>
        </w:tc>
      </w:tr>
      <w:tr w:rsidR="007636EB" w:rsidRPr="00DF3AD6" w:rsidTr="007636EB">
        <w:trPr>
          <w:trHeight w:val="364"/>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3,1</w:t>
            </w:r>
          </w:p>
        </w:tc>
        <w:tc>
          <w:tcPr>
            <w:tcW w:w="69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99,6</w:t>
            </w:r>
          </w:p>
        </w:tc>
        <w:tc>
          <w:tcPr>
            <w:tcW w:w="704"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102,7</w:t>
            </w:r>
          </w:p>
        </w:tc>
        <w:tc>
          <w:tcPr>
            <w:tcW w:w="709"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3,4</w:t>
            </w:r>
          </w:p>
        </w:tc>
        <w:tc>
          <w:tcPr>
            <w:tcW w:w="70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99,5</w:t>
            </w:r>
          </w:p>
        </w:tc>
        <w:tc>
          <w:tcPr>
            <w:tcW w:w="641"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102,9</w:t>
            </w:r>
          </w:p>
        </w:tc>
        <w:tc>
          <w:tcPr>
            <w:tcW w:w="547"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0,0</w:t>
            </w:r>
          </w:p>
        </w:tc>
        <w:tc>
          <w:tcPr>
            <w:tcW w:w="84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102,9</w:t>
            </w:r>
          </w:p>
        </w:tc>
        <w:tc>
          <w:tcPr>
            <w:tcW w:w="709"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102,9</w:t>
            </w:r>
          </w:p>
        </w:tc>
        <w:tc>
          <w:tcPr>
            <w:tcW w:w="3424" w:type="dxa"/>
            <w:tcBorders>
              <w:top w:val="nil"/>
              <w:left w:val="nil"/>
              <w:bottom w:val="single" w:sz="4" w:space="0" w:color="auto"/>
              <w:right w:val="single" w:sz="4" w:space="0" w:color="auto"/>
            </w:tcBorders>
            <w:shd w:val="clear" w:color="auto" w:fill="auto"/>
            <w:vAlign w:val="center"/>
            <w:hideMark/>
          </w:tcPr>
          <w:p w:rsidR="007636EB" w:rsidRPr="00DF3AD6" w:rsidRDefault="007636EB" w:rsidP="00527E87">
            <w:pPr>
              <w:rPr>
                <w:color w:val="000000"/>
              </w:rPr>
            </w:pPr>
            <w:r w:rsidRPr="00DF3AD6">
              <w:rPr>
                <w:rFonts w:hint="cs"/>
                <w:color w:val="000000"/>
                <w:rtl/>
                <w:lang w:bidi="ar-MA"/>
              </w:rPr>
              <w:t>06. الصحة</w:t>
            </w:r>
          </w:p>
        </w:tc>
      </w:tr>
      <w:tr w:rsidR="007636EB" w:rsidRPr="00DF3AD6" w:rsidTr="007636EB">
        <w:trPr>
          <w:trHeight w:val="364"/>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-1,4</w:t>
            </w:r>
          </w:p>
        </w:tc>
        <w:tc>
          <w:tcPr>
            <w:tcW w:w="69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102,6</w:t>
            </w:r>
          </w:p>
        </w:tc>
        <w:tc>
          <w:tcPr>
            <w:tcW w:w="704"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101,2</w:t>
            </w:r>
          </w:p>
        </w:tc>
        <w:tc>
          <w:tcPr>
            <w:tcW w:w="709"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-0,6</w:t>
            </w:r>
          </w:p>
        </w:tc>
        <w:tc>
          <w:tcPr>
            <w:tcW w:w="70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103,1</w:t>
            </w:r>
          </w:p>
        </w:tc>
        <w:tc>
          <w:tcPr>
            <w:tcW w:w="641"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102,5</w:t>
            </w:r>
          </w:p>
        </w:tc>
        <w:tc>
          <w:tcPr>
            <w:tcW w:w="547"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0,9</w:t>
            </w:r>
          </w:p>
        </w:tc>
        <w:tc>
          <w:tcPr>
            <w:tcW w:w="84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101,6</w:t>
            </w:r>
          </w:p>
        </w:tc>
        <w:tc>
          <w:tcPr>
            <w:tcW w:w="709"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102,5</w:t>
            </w:r>
          </w:p>
        </w:tc>
        <w:tc>
          <w:tcPr>
            <w:tcW w:w="3424" w:type="dxa"/>
            <w:tcBorders>
              <w:top w:val="nil"/>
              <w:left w:val="nil"/>
              <w:bottom w:val="single" w:sz="4" w:space="0" w:color="auto"/>
              <w:right w:val="single" w:sz="4" w:space="0" w:color="auto"/>
            </w:tcBorders>
            <w:shd w:val="clear" w:color="auto" w:fill="auto"/>
            <w:vAlign w:val="center"/>
            <w:hideMark/>
          </w:tcPr>
          <w:p w:rsidR="007636EB" w:rsidRPr="00DF3AD6" w:rsidRDefault="007636EB" w:rsidP="00527E87">
            <w:pPr>
              <w:rPr>
                <w:color w:val="000000"/>
              </w:rPr>
            </w:pPr>
            <w:r w:rsidRPr="00DF3AD6">
              <w:rPr>
                <w:rFonts w:hint="cs"/>
                <w:color w:val="000000"/>
                <w:rtl/>
                <w:lang w:bidi="ar-MA"/>
              </w:rPr>
              <w:t>07. النقل</w:t>
            </w:r>
          </w:p>
        </w:tc>
      </w:tr>
      <w:tr w:rsidR="007636EB" w:rsidRPr="00DF3AD6" w:rsidTr="007636EB">
        <w:trPr>
          <w:trHeight w:val="364"/>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0,0</w:t>
            </w:r>
          </w:p>
        </w:tc>
        <w:tc>
          <w:tcPr>
            <w:tcW w:w="69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106,4</w:t>
            </w:r>
          </w:p>
        </w:tc>
        <w:tc>
          <w:tcPr>
            <w:tcW w:w="704"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106,4</w:t>
            </w:r>
          </w:p>
        </w:tc>
        <w:tc>
          <w:tcPr>
            <w:tcW w:w="709"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0,0</w:t>
            </w:r>
          </w:p>
        </w:tc>
        <w:tc>
          <w:tcPr>
            <w:tcW w:w="70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106,4</w:t>
            </w:r>
          </w:p>
        </w:tc>
        <w:tc>
          <w:tcPr>
            <w:tcW w:w="641"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106,4</w:t>
            </w:r>
          </w:p>
        </w:tc>
        <w:tc>
          <w:tcPr>
            <w:tcW w:w="547"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0,0</w:t>
            </w:r>
          </w:p>
        </w:tc>
        <w:tc>
          <w:tcPr>
            <w:tcW w:w="84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106,4</w:t>
            </w:r>
          </w:p>
        </w:tc>
        <w:tc>
          <w:tcPr>
            <w:tcW w:w="709"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106,4</w:t>
            </w:r>
          </w:p>
        </w:tc>
        <w:tc>
          <w:tcPr>
            <w:tcW w:w="3424" w:type="dxa"/>
            <w:tcBorders>
              <w:top w:val="nil"/>
              <w:left w:val="nil"/>
              <w:bottom w:val="single" w:sz="4" w:space="0" w:color="auto"/>
              <w:right w:val="single" w:sz="4" w:space="0" w:color="auto"/>
            </w:tcBorders>
            <w:shd w:val="clear" w:color="auto" w:fill="auto"/>
            <w:vAlign w:val="center"/>
            <w:hideMark/>
          </w:tcPr>
          <w:p w:rsidR="007636EB" w:rsidRPr="00DF3AD6" w:rsidRDefault="007636EB" w:rsidP="00527E87">
            <w:pPr>
              <w:rPr>
                <w:color w:val="000000"/>
              </w:rPr>
            </w:pPr>
            <w:r w:rsidRPr="00DF3AD6">
              <w:rPr>
                <w:rFonts w:hint="cs"/>
                <w:color w:val="000000"/>
                <w:rtl/>
                <w:lang w:bidi="ar-MA"/>
              </w:rPr>
              <w:t>08. المواصلات</w:t>
            </w:r>
          </w:p>
        </w:tc>
      </w:tr>
      <w:tr w:rsidR="007636EB" w:rsidRPr="00DF3AD6" w:rsidTr="007636EB">
        <w:trPr>
          <w:trHeight w:val="364"/>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-0,4</w:t>
            </w:r>
          </w:p>
        </w:tc>
        <w:tc>
          <w:tcPr>
            <w:tcW w:w="69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100,8</w:t>
            </w:r>
          </w:p>
        </w:tc>
        <w:tc>
          <w:tcPr>
            <w:tcW w:w="704"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100,4</w:t>
            </w:r>
          </w:p>
        </w:tc>
        <w:tc>
          <w:tcPr>
            <w:tcW w:w="709"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-0,2</w:t>
            </w:r>
          </w:p>
        </w:tc>
        <w:tc>
          <w:tcPr>
            <w:tcW w:w="70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101,0</w:t>
            </w:r>
          </w:p>
        </w:tc>
        <w:tc>
          <w:tcPr>
            <w:tcW w:w="641"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100,8</w:t>
            </w:r>
          </w:p>
        </w:tc>
        <w:tc>
          <w:tcPr>
            <w:tcW w:w="547"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-0,6</w:t>
            </w:r>
          </w:p>
        </w:tc>
        <w:tc>
          <w:tcPr>
            <w:tcW w:w="84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101,4</w:t>
            </w:r>
          </w:p>
        </w:tc>
        <w:tc>
          <w:tcPr>
            <w:tcW w:w="709"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100,8</w:t>
            </w:r>
          </w:p>
        </w:tc>
        <w:tc>
          <w:tcPr>
            <w:tcW w:w="3424" w:type="dxa"/>
            <w:tcBorders>
              <w:top w:val="nil"/>
              <w:left w:val="nil"/>
              <w:bottom w:val="single" w:sz="4" w:space="0" w:color="auto"/>
              <w:right w:val="single" w:sz="4" w:space="0" w:color="auto"/>
            </w:tcBorders>
            <w:shd w:val="clear" w:color="auto" w:fill="auto"/>
            <w:vAlign w:val="center"/>
            <w:hideMark/>
          </w:tcPr>
          <w:p w:rsidR="007636EB" w:rsidRPr="00DF3AD6" w:rsidRDefault="007636EB" w:rsidP="00527E87">
            <w:pPr>
              <w:rPr>
                <w:color w:val="000000"/>
              </w:rPr>
            </w:pPr>
            <w:r w:rsidRPr="00DF3AD6">
              <w:rPr>
                <w:rFonts w:hint="cs"/>
                <w:color w:val="000000"/>
                <w:rtl/>
                <w:lang w:bidi="ar-MA"/>
              </w:rPr>
              <w:t xml:space="preserve">09. الترفيه والثقافة </w:t>
            </w:r>
          </w:p>
        </w:tc>
      </w:tr>
      <w:tr w:rsidR="007636EB" w:rsidRPr="00DF3AD6" w:rsidTr="007636EB">
        <w:trPr>
          <w:trHeight w:val="364"/>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2,2</w:t>
            </w:r>
          </w:p>
        </w:tc>
        <w:tc>
          <w:tcPr>
            <w:tcW w:w="69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104,7</w:t>
            </w:r>
          </w:p>
        </w:tc>
        <w:tc>
          <w:tcPr>
            <w:tcW w:w="704"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107,0</w:t>
            </w:r>
          </w:p>
        </w:tc>
        <w:tc>
          <w:tcPr>
            <w:tcW w:w="709"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1,9</w:t>
            </w:r>
          </w:p>
        </w:tc>
        <w:tc>
          <w:tcPr>
            <w:tcW w:w="70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106,4</w:t>
            </w:r>
          </w:p>
        </w:tc>
        <w:tc>
          <w:tcPr>
            <w:tcW w:w="641"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108,4</w:t>
            </w:r>
          </w:p>
        </w:tc>
        <w:tc>
          <w:tcPr>
            <w:tcW w:w="547"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0,0</w:t>
            </w:r>
          </w:p>
        </w:tc>
        <w:tc>
          <w:tcPr>
            <w:tcW w:w="84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108,4</w:t>
            </w:r>
          </w:p>
        </w:tc>
        <w:tc>
          <w:tcPr>
            <w:tcW w:w="709"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108,4</w:t>
            </w:r>
          </w:p>
        </w:tc>
        <w:tc>
          <w:tcPr>
            <w:tcW w:w="3424" w:type="dxa"/>
            <w:tcBorders>
              <w:top w:val="nil"/>
              <w:left w:val="nil"/>
              <w:bottom w:val="single" w:sz="4" w:space="0" w:color="auto"/>
              <w:right w:val="single" w:sz="4" w:space="0" w:color="auto"/>
            </w:tcBorders>
            <w:shd w:val="clear" w:color="auto" w:fill="auto"/>
            <w:vAlign w:val="center"/>
            <w:hideMark/>
          </w:tcPr>
          <w:p w:rsidR="007636EB" w:rsidRPr="00DF3AD6" w:rsidRDefault="007636EB" w:rsidP="00527E87">
            <w:pPr>
              <w:rPr>
                <w:color w:val="000000"/>
              </w:rPr>
            </w:pPr>
            <w:r w:rsidRPr="00DF3AD6">
              <w:rPr>
                <w:rFonts w:hint="cs"/>
                <w:color w:val="000000"/>
                <w:rtl/>
                <w:lang w:bidi="ar-MA"/>
              </w:rPr>
              <w:t>10. التعليم</w:t>
            </w:r>
          </w:p>
        </w:tc>
      </w:tr>
      <w:tr w:rsidR="007636EB" w:rsidRPr="00DF3AD6" w:rsidTr="007636EB">
        <w:trPr>
          <w:trHeight w:val="364"/>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-0,4</w:t>
            </w:r>
          </w:p>
        </w:tc>
        <w:tc>
          <w:tcPr>
            <w:tcW w:w="69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101,4</w:t>
            </w:r>
          </w:p>
        </w:tc>
        <w:tc>
          <w:tcPr>
            <w:tcW w:w="704"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101,0</w:t>
            </w:r>
          </w:p>
        </w:tc>
        <w:tc>
          <w:tcPr>
            <w:tcW w:w="709"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-0,6</w:t>
            </w:r>
          </w:p>
        </w:tc>
        <w:tc>
          <w:tcPr>
            <w:tcW w:w="70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101,3</w:t>
            </w:r>
          </w:p>
        </w:tc>
        <w:tc>
          <w:tcPr>
            <w:tcW w:w="641"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100,7</w:t>
            </w:r>
          </w:p>
        </w:tc>
        <w:tc>
          <w:tcPr>
            <w:tcW w:w="547"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-0,4</w:t>
            </w:r>
          </w:p>
        </w:tc>
        <w:tc>
          <w:tcPr>
            <w:tcW w:w="84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101,1</w:t>
            </w:r>
          </w:p>
        </w:tc>
        <w:tc>
          <w:tcPr>
            <w:tcW w:w="709"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100,7</w:t>
            </w:r>
          </w:p>
        </w:tc>
        <w:tc>
          <w:tcPr>
            <w:tcW w:w="3424" w:type="dxa"/>
            <w:tcBorders>
              <w:top w:val="nil"/>
              <w:left w:val="nil"/>
              <w:bottom w:val="single" w:sz="4" w:space="0" w:color="auto"/>
              <w:right w:val="single" w:sz="4" w:space="0" w:color="auto"/>
            </w:tcBorders>
            <w:shd w:val="clear" w:color="auto" w:fill="auto"/>
            <w:vAlign w:val="center"/>
            <w:hideMark/>
          </w:tcPr>
          <w:p w:rsidR="007636EB" w:rsidRPr="00DF3AD6" w:rsidRDefault="007636EB" w:rsidP="00527E87">
            <w:pPr>
              <w:rPr>
                <w:color w:val="000000"/>
              </w:rPr>
            </w:pPr>
            <w:r w:rsidRPr="00DF3AD6">
              <w:rPr>
                <w:rFonts w:hint="cs"/>
                <w:color w:val="000000"/>
                <w:rtl/>
                <w:lang w:bidi="ar-MA"/>
              </w:rPr>
              <w:t>11. مطاعم وفنادق</w:t>
            </w:r>
          </w:p>
        </w:tc>
      </w:tr>
      <w:tr w:rsidR="007636EB" w:rsidRPr="00DF3AD6" w:rsidTr="007636EB">
        <w:trPr>
          <w:trHeight w:val="364"/>
          <w:jc w:val="center"/>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1,5</w:t>
            </w:r>
          </w:p>
        </w:tc>
        <w:tc>
          <w:tcPr>
            <w:tcW w:w="69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101,2</w:t>
            </w:r>
          </w:p>
        </w:tc>
        <w:tc>
          <w:tcPr>
            <w:tcW w:w="704"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102,7</w:t>
            </w:r>
          </w:p>
        </w:tc>
        <w:tc>
          <w:tcPr>
            <w:tcW w:w="709"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1,8</w:t>
            </w:r>
          </w:p>
        </w:tc>
        <w:tc>
          <w:tcPr>
            <w:tcW w:w="70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101,2</w:t>
            </w:r>
          </w:p>
        </w:tc>
        <w:tc>
          <w:tcPr>
            <w:tcW w:w="641"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103,0</w:t>
            </w:r>
          </w:p>
        </w:tc>
        <w:tc>
          <w:tcPr>
            <w:tcW w:w="547" w:type="dxa"/>
            <w:tcBorders>
              <w:top w:val="nil"/>
              <w:left w:val="nil"/>
              <w:bottom w:val="single" w:sz="4" w:space="0" w:color="auto"/>
              <w:right w:val="single" w:sz="4" w:space="0" w:color="auto"/>
            </w:tcBorders>
            <w:shd w:val="clear" w:color="auto" w:fill="auto"/>
            <w:noWrap/>
            <w:vAlign w:val="center"/>
            <w:hideMark/>
          </w:tcPr>
          <w:p w:rsidR="007636EB" w:rsidRDefault="007636EB">
            <w:pPr>
              <w:bidi w:val="0"/>
              <w:jc w:val="center"/>
              <w:rPr>
                <w:rFonts w:ascii="Arial" w:hAnsi="Arial" w:cs="Arial"/>
                <w:b/>
                <w:bCs/>
                <w:sz w:val="24"/>
                <w:szCs w:val="24"/>
              </w:rPr>
            </w:pPr>
            <w:r>
              <w:rPr>
                <w:rFonts w:ascii="Arial" w:hAnsi="Arial" w:cs="Arial"/>
                <w:b/>
                <w:bCs/>
              </w:rPr>
              <w:t>0,0</w:t>
            </w:r>
          </w:p>
        </w:tc>
        <w:tc>
          <w:tcPr>
            <w:tcW w:w="847"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103,0</w:t>
            </w:r>
          </w:p>
        </w:tc>
        <w:tc>
          <w:tcPr>
            <w:tcW w:w="709" w:type="dxa"/>
            <w:tcBorders>
              <w:top w:val="nil"/>
              <w:left w:val="nil"/>
              <w:bottom w:val="single" w:sz="4" w:space="0" w:color="auto"/>
              <w:right w:val="single" w:sz="4" w:space="0" w:color="auto"/>
            </w:tcBorders>
            <w:shd w:val="clear" w:color="auto" w:fill="auto"/>
            <w:vAlign w:val="center"/>
            <w:hideMark/>
          </w:tcPr>
          <w:p w:rsidR="007636EB" w:rsidRDefault="007636EB">
            <w:pPr>
              <w:bidi w:val="0"/>
              <w:jc w:val="center"/>
              <w:rPr>
                <w:rFonts w:ascii="Arial" w:hAnsi="Arial" w:cs="Arial"/>
                <w:sz w:val="24"/>
                <w:szCs w:val="24"/>
              </w:rPr>
            </w:pPr>
            <w:r>
              <w:rPr>
                <w:rFonts w:ascii="Arial" w:hAnsi="Arial" w:cs="Arial"/>
              </w:rPr>
              <w:t>103,0</w:t>
            </w:r>
          </w:p>
        </w:tc>
        <w:tc>
          <w:tcPr>
            <w:tcW w:w="3424" w:type="dxa"/>
            <w:tcBorders>
              <w:top w:val="nil"/>
              <w:left w:val="nil"/>
              <w:bottom w:val="single" w:sz="4" w:space="0" w:color="auto"/>
              <w:right w:val="single" w:sz="4" w:space="0" w:color="auto"/>
            </w:tcBorders>
            <w:shd w:val="clear" w:color="auto" w:fill="auto"/>
            <w:vAlign w:val="center"/>
            <w:hideMark/>
          </w:tcPr>
          <w:p w:rsidR="007636EB" w:rsidRPr="00DF3AD6" w:rsidRDefault="007636EB" w:rsidP="00527E87">
            <w:pPr>
              <w:rPr>
                <w:color w:val="000000"/>
              </w:rPr>
            </w:pPr>
            <w:r w:rsidRPr="00DF3AD6">
              <w:rPr>
                <w:rFonts w:hint="cs"/>
                <w:color w:val="000000"/>
                <w:rtl/>
                <w:lang w:bidi="ar-MA"/>
              </w:rPr>
              <w:t>12. مواد وخدمات أخرى</w:t>
            </w:r>
          </w:p>
        </w:tc>
      </w:tr>
      <w:tr w:rsidR="007636EB" w:rsidRPr="00DF3AD6" w:rsidTr="007636EB">
        <w:trPr>
          <w:trHeight w:val="364"/>
          <w:jc w:val="center"/>
        </w:trPr>
        <w:tc>
          <w:tcPr>
            <w:tcW w:w="498" w:type="dxa"/>
            <w:tcBorders>
              <w:top w:val="nil"/>
              <w:left w:val="single" w:sz="4" w:space="0" w:color="auto"/>
              <w:bottom w:val="single" w:sz="4" w:space="0" w:color="auto"/>
              <w:right w:val="single" w:sz="4" w:space="0" w:color="auto"/>
            </w:tcBorders>
            <w:shd w:val="clear" w:color="auto" w:fill="auto"/>
            <w:vAlign w:val="center"/>
            <w:hideMark/>
          </w:tcPr>
          <w:p w:rsidR="007636EB" w:rsidRPr="00E61673" w:rsidRDefault="007636EB">
            <w:pPr>
              <w:bidi w:val="0"/>
              <w:jc w:val="center"/>
              <w:rPr>
                <w:b/>
                <w:bCs/>
                <w:color w:val="FF0000"/>
                <w:lang w:bidi="ar-MA"/>
              </w:rPr>
            </w:pPr>
            <w:r w:rsidRPr="00E61673">
              <w:rPr>
                <w:b/>
                <w:bCs/>
                <w:color w:val="FF0000"/>
                <w:lang w:bidi="ar-MA"/>
              </w:rPr>
              <w:t>0,9</w:t>
            </w:r>
          </w:p>
        </w:tc>
        <w:tc>
          <w:tcPr>
            <w:tcW w:w="697" w:type="dxa"/>
            <w:tcBorders>
              <w:top w:val="nil"/>
              <w:left w:val="nil"/>
              <w:bottom w:val="single" w:sz="4" w:space="0" w:color="auto"/>
              <w:right w:val="single" w:sz="4" w:space="0" w:color="auto"/>
            </w:tcBorders>
            <w:shd w:val="clear" w:color="auto" w:fill="auto"/>
            <w:vAlign w:val="center"/>
            <w:hideMark/>
          </w:tcPr>
          <w:p w:rsidR="007636EB" w:rsidRPr="00E61673" w:rsidRDefault="007636EB">
            <w:pPr>
              <w:bidi w:val="0"/>
              <w:jc w:val="center"/>
              <w:rPr>
                <w:b/>
                <w:bCs/>
                <w:color w:val="FF0000"/>
                <w:lang w:bidi="ar-MA"/>
              </w:rPr>
            </w:pPr>
            <w:r w:rsidRPr="00E61673">
              <w:rPr>
                <w:b/>
                <w:bCs/>
                <w:color w:val="FF0000"/>
                <w:lang w:bidi="ar-MA"/>
              </w:rPr>
              <w:t>101,6</w:t>
            </w:r>
          </w:p>
        </w:tc>
        <w:tc>
          <w:tcPr>
            <w:tcW w:w="704" w:type="dxa"/>
            <w:tcBorders>
              <w:top w:val="nil"/>
              <w:left w:val="nil"/>
              <w:bottom w:val="single" w:sz="4" w:space="0" w:color="auto"/>
              <w:right w:val="single" w:sz="4" w:space="0" w:color="auto"/>
            </w:tcBorders>
            <w:shd w:val="clear" w:color="auto" w:fill="auto"/>
            <w:vAlign w:val="center"/>
            <w:hideMark/>
          </w:tcPr>
          <w:p w:rsidR="007636EB" w:rsidRPr="00E61673" w:rsidRDefault="007636EB">
            <w:pPr>
              <w:bidi w:val="0"/>
              <w:jc w:val="center"/>
              <w:rPr>
                <w:b/>
                <w:bCs/>
                <w:color w:val="FF0000"/>
                <w:lang w:bidi="ar-MA"/>
              </w:rPr>
            </w:pPr>
            <w:r w:rsidRPr="00E61673">
              <w:rPr>
                <w:b/>
                <w:bCs/>
                <w:color w:val="FF0000"/>
                <w:lang w:bidi="ar-MA"/>
              </w:rPr>
              <w:t>102,5</w:t>
            </w:r>
          </w:p>
        </w:tc>
        <w:tc>
          <w:tcPr>
            <w:tcW w:w="709" w:type="dxa"/>
            <w:tcBorders>
              <w:top w:val="nil"/>
              <w:left w:val="nil"/>
              <w:bottom w:val="single" w:sz="4" w:space="0" w:color="auto"/>
              <w:right w:val="single" w:sz="4" w:space="0" w:color="auto"/>
            </w:tcBorders>
            <w:shd w:val="clear" w:color="auto" w:fill="auto"/>
            <w:vAlign w:val="center"/>
            <w:hideMark/>
          </w:tcPr>
          <w:p w:rsidR="007636EB" w:rsidRPr="00E61673" w:rsidRDefault="007636EB">
            <w:pPr>
              <w:bidi w:val="0"/>
              <w:jc w:val="center"/>
              <w:rPr>
                <w:b/>
                <w:bCs/>
                <w:color w:val="FF0000"/>
                <w:lang w:bidi="ar-MA"/>
              </w:rPr>
            </w:pPr>
            <w:r w:rsidRPr="00E61673">
              <w:rPr>
                <w:b/>
                <w:bCs/>
                <w:color w:val="FF0000"/>
                <w:lang w:bidi="ar-MA"/>
              </w:rPr>
              <w:t>-0,8</w:t>
            </w:r>
          </w:p>
        </w:tc>
        <w:tc>
          <w:tcPr>
            <w:tcW w:w="707" w:type="dxa"/>
            <w:tcBorders>
              <w:top w:val="nil"/>
              <w:left w:val="nil"/>
              <w:bottom w:val="single" w:sz="4" w:space="0" w:color="auto"/>
              <w:right w:val="single" w:sz="4" w:space="0" w:color="auto"/>
            </w:tcBorders>
            <w:shd w:val="clear" w:color="auto" w:fill="auto"/>
            <w:vAlign w:val="center"/>
            <w:hideMark/>
          </w:tcPr>
          <w:p w:rsidR="007636EB" w:rsidRPr="00E61673" w:rsidRDefault="007636EB">
            <w:pPr>
              <w:bidi w:val="0"/>
              <w:jc w:val="center"/>
              <w:rPr>
                <w:b/>
                <w:bCs/>
                <w:color w:val="FF0000"/>
                <w:lang w:bidi="ar-MA"/>
              </w:rPr>
            </w:pPr>
            <w:r w:rsidRPr="00E61673">
              <w:rPr>
                <w:b/>
                <w:bCs/>
                <w:color w:val="FF0000"/>
                <w:lang w:bidi="ar-MA"/>
              </w:rPr>
              <w:t>102,7</w:t>
            </w:r>
          </w:p>
        </w:tc>
        <w:tc>
          <w:tcPr>
            <w:tcW w:w="641" w:type="dxa"/>
            <w:tcBorders>
              <w:top w:val="nil"/>
              <w:left w:val="nil"/>
              <w:bottom w:val="single" w:sz="4" w:space="0" w:color="auto"/>
              <w:right w:val="single" w:sz="4" w:space="0" w:color="auto"/>
            </w:tcBorders>
            <w:shd w:val="clear" w:color="auto" w:fill="auto"/>
            <w:vAlign w:val="center"/>
            <w:hideMark/>
          </w:tcPr>
          <w:p w:rsidR="007636EB" w:rsidRPr="00E61673" w:rsidRDefault="007636EB">
            <w:pPr>
              <w:bidi w:val="0"/>
              <w:jc w:val="center"/>
              <w:rPr>
                <w:b/>
                <w:bCs/>
                <w:color w:val="FF0000"/>
                <w:lang w:bidi="ar-MA"/>
              </w:rPr>
            </w:pPr>
            <w:r w:rsidRPr="00E61673">
              <w:rPr>
                <w:b/>
                <w:bCs/>
                <w:color w:val="FF0000"/>
                <w:lang w:bidi="ar-MA"/>
              </w:rPr>
              <w:t>101,9</w:t>
            </w:r>
          </w:p>
        </w:tc>
        <w:tc>
          <w:tcPr>
            <w:tcW w:w="547" w:type="dxa"/>
            <w:tcBorders>
              <w:top w:val="nil"/>
              <w:left w:val="nil"/>
              <w:bottom w:val="single" w:sz="4" w:space="0" w:color="auto"/>
              <w:right w:val="single" w:sz="4" w:space="0" w:color="auto"/>
            </w:tcBorders>
            <w:shd w:val="clear" w:color="auto" w:fill="auto"/>
            <w:vAlign w:val="center"/>
            <w:hideMark/>
          </w:tcPr>
          <w:p w:rsidR="007636EB" w:rsidRPr="00E61673" w:rsidRDefault="007636EB">
            <w:pPr>
              <w:bidi w:val="0"/>
              <w:jc w:val="center"/>
              <w:rPr>
                <w:b/>
                <w:bCs/>
                <w:color w:val="FF0000"/>
                <w:lang w:bidi="ar-MA"/>
              </w:rPr>
            </w:pPr>
            <w:r w:rsidRPr="00E61673">
              <w:rPr>
                <w:b/>
                <w:bCs/>
                <w:color w:val="FF0000"/>
                <w:lang w:bidi="ar-MA"/>
              </w:rPr>
              <w:t>-0,3</w:t>
            </w:r>
          </w:p>
        </w:tc>
        <w:tc>
          <w:tcPr>
            <w:tcW w:w="847" w:type="dxa"/>
            <w:tcBorders>
              <w:top w:val="nil"/>
              <w:left w:val="nil"/>
              <w:bottom w:val="single" w:sz="4" w:space="0" w:color="auto"/>
              <w:right w:val="single" w:sz="4" w:space="0" w:color="auto"/>
            </w:tcBorders>
            <w:shd w:val="clear" w:color="auto" w:fill="auto"/>
            <w:vAlign w:val="center"/>
            <w:hideMark/>
          </w:tcPr>
          <w:p w:rsidR="007636EB" w:rsidRPr="00E61673" w:rsidRDefault="007636EB">
            <w:pPr>
              <w:bidi w:val="0"/>
              <w:jc w:val="center"/>
              <w:rPr>
                <w:b/>
                <w:bCs/>
                <w:color w:val="FF0000"/>
                <w:lang w:bidi="ar-MA"/>
              </w:rPr>
            </w:pPr>
            <w:r w:rsidRPr="00E61673">
              <w:rPr>
                <w:b/>
                <w:bCs/>
                <w:color w:val="FF0000"/>
                <w:lang w:bidi="ar-MA"/>
              </w:rPr>
              <w:t>102,8</w:t>
            </w:r>
          </w:p>
        </w:tc>
        <w:tc>
          <w:tcPr>
            <w:tcW w:w="709" w:type="dxa"/>
            <w:tcBorders>
              <w:top w:val="nil"/>
              <w:left w:val="nil"/>
              <w:bottom w:val="single" w:sz="4" w:space="0" w:color="auto"/>
              <w:right w:val="single" w:sz="4" w:space="0" w:color="auto"/>
            </w:tcBorders>
            <w:shd w:val="clear" w:color="auto" w:fill="auto"/>
            <w:vAlign w:val="center"/>
            <w:hideMark/>
          </w:tcPr>
          <w:p w:rsidR="007636EB" w:rsidRPr="00E61673" w:rsidRDefault="007636EB">
            <w:pPr>
              <w:bidi w:val="0"/>
              <w:jc w:val="center"/>
              <w:rPr>
                <w:b/>
                <w:bCs/>
                <w:color w:val="FF0000"/>
                <w:lang w:bidi="ar-MA"/>
              </w:rPr>
            </w:pPr>
            <w:r w:rsidRPr="00E61673">
              <w:rPr>
                <w:b/>
                <w:bCs/>
                <w:color w:val="FF0000"/>
                <w:lang w:bidi="ar-MA"/>
              </w:rPr>
              <w:t>102,5</w:t>
            </w:r>
          </w:p>
        </w:tc>
        <w:tc>
          <w:tcPr>
            <w:tcW w:w="3424" w:type="dxa"/>
            <w:tcBorders>
              <w:top w:val="nil"/>
              <w:left w:val="nil"/>
              <w:bottom w:val="single" w:sz="4" w:space="0" w:color="auto"/>
              <w:right w:val="single" w:sz="4" w:space="0" w:color="auto"/>
            </w:tcBorders>
            <w:shd w:val="clear" w:color="auto" w:fill="auto"/>
            <w:vAlign w:val="center"/>
            <w:hideMark/>
          </w:tcPr>
          <w:p w:rsidR="007636EB" w:rsidRPr="00E61673" w:rsidRDefault="007636EB" w:rsidP="00527E87">
            <w:pPr>
              <w:rPr>
                <w:b/>
                <w:bCs/>
                <w:color w:val="FF0000"/>
              </w:rPr>
            </w:pPr>
            <w:r w:rsidRPr="00E61673">
              <w:rPr>
                <w:rFonts w:hint="cs"/>
                <w:b/>
                <w:bCs/>
                <w:color w:val="FF0000"/>
                <w:rtl/>
                <w:lang w:bidi="ar-MA"/>
              </w:rPr>
              <w:t>الرقم الاستدلالي العام</w:t>
            </w:r>
          </w:p>
        </w:tc>
      </w:tr>
    </w:tbl>
    <w:p w:rsidR="00484DD3" w:rsidRDefault="00484DD3" w:rsidP="00302463">
      <w:pPr>
        <w:rPr>
          <w:sz w:val="28"/>
          <w:szCs w:val="28"/>
          <w:rtl/>
          <w:lang w:bidi="ar-MA"/>
        </w:rPr>
      </w:pPr>
    </w:p>
    <w:p w:rsidR="00A045AE" w:rsidRDefault="00A045AE" w:rsidP="00302463">
      <w:pPr>
        <w:rPr>
          <w:sz w:val="28"/>
          <w:szCs w:val="28"/>
          <w:rtl/>
          <w:lang w:bidi="ar-MA"/>
        </w:rPr>
      </w:pPr>
    </w:p>
    <w:p w:rsidR="003E131A" w:rsidRDefault="003E131A" w:rsidP="00302463">
      <w:pPr>
        <w:rPr>
          <w:sz w:val="28"/>
          <w:szCs w:val="28"/>
          <w:rtl/>
          <w:lang w:bidi="ar-MA"/>
        </w:rPr>
      </w:pPr>
    </w:p>
    <w:p w:rsidR="00A045AE" w:rsidRPr="00302463" w:rsidRDefault="00A045AE" w:rsidP="00A045AE">
      <w:pPr>
        <w:jc w:val="center"/>
        <w:rPr>
          <w:sz w:val="28"/>
          <w:szCs w:val="28"/>
          <w:lang w:bidi="ar-MA"/>
        </w:rPr>
      </w:pPr>
      <w:r>
        <w:rPr>
          <w:b/>
          <w:bCs/>
          <w:noProof/>
          <w:sz w:val="32"/>
          <w:szCs w:val="32"/>
        </w:rPr>
        <w:lastRenderedPageBreak/>
        <w:drawing>
          <wp:inline distT="0" distB="0" distL="0" distR="0">
            <wp:extent cx="5182152" cy="4287328"/>
            <wp:effectExtent l="19050" t="0" r="18498" b="0"/>
            <wp:docPr id="1" name="Graphique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sectPr w:rsidR="00A045AE" w:rsidRPr="00302463" w:rsidSect="009B1D4D">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405"/>
      </v:shape>
    </w:pict>
  </w:numPicBullet>
  <w:abstractNum w:abstractNumId="0">
    <w:nsid w:val="4A462BF5"/>
    <w:multiLevelType w:val="hybridMultilevel"/>
    <w:tmpl w:val="F68CEFC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86B05"/>
    <w:rsid w:val="00041320"/>
    <w:rsid w:val="00297A5A"/>
    <w:rsid w:val="002F4223"/>
    <w:rsid w:val="00302463"/>
    <w:rsid w:val="00323110"/>
    <w:rsid w:val="003C2AC4"/>
    <w:rsid w:val="003E131A"/>
    <w:rsid w:val="00484DD3"/>
    <w:rsid w:val="004B13DF"/>
    <w:rsid w:val="005F0002"/>
    <w:rsid w:val="0068623E"/>
    <w:rsid w:val="0076320C"/>
    <w:rsid w:val="007636EB"/>
    <w:rsid w:val="009B1D4D"/>
    <w:rsid w:val="00A045AE"/>
    <w:rsid w:val="00A2551C"/>
    <w:rsid w:val="00A86B05"/>
    <w:rsid w:val="00AE039C"/>
    <w:rsid w:val="00C226EA"/>
    <w:rsid w:val="00CE574D"/>
    <w:rsid w:val="00E61673"/>
    <w:rsid w:val="00F3576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B05"/>
    <w:pPr>
      <w:bidi/>
      <w:spacing w:after="0" w:line="240" w:lineRule="auto"/>
    </w:pPr>
    <w:rPr>
      <w:rFonts w:ascii="Times New Roman" w:eastAsia="Times New Roman" w:hAnsi="Times New Roman" w:cs="Traditional Arabic"/>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86B05"/>
    <w:pPr>
      <w:ind w:left="720"/>
      <w:contextualSpacing/>
    </w:pPr>
  </w:style>
  <w:style w:type="paragraph" w:styleId="Textedebulles">
    <w:name w:val="Balloon Text"/>
    <w:basedOn w:val="Normal"/>
    <w:link w:val="TextedebullesCar"/>
    <w:uiPriority w:val="99"/>
    <w:semiHidden/>
    <w:unhideWhenUsed/>
    <w:rsid w:val="00A045AE"/>
    <w:rPr>
      <w:rFonts w:ascii="Tahoma" w:hAnsi="Tahoma" w:cs="Tahoma"/>
      <w:sz w:val="16"/>
      <w:szCs w:val="16"/>
    </w:rPr>
  </w:style>
  <w:style w:type="character" w:customStyle="1" w:styleId="TextedebullesCar">
    <w:name w:val="Texte de bulles Car"/>
    <w:basedOn w:val="Policepardfaut"/>
    <w:link w:val="Textedebulles"/>
    <w:uiPriority w:val="99"/>
    <w:semiHidden/>
    <w:rsid w:val="00A045AE"/>
    <w:rPr>
      <w:rFonts w:ascii="Tahoma" w:eastAsia="Times New Roman" w:hAnsi="Tahoma" w:cs="Tahoma"/>
      <w:sz w:val="16"/>
      <w:szCs w:val="16"/>
      <w:lang w:eastAsia="fr-FR"/>
    </w:rPr>
  </w:style>
  <w:style w:type="paragraph" w:styleId="Sansinterligne">
    <w:name w:val="No Spacing"/>
    <w:link w:val="SansinterligneCar"/>
    <w:uiPriority w:val="1"/>
    <w:qFormat/>
    <w:rsid w:val="005F0002"/>
    <w:pPr>
      <w:spacing w:after="0" w:line="240" w:lineRule="auto"/>
    </w:pPr>
    <w:rPr>
      <w:rFonts w:eastAsiaTheme="minorEastAsia"/>
    </w:rPr>
  </w:style>
  <w:style w:type="character" w:customStyle="1" w:styleId="SansinterligneCar">
    <w:name w:val="Sans interligne Car"/>
    <w:basedOn w:val="Policepardfaut"/>
    <w:link w:val="Sansinterligne"/>
    <w:uiPriority w:val="1"/>
    <w:rsid w:val="005F0002"/>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Feuill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sz="1200"/>
            </a:pPr>
            <a:r>
              <a:rPr lang="ar-MA" sz="1200"/>
              <a:t> التطور الشهري للرقم الاستدلالي للأثمان عند الاستهلاك بمدينة الرباط</a:t>
            </a:r>
          </a:p>
          <a:p>
            <a:pPr>
              <a:defRPr sz="1200"/>
            </a:pPr>
            <a:r>
              <a:rPr lang="ar-MA" sz="1200"/>
              <a:t>  2018- 2019-2020</a:t>
            </a:r>
          </a:p>
        </c:rich>
      </c:tx>
      <c:layout>
        <c:manualLayout>
          <c:xMode val="edge"/>
          <c:yMode val="edge"/>
          <c:x val="0.1585099606082537"/>
          <c:y val="0"/>
        </c:manualLayout>
      </c:layout>
    </c:title>
    <c:plotArea>
      <c:layout>
        <c:manualLayout>
          <c:layoutTarget val="inner"/>
          <c:xMode val="edge"/>
          <c:yMode val="edge"/>
          <c:x val="0.17933677555541341"/>
          <c:y val="0.12479045612115922"/>
          <c:w val="0.78896810023010167"/>
          <c:h val="0.66576575529534865"/>
        </c:manualLayout>
      </c:layout>
      <c:lineChart>
        <c:grouping val="standard"/>
        <c:ser>
          <c:idx val="0"/>
          <c:order val="0"/>
          <c:tx>
            <c:strRef>
              <c:f>Feuil1!$B$1</c:f>
              <c:strCache>
                <c:ptCount val="1"/>
                <c:pt idx="0">
                  <c:v>2018</c:v>
                </c:pt>
              </c:strCache>
            </c:strRef>
          </c:tx>
          <c:dLbls>
            <c:dLbl>
              <c:idx val="1"/>
              <c:layout>
                <c:manualLayout>
                  <c:x val="4.9014386301289518E-3"/>
                  <c:y val="7.4055448988274292E-2"/>
                </c:manualLayout>
              </c:layout>
              <c:dLblPos val="t"/>
              <c:showVal val="1"/>
            </c:dLbl>
            <c:dLbl>
              <c:idx val="2"/>
              <c:layout>
                <c:manualLayout>
                  <c:x val="1.7155035205451329E-2"/>
                  <c:y val="5.9244359190619392E-2"/>
                </c:manualLayout>
              </c:layout>
              <c:dLblPos val="t"/>
              <c:showVal val="1"/>
            </c:dLbl>
            <c:dLbl>
              <c:idx val="3"/>
              <c:layout>
                <c:manualLayout>
                  <c:x val="2.4507193150644757E-2"/>
                  <c:y val="6.2206577150150454E-2"/>
                </c:manualLayout>
              </c:layout>
              <c:dLblPos val="t"/>
              <c:showVal val="1"/>
            </c:dLbl>
            <c:dLbl>
              <c:idx val="4"/>
              <c:layout>
                <c:manualLayout>
                  <c:x val="1.9605754520515817E-2"/>
                  <c:y val="5.6282141231088469E-2"/>
                </c:manualLayout>
              </c:layout>
              <c:dLblPos val="t"/>
              <c:showVal val="1"/>
            </c:dLbl>
            <c:dLbl>
              <c:idx val="5"/>
              <c:layout>
                <c:manualLayout>
                  <c:x val="3.92115090410316E-2"/>
                  <c:y val="5.0357705312026546E-2"/>
                </c:manualLayout>
              </c:layout>
              <c:dLblPos val="t"/>
              <c:showVal val="1"/>
            </c:dLbl>
            <c:dLbl>
              <c:idx val="10"/>
              <c:layout>
                <c:manualLayout>
                  <c:x val="-7.3521579451934294E-3"/>
                  <c:y val="5.9244359190619357E-2"/>
                </c:manualLayout>
              </c:layout>
              <c:dLblPos val="t"/>
              <c:showVal val="1"/>
            </c:dLbl>
            <c:txPr>
              <a:bodyPr/>
              <a:lstStyle/>
              <a:p>
                <a:pPr>
                  <a:defRPr b="1">
                    <a:solidFill>
                      <a:schemeClr val="accent1"/>
                    </a:solidFill>
                  </a:defRPr>
                </a:pPr>
                <a:endParaRPr lang="fr-FR"/>
              </a:p>
            </c:txPr>
            <c:dLblPos val="t"/>
            <c:showVal val="1"/>
          </c:dLbls>
          <c:cat>
            <c:strRef>
              <c:f>Feuil1!$A$2:$A$13</c:f>
              <c:strCache>
                <c:ptCount val="12"/>
                <c:pt idx="0">
                  <c:v>يناير</c:v>
                </c:pt>
                <c:pt idx="1">
                  <c:v>فبراير</c:v>
                </c:pt>
                <c:pt idx="2">
                  <c:v>مارس</c:v>
                </c:pt>
                <c:pt idx="3">
                  <c:v>أبريل</c:v>
                </c:pt>
                <c:pt idx="4">
                  <c:v>ماي</c:v>
                </c:pt>
                <c:pt idx="5">
                  <c:v>يونيو</c:v>
                </c:pt>
                <c:pt idx="6">
                  <c:v>يوليوز</c:v>
                </c:pt>
                <c:pt idx="7">
                  <c:v>غشت</c:v>
                </c:pt>
                <c:pt idx="8">
                  <c:v>شتنبر</c:v>
                </c:pt>
                <c:pt idx="9">
                  <c:v>أكتوبر</c:v>
                </c:pt>
                <c:pt idx="10">
                  <c:v>نونبر</c:v>
                </c:pt>
                <c:pt idx="11">
                  <c:v>دجنبر</c:v>
                </c:pt>
              </c:strCache>
            </c:strRef>
          </c:cat>
          <c:val>
            <c:numRef>
              <c:f>Feuil1!$B$2:$B$13</c:f>
              <c:numCache>
                <c:formatCode>0.0</c:formatCode>
                <c:ptCount val="12"/>
                <c:pt idx="0">
                  <c:v>101.2</c:v>
                </c:pt>
                <c:pt idx="1">
                  <c:v>100.5</c:v>
                </c:pt>
                <c:pt idx="2">
                  <c:v>100.5</c:v>
                </c:pt>
                <c:pt idx="3">
                  <c:v>101</c:v>
                </c:pt>
                <c:pt idx="4">
                  <c:v>101.4</c:v>
                </c:pt>
                <c:pt idx="5">
                  <c:v>101.7</c:v>
                </c:pt>
                <c:pt idx="6">
                  <c:v>101</c:v>
                </c:pt>
                <c:pt idx="7">
                  <c:v>100.8</c:v>
                </c:pt>
                <c:pt idx="8">
                  <c:v>101.3</c:v>
                </c:pt>
                <c:pt idx="9">
                  <c:v>101.3</c:v>
                </c:pt>
                <c:pt idx="10">
                  <c:v>101.8</c:v>
                </c:pt>
                <c:pt idx="11">
                  <c:v>101.5</c:v>
                </c:pt>
              </c:numCache>
            </c:numRef>
          </c:val>
        </c:ser>
        <c:ser>
          <c:idx val="1"/>
          <c:order val="1"/>
          <c:tx>
            <c:strRef>
              <c:f>Feuil1!$C$1</c:f>
              <c:strCache>
                <c:ptCount val="1"/>
                <c:pt idx="0">
                  <c:v>2019</c:v>
                </c:pt>
              </c:strCache>
            </c:strRef>
          </c:tx>
          <c:dLbls>
            <c:dLbl>
              <c:idx val="0"/>
              <c:layout>
                <c:manualLayout>
                  <c:x val="-7.3521579451934493E-3"/>
                  <c:y val="6.2206577150150454E-2"/>
                </c:manualLayout>
              </c:layout>
              <c:dLblPos val="t"/>
              <c:showVal val="1"/>
            </c:dLbl>
            <c:dLbl>
              <c:idx val="5"/>
              <c:layout>
                <c:manualLayout>
                  <c:x val="2.4507193150644759E-3"/>
                  <c:y val="2.665972839027014E-2"/>
                </c:manualLayout>
              </c:layout>
              <c:dLblPos val="t"/>
              <c:showVal val="1"/>
            </c:dLbl>
            <c:dLbl>
              <c:idx val="6"/>
              <c:layout>
                <c:manualLayout>
                  <c:x val="9.8028772602579192E-3"/>
                  <c:y val="1.184887183812385E-2"/>
                </c:manualLayout>
              </c:layout>
              <c:dLblPos val="t"/>
              <c:showVal val="1"/>
            </c:dLbl>
            <c:dLbl>
              <c:idx val="7"/>
              <c:layout>
                <c:manualLayout>
                  <c:x val="2.4507193150643852E-3"/>
                  <c:y val="8.8866538785928716E-3"/>
                </c:manualLayout>
              </c:layout>
              <c:dLblPos val="t"/>
              <c:showVal val="1"/>
            </c:dLbl>
            <c:txPr>
              <a:bodyPr/>
              <a:lstStyle/>
              <a:p>
                <a:pPr>
                  <a:defRPr b="1">
                    <a:solidFill>
                      <a:srgbClr val="C00000"/>
                    </a:solidFill>
                  </a:defRPr>
                </a:pPr>
                <a:endParaRPr lang="fr-FR"/>
              </a:p>
            </c:txPr>
            <c:dLblPos val="t"/>
            <c:showVal val="1"/>
          </c:dLbls>
          <c:cat>
            <c:strRef>
              <c:f>Feuil1!$A$2:$A$13</c:f>
              <c:strCache>
                <c:ptCount val="12"/>
                <c:pt idx="0">
                  <c:v>يناير</c:v>
                </c:pt>
                <c:pt idx="1">
                  <c:v>فبراير</c:v>
                </c:pt>
                <c:pt idx="2">
                  <c:v>مارس</c:v>
                </c:pt>
                <c:pt idx="3">
                  <c:v>أبريل</c:v>
                </c:pt>
                <c:pt idx="4">
                  <c:v>ماي</c:v>
                </c:pt>
                <c:pt idx="5">
                  <c:v>يونيو</c:v>
                </c:pt>
                <c:pt idx="6">
                  <c:v>يوليوز</c:v>
                </c:pt>
                <c:pt idx="7">
                  <c:v>غشت</c:v>
                </c:pt>
                <c:pt idx="8">
                  <c:v>شتنبر</c:v>
                </c:pt>
                <c:pt idx="9">
                  <c:v>أكتوبر</c:v>
                </c:pt>
                <c:pt idx="10">
                  <c:v>نونبر</c:v>
                </c:pt>
                <c:pt idx="11">
                  <c:v>دجنبر</c:v>
                </c:pt>
              </c:strCache>
            </c:strRef>
          </c:cat>
          <c:val>
            <c:numRef>
              <c:f>Feuil1!$C$2:$C$13</c:f>
              <c:numCache>
                <c:formatCode>0.0</c:formatCode>
                <c:ptCount val="12"/>
                <c:pt idx="0">
                  <c:v>101.1</c:v>
                </c:pt>
                <c:pt idx="1">
                  <c:v>101.1</c:v>
                </c:pt>
                <c:pt idx="2">
                  <c:v>100.9</c:v>
                </c:pt>
                <c:pt idx="3">
                  <c:v>101.5</c:v>
                </c:pt>
                <c:pt idx="4">
                  <c:v>101.6</c:v>
                </c:pt>
                <c:pt idx="5">
                  <c:v>102.1</c:v>
                </c:pt>
                <c:pt idx="6">
                  <c:v>101.9</c:v>
                </c:pt>
                <c:pt idx="7">
                  <c:v>101.9</c:v>
                </c:pt>
                <c:pt idx="8">
                  <c:v>101.8</c:v>
                </c:pt>
                <c:pt idx="9">
                  <c:v>101.8</c:v>
                </c:pt>
                <c:pt idx="10">
                  <c:v>101.9</c:v>
                </c:pt>
                <c:pt idx="11">
                  <c:v>102.1</c:v>
                </c:pt>
              </c:numCache>
            </c:numRef>
          </c:val>
        </c:ser>
        <c:ser>
          <c:idx val="2"/>
          <c:order val="2"/>
          <c:tx>
            <c:strRef>
              <c:f>Feuil1!$D$1</c:f>
              <c:strCache>
                <c:ptCount val="1"/>
                <c:pt idx="0">
                  <c:v>2020</c:v>
                </c:pt>
              </c:strCache>
            </c:strRef>
          </c:tx>
          <c:dLbls>
            <c:dLbl>
              <c:idx val="5"/>
              <c:layout>
                <c:manualLayout>
                  <c:x val="2.4507193150644759E-3"/>
                  <c:y val="5.3319690026048965E-2"/>
                </c:manualLayout>
              </c:layout>
              <c:dLblPos val="t"/>
              <c:showVal val="1"/>
            </c:dLbl>
            <c:dLbl>
              <c:idx val="6"/>
              <c:layout>
                <c:manualLayout>
                  <c:x val="2.6957912465709291E-2"/>
                  <c:y val="-8.8866538785928716E-3"/>
                </c:manualLayout>
              </c:layout>
              <c:dLblPos val="t"/>
              <c:showVal val="1"/>
            </c:dLbl>
            <c:txPr>
              <a:bodyPr/>
              <a:lstStyle/>
              <a:p>
                <a:pPr>
                  <a:defRPr b="1">
                    <a:solidFill>
                      <a:schemeClr val="accent3">
                        <a:lumMod val="50000"/>
                      </a:schemeClr>
                    </a:solidFill>
                  </a:defRPr>
                </a:pPr>
                <a:endParaRPr lang="fr-FR"/>
              </a:p>
            </c:txPr>
            <c:dLblPos val="t"/>
            <c:showVal val="1"/>
          </c:dLbls>
          <c:cat>
            <c:strRef>
              <c:f>Feuil1!$A$2:$A$13</c:f>
              <c:strCache>
                <c:ptCount val="12"/>
                <c:pt idx="0">
                  <c:v>يناير</c:v>
                </c:pt>
                <c:pt idx="1">
                  <c:v>فبراير</c:v>
                </c:pt>
                <c:pt idx="2">
                  <c:v>مارس</c:v>
                </c:pt>
                <c:pt idx="3">
                  <c:v>أبريل</c:v>
                </c:pt>
                <c:pt idx="4">
                  <c:v>ماي</c:v>
                </c:pt>
                <c:pt idx="5">
                  <c:v>يونيو</c:v>
                </c:pt>
                <c:pt idx="6">
                  <c:v>يوليوز</c:v>
                </c:pt>
                <c:pt idx="7">
                  <c:v>غشت</c:v>
                </c:pt>
                <c:pt idx="8">
                  <c:v>شتنبر</c:v>
                </c:pt>
                <c:pt idx="9">
                  <c:v>أكتوبر</c:v>
                </c:pt>
                <c:pt idx="10">
                  <c:v>نونبر</c:v>
                </c:pt>
                <c:pt idx="11">
                  <c:v>دجنبر</c:v>
                </c:pt>
              </c:strCache>
            </c:strRef>
          </c:cat>
          <c:val>
            <c:numRef>
              <c:f>Feuil1!$D$2:$D$13</c:f>
              <c:numCache>
                <c:formatCode>General</c:formatCode>
                <c:ptCount val="12"/>
                <c:pt idx="0">
                  <c:v>102.1</c:v>
                </c:pt>
                <c:pt idx="1">
                  <c:v>102.2</c:v>
                </c:pt>
                <c:pt idx="2">
                  <c:v>102.5</c:v>
                </c:pt>
                <c:pt idx="3">
                  <c:v>102.3</c:v>
                </c:pt>
                <c:pt idx="4">
                  <c:v>101.9</c:v>
                </c:pt>
                <c:pt idx="5">
                  <c:v>102</c:v>
                </c:pt>
                <c:pt idx="6">
                  <c:v>102</c:v>
                </c:pt>
                <c:pt idx="7">
                  <c:v>102.9</c:v>
                </c:pt>
                <c:pt idx="8">
                  <c:v>103</c:v>
                </c:pt>
                <c:pt idx="9">
                  <c:v>103.2</c:v>
                </c:pt>
                <c:pt idx="10">
                  <c:v>102.8</c:v>
                </c:pt>
                <c:pt idx="11">
                  <c:v>102.5</c:v>
                </c:pt>
              </c:numCache>
            </c:numRef>
          </c:val>
        </c:ser>
        <c:dLbls>
          <c:showVal val="1"/>
        </c:dLbls>
        <c:marker val="1"/>
        <c:axId val="145224832"/>
        <c:axId val="145226368"/>
      </c:lineChart>
      <c:catAx>
        <c:axId val="145224832"/>
        <c:scaling>
          <c:orientation val="minMax"/>
        </c:scaling>
        <c:axPos val="b"/>
        <c:numFmt formatCode="General" sourceLinked="1"/>
        <c:majorTickMark val="none"/>
        <c:tickLblPos val="nextTo"/>
        <c:txPr>
          <a:bodyPr rot="0" vert="horz"/>
          <a:lstStyle/>
          <a:p>
            <a:pPr>
              <a:defRPr b="1"/>
            </a:pPr>
            <a:endParaRPr lang="fr-FR"/>
          </a:p>
        </c:txPr>
        <c:crossAx val="145226368"/>
        <c:crosses val="autoZero"/>
        <c:auto val="1"/>
        <c:lblAlgn val="ctr"/>
        <c:lblOffset val="100"/>
      </c:catAx>
      <c:valAx>
        <c:axId val="145226368"/>
        <c:scaling>
          <c:orientation val="minMax"/>
          <c:max val="104"/>
          <c:min val="100"/>
        </c:scaling>
        <c:axPos val="l"/>
        <c:numFmt formatCode="0.0" sourceLinked="1"/>
        <c:majorTickMark val="none"/>
        <c:tickLblPos val="nextTo"/>
        <c:txPr>
          <a:bodyPr rot="0" vert="horz"/>
          <a:lstStyle/>
          <a:p>
            <a:pPr>
              <a:defRPr b="1"/>
            </a:pPr>
            <a:endParaRPr lang="fr-FR"/>
          </a:p>
        </c:txPr>
        <c:crossAx val="145224832"/>
        <c:crosses val="autoZero"/>
        <c:crossBetween val="between"/>
        <c:majorUnit val="1"/>
      </c:valAx>
    </c:plotArea>
    <c:legend>
      <c:legendPos val="b"/>
      <c:txPr>
        <a:bodyPr/>
        <a:lstStyle/>
        <a:p>
          <a:pPr>
            <a:defRPr sz="1050" b="1"/>
          </a:pPr>
          <a:endParaRPr lang="fr-FR"/>
        </a:p>
      </c:txPr>
    </c:legend>
    <c:plotVisOnly val="1"/>
    <c:dispBlanksAs val="gap"/>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0.23398</cdr:x>
      <cdr:y>0.18361</cdr:y>
    </cdr:from>
    <cdr:to>
      <cdr:x>0.40465</cdr:x>
      <cdr:y>0.2837</cdr:y>
    </cdr:to>
    <cdr:sp macro="" textlink="">
      <cdr:nvSpPr>
        <cdr:cNvPr id="6" name="ZoneTexte 5"/>
        <cdr:cNvSpPr txBox="1"/>
      </cdr:nvSpPr>
      <cdr:spPr>
        <a:xfrm xmlns:a="http://schemas.openxmlformats.org/drawingml/2006/main">
          <a:off x="1385208" y="555172"/>
          <a:ext cx="914400" cy="2612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0.91401</cdr:x>
      <cdr:y>0.15886</cdr:y>
    </cdr:from>
    <cdr:to>
      <cdr:x>0.97927</cdr:x>
      <cdr:y>0.28039</cdr:y>
    </cdr:to>
    <cdr:sp macro="" textlink="">
      <cdr:nvSpPr>
        <cdr:cNvPr id="8" name="ZoneTexte 7"/>
        <cdr:cNvSpPr txBox="1"/>
      </cdr:nvSpPr>
      <cdr:spPr>
        <a:xfrm xmlns:a="http://schemas.openxmlformats.org/drawingml/2006/main">
          <a:off x="4373587" y="444489"/>
          <a:ext cx="304265" cy="2873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0.55393</cdr:x>
      <cdr:y>0.30871</cdr:y>
    </cdr:from>
    <cdr:to>
      <cdr:x>0.61885</cdr:x>
      <cdr:y>0.40182</cdr:y>
    </cdr:to>
    <cdr:sp macro="" textlink="">
      <cdr:nvSpPr>
        <cdr:cNvPr id="21" name="ZoneTexte 20"/>
        <cdr:cNvSpPr txBox="1"/>
      </cdr:nvSpPr>
      <cdr:spPr>
        <a:xfrm xmlns:a="http://schemas.openxmlformats.org/drawingml/2006/main">
          <a:off x="2695879" y="798261"/>
          <a:ext cx="302642" cy="22073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0.75921</cdr:x>
      <cdr:y>0.30157</cdr:y>
    </cdr:from>
    <cdr:to>
      <cdr:x>0.8153</cdr:x>
      <cdr:y>0.3921</cdr:y>
    </cdr:to>
    <cdr:sp macro="" textlink="">
      <cdr:nvSpPr>
        <cdr:cNvPr id="22" name="ZoneTexte 21"/>
        <cdr:cNvSpPr txBox="1"/>
      </cdr:nvSpPr>
      <cdr:spPr>
        <a:xfrm xmlns:a="http://schemas.openxmlformats.org/drawingml/2006/main">
          <a:off x="3652813" y="781991"/>
          <a:ext cx="260505" cy="21390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fr-FR"/>
        </a:p>
      </cdr:txBody>
    </cdr:sp>
  </cdr:relSizeAnchor>
  <cdr:relSizeAnchor xmlns:cdr="http://schemas.openxmlformats.org/drawingml/2006/chartDrawing">
    <cdr:from>
      <cdr:x>0</cdr:x>
      <cdr:y>0</cdr:y>
    </cdr:from>
    <cdr:to>
      <cdr:x>0</cdr:x>
      <cdr:y>0</cdr:y>
    </cdr:to>
    <cdr:sp macro="" textlink="">
      <cdr:nvSpPr>
        <cdr:cNvPr id="25" name="Connecteur droit 24"/>
        <cdr:cNvSpPr/>
      </cdr:nvSpPr>
      <cdr:spPr>
        <a:xfrm xmlns:a="http://schemas.openxmlformats.org/drawingml/2006/main">
          <a:off x="-1379764" y="-2002971"/>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4291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2021-02-22T09:44:00Z</dcterms:created>
  <dcterms:modified xsi:type="dcterms:W3CDTF">2021-02-22T09:44:00Z</dcterms:modified>
</cp:coreProperties>
</file>