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Default Extension="gif" ContentType="image/gif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E9" w:rsidRPr="00804918" w:rsidRDefault="00FF7FE9" w:rsidP="00FF7FE9">
      <w:pPr>
        <w:pStyle w:val="Sous-titre"/>
        <w:bidi w:val="0"/>
        <w:ind w:left="360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</w:pPr>
      <w:r w:rsidRPr="008049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  <w:t>Evolution de l’indice des prix à la consommation</w:t>
      </w:r>
      <w:r w:rsidRPr="00804918">
        <w:rPr>
          <w:rFonts w:asciiTheme="majorBidi" w:hAnsiTheme="majorBidi" w:cstheme="majorBidi" w:hint="cs"/>
          <w:b/>
          <w:bCs/>
          <w:color w:val="FF0000"/>
          <w:sz w:val="28"/>
          <w:szCs w:val="28"/>
          <w:u w:val="single"/>
          <w:rtl/>
          <w:lang w:eastAsia="en-US" w:bidi="ar-MA"/>
        </w:rPr>
        <w:t xml:space="preserve"> </w:t>
      </w:r>
    </w:p>
    <w:p w:rsidR="00FF7FE9" w:rsidRPr="00804918" w:rsidRDefault="00FF7FE9" w:rsidP="00FF7FE9">
      <w:pPr>
        <w:bidi w:val="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</w:pPr>
      <w:r w:rsidRPr="008049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  <w:t>(</w:t>
      </w:r>
      <w:proofErr w:type="gramStart"/>
      <w:r w:rsidRPr="008049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  <w:t>base</w:t>
      </w:r>
      <w:proofErr w:type="gramEnd"/>
      <w:r w:rsidRPr="008049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  <w:t xml:space="preserve"> 100 :2017) de la ville de Rabat</w:t>
      </w:r>
    </w:p>
    <w:p w:rsidR="00FF7FE9" w:rsidRDefault="00FF7FE9" w:rsidP="00FF7FE9">
      <w:pPr>
        <w:tabs>
          <w:tab w:val="left" w:pos="851"/>
        </w:tabs>
        <w:bidi w:val="0"/>
        <w:spacing w:line="320" w:lineRule="exact"/>
        <w:jc w:val="both"/>
        <w:rPr>
          <w:rFonts w:cs="Times New Roman"/>
          <w:sz w:val="24"/>
          <w:szCs w:val="24"/>
          <w:rtl/>
        </w:rPr>
      </w:pPr>
    </w:p>
    <w:p w:rsidR="00FF7FE9" w:rsidRDefault="00FF7FE9" w:rsidP="00FF7FE9">
      <w:pPr>
        <w:tabs>
          <w:tab w:val="left" w:pos="851"/>
        </w:tabs>
        <w:bidi w:val="0"/>
        <w:spacing w:line="320" w:lineRule="exact"/>
        <w:jc w:val="both"/>
        <w:rPr>
          <w:rFonts w:cs="Times New Roman"/>
          <w:sz w:val="24"/>
          <w:szCs w:val="24"/>
          <w:rtl/>
        </w:rPr>
      </w:pPr>
    </w:p>
    <w:p w:rsidR="00FF7FE9" w:rsidRPr="00614708" w:rsidRDefault="00FF7FE9" w:rsidP="00FF7FE9">
      <w:pPr>
        <w:tabs>
          <w:tab w:val="left" w:pos="851"/>
        </w:tabs>
        <w:bidi w:val="0"/>
        <w:spacing w:line="320" w:lineRule="exac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>En application du décret n° 2.19.1083 publié au Bulletin officiel n° 6880 du 7 mai 2020 fixant les éléments entrant</w:t>
      </w:r>
      <w:r w:rsidRPr="006147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dans la</w:t>
      </w:r>
      <w:r w:rsidRPr="00614708">
        <w:rPr>
          <w:rFonts w:cs="Times New Roman"/>
          <w:sz w:val="24"/>
          <w:szCs w:val="24"/>
        </w:rPr>
        <w:t xml:space="preserve"> composition du nouvel indice des prix à la consommation</w:t>
      </w:r>
      <w:r>
        <w:rPr>
          <w:rFonts w:cs="Times New Roman"/>
          <w:sz w:val="24"/>
          <w:szCs w:val="24"/>
        </w:rPr>
        <w:t xml:space="preserve"> base 2017</w:t>
      </w:r>
      <w:r w:rsidRPr="006147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et qui abroge le décret n° </w:t>
      </w:r>
      <w:r w:rsidRPr="00732147">
        <w:rPr>
          <w:rFonts w:cs="Times New Roman"/>
          <w:sz w:val="24"/>
          <w:szCs w:val="24"/>
        </w:rPr>
        <w:t xml:space="preserve">2.09.529 </w:t>
      </w:r>
      <w:r>
        <w:rPr>
          <w:rFonts w:cs="Times New Roman"/>
          <w:sz w:val="24"/>
          <w:szCs w:val="24"/>
        </w:rPr>
        <w:t>relatif à l’indice des prix à la consommation base</w:t>
      </w:r>
      <w:r w:rsidRPr="006147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2006, le </w:t>
      </w:r>
      <w:proofErr w:type="spellStart"/>
      <w:r>
        <w:rPr>
          <w:rFonts w:cs="Times New Roman"/>
          <w:sz w:val="24"/>
          <w:szCs w:val="24"/>
        </w:rPr>
        <w:t>Haut-Commissariat</w:t>
      </w:r>
      <w:proofErr w:type="spellEnd"/>
      <w:r>
        <w:rPr>
          <w:rFonts w:cs="Times New Roman"/>
          <w:sz w:val="24"/>
          <w:szCs w:val="24"/>
        </w:rPr>
        <w:t xml:space="preserve"> au Plan a procédé à la publication du nouvel </w:t>
      </w:r>
      <w:r w:rsidRPr="00614708">
        <w:rPr>
          <w:rFonts w:cs="Times New Roman"/>
          <w:sz w:val="24"/>
          <w:szCs w:val="24"/>
        </w:rPr>
        <w:t xml:space="preserve">indice des prix </w:t>
      </w:r>
      <w:r>
        <w:rPr>
          <w:rFonts w:cs="Times New Roman"/>
          <w:sz w:val="24"/>
          <w:szCs w:val="24"/>
        </w:rPr>
        <w:t>à la consommation base 2017 à partir du 20 mai 2020.</w:t>
      </w:r>
    </w:p>
    <w:p w:rsidR="00FF7FE9" w:rsidRPr="00614708" w:rsidRDefault="00FF7FE9" w:rsidP="00FF7FE9">
      <w:pPr>
        <w:pStyle w:val="Paragraphedeliste"/>
        <w:bidi w:val="0"/>
        <w:spacing w:line="320" w:lineRule="exact"/>
        <w:ind w:left="0"/>
        <w:jc w:val="both"/>
        <w:rPr>
          <w:rFonts w:cs="Times New Roman"/>
          <w:sz w:val="24"/>
          <w:szCs w:val="24"/>
        </w:rPr>
      </w:pPr>
    </w:p>
    <w:p w:rsidR="00FF7FE9" w:rsidRPr="00614708" w:rsidRDefault="00FF7FE9" w:rsidP="00FF7FE9">
      <w:pPr>
        <w:pStyle w:val="Paragraphedeliste"/>
        <w:bidi w:val="0"/>
        <w:spacing w:line="320" w:lineRule="exact"/>
        <w:ind w:left="0"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Il est à rappeler que l</w:t>
      </w:r>
      <w:r w:rsidRPr="00614708">
        <w:rPr>
          <w:rFonts w:cs="Times New Roman"/>
          <w:sz w:val="24"/>
          <w:szCs w:val="24"/>
        </w:rPr>
        <w:t>a réforme de l’indice d</w:t>
      </w:r>
      <w:r>
        <w:rPr>
          <w:rFonts w:cs="Times New Roman"/>
          <w:sz w:val="24"/>
          <w:szCs w:val="24"/>
        </w:rPr>
        <w:t xml:space="preserve">es prix à la consommation </w:t>
      </w:r>
      <w:r w:rsidRPr="00614708">
        <w:rPr>
          <w:rFonts w:cs="Times New Roman"/>
          <w:sz w:val="24"/>
          <w:szCs w:val="24"/>
        </w:rPr>
        <w:t>s’impos</w:t>
      </w:r>
      <w:r>
        <w:rPr>
          <w:rFonts w:cs="Times New Roman"/>
          <w:sz w:val="24"/>
          <w:szCs w:val="24"/>
        </w:rPr>
        <w:t>e</w:t>
      </w:r>
      <w:r w:rsidRPr="0061470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en raison</w:t>
      </w:r>
      <w:r w:rsidRPr="00614708">
        <w:rPr>
          <w:rFonts w:cs="Times New Roman"/>
          <w:sz w:val="24"/>
          <w:szCs w:val="24"/>
        </w:rPr>
        <w:t xml:space="preserve"> des changements, au cours des dernières années, des habitudes de consommations des ménages marocains et du développement de nouvelles approches méthodologiques en la matière. Elle a été rendue possible grâce à la disponibilité de</w:t>
      </w:r>
      <w:r>
        <w:rPr>
          <w:rFonts w:cs="Times New Roman"/>
          <w:sz w:val="24"/>
          <w:szCs w:val="24"/>
        </w:rPr>
        <w:t>s</w:t>
      </w:r>
      <w:r w:rsidRPr="00614708">
        <w:rPr>
          <w:rFonts w:cs="Times New Roman"/>
          <w:sz w:val="24"/>
          <w:szCs w:val="24"/>
        </w:rPr>
        <w:t xml:space="preserve"> données actualisées fournies par l’enquête sur </w:t>
      </w:r>
      <w:r>
        <w:rPr>
          <w:rFonts w:cs="Times New Roman"/>
          <w:sz w:val="24"/>
          <w:szCs w:val="24"/>
        </w:rPr>
        <w:t xml:space="preserve">la consommation et les dépenses des ménages </w:t>
      </w:r>
      <w:r w:rsidRPr="00614708">
        <w:rPr>
          <w:rFonts w:cs="Times New Roman"/>
          <w:sz w:val="24"/>
          <w:szCs w:val="24"/>
        </w:rPr>
        <w:t>réalisée en 20</w:t>
      </w:r>
      <w:r>
        <w:rPr>
          <w:rFonts w:cs="Times New Roman"/>
          <w:sz w:val="24"/>
          <w:szCs w:val="24"/>
        </w:rPr>
        <w:t>14</w:t>
      </w:r>
      <w:r w:rsidRPr="00614708">
        <w:rPr>
          <w:rFonts w:cs="Times New Roman"/>
          <w:sz w:val="24"/>
          <w:szCs w:val="24"/>
        </w:rPr>
        <w:t xml:space="preserve"> et par l</w:t>
      </w:r>
      <w:r>
        <w:rPr>
          <w:rFonts w:cs="Times New Roman"/>
          <w:sz w:val="24"/>
          <w:szCs w:val="24"/>
        </w:rPr>
        <w:t>e recensement de la population et de l’habitat du 2014</w:t>
      </w:r>
      <w:r w:rsidRPr="00614708">
        <w:rPr>
          <w:rFonts w:cs="Times New Roman"/>
          <w:sz w:val="24"/>
          <w:szCs w:val="24"/>
        </w:rPr>
        <w:t xml:space="preserve">. </w:t>
      </w:r>
    </w:p>
    <w:p w:rsidR="00FF7FE9" w:rsidRDefault="00FF7FE9" w:rsidP="00FF7FE9">
      <w:pPr>
        <w:pStyle w:val="Paragraphedeliste"/>
        <w:bidi w:val="0"/>
        <w:spacing w:line="320" w:lineRule="exact"/>
        <w:ind w:left="0" w:firstLine="708"/>
        <w:jc w:val="both"/>
        <w:rPr>
          <w:rFonts w:cs="Times New Roman"/>
          <w:sz w:val="24"/>
          <w:szCs w:val="24"/>
        </w:rPr>
      </w:pPr>
    </w:p>
    <w:p w:rsidR="00FF7FE9" w:rsidRDefault="00FF7FE9" w:rsidP="00FF7FE9">
      <w:pPr>
        <w:pStyle w:val="Paragraphedeliste"/>
        <w:bidi w:val="0"/>
        <w:spacing w:line="320" w:lineRule="exact"/>
        <w:ind w:left="0" w:firstLine="708"/>
        <w:jc w:val="both"/>
        <w:rPr>
          <w:rFonts w:cs="Times New Roman"/>
          <w:sz w:val="24"/>
          <w:szCs w:val="24"/>
          <w:rtl/>
        </w:rPr>
      </w:pPr>
      <w:r>
        <w:rPr>
          <w:rFonts w:cs="Times New Roman"/>
          <w:sz w:val="24"/>
          <w:szCs w:val="24"/>
        </w:rPr>
        <w:t>Cette réforme de 2017 est la 5</w:t>
      </w:r>
      <w:r w:rsidRPr="00D26B84">
        <w:rPr>
          <w:rFonts w:cs="Times New Roman"/>
          <w:sz w:val="24"/>
          <w:szCs w:val="24"/>
          <w:vertAlign w:val="superscript"/>
        </w:rPr>
        <w:t xml:space="preserve">eme </w:t>
      </w:r>
      <w:r>
        <w:rPr>
          <w:rFonts w:cs="Times New Roman"/>
          <w:sz w:val="24"/>
          <w:szCs w:val="24"/>
        </w:rPr>
        <w:t xml:space="preserve">génération des réformes des indices des prix à la consommation depuis l’indépendance du Maroc. Elle </w:t>
      </w:r>
      <w:r w:rsidRPr="00614708">
        <w:rPr>
          <w:rFonts w:cs="Times New Roman"/>
          <w:sz w:val="24"/>
          <w:szCs w:val="24"/>
        </w:rPr>
        <w:t>s’articule autour de plusieurs axes</w:t>
      </w:r>
      <w:r>
        <w:rPr>
          <w:rFonts w:cs="Times New Roman" w:hint="cs"/>
          <w:sz w:val="24"/>
          <w:szCs w:val="24"/>
          <w:rtl/>
        </w:rPr>
        <w:t>:</w:t>
      </w:r>
    </w:p>
    <w:p w:rsidR="00FF7FE9" w:rsidRDefault="00FF7FE9" w:rsidP="00FF7FE9">
      <w:pPr>
        <w:pStyle w:val="Paragraphedeliste"/>
        <w:numPr>
          <w:ilvl w:val="0"/>
          <w:numId w:val="1"/>
        </w:numPr>
        <w:bidi w:val="0"/>
        <w:spacing w:line="320" w:lineRule="exact"/>
        <w:ind w:left="0" w:firstLine="0"/>
        <w:jc w:val="both"/>
        <w:rPr>
          <w:rFonts w:cs="Times New Roman"/>
          <w:sz w:val="24"/>
          <w:szCs w:val="24"/>
          <w:rtl/>
        </w:rPr>
      </w:pPr>
      <w:r w:rsidRPr="00614708">
        <w:rPr>
          <w:rFonts w:cs="Times New Roman"/>
          <w:sz w:val="24"/>
          <w:szCs w:val="24"/>
        </w:rPr>
        <w:t>Sur le plan de la couverture géographique, le champ a été élargi pour couvrir 1</w:t>
      </w:r>
      <w:r>
        <w:rPr>
          <w:rFonts w:cs="Times New Roman"/>
          <w:sz w:val="24"/>
          <w:szCs w:val="24"/>
        </w:rPr>
        <w:t>8</w:t>
      </w:r>
      <w:r w:rsidRPr="00614708">
        <w:rPr>
          <w:rFonts w:cs="Times New Roman"/>
          <w:sz w:val="24"/>
          <w:szCs w:val="24"/>
        </w:rPr>
        <w:t xml:space="preserve"> villes représentant toutes les régions du Royaume, au lieu de 1</w:t>
      </w:r>
      <w:r>
        <w:rPr>
          <w:rFonts w:cs="Times New Roman"/>
          <w:sz w:val="24"/>
          <w:szCs w:val="24"/>
        </w:rPr>
        <w:t>7</w:t>
      </w:r>
      <w:r w:rsidRPr="00614708">
        <w:rPr>
          <w:rFonts w:cs="Times New Roman"/>
          <w:sz w:val="24"/>
          <w:szCs w:val="24"/>
        </w:rPr>
        <w:t xml:space="preserve"> villes </w:t>
      </w:r>
      <w:r>
        <w:rPr>
          <w:rFonts w:cs="Times New Roman"/>
          <w:sz w:val="24"/>
          <w:szCs w:val="24"/>
        </w:rPr>
        <w:t>précédemment.</w:t>
      </w:r>
    </w:p>
    <w:p w:rsidR="00FF7FE9" w:rsidRDefault="00FF7FE9" w:rsidP="00FF7FE9">
      <w:pPr>
        <w:pStyle w:val="Paragraphedeliste"/>
        <w:numPr>
          <w:ilvl w:val="0"/>
          <w:numId w:val="1"/>
        </w:numPr>
        <w:bidi w:val="0"/>
        <w:spacing w:line="320" w:lineRule="exact"/>
        <w:ind w:left="0"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Actualisation et élargissement du </w:t>
      </w:r>
      <w:r w:rsidRPr="00614708">
        <w:rPr>
          <w:rFonts w:cs="Times New Roman"/>
          <w:sz w:val="24"/>
          <w:szCs w:val="24"/>
        </w:rPr>
        <w:t>panier de référence</w:t>
      </w:r>
      <w:r>
        <w:rPr>
          <w:rFonts w:cs="Times New Roman"/>
          <w:sz w:val="24"/>
          <w:szCs w:val="24"/>
        </w:rPr>
        <w:t xml:space="preserve"> </w:t>
      </w:r>
      <w:r w:rsidRPr="00614708">
        <w:rPr>
          <w:rFonts w:cs="Times New Roman"/>
          <w:sz w:val="24"/>
          <w:szCs w:val="24"/>
        </w:rPr>
        <w:t xml:space="preserve">pour contenir </w:t>
      </w:r>
      <w:r>
        <w:rPr>
          <w:rFonts w:cs="Times New Roman"/>
          <w:sz w:val="24"/>
          <w:szCs w:val="24"/>
        </w:rPr>
        <w:t>546</w:t>
      </w:r>
      <w:r w:rsidRPr="00614708">
        <w:rPr>
          <w:rFonts w:cs="Times New Roman"/>
          <w:sz w:val="24"/>
          <w:szCs w:val="24"/>
        </w:rPr>
        <w:t xml:space="preserve"> articles et 1</w:t>
      </w:r>
      <w:r>
        <w:rPr>
          <w:rFonts w:cs="Times New Roman"/>
          <w:sz w:val="24"/>
          <w:szCs w:val="24"/>
        </w:rPr>
        <w:t>391</w:t>
      </w:r>
      <w:r w:rsidRPr="00614708">
        <w:rPr>
          <w:rFonts w:cs="Times New Roman"/>
          <w:sz w:val="24"/>
          <w:szCs w:val="24"/>
        </w:rPr>
        <w:t xml:space="preserve"> variétés au lieu de </w:t>
      </w:r>
      <w:r>
        <w:rPr>
          <w:rFonts w:cs="Times New Roman"/>
          <w:sz w:val="24"/>
          <w:szCs w:val="24"/>
        </w:rPr>
        <w:t>478</w:t>
      </w:r>
      <w:r w:rsidRPr="00614708">
        <w:rPr>
          <w:rFonts w:cs="Times New Roman"/>
          <w:sz w:val="24"/>
          <w:szCs w:val="24"/>
        </w:rPr>
        <w:t xml:space="preserve"> articles et </w:t>
      </w:r>
      <w:r>
        <w:rPr>
          <w:rFonts w:cs="Times New Roman"/>
          <w:sz w:val="24"/>
          <w:szCs w:val="24"/>
        </w:rPr>
        <w:t>1067</w:t>
      </w:r>
      <w:r w:rsidRPr="00614708">
        <w:rPr>
          <w:rFonts w:cs="Times New Roman"/>
          <w:sz w:val="24"/>
          <w:szCs w:val="24"/>
        </w:rPr>
        <w:t xml:space="preserve"> variétés dans le panier de l’indice </w:t>
      </w:r>
      <w:r>
        <w:rPr>
          <w:rFonts w:cs="Times New Roman"/>
          <w:sz w:val="24"/>
          <w:szCs w:val="24"/>
        </w:rPr>
        <w:t xml:space="preserve">précédent. </w:t>
      </w:r>
    </w:p>
    <w:p w:rsidR="00FF7FE9" w:rsidRDefault="00FF7FE9" w:rsidP="00FF7FE9">
      <w:pPr>
        <w:pStyle w:val="Paragraphedeliste"/>
        <w:numPr>
          <w:ilvl w:val="0"/>
          <w:numId w:val="1"/>
        </w:numPr>
        <w:bidi w:val="0"/>
        <w:spacing w:line="320" w:lineRule="exact"/>
        <w:ind w:left="0" w:firstLine="0"/>
        <w:jc w:val="both"/>
        <w:rPr>
          <w:rFonts w:cs="Times New Roman"/>
          <w:sz w:val="24"/>
          <w:szCs w:val="24"/>
        </w:rPr>
      </w:pPr>
      <w:r w:rsidRPr="00614708">
        <w:rPr>
          <w:rFonts w:cs="Times New Roman"/>
          <w:sz w:val="24"/>
          <w:szCs w:val="24"/>
        </w:rPr>
        <w:t>Les pondérations des différents produits ont été également actualisées sur la base des nouvelles données</w:t>
      </w:r>
      <w:r>
        <w:rPr>
          <w:rFonts w:cs="Times New Roman"/>
          <w:sz w:val="24"/>
          <w:szCs w:val="24"/>
        </w:rPr>
        <w:t xml:space="preserve"> sur les structures de la consommation</w:t>
      </w:r>
      <w:r w:rsidRPr="00614708">
        <w:rPr>
          <w:rFonts w:cs="Times New Roman"/>
          <w:sz w:val="24"/>
          <w:szCs w:val="24"/>
        </w:rPr>
        <w:t xml:space="preserve">. </w:t>
      </w:r>
    </w:p>
    <w:p w:rsidR="00323110" w:rsidRPr="00FF7FE9" w:rsidRDefault="00323110" w:rsidP="00302463">
      <w:pPr>
        <w:rPr>
          <w:sz w:val="24"/>
          <w:szCs w:val="24"/>
        </w:rPr>
      </w:pPr>
    </w:p>
    <w:p w:rsidR="00A86B05" w:rsidRPr="00FF7FE9" w:rsidRDefault="00A86B05" w:rsidP="00302463">
      <w:pPr>
        <w:rPr>
          <w:sz w:val="28"/>
          <w:szCs w:val="28"/>
        </w:rPr>
      </w:pPr>
    </w:p>
    <w:p w:rsidR="00FF7FE9" w:rsidRPr="00804918" w:rsidRDefault="00FF7FE9" w:rsidP="00FF7FE9">
      <w:pPr>
        <w:pStyle w:val="Sous-titre"/>
        <w:bidi w:val="0"/>
        <w:ind w:left="360"/>
        <w:jc w:val="left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</w:pPr>
      <w:r w:rsidRPr="00804918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eastAsia="en-US" w:bidi="ar-MA"/>
        </w:rPr>
        <w:t>Evolution de l’IPC (base 100 :2017) au cours de mois de décembre 2020 :</w:t>
      </w:r>
    </w:p>
    <w:p w:rsidR="00FF7FE9" w:rsidRPr="00F63E63" w:rsidRDefault="00FF7FE9" w:rsidP="00FF7FE9">
      <w:pPr>
        <w:pStyle w:val="Sous-titre"/>
        <w:bidi w:val="0"/>
        <w:ind w:left="360"/>
        <w:jc w:val="left"/>
        <w:rPr>
          <w:rFonts w:asciiTheme="majorBidi" w:hAnsiTheme="majorBidi" w:cstheme="majorBidi"/>
          <w:b/>
          <w:bCs/>
          <w:color w:val="FF0000"/>
          <w:sz w:val="28"/>
          <w:szCs w:val="28"/>
          <w:lang w:eastAsia="en-US" w:bidi="ar-MA"/>
        </w:rPr>
      </w:pPr>
      <w:r w:rsidRPr="00F63E63">
        <w:rPr>
          <w:rFonts w:asciiTheme="majorBidi" w:hAnsiTheme="majorBidi" w:cstheme="majorBidi"/>
          <w:b/>
          <w:bCs/>
          <w:color w:val="FF0000"/>
          <w:sz w:val="28"/>
          <w:szCs w:val="28"/>
          <w:lang w:eastAsia="en-US" w:bidi="ar-MA"/>
        </w:rPr>
        <w:t xml:space="preserve"> </w:t>
      </w: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0" w:firstLine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34001A">
        <w:rPr>
          <w:rFonts w:cs="Times New Roman"/>
          <w:sz w:val="24"/>
          <w:szCs w:val="24"/>
        </w:rPr>
        <w:t xml:space="preserve">L’indice des prix à la consommation (base 100 : 2017) a atteint  au cours du mois de décembre 2020 </w:t>
      </w:r>
      <w:r>
        <w:rPr>
          <w:rFonts w:cs="Times New Roman"/>
          <w:sz w:val="24"/>
          <w:szCs w:val="24"/>
        </w:rPr>
        <w:t>dans</w:t>
      </w:r>
      <w:r w:rsidRPr="0034001A">
        <w:rPr>
          <w:rFonts w:cs="Times New Roman"/>
          <w:sz w:val="24"/>
          <w:szCs w:val="24"/>
        </w:rPr>
        <w:t xml:space="preserve"> la ville de Rabat </w:t>
      </w:r>
      <w:r>
        <w:rPr>
          <w:rFonts w:cs="Times New Roman"/>
          <w:sz w:val="24"/>
          <w:szCs w:val="24"/>
        </w:rPr>
        <w:t xml:space="preserve"> le niveau </w:t>
      </w:r>
      <w:r w:rsidRPr="0034001A">
        <w:rPr>
          <w:rFonts w:cs="Times New Roman"/>
          <w:sz w:val="24"/>
          <w:szCs w:val="24"/>
        </w:rPr>
        <w:t>102</w:t>
      </w:r>
      <w:r>
        <w:rPr>
          <w:rFonts w:cs="Times New Roman"/>
          <w:sz w:val="24"/>
          <w:szCs w:val="24"/>
        </w:rPr>
        <w:t>,</w:t>
      </w:r>
      <w:r w:rsidRPr="0034001A">
        <w:rPr>
          <w:rFonts w:cs="Times New Roman"/>
          <w:sz w:val="24"/>
          <w:szCs w:val="24"/>
        </w:rPr>
        <w:t xml:space="preserve">5 </w:t>
      </w:r>
      <w:r>
        <w:rPr>
          <w:rFonts w:cs="Times New Roman"/>
          <w:sz w:val="24"/>
          <w:szCs w:val="24"/>
        </w:rPr>
        <w:t>contre 102,8</w:t>
      </w:r>
      <w:r w:rsidRPr="0034001A">
        <w:rPr>
          <w:rFonts w:cs="Times New Roman"/>
          <w:sz w:val="24"/>
          <w:szCs w:val="24"/>
        </w:rPr>
        <w:t xml:space="preserve"> enregistrant  </w:t>
      </w:r>
      <w:r>
        <w:rPr>
          <w:rFonts w:cs="Times New Roman"/>
          <w:sz w:val="24"/>
          <w:szCs w:val="24"/>
        </w:rPr>
        <w:t xml:space="preserve">ainsi </w:t>
      </w:r>
      <w:r w:rsidRPr="0034001A">
        <w:rPr>
          <w:rFonts w:cs="Times New Roman"/>
          <w:sz w:val="24"/>
          <w:szCs w:val="24"/>
        </w:rPr>
        <w:t xml:space="preserve">une baisse de 0,3% </w:t>
      </w:r>
      <w:r>
        <w:rPr>
          <w:rFonts w:cs="Times New Roman"/>
          <w:sz w:val="24"/>
          <w:szCs w:val="24"/>
        </w:rPr>
        <w:t xml:space="preserve">par rapport au </w:t>
      </w:r>
      <w:r w:rsidRPr="0034001A">
        <w:rPr>
          <w:rFonts w:cs="Times New Roman"/>
          <w:sz w:val="24"/>
          <w:szCs w:val="24"/>
        </w:rPr>
        <w:t>mois précédent contre une diminution estimée de 0</w:t>
      </w:r>
      <w:r>
        <w:rPr>
          <w:rFonts w:cs="Times New Roman"/>
          <w:sz w:val="24"/>
          <w:szCs w:val="24"/>
        </w:rPr>
        <w:t>,</w:t>
      </w:r>
      <w:r w:rsidRPr="0034001A">
        <w:rPr>
          <w:rFonts w:cs="Times New Roman"/>
          <w:sz w:val="24"/>
          <w:szCs w:val="24"/>
        </w:rPr>
        <w:t xml:space="preserve">5% au niveau National. Cette </w:t>
      </w:r>
      <w:r>
        <w:rPr>
          <w:rFonts w:cs="Times New Roman"/>
          <w:sz w:val="24"/>
          <w:szCs w:val="24"/>
        </w:rPr>
        <w:t>variation</w:t>
      </w:r>
      <w:r w:rsidRPr="0034001A">
        <w:rPr>
          <w:rFonts w:cs="Times New Roman"/>
          <w:sz w:val="24"/>
          <w:szCs w:val="24"/>
        </w:rPr>
        <w:t xml:space="preserve"> </w:t>
      </w:r>
      <w:r w:rsidRPr="00374956">
        <w:rPr>
          <w:rFonts w:cs="Times New Roman"/>
          <w:sz w:val="24"/>
          <w:szCs w:val="24"/>
        </w:rPr>
        <w:t>est le résultat de la baisse de 1</w:t>
      </w:r>
      <w:r>
        <w:rPr>
          <w:rFonts w:cs="Times New Roman"/>
          <w:sz w:val="24"/>
          <w:szCs w:val="24"/>
        </w:rPr>
        <w:t>,</w:t>
      </w:r>
      <w:r w:rsidRPr="00374956">
        <w:rPr>
          <w:rFonts w:cs="Times New Roman"/>
          <w:sz w:val="24"/>
          <w:szCs w:val="24"/>
        </w:rPr>
        <w:t>1%</w:t>
      </w:r>
      <w:r>
        <w:rPr>
          <w:rFonts w:cs="Times New Roman"/>
          <w:sz w:val="24"/>
          <w:szCs w:val="24"/>
        </w:rPr>
        <w:t xml:space="preserve"> </w:t>
      </w:r>
      <w:r w:rsidRPr="00374956">
        <w:rPr>
          <w:rFonts w:cs="Times New Roman"/>
          <w:sz w:val="24"/>
          <w:szCs w:val="24"/>
        </w:rPr>
        <w:t xml:space="preserve"> de l’indice des produits alimentaires</w:t>
      </w:r>
      <w:r>
        <w:rPr>
          <w:rFonts w:cs="Times New Roman"/>
          <w:sz w:val="24"/>
          <w:szCs w:val="24"/>
        </w:rPr>
        <w:t xml:space="preserve"> d’une part,</w:t>
      </w:r>
      <w:r w:rsidRPr="00374956">
        <w:rPr>
          <w:rFonts w:cs="Times New Roman"/>
          <w:sz w:val="24"/>
          <w:szCs w:val="24"/>
        </w:rPr>
        <w:t xml:space="preserve"> et de la hausse de 0,</w:t>
      </w:r>
      <w:r>
        <w:rPr>
          <w:rFonts w:cs="Times New Roman"/>
          <w:sz w:val="24"/>
          <w:szCs w:val="24"/>
        </w:rPr>
        <w:t>2</w:t>
      </w:r>
      <w:r w:rsidRPr="00374956">
        <w:rPr>
          <w:rFonts w:cs="Times New Roman"/>
          <w:sz w:val="24"/>
          <w:szCs w:val="24"/>
        </w:rPr>
        <w:t>% de l’indice des produits non alimentaires</w:t>
      </w:r>
      <w:r>
        <w:rPr>
          <w:rFonts w:cs="Times New Roman"/>
          <w:sz w:val="24"/>
          <w:szCs w:val="24"/>
        </w:rPr>
        <w:t xml:space="preserve"> d’autre part</w:t>
      </w:r>
      <w:r w:rsidRPr="00374956">
        <w:rPr>
          <w:rFonts w:cs="Times New Roman"/>
          <w:sz w:val="24"/>
          <w:szCs w:val="24"/>
        </w:rPr>
        <w:t>.</w:t>
      </w: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La baisse de </w:t>
      </w:r>
      <w:r w:rsidRPr="00374956">
        <w:rPr>
          <w:rFonts w:cs="Times New Roman"/>
          <w:sz w:val="24"/>
          <w:szCs w:val="24"/>
        </w:rPr>
        <w:t>l’indice des produits alimentaires</w:t>
      </w:r>
      <w:r>
        <w:rPr>
          <w:rFonts w:cs="Times New Roman"/>
          <w:sz w:val="24"/>
          <w:szCs w:val="24"/>
        </w:rPr>
        <w:t xml:space="preserve"> est due essentiellement à la diminution de l’indice de la division « Produits alimentaires et boissons alcoolisées » de 1,2% et à l’augmentation de celui de la division « Boissons alcoolisées, tabac et stupéfiants » de 0,1%. </w:t>
      </w:r>
      <w:r w:rsidRPr="0034001A">
        <w:rPr>
          <w:rFonts w:cs="Times New Roman"/>
          <w:sz w:val="24"/>
          <w:szCs w:val="24"/>
        </w:rPr>
        <w:t>Les baisses des produits alimentaires observées e</w:t>
      </w:r>
      <w:r>
        <w:rPr>
          <w:rFonts w:cs="Times New Roman"/>
          <w:sz w:val="24"/>
          <w:szCs w:val="24"/>
        </w:rPr>
        <w:t xml:space="preserve">ntre novembre et décembre 2020 </w:t>
      </w:r>
      <w:r w:rsidRPr="0034001A">
        <w:rPr>
          <w:rFonts w:cs="Times New Roman"/>
          <w:sz w:val="24"/>
          <w:szCs w:val="24"/>
        </w:rPr>
        <w:t xml:space="preserve">concernent principalement les «Légumes» avec </w:t>
      </w:r>
      <w:r>
        <w:rPr>
          <w:rFonts w:cs="Times New Roman"/>
          <w:sz w:val="24"/>
          <w:szCs w:val="24"/>
        </w:rPr>
        <w:t>3,8</w:t>
      </w:r>
      <w:r w:rsidRPr="0034001A">
        <w:rPr>
          <w:rFonts w:cs="Times New Roman"/>
          <w:sz w:val="24"/>
          <w:szCs w:val="24"/>
        </w:rPr>
        <w:t xml:space="preserve">%, les «Fruits» avec </w:t>
      </w:r>
      <w:r>
        <w:rPr>
          <w:rFonts w:cs="Times New Roman"/>
          <w:sz w:val="24"/>
          <w:szCs w:val="24"/>
        </w:rPr>
        <w:t>1,4</w:t>
      </w:r>
      <w:r w:rsidRPr="0034001A">
        <w:rPr>
          <w:rFonts w:cs="Times New Roman"/>
          <w:sz w:val="24"/>
          <w:szCs w:val="24"/>
        </w:rPr>
        <w:t xml:space="preserve">%, les «Poissons et fruits de mer» avec </w:t>
      </w:r>
      <w:r>
        <w:rPr>
          <w:rFonts w:cs="Times New Roman"/>
          <w:sz w:val="24"/>
          <w:szCs w:val="24"/>
        </w:rPr>
        <w:t xml:space="preserve">1,4% et </w:t>
      </w:r>
      <w:r w:rsidRPr="0034001A">
        <w:rPr>
          <w:rFonts w:cs="Times New Roman"/>
          <w:sz w:val="24"/>
          <w:szCs w:val="24"/>
        </w:rPr>
        <w:t xml:space="preserve">les «Viandes» avec </w:t>
      </w:r>
      <w:r>
        <w:rPr>
          <w:rFonts w:cs="Times New Roman"/>
          <w:sz w:val="24"/>
          <w:szCs w:val="24"/>
        </w:rPr>
        <w:t>0</w:t>
      </w:r>
      <w:r w:rsidRPr="0034001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>3</w:t>
      </w:r>
      <w:r w:rsidRPr="0034001A">
        <w:rPr>
          <w:rFonts w:cs="Times New Roman"/>
          <w:sz w:val="24"/>
          <w:szCs w:val="24"/>
        </w:rPr>
        <w:t>%</w:t>
      </w:r>
      <w:r>
        <w:rPr>
          <w:rFonts w:cs="Times New Roman"/>
          <w:sz w:val="24"/>
          <w:szCs w:val="24"/>
        </w:rPr>
        <w:t>.</w:t>
      </w:r>
      <w:r w:rsidRPr="003400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Par contre</w:t>
      </w:r>
      <w:r w:rsidRPr="0034001A">
        <w:rPr>
          <w:rFonts w:cs="Times New Roman"/>
          <w:sz w:val="24"/>
          <w:szCs w:val="24"/>
        </w:rPr>
        <w:t>, les prix ont augmenté de 0</w:t>
      </w:r>
      <w:r>
        <w:rPr>
          <w:rFonts w:cs="Times New Roman"/>
          <w:sz w:val="24"/>
          <w:szCs w:val="24"/>
        </w:rPr>
        <w:t>,5% pour</w:t>
      </w:r>
      <w:r w:rsidRPr="008B5021">
        <w:rPr>
          <w:rFonts w:cs="Times New Roman"/>
          <w:sz w:val="24"/>
          <w:szCs w:val="24"/>
        </w:rPr>
        <w:t xml:space="preserve"> </w:t>
      </w:r>
      <w:r w:rsidRPr="0034001A">
        <w:rPr>
          <w:rFonts w:cs="Times New Roman"/>
          <w:sz w:val="24"/>
          <w:szCs w:val="24"/>
        </w:rPr>
        <w:t>le « Lait, fromage et œufs»</w:t>
      </w:r>
      <w:r>
        <w:rPr>
          <w:rFonts w:cs="Times New Roman"/>
          <w:sz w:val="24"/>
          <w:szCs w:val="24"/>
        </w:rPr>
        <w:t xml:space="preserve"> et de 0,3% pour le « Pain et céréales » alors que l’indice des  </w:t>
      </w:r>
      <w:r w:rsidRPr="00CB3602">
        <w:rPr>
          <w:rFonts w:cs="Times New Roman"/>
          <w:sz w:val="24"/>
          <w:szCs w:val="24"/>
        </w:rPr>
        <w:t>« Huiles et graisses » et de »</w:t>
      </w:r>
      <w:r>
        <w:rPr>
          <w:rFonts w:cs="Times New Roman"/>
          <w:sz w:val="24"/>
          <w:szCs w:val="24"/>
        </w:rPr>
        <w:t>Sucre, co</w:t>
      </w:r>
      <w:r w:rsidRPr="00CB3602">
        <w:rPr>
          <w:rFonts w:cs="Times New Roman"/>
          <w:sz w:val="24"/>
          <w:szCs w:val="24"/>
        </w:rPr>
        <w:t xml:space="preserve">nfiture, miel, chocolat et confiserie » </w:t>
      </w:r>
      <w:r>
        <w:rPr>
          <w:rFonts w:cs="Times New Roman"/>
          <w:sz w:val="24"/>
          <w:szCs w:val="24"/>
        </w:rPr>
        <w:t>a</w:t>
      </w:r>
      <w:r w:rsidRPr="00CB3602">
        <w:rPr>
          <w:rFonts w:cs="Times New Roman"/>
          <w:sz w:val="24"/>
          <w:szCs w:val="24"/>
        </w:rPr>
        <w:t xml:space="preserve"> connu une stabilité</w:t>
      </w:r>
      <w:r>
        <w:rPr>
          <w:rFonts w:cs="Times New Roman"/>
          <w:sz w:val="24"/>
          <w:szCs w:val="24"/>
        </w:rPr>
        <w:t xml:space="preserve">. En revanche, la hausse de l’indice de la division « Boissons alcoolisées, </w:t>
      </w:r>
      <w:r>
        <w:rPr>
          <w:rFonts w:cs="Times New Roman"/>
          <w:sz w:val="24"/>
          <w:szCs w:val="24"/>
        </w:rPr>
        <w:lastRenderedPageBreak/>
        <w:t xml:space="preserve">tabac et stupéfiants » résulte </w:t>
      </w:r>
      <w:r w:rsidRPr="00C4179E">
        <w:rPr>
          <w:rFonts w:cs="Times New Roman"/>
          <w:sz w:val="24"/>
          <w:szCs w:val="24"/>
        </w:rPr>
        <w:t>notamment</w:t>
      </w:r>
      <w:r>
        <w:rPr>
          <w:rFonts w:cs="Times New Roman"/>
          <w:sz w:val="24"/>
          <w:szCs w:val="24"/>
        </w:rPr>
        <w:t xml:space="preserve"> de l’augmentation des prix des boissons alcoolisées </w:t>
      </w:r>
      <w:r w:rsidRPr="00C4179E">
        <w:rPr>
          <w:rFonts w:cs="Times New Roman"/>
          <w:sz w:val="24"/>
          <w:szCs w:val="24"/>
        </w:rPr>
        <w:t>et de la stabilisation des prix du tabac.</w:t>
      </w: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FF7FE9" w:rsidRDefault="00FF7FE9" w:rsidP="00FF7FE9">
      <w:pPr>
        <w:tabs>
          <w:tab w:val="right" w:pos="993"/>
          <w:tab w:val="right" w:pos="5051"/>
        </w:tabs>
        <w:bidi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C4179E">
        <w:rPr>
          <w:rFonts w:cs="Times New Roman"/>
          <w:sz w:val="24"/>
          <w:szCs w:val="24"/>
        </w:rPr>
        <w:t>Pou</w:t>
      </w:r>
      <w:r>
        <w:rPr>
          <w:rFonts w:cs="Times New Roman"/>
          <w:sz w:val="24"/>
          <w:szCs w:val="24"/>
        </w:rPr>
        <w:t>r les produits non alimentaires, l</w:t>
      </w:r>
      <w:r w:rsidRPr="00DD5162">
        <w:rPr>
          <w:rFonts w:cs="Times New Roman"/>
          <w:sz w:val="24"/>
          <w:szCs w:val="24"/>
        </w:rPr>
        <w:t>es taux d'augmen</w:t>
      </w:r>
      <w:r>
        <w:rPr>
          <w:rFonts w:cs="Times New Roman"/>
          <w:sz w:val="24"/>
          <w:szCs w:val="24"/>
        </w:rPr>
        <w:t xml:space="preserve">tation ont varié entre 0,3% pour le </w:t>
      </w:r>
      <w:r w:rsidRPr="00C4179E">
        <w:rPr>
          <w:rFonts w:cs="Times New Roman"/>
          <w:sz w:val="24"/>
          <w:szCs w:val="24"/>
        </w:rPr>
        <w:t>gro</w:t>
      </w:r>
      <w:r>
        <w:rPr>
          <w:rFonts w:cs="Times New Roman"/>
          <w:sz w:val="24"/>
          <w:szCs w:val="24"/>
        </w:rPr>
        <w:t>upe</w:t>
      </w:r>
      <w:r w:rsidRPr="00C4179E">
        <w:rPr>
          <w:rFonts w:cs="Times New Roman"/>
          <w:sz w:val="24"/>
          <w:szCs w:val="24"/>
        </w:rPr>
        <w:t xml:space="preserve"> de « </w:t>
      </w:r>
      <w:r>
        <w:rPr>
          <w:rFonts w:cs="Times New Roman"/>
          <w:sz w:val="24"/>
          <w:szCs w:val="24"/>
        </w:rPr>
        <w:t>L</w:t>
      </w:r>
      <w:r w:rsidRPr="00DD5162">
        <w:rPr>
          <w:rFonts w:cs="Times New Roman"/>
          <w:sz w:val="24"/>
          <w:szCs w:val="24"/>
        </w:rPr>
        <w:t xml:space="preserve">ogement, eau, électricité, gaz et </w:t>
      </w:r>
      <w:r>
        <w:rPr>
          <w:rFonts w:cs="Times New Roman"/>
          <w:sz w:val="24"/>
          <w:szCs w:val="24"/>
        </w:rPr>
        <w:t>autres combustibles</w:t>
      </w:r>
      <w:r w:rsidRPr="00C4179E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et 0,9% pour le groupe « Transport ». Cependant les autres groupes des produits non alimentaires ont enregistre une baisse inscrite dans une fourchette allant de 0,1% à 0,6% pour le groupe « Loisirs et culture », tandis que les groupes restants ont enregistré une stagnation.</w:t>
      </w:r>
      <w:r w:rsidRPr="00C4179E">
        <w:rPr>
          <w:rFonts w:cs="Times New Roman"/>
          <w:sz w:val="24"/>
          <w:szCs w:val="24"/>
        </w:rPr>
        <w:t xml:space="preserve"> </w:t>
      </w: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FF7FE9" w:rsidRPr="004336B6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  <w:rtl/>
        </w:rPr>
      </w:pPr>
      <w:r>
        <w:rPr>
          <w:rFonts w:ascii="Arial" w:hAnsi="Arial" w:cs="MCS Quds S_I normal."/>
          <w:lang w:eastAsia="ar-MA" w:bidi="ar-MA"/>
        </w:rPr>
        <w:tab/>
      </w:r>
      <w:r w:rsidRPr="00C02A9B">
        <w:rPr>
          <w:rFonts w:cs="Times New Roman"/>
          <w:sz w:val="24"/>
          <w:szCs w:val="24"/>
        </w:rPr>
        <w:t xml:space="preserve">Comparé au </w:t>
      </w:r>
      <w:r>
        <w:rPr>
          <w:rFonts w:cs="Times New Roman"/>
          <w:sz w:val="24"/>
          <w:szCs w:val="24"/>
        </w:rPr>
        <w:t xml:space="preserve">même </w:t>
      </w:r>
      <w:r w:rsidRPr="00C02A9B">
        <w:rPr>
          <w:rFonts w:cs="Times New Roman"/>
          <w:sz w:val="24"/>
          <w:szCs w:val="24"/>
        </w:rPr>
        <w:t xml:space="preserve">mois </w:t>
      </w:r>
      <w:r>
        <w:rPr>
          <w:rFonts w:ascii="Arial" w:hAnsi="Arial" w:cs="Arial"/>
          <w:color w:val="333333"/>
          <w:sz w:val="19"/>
          <w:szCs w:val="19"/>
          <w:shd w:val="clear" w:color="auto" w:fill="F3F3F3"/>
        </w:rPr>
        <w:t> </w:t>
      </w:r>
      <w:r w:rsidRPr="00C02A9B">
        <w:rPr>
          <w:rFonts w:cs="Times New Roman"/>
          <w:sz w:val="24"/>
          <w:szCs w:val="24"/>
        </w:rPr>
        <w:t>de l’année précédente, l’indice des prix à la consommation à Rabat a enregistré  une hausse de 0,</w:t>
      </w:r>
      <w:r>
        <w:rPr>
          <w:rFonts w:cs="Times New Roman"/>
          <w:sz w:val="24"/>
          <w:szCs w:val="24"/>
        </w:rPr>
        <w:t>4</w:t>
      </w:r>
      <w:r w:rsidRPr="00C02A9B">
        <w:rPr>
          <w:rFonts w:cs="Times New Roman"/>
          <w:sz w:val="24"/>
          <w:szCs w:val="24"/>
        </w:rPr>
        <w:t xml:space="preserve">% au cours du mois de </w:t>
      </w:r>
      <w:r>
        <w:rPr>
          <w:rFonts w:cs="Times New Roman"/>
          <w:sz w:val="24"/>
          <w:szCs w:val="24"/>
        </w:rPr>
        <w:t>décembre</w:t>
      </w:r>
      <w:r w:rsidRPr="00C02A9B">
        <w:rPr>
          <w:rFonts w:cs="Times New Roman"/>
          <w:sz w:val="24"/>
          <w:szCs w:val="24"/>
        </w:rPr>
        <w:t xml:space="preserve"> 2020</w:t>
      </w:r>
      <w:r>
        <w:rPr>
          <w:rFonts w:cs="Times New Roman"/>
          <w:sz w:val="24"/>
          <w:szCs w:val="24"/>
        </w:rPr>
        <w:t xml:space="preserve"> conte une baisse de 0,3% au niveau National.</w:t>
      </w:r>
      <w:r w:rsidRPr="006002B0">
        <w:t xml:space="preserve"> </w:t>
      </w:r>
      <w:r w:rsidRPr="006002B0">
        <w:rPr>
          <w:rFonts w:cs="Times New Roman"/>
          <w:sz w:val="24"/>
          <w:szCs w:val="24"/>
        </w:rPr>
        <w:t xml:space="preserve">En ce qui concerne la variation annuelle, </w:t>
      </w:r>
      <w:r w:rsidRPr="004336B6">
        <w:rPr>
          <w:rFonts w:cs="Times New Roman"/>
          <w:sz w:val="24"/>
          <w:szCs w:val="24"/>
        </w:rPr>
        <w:t xml:space="preserve">l’indice  annuel moyen </w:t>
      </w:r>
      <w:r>
        <w:rPr>
          <w:rFonts w:cs="Times New Roman"/>
          <w:sz w:val="24"/>
          <w:szCs w:val="24"/>
        </w:rPr>
        <w:t xml:space="preserve">de la ville de Rabat </w:t>
      </w:r>
      <w:r w:rsidRPr="004336B6">
        <w:rPr>
          <w:rFonts w:cs="Times New Roman"/>
          <w:sz w:val="24"/>
          <w:szCs w:val="24"/>
        </w:rPr>
        <w:t>a enregistré, au terme de l’année 2020, une augmentation de 0,9% par rapport à l’année 2019</w:t>
      </w:r>
      <w:r>
        <w:rPr>
          <w:rFonts w:cs="Times New Roman"/>
          <w:sz w:val="24"/>
          <w:szCs w:val="24"/>
        </w:rPr>
        <w:t xml:space="preserve"> contre 0,7% au niveau National</w:t>
      </w:r>
      <w:r w:rsidRPr="004336B6">
        <w:rPr>
          <w:rFonts w:cs="Times New Roman"/>
          <w:sz w:val="24"/>
          <w:szCs w:val="24"/>
        </w:rPr>
        <w:t>.</w:t>
      </w:r>
    </w:p>
    <w:p w:rsidR="00FF7FE9" w:rsidRPr="0034001A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FF7FE9" w:rsidRDefault="00FF7FE9" w:rsidP="00FF7F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4336B6">
        <w:rPr>
          <w:rFonts w:cs="Times New Roman"/>
          <w:sz w:val="24"/>
          <w:szCs w:val="24"/>
        </w:rPr>
        <w:t xml:space="preserve">Quant au </w:t>
      </w:r>
      <w:r>
        <w:rPr>
          <w:rFonts w:cs="Times New Roman"/>
          <w:sz w:val="24"/>
          <w:szCs w:val="24"/>
        </w:rPr>
        <w:t>variation</w:t>
      </w:r>
      <w:r w:rsidRPr="004336B6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mensuelle </w:t>
      </w:r>
      <w:r w:rsidRPr="004336B6">
        <w:rPr>
          <w:rFonts w:cs="Times New Roman"/>
          <w:sz w:val="24"/>
          <w:szCs w:val="24"/>
        </w:rPr>
        <w:t>au niveau des villes</w:t>
      </w:r>
      <w:r>
        <w:rPr>
          <w:rFonts w:cs="Times New Roman"/>
          <w:sz w:val="24"/>
          <w:szCs w:val="24"/>
        </w:rPr>
        <w:t>, l</w:t>
      </w:r>
      <w:r w:rsidRPr="0034001A">
        <w:rPr>
          <w:rFonts w:cs="Times New Roman"/>
          <w:sz w:val="24"/>
          <w:szCs w:val="24"/>
        </w:rPr>
        <w:t xml:space="preserve">es hausses les plus importantes de </w:t>
      </w:r>
      <w:r w:rsidRPr="00C02A9B">
        <w:rPr>
          <w:rFonts w:cs="Times New Roman"/>
          <w:sz w:val="24"/>
          <w:szCs w:val="24"/>
        </w:rPr>
        <w:t>l’indice des prix à la consommation</w:t>
      </w:r>
      <w:r w:rsidRPr="0034001A">
        <w:rPr>
          <w:rFonts w:cs="Times New Roman"/>
          <w:sz w:val="24"/>
          <w:szCs w:val="24"/>
        </w:rPr>
        <w:t xml:space="preserve"> ont </w:t>
      </w:r>
      <w:r>
        <w:rPr>
          <w:rFonts w:cs="Times New Roman"/>
          <w:sz w:val="24"/>
          <w:szCs w:val="24"/>
        </w:rPr>
        <w:t>été enregistrée</w:t>
      </w:r>
      <w:r w:rsidRPr="0034001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au cours de mois de décembre 2020,</w:t>
      </w:r>
      <w:r w:rsidRPr="0034001A">
        <w:rPr>
          <w:rFonts w:cs="Times New Roman"/>
          <w:sz w:val="24"/>
          <w:szCs w:val="24"/>
        </w:rPr>
        <w:t xml:space="preserve"> à</w:t>
      </w:r>
      <w:r>
        <w:rPr>
          <w:rFonts w:cs="Times New Roman"/>
          <w:sz w:val="24"/>
          <w:szCs w:val="24"/>
        </w:rPr>
        <w:t xml:space="preserve"> </w:t>
      </w:r>
      <w:proofErr w:type="spellStart"/>
      <w:r w:rsidRPr="0034001A">
        <w:rPr>
          <w:rFonts w:cs="Times New Roman"/>
          <w:sz w:val="24"/>
          <w:szCs w:val="24"/>
        </w:rPr>
        <w:t>Beni</w:t>
      </w:r>
      <w:proofErr w:type="spellEnd"/>
      <w:r w:rsidRPr="0034001A">
        <w:rPr>
          <w:rFonts w:cs="Times New Roman"/>
          <w:sz w:val="24"/>
          <w:szCs w:val="24"/>
        </w:rPr>
        <w:t>-Mellal</w:t>
      </w:r>
      <w:r>
        <w:rPr>
          <w:rFonts w:cs="Times New Roman"/>
          <w:sz w:val="24"/>
          <w:szCs w:val="24"/>
        </w:rPr>
        <w:t>,</w:t>
      </w:r>
      <w:r w:rsidRPr="0001729E">
        <w:rPr>
          <w:rFonts w:cs="Times New Roman"/>
          <w:sz w:val="24"/>
          <w:szCs w:val="24"/>
        </w:rPr>
        <w:t xml:space="preserve"> </w:t>
      </w:r>
      <w:r w:rsidRPr="0034001A">
        <w:rPr>
          <w:rFonts w:cs="Times New Roman"/>
          <w:sz w:val="24"/>
          <w:szCs w:val="24"/>
        </w:rPr>
        <w:t>Marrakech</w:t>
      </w:r>
      <w:r>
        <w:rPr>
          <w:rFonts w:cs="Times New Roman"/>
          <w:sz w:val="24"/>
          <w:szCs w:val="24"/>
        </w:rPr>
        <w:t xml:space="preserve"> et El </w:t>
      </w:r>
      <w:proofErr w:type="spellStart"/>
      <w:r>
        <w:rPr>
          <w:rFonts w:cs="Times New Roman"/>
          <w:sz w:val="24"/>
          <w:szCs w:val="24"/>
        </w:rPr>
        <w:t>Houceima</w:t>
      </w:r>
      <w:proofErr w:type="spellEnd"/>
      <w:r>
        <w:rPr>
          <w:rFonts w:cs="Times New Roman"/>
          <w:sz w:val="24"/>
          <w:szCs w:val="24"/>
        </w:rPr>
        <w:t xml:space="preserve"> avec 0,9%, à  </w:t>
      </w:r>
      <w:proofErr w:type="spellStart"/>
      <w:r w:rsidRPr="0034001A">
        <w:rPr>
          <w:rFonts w:cs="Times New Roman"/>
          <w:sz w:val="24"/>
          <w:szCs w:val="24"/>
        </w:rPr>
        <w:t>Laâyoune</w:t>
      </w:r>
      <w:proofErr w:type="spellEnd"/>
      <w:r>
        <w:rPr>
          <w:rFonts w:cs="Times New Roman"/>
          <w:sz w:val="24"/>
          <w:szCs w:val="24"/>
        </w:rPr>
        <w:t xml:space="preserve"> et </w:t>
      </w:r>
      <w:proofErr w:type="spellStart"/>
      <w:r w:rsidRPr="0034001A">
        <w:rPr>
          <w:rFonts w:cs="Times New Roman"/>
          <w:sz w:val="24"/>
          <w:szCs w:val="24"/>
        </w:rPr>
        <w:t>Guelmim</w:t>
      </w:r>
      <w:proofErr w:type="spellEnd"/>
      <w:r>
        <w:rPr>
          <w:rFonts w:cs="Times New Roman"/>
          <w:sz w:val="24"/>
          <w:szCs w:val="24"/>
        </w:rPr>
        <w:t xml:space="preserve"> avec 0,8%, à Oujda, Settat et </w:t>
      </w:r>
      <w:proofErr w:type="spellStart"/>
      <w:r w:rsidRPr="0034001A">
        <w:rPr>
          <w:rFonts w:cs="Times New Roman"/>
          <w:sz w:val="24"/>
          <w:szCs w:val="24"/>
        </w:rPr>
        <w:t>Errachidia</w:t>
      </w:r>
      <w:proofErr w:type="spellEnd"/>
      <w:r>
        <w:rPr>
          <w:rFonts w:cs="Times New Roman"/>
          <w:sz w:val="24"/>
          <w:szCs w:val="24"/>
        </w:rPr>
        <w:t xml:space="preserve"> avec 0,7%, à </w:t>
      </w:r>
      <w:proofErr w:type="spellStart"/>
      <w:r w:rsidRPr="0034001A">
        <w:rPr>
          <w:rFonts w:cs="Times New Roman"/>
          <w:sz w:val="24"/>
          <w:szCs w:val="24"/>
        </w:rPr>
        <w:t>Kénitra</w:t>
      </w:r>
      <w:proofErr w:type="spellEnd"/>
      <w:r>
        <w:rPr>
          <w:rFonts w:cs="Times New Roman"/>
          <w:sz w:val="24"/>
          <w:szCs w:val="24"/>
        </w:rPr>
        <w:t xml:space="preserve"> et </w:t>
      </w:r>
      <w:r w:rsidRPr="0034001A">
        <w:rPr>
          <w:rFonts w:cs="Times New Roman"/>
          <w:sz w:val="24"/>
          <w:szCs w:val="24"/>
        </w:rPr>
        <w:t>Meknès</w:t>
      </w:r>
      <w:r>
        <w:rPr>
          <w:rFonts w:cs="Times New Roman"/>
          <w:sz w:val="24"/>
          <w:szCs w:val="24"/>
        </w:rPr>
        <w:t xml:space="preserve"> avec 0,6%, à </w:t>
      </w:r>
      <w:r w:rsidRPr="0034001A">
        <w:rPr>
          <w:rFonts w:cs="Times New Roman"/>
          <w:sz w:val="24"/>
          <w:szCs w:val="24"/>
        </w:rPr>
        <w:t>Tanger</w:t>
      </w:r>
      <w:r>
        <w:rPr>
          <w:rFonts w:cs="Times New Roman"/>
          <w:sz w:val="24"/>
          <w:szCs w:val="24"/>
        </w:rPr>
        <w:t xml:space="preserve"> et </w:t>
      </w:r>
      <w:proofErr w:type="spellStart"/>
      <w:r>
        <w:rPr>
          <w:rFonts w:cs="Times New Roman"/>
          <w:sz w:val="24"/>
          <w:szCs w:val="24"/>
        </w:rPr>
        <w:t>Tetoun</w:t>
      </w:r>
      <w:proofErr w:type="spellEnd"/>
      <w:r>
        <w:rPr>
          <w:rFonts w:cs="Times New Roman"/>
          <w:sz w:val="24"/>
          <w:szCs w:val="24"/>
        </w:rPr>
        <w:t xml:space="preserve"> avec 0,5%, à </w:t>
      </w:r>
      <w:r w:rsidRPr="0034001A">
        <w:rPr>
          <w:rFonts w:cs="Times New Roman"/>
          <w:sz w:val="24"/>
          <w:szCs w:val="24"/>
        </w:rPr>
        <w:t>Agadir</w:t>
      </w:r>
      <w:r>
        <w:rPr>
          <w:rFonts w:cs="Times New Roman"/>
          <w:sz w:val="24"/>
          <w:szCs w:val="24"/>
        </w:rPr>
        <w:t xml:space="preserve"> avec 0,3%, à Casablanca avec 0,3% et à Safi avec 0,2%.</w:t>
      </w:r>
      <w:r w:rsidRPr="0001729E">
        <w:rPr>
          <w:rFonts w:cs="Times New Roman"/>
          <w:sz w:val="24"/>
          <w:szCs w:val="24"/>
        </w:rPr>
        <w:t xml:space="preserve"> </w:t>
      </w:r>
      <w:r w:rsidRPr="0034001A">
        <w:rPr>
          <w:rFonts w:cs="Times New Roman"/>
          <w:sz w:val="24"/>
          <w:szCs w:val="24"/>
        </w:rPr>
        <w:t>En revanche, des stagnations ont été enregistrées  à Fès et</w:t>
      </w:r>
      <w:r>
        <w:rPr>
          <w:rFonts w:cs="Times New Roman"/>
          <w:sz w:val="24"/>
          <w:szCs w:val="24"/>
        </w:rPr>
        <w:t xml:space="preserve"> Dakhla.</w:t>
      </w:r>
    </w:p>
    <w:p w:rsidR="00A270E9" w:rsidRDefault="00A270E9" w:rsidP="00A270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A270E9" w:rsidRDefault="00A270E9" w:rsidP="00A270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A270E9" w:rsidRDefault="00A270E9" w:rsidP="00A270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A270E9" w:rsidRDefault="00A270E9" w:rsidP="00A270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cs="Times New Roman"/>
          <w:sz w:val="24"/>
          <w:szCs w:val="24"/>
        </w:rPr>
      </w:pPr>
    </w:p>
    <w:p w:rsidR="00A270E9" w:rsidRDefault="00A270E9" w:rsidP="00A270E9">
      <w:pPr>
        <w:pStyle w:val="Paragraphedeliste"/>
        <w:tabs>
          <w:tab w:val="left" w:pos="851"/>
        </w:tabs>
        <w:bidi w:val="0"/>
        <w:spacing w:line="300" w:lineRule="exact"/>
        <w:ind w:left="360"/>
        <w:jc w:val="both"/>
        <w:rPr>
          <w:rFonts w:ascii="Arial" w:hAnsi="Arial" w:cs="Arial"/>
          <w:color w:val="333333"/>
          <w:sz w:val="19"/>
          <w:szCs w:val="19"/>
          <w:shd w:val="clear" w:color="auto" w:fill="F3F3F3"/>
        </w:rPr>
      </w:pPr>
    </w:p>
    <w:p w:rsidR="00484DD3" w:rsidRPr="00FF7FE9" w:rsidRDefault="00484DD3" w:rsidP="00297A5A">
      <w:pPr>
        <w:ind w:firstLine="24"/>
        <w:jc w:val="both"/>
        <w:rPr>
          <w:sz w:val="24"/>
          <w:szCs w:val="24"/>
          <w:rtl/>
          <w:lang w:bidi="ar-MA"/>
        </w:rPr>
      </w:pPr>
    </w:p>
    <w:p w:rsidR="00A86B05" w:rsidRPr="009B1D4D" w:rsidRDefault="00A86B05" w:rsidP="00302463">
      <w:pPr>
        <w:rPr>
          <w:sz w:val="24"/>
          <w:szCs w:val="24"/>
          <w:rtl/>
          <w:lang w:bidi="ar-MA"/>
        </w:rPr>
      </w:pPr>
    </w:p>
    <w:p w:rsidR="00484DD3" w:rsidRDefault="00484DD3" w:rsidP="00302463">
      <w:pPr>
        <w:rPr>
          <w:sz w:val="28"/>
          <w:szCs w:val="28"/>
          <w:rtl/>
          <w:lang w:bidi="ar-MA"/>
        </w:rPr>
      </w:pPr>
    </w:p>
    <w:p w:rsidR="00A045AE" w:rsidRDefault="00A045AE" w:rsidP="00302463">
      <w:pPr>
        <w:rPr>
          <w:sz w:val="28"/>
          <w:szCs w:val="28"/>
          <w:rtl/>
          <w:lang w:bidi="ar-MA"/>
        </w:rPr>
      </w:pPr>
    </w:p>
    <w:p w:rsidR="003E131A" w:rsidRDefault="003E131A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1D5338" w:rsidRDefault="001D5338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1D5338">
      <w:pPr>
        <w:jc w:val="center"/>
        <w:rPr>
          <w:sz w:val="28"/>
          <w:szCs w:val="28"/>
          <w:lang w:bidi="ar-MA"/>
        </w:rPr>
      </w:pPr>
      <w:r w:rsidRPr="00B53496">
        <w:rPr>
          <w:rFonts w:asciiTheme="majorBidi" w:hAnsiTheme="majorBidi" w:cstheme="majorBidi"/>
          <w:b/>
          <w:bCs/>
          <w:color w:val="FF0000"/>
          <w:sz w:val="24"/>
          <w:szCs w:val="24"/>
          <w:lang w:eastAsia="en-US" w:bidi="ar-MA"/>
        </w:rPr>
        <w:lastRenderedPageBreak/>
        <w:t>Variation de l’Indice des Prix à la Consommation  par division</w:t>
      </w:r>
    </w:p>
    <w:tbl>
      <w:tblPr>
        <w:tblW w:w="10290" w:type="dxa"/>
        <w:tblInd w:w="-497" w:type="dxa"/>
        <w:tblCellMar>
          <w:left w:w="70" w:type="dxa"/>
          <w:right w:w="70" w:type="dxa"/>
        </w:tblCellMar>
        <w:tblLook w:val="04A0"/>
      </w:tblPr>
      <w:tblGrid>
        <w:gridCol w:w="3686"/>
        <w:gridCol w:w="786"/>
        <w:gridCol w:w="697"/>
        <w:gridCol w:w="741"/>
        <w:gridCol w:w="697"/>
        <w:gridCol w:w="697"/>
        <w:gridCol w:w="741"/>
        <w:gridCol w:w="752"/>
        <w:gridCol w:w="752"/>
        <w:gridCol w:w="741"/>
      </w:tblGrid>
      <w:tr w:rsidR="00A270E9" w:rsidRPr="00AA5C93" w:rsidTr="005D260D">
        <w:trPr>
          <w:trHeight w:val="3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RABAT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IPC mensuel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IPC mensuel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IPC annuel</w:t>
            </w:r>
          </w:p>
        </w:tc>
      </w:tr>
      <w:tr w:rsidR="00A270E9" w:rsidRPr="000715B3" w:rsidTr="005D260D">
        <w:trPr>
          <w:trHeight w:val="5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Nov</w:t>
            </w:r>
            <w:proofErr w:type="spellEnd"/>
          </w:p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Déc</w:t>
            </w:r>
            <w:proofErr w:type="spellEnd"/>
          </w:p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VAR%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Déc</w:t>
            </w:r>
            <w:proofErr w:type="spellEnd"/>
          </w:p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Déc</w:t>
            </w:r>
            <w:proofErr w:type="spellEnd"/>
          </w:p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VAR%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nnée 2019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nnée 2020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sz w:val="18"/>
                <w:szCs w:val="18"/>
              </w:rPr>
              <w:t>VAR%</w:t>
            </w:r>
          </w:p>
        </w:tc>
      </w:tr>
      <w:tr w:rsidR="00A270E9" w:rsidRPr="000715B3" w:rsidTr="005D260D">
        <w:trPr>
          <w:trHeight w:val="38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AA5C93" w:rsidRDefault="00A270E9" w:rsidP="005D260D">
            <w:pPr>
              <w:bidi w:val="0"/>
              <w:ind w:left="-354" w:firstLine="354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Pr="00AA5C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roduits alimentaires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101,9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-1,1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101,9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1,2</w:t>
            </w:r>
          </w:p>
        </w:tc>
      </w:tr>
      <w:tr w:rsidR="00A270E9" w:rsidRPr="000715B3" w:rsidTr="005D260D">
        <w:trPr>
          <w:trHeight w:val="564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-1,0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1,2</w:t>
            </w:r>
          </w:p>
        </w:tc>
      </w:tr>
      <w:tr w:rsidR="00A270E9" w:rsidRPr="000715B3" w:rsidTr="005D260D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BOISSONS ALCOOLISÉES, TABAC ET STUPÉFIANTS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121,9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119,4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122,0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2,2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119,6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120,5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A270E9" w:rsidRPr="000715B3" w:rsidTr="005D260D">
        <w:trPr>
          <w:trHeight w:val="4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</w:t>
            </w:r>
            <w:r w:rsidRPr="00AA5C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roduits non </w:t>
            </w: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alimentaires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101,8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0,6</w:t>
            </w:r>
          </w:p>
        </w:tc>
      </w:tr>
      <w:tr w:rsidR="00A270E9" w:rsidRPr="000715B3" w:rsidTr="005D260D">
        <w:trPr>
          <w:trHeight w:val="559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ARTICLES D'HABILLEMENT ET CHAUSSURES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104,8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104,5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-0,3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103,3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104,1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0,8</w:t>
            </w:r>
          </w:p>
        </w:tc>
      </w:tr>
      <w:tr w:rsidR="00A270E9" w:rsidRPr="000715B3" w:rsidTr="005D260D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LOGEMENT, EAU, GAZ, ELECTRICITE ET AUTRES COMBUSTIBLES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0,3</w:t>
            </w:r>
          </w:p>
        </w:tc>
      </w:tr>
      <w:tr w:rsidR="00A270E9" w:rsidRPr="000715B3" w:rsidTr="005D260D">
        <w:trPr>
          <w:trHeight w:val="5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MEUBLES, ARTICLES DE MENAGE ET ENTRETIEN COURANT DU FOYER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-0,1</w:t>
            </w:r>
          </w:p>
        </w:tc>
      </w:tr>
      <w:tr w:rsidR="00A270E9" w:rsidRPr="000715B3" w:rsidTr="005D260D">
        <w:trPr>
          <w:trHeight w:val="49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SANTÉ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99,5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3,4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99,6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</w:tr>
      <w:tr w:rsidR="00A270E9" w:rsidRPr="000715B3" w:rsidTr="005D260D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TRANSPORTS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103,1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-0,6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102,6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-1,4</w:t>
            </w:r>
          </w:p>
        </w:tc>
      </w:tr>
      <w:tr w:rsidR="00A270E9" w:rsidRPr="000715B3" w:rsidTr="005D260D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COMMUNICATIONS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19EC">
              <w:rPr>
                <w:rFonts w:ascii="Arial" w:hAnsi="Arial" w:cs="Arial"/>
                <w:sz w:val="18"/>
                <w:szCs w:val="18"/>
              </w:rPr>
              <w:t>0,0</w:t>
            </w:r>
          </w:p>
        </w:tc>
      </w:tr>
      <w:tr w:rsidR="00A270E9" w:rsidRPr="000715B3" w:rsidTr="005D260D">
        <w:trPr>
          <w:trHeight w:val="5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LOISIRS ET CULTURE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A270E9" w:rsidRPr="000715B3" w:rsidTr="005D260D">
        <w:trPr>
          <w:trHeight w:val="54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ENSEIGNEMENT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106,4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108,4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1,9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104,7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107,0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2,2</w:t>
            </w:r>
          </w:p>
        </w:tc>
      </w:tr>
      <w:tr w:rsidR="00A270E9" w:rsidRPr="000715B3" w:rsidTr="005D260D">
        <w:trPr>
          <w:trHeight w:val="55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RESTAURANTS ET HÔTELS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100,7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-0,4</w:t>
            </w:r>
          </w:p>
        </w:tc>
      </w:tr>
      <w:tr w:rsidR="00A270E9" w:rsidRPr="000715B3" w:rsidTr="005D260D">
        <w:trPr>
          <w:trHeight w:val="561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sz w:val="18"/>
                <w:szCs w:val="18"/>
              </w:rPr>
            </w:pPr>
            <w:r w:rsidRPr="00AA5C93">
              <w:rPr>
                <w:rFonts w:ascii="Arial" w:hAnsi="Arial" w:cs="Arial"/>
                <w:sz w:val="18"/>
                <w:szCs w:val="18"/>
              </w:rPr>
              <w:t>BIENS ET SERVICES DIVERS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103,0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101,2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15B3">
              <w:rPr>
                <w:rFonts w:ascii="Arial" w:hAnsi="Arial" w:cs="Arial"/>
                <w:sz w:val="18"/>
                <w:szCs w:val="18"/>
              </w:rPr>
              <w:t>102,7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0715B3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715B3">
              <w:rPr>
                <w:rFonts w:ascii="Arial" w:hAnsi="Arial" w:cs="Arial"/>
                <w:b/>
                <w:bCs/>
                <w:sz w:val="18"/>
                <w:szCs w:val="18"/>
              </w:rPr>
              <w:t>1,5</w:t>
            </w:r>
          </w:p>
        </w:tc>
      </w:tr>
      <w:tr w:rsidR="00A270E9" w:rsidRPr="000715B3" w:rsidTr="005D260D">
        <w:trPr>
          <w:trHeight w:val="41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AA5C93" w:rsidRDefault="00A270E9" w:rsidP="005D260D">
            <w:pPr>
              <w:bidi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AA5C9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ENSEMBLE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-0,3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101,6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102,5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0E9" w:rsidRPr="00E719EC" w:rsidRDefault="00A270E9" w:rsidP="005D260D">
            <w:pPr>
              <w:bidi w:val="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E719EC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0,9</w:t>
            </w:r>
          </w:p>
        </w:tc>
      </w:tr>
    </w:tbl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270E9" w:rsidRDefault="00A270E9" w:rsidP="00302463">
      <w:pPr>
        <w:rPr>
          <w:sz w:val="28"/>
          <w:szCs w:val="28"/>
          <w:lang w:bidi="ar-MA"/>
        </w:rPr>
      </w:pPr>
    </w:p>
    <w:p w:rsidR="00A045AE" w:rsidRPr="00302463" w:rsidRDefault="00A045AE" w:rsidP="00A045AE">
      <w:pPr>
        <w:jc w:val="center"/>
        <w:rPr>
          <w:sz w:val="28"/>
          <w:szCs w:val="28"/>
          <w:lang w:bidi="ar-MA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95788" cy="4285753"/>
            <wp:effectExtent l="19050" t="0" r="14412" b="497"/>
            <wp:docPr id="1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045AE" w:rsidRPr="00302463" w:rsidSect="009B1D4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Quds S_I normal.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405"/>
      </v:shape>
    </w:pict>
  </w:numPicBullet>
  <w:abstractNum w:abstractNumId="0">
    <w:nsid w:val="4A462BF5"/>
    <w:multiLevelType w:val="hybridMultilevel"/>
    <w:tmpl w:val="F68CEFC2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86B05"/>
    <w:rsid w:val="001D5338"/>
    <w:rsid w:val="00297A5A"/>
    <w:rsid w:val="002F4223"/>
    <w:rsid w:val="00302463"/>
    <w:rsid w:val="00323110"/>
    <w:rsid w:val="003C2AC4"/>
    <w:rsid w:val="003E131A"/>
    <w:rsid w:val="004708A1"/>
    <w:rsid w:val="00484DD3"/>
    <w:rsid w:val="00497280"/>
    <w:rsid w:val="004B13DF"/>
    <w:rsid w:val="005F0002"/>
    <w:rsid w:val="0068623E"/>
    <w:rsid w:val="006F3D8B"/>
    <w:rsid w:val="0076320C"/>
    <w:rsid w:val="007636EB"/>
    <w:rsid w:val="008A077C"/>
    <w:rsid w:val="009B1D4D"/>
    <w:rsid w:val="00A045AE"/>
    <w:rsid w:val="00A2551C"/>
    <w:rsid w:val="00A270E9"/>
    <w:rsid w:val="00A86B05"/>
    <w:rsid w:val="00AE039C"/>
    <w:rsid w:val="00C226EA"/>
    <w:rsid w:val="00CE574D"/>
    <w:rsid w:val="00E61673"/>
    <w:rsid w:val="00E9481E"/>
    <w:rsid w:val="00FF7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B05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6B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045A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45AE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link w:val="SansinterligneCar"/>
    <w:uiPriority w:val="1"/>
    <w:qFormat/>
    <w:rsid w:val="005F0002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F0002"/>
    <w:rPr>
      <w:rFonts w:eastAsiaTheme="minorEastAsia"/>
    </w:rPr>
  </w:style>
  <w:style w:type="paragraph" w:styleId="Sous-titre">
    <w:name w:val="Subtitle"/>
    <w:basedOn w:val="Normal"/>
    <w:next w:val="Normal"/>
    <w:link w:val="Sous-titreCar"/>
    <w:qFormat/>
    <w:rsid w:val="00FF7FE9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FF7FE9"/>
    <w:rPr>
      <w:rFonts w:ascii="Cambria" w:eastAsia="Times New Roman" w:hAnsi="Cambria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200"/>
            </a:pPr>
            <a:r>
              <a:rPr lang="ar-MA" sz="1200"/>
              <a:t> </a:t>
            </a:r>
            <a:r>
              <a:rPr lang="fr-FR" sz="1100">
                <a:solidFill>
                  <a:srgbClr val="FF0000"/>
                </a:solidFill>
              </a:rPr>
              <a:t>Evolution mensuelle de l'IPC au niveau de la ville de</a:t>
            </a:r>
            <a:r>
              <a:rPr lang="fr-FR" sz="1100" baseline="0">
                <a:solidFill>
                  <a:srgbClr val="FF0000"/>
                </a:solidFill>
              </a:rPr>
              <a:t> Rabat</a:t>
            </a:r>
            <a:r>
              <a:rPr lang="fr-FR" sz="1100">
                <a:solidFill>
                  <a:srgbClr val="FF0000"/>
                </a:solidFill>
              </a:rPr>
              <a:t> </a:t>
            </a:r>
            <a:endParaRPr lang="ar-MA" sz="1100">
              <a:solidFill>
                <a:srgbClr val="FF0000"/>
              </a:solidFill>
            </a:endParaRPr>
          </a:p>
          <a:p>
            <a:pPr>
              <a:defRPr sz="1200"/>
            </a:pPr>
            <a:r>
              <a:rPr lang="ar-MA" sz="1100">
                <a:solidFill>
                  <a:srgbClr val="FF0000"/>
                </a:solidFill>
              </a:rPr>
              <a:t>  </a:t>
            </a:r>
            <a:r>
              <a:rPr lang="fr-FR" sz="1100">
                <a:solidFill>
                  <a:srgbClr val="FF0000"/>
                </a:solidFill>
              </a:rPr>
              <a:t>2018-2019-2020</a:t>
            </a:r>
            <a:endParaRPr lang="ar-MA" sz="1100">
              <a:solidFill>
                <a:srgbClr val="FF0000"/>
              </a:solidFill>
            </a:endParaRPr>
          </a:p>
        </c:rich>
      </c:tx>
      <c:layout>
        <c:manualLayout>
          <c:xMode val="edge"/>
          <c:yMode val="edge"/>
          <c:x val="0.21970581498012909"/>
          <c:y val="0"/>
        </c:manualLayout>
      </c:layout>
    </c:title>
    <c:plotArea>
      <c:layout>
        <c:manualLayout>
          <c:layoutTarget val="inner"/>
          <c:xMode val="edge"/>
          <c:yMode val="edge"/>
          <c:x val="0.17933677555541341"/>
          <c:y val="0.12479045612115934"/>
          <c:w val="0.78896810023010167"/>
          <c:h val="0.66576575529534865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2018</c:v>
                </c:pt>
              </c:strCache>
            </c:strRef>
          </c:tx>
          <c:dLbls>
            <c:dLbl>
              <c:idx val="1"/>
              <c:layout>
                <c:manualLayout>
                  <c:x val="4.9014386301289535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1.7155035205451336E-2"/>
                  <c:y val="5.9244359190619385E-2"/>
                </c:manualLayout>
              </c:layout>
              <c:dLblPos val="t"/>
              <c:showVal val="1"/>
            </c:dLbl>
            <c:dLbl>
              <c:idx val="3"/>
              <c:layout>
                <c:manualLayout>
                  <c:x val="2.4507193150644764E-2"/>
                  <c:y val="6.2206577150150481E-2"/>
                </c:manualLayout>
              </c:layout>
              <c:dLblPos val="t"/>
              <c:showVal val="1"/>
            </c:dLbl>
            <c:dLbl>
              <c:idx val="4"/>
              <c:layout>
                <c:manualLayout>
                  <c:x val="1.9605754520515831E-2"/>
                  <c:y val="5.6282141231088482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3.92115090410316E-2"/>
                  <c:y val="5.0357705312026581E-2"/>
                </c:manualLayout>
              </c:layout>
              <c:dLblPos val="t"/>
              <c:showVal val="1"/>
            </c:dLbl>
            <c:dLbl>
              <c:idx val="10"/>
              <c:layout>
                <c:manualLayout>
                  <c:x val="-7.3521579451934311E-3"/>
                  <c:y val="5.9244359190619357E-2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1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aout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101.2</c:v>
                </c:pt>
                <c:pt idx="1">
                  <c:v>100.5</c:v>
                </c:pt>
                <c:pt idx="2">
                  <c:v>100.5</c:v>
                </c:pt>
                <c:pt idx="3">
                  <c:v>101</c:v>
                </c:pt>
                <c:pt idx="4">
                  <c:v>101.4</c:v>
                </c:pt>
                <c:pt idx="5">
                  <c:v>101.7</c:v>
                </c:pt>
                <c:pt idx="6">
                  <c:v>101</c:v>
                </c:pt>
                <c:pt idx="7">
                  <c:v>100.8</c:v>
                </c:pt>
                <c:pt idx="8">
                  <c:v>101.3</c:v>
                </c:pt>
                <c:pt idx="9">
                  <c:v>101.3</c:v>
                </c:pt>
                <c:pt idx="10">
                  <c:v>101.8</c:v>
                </c:pt>
                <c:pt idx="11">
                  <c:v>101.5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7.3521579451934493E-3"/>
                  <c:y val="6.2206577150150481E-2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2.4507193150644772E-3"/>
                  <c:y val="2.6659728390270157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9.8028772602579278E-3"/>
                  <c:y val="1.1848871838123868E-2"/>
                </c:manualLayout>
              </c:layout>
              <c:dLblPos val="t"/>
              <c:showVal val="1"/>
            </c:dLbl>
            <c:dLbl>
              <c:idx val="7"/>
              <c:layout>
                <c:manualLayout>
                  <c:x val="2.4507193150643852E-3"/>
                  <c:y val="8.8866538785928803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aout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Feuil1!$C$2:$C$13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5"/>
              <c:layout>
                <c:manualLayout>
                  <c:x val="2.4507193150644772E-3"/>
                  <c:y val="5.3319690026049041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34E-2"/>
                  <c:y val="-8.8866538785928803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b="1">
                    <a:solidFill>
                      <a:schemeClr val="accent3">
                        <a:lumMod val="50000"/>
                      </a:schemeClr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janvier</c:v>
                </c:pt>
                <c:pt idx="1">
                  <c:v>février</c:v>
                </c:pt>
                <c:pt idx="2">
                  <c:v>mars</c:v>
                </c:pt>
                <c:pt idx="3">
                  <c:v>avril</c:v>
                </c:pt>
                <c:pt idx="4">
                  <c:v>mai</c:v>
                </c:pt>
                <c:pt idx="5">
                  <c:v>juin</c:v>
                </c:pt>
                <c:pt idx="6">
                  <c:v>juillet</c:v>
                </c:pt>
                <c:pt idx="7">
                  <c:v>aout</c:v>
                </c:pt>
                <c:pt idx="8">
                  <c:v>septembre</c:v>
                </c:pt>
                <c:pt idx="9">
                  <c:v>octobre</c:v>
                </c:pt>
                <c:pt idx="10">
                  <c:v>novembre</c:v>
                </c:pt>
                <c:pt idx="11">
                  <c:v>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dLbls>
          <c:showVal val="1"/>
        </c:dLbls>
        <c:marker val="1"/>
        <c:axId val="117606272"/>
        <c:axId val="117607808"/>
      </c:lineChart>
      <c:catAx>
        <c:axId val="117606272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900" b="1" i="0"/>
            </a:pPr>
            <a:endParaRPr lang="fr-FR"/>
          </a:p>
        </c:txPr>
        <c:crossAx val="117607808"/>
        <c:crosses val="autoZero"/>
        <c:auto val="1"/>
        <c:lblAlgn val="ctr"/>
        <c:lblOffset val="50"/>
        <c:tickLblSkip val="1"/>
      </c:catAx>
      <c:valAx>
        <c:axId val="117607808"/>
        <c:scaling>
          <c:orientation val="minMax"/>
          <c:max val="104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 b="1"/>
            </a:pPr>
            <a:endParaRPr lang="fr-FR"/>
          </a:p>
        </c:txPr>
        <c:crossAx val="117606272"/>
        <c:crossesAt val="1"/>
        <c:crossBetween val="between"/>
        <c:majorUnit val="1"/>
      </c:valAx>
    </c:plotArea>
    <c:legend>
      <c:legendPos val="b"/>
      <c:txPr>
        <a:bodyPr/>
        <a:lstStyle/>
        <a:p>
          <a:pPr>
            <a:defRPr sz="1050" b="1"/>
          </a:pPr>
          <a:endParaRPr lang="fr-FR"/>
        </a:p>
      </c:txPr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0.23398</cdr:x>
      <cdr:y>0.18361</cdr:y>
    </cdr:from>
    <cdr:to>
      <cdr:x>0.40465</cdr:x>
      <cdr:y>0.2837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385208" y="555172"/>
          <a:ext cx="914400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0.55393</cdr:x>
      <cdr:y>0.30871</cdr:y>
    </cdr:from>
    <cdr:to>
      <cdr:x>0.61885</cdr:x>
      <cdr:y>0.40182</cdr:y>
    </cdr:to>
    <cdr:sp macro="" textlink="">
      <cdr:nvSpPr>
        <cdr:cNvPr id="21" name="ZoneTexte 20"/>
        <cdr:cNvSpPr txBox="1"/>
      </cdr:nvSpPr>
      <cdr:spPr>
        <a:xfrm xmlns:a="http://schemas.openxmlformats.org/drawingml/2006/main">
          <a:off x="2695879" y="798261"/>
          <a:ext cx="302642" cy="2207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906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2021-03-01T11:07:00Z</dcterms:created>
  <dcterms:modified xsi:type="dcterms:W3CDTF">2021-03-01T11:07:00Z</dcterms:modified>
</cp:coreProperties>
</file>