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3F" w:rsidRDefault="00D767F4" w:rsidP="00E32C3F">
      <w:pPr>
        <w:pStyle w:val="NormalWeb"/>
        <w:jc w:val="center"/>
        <w:rPr>
          <w:rStyle w:val="lev"/>
          <w:rFonts w:asciiTheme="minorHAnsi" w:hAnsiTheme="minorHAnsi" w:cstheme="minorHAnsi"/>
        </w:rPr>
      </w:pPr>
      <w:r w:rsidRPr="006C2B93">
        <w:rPr>
          <w:rStyle w:val="lev"/>
          <w:rFonts w:asciiTheme="minorHAnsi" w:hAnsiTheme="minorHAnsi" w:cstheme="minorHAnsi"/>
        </w:rPr>
        <w:t>NOTE DU HAUT-COMMISSARIAT AU PLAN</w:t>
      </w:r>
    </w:p>
    <w:p w:rsidR="00D767F4" w:rsidRPr="006C2B93" w:rsidRDefault="00D767F4" w:rsidP="00E32C3F">
      <w:pPr>
        <w:pStyle w:val="NormalWeb"/>
        <w:jc w:val="both"/>
        <w:rPr>
          <w:rFonts w:asciiTheme="minorHAnsi" w:hAnsiTheme="minorHAnsi" w:cstheme="minorHAnsi"/>
        </w:rPr>
      </w:pPr>
      <w:r w:rsidRPr="006C2B93">
        <w:rPr>
          <w:rStyle w:val="lev"/>
          <w:rFonts w:asciiTheme="minorHAnsi" w:hAnsiTheme="minorHAnsi" w:cstheme="minorHAnsi"/>
        </w:rPr>
        <w:t xml:space="preserve">Objet : </w:t>
      </w:r>
      <w:bookmarkStart w:id="0" w:name="_GoBack"/>
      <w:r w:rsidRPr="006C2B93">
        <w:rPr>
          <w:rStyle w:val="lev"/>
          <w:rFonts w:asciiTheme="minorHAnsi" w:hAnsiTheme="minorHAnsi" w:cstheme="minorHAnsi"/>
        </w:rPr>
        <w:t xml:space="preserve">Explications sur le taux de chômage de 21,3% </w:t>
      </w:r>
      <w:bookmarkEnd w:id="0"/>
      <w:r w:rsidRPr="006C2B93">
        <w:rPr>
          <w:rStyle w:val="lev"/>
          <w:rFonts w:asciiTheme="minorHAnsi" w:hAnsiTheme="minorHAnsi" w:cstheme="minorHAnsi"/>
        </w:rPr>
        <w:t>issu du Recensement Général de la Population et de l'Habitat 2024</w:t>
      </w:r>
    </w:p>
    <w:p w:rsidR="00D767F4" w:rsidRPr="006C2B93" w:rsidRDefault="00D767F4" w:rsidP="00D767F4">
      <w:pPr>
        <w:pStyle w:val="NormalWeb"/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Par la présente note, l</w:t>
      </w:r>
      <w:r w:rsidRPr="006C2B93">
        <w:rPr>
          <w:rFonts w:asciiTheme="minorHAnsi" w:hAnsiTheme="minorHAnsi" w:cstheme="minorHAnsi"/>
        </w:rPr>
        <w:t>e Haut-Commissariat au Plan (HCP) souhaite apporter des éclaircissements concernant le taux de chômage de 21,3% issu du Recensement Général de la Population et de l'Habitat (RGPH) 2024. Ce chiffre, bien que largement diffusé, a été mal interprété dans certains contextes. Il est donc essentiel de préciser les spécificités méthodologiques qui expliquent cet indicateur afin d’éviter toute confusion.</w:t>
      </w:r>
    </w:p>
    <w:p w:rsidR="00D767F4" w:rsidRPr="006C2B93" w:rsidRDefault="00D767F4" w:rsidP="00D767F4">
      <w:pPr>
        <w:pStyle w:val="Titre3"/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Le recensement : une opération unique et exhaustive</w:t>
      </w:r>
    </w:p>
    <w:p w:rsidR="00D767F4" w:rsidRPr="006C2B93" w:rsidRDefault="00D767F4" w:rsidP="00D767F4">
      <w:pPr>
        <w:pStyle w:val="NormalWeb"/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Le recensement de la population et de l’habitat, réalisé chaque décennie, est l’unique opération qui permet :</w:t>
      </w:r>
    </w:p>
    <w:p w:rsidR="00D767F4" w:rsidRPr="006C2B93" w:rsidRDefault="00D767F4" w:rsidP="00D767F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De fournir des statistiques sur le marché du travail au niveau des différentes collectivités territoriales.</w:t>
      </w:r>
    </w:p>
    <w:p w:rsidR="00D767F4" w:rsidRPr="006C2B93" w:rsidRDefault="00D767F4" w:rsidP="00D767F4">
      <w:pPr>
        <w:pStyle w:val="NormalWeb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D’actualiser les classifications par les nouveaux métiers, professions et activités économiques.</w:t>
      </w:r>
    </w:p>
    <w:p w:rsidR="00D767F4" w:rsidRPr="006C2B93" w:rsidRDefault="00D767F4" w:rsidP="00D767F4">
      <w:pPr>
        <w:pStyle w:val="NormalWeb"/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Pour approcher le marché du travail, le recensement repose sur des questions permettant de déterminer :</w:t>
      </w:r>
    </w:p>
    <w:p w:rsidR="00D767F4" w:rsidRPr="006C2B93" w:rsidRDefault="00D767F4" w:rsidP="00D767F4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Les populations actives et inactives.</w:t>
      </w:r>
    </w:p>
    <w:p w:rsidR="00D767F4" w:rsidRPr="006C2B93" w:rsidRDefault="00D767F4" w:rsidP="00D767F4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La profession principale.</w:t>
      </w:r>
    </w:p>
    <w:p w:rsidR="00D767F4" w:rsidRPr="006C2B93" w:rsidRDefault="00D767F4" w:rsidP="00D767F4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La situation dans la profession.</w:t>
      </w:r>
    </w:p>
    <w:p w:rsidR="00D767F4" w:rsidRPr="006C2B93" w:rsidRDefault="00D767F4" w:rsidP="00D767F4">
      <w:pPr>
        <w:pStyle w:val="NormalWeb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L’activité principale de l’établissement employeur.</w:t>
      </w:r>
    </w:p>
    <w:p w:rsidR="00D767F4" w:rsidRPr="006C2B93" w:rsidRDefault="00D767F4" w:rsidP="00D767F4">
      <w:pPr>
        <w:pStyle w:val="NormalWeb"/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Cependant, cette approche comporte certaines limites :</w:t>
      </w:r>
    </w:p>
    <w:p w:rsidR="00D767F4" w:rsidRPr="006C2B93" w:rsidRDefault="00D767F4" w:rsidP="00D767F4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Le recensement repose sur un nombre réduit de questions, ce qui peut conduire à inclure certaines personnes en sous-emploi comme des chômeurs.</w:t>
      </w:r>
    </w:p>
    <w:p w:rsidR="00D767F4" w:rsidRPr="006C2B93" w:rsidRDefault="00D767F4" w:rsidP="00D767F4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La courte période de référence peut entraîner l’omission de certains emplois occasionnels.</w:t>
      </w:r>
    </w:p>
    <w:p w:rsidR="00D767F4" w:rsidRPr="006C2B93" w:rsidRDefault="00D767F4" w:rsidP="00D767F4">
      <w:pPr>
        <w:pStyle w:val="Titre3"/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L’enquête nationale sur l’emploi : une analyse spécialisée et continue</w:t>
      </w:r>
    </w:p>
    <w:p w:rsidR="00D767F4" w:rsidRPr="006C2B93" w:rsidRDefault="00D767F4" w:rsidP="00D767F4">
      <w:pPr>
        <w:pStyle w:val="NormalWeb"/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En revanche, l’enquête nationale sur l’emploi est une enquête spécialisée, réalisée de façon permanente et trimestrielle. Conformément aux standards du Bureau International du Travail (BIT), cette enquête permet de :</w:t>
      </w:r>
    </w:p>
    <w:p w:rsidR="00D767F4" w:rsidRPr="006C2B93" w:rsidRDefault="00D767F4" w:rsidP="00D767F4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Recueillir des données plus fréquentes et détaillées sur l’emploi, le chômage et l’inactivité.</w:t>
      </w:r>
    </w:p>
    <w:p w:rsidR="00D767F4" w:rsidRPr="006C2B93" w:rsidRDefault="00D767F4" w:rsidP="00D767F4">
      <w:pPr>
        <w:pStyle w:val="Normal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Classer la population enquêtée en inactifs, chômeurs ou actifs occupés, y compris les travailleurs occasionnels, à temps partiel et dans des formes d’emploi irrégulier.</w:t>
      </w:r>
    </w:p>
    <w:p w:rsidR="00D767F4" w:rsidRPr="006C2B93" w:rsidRDefault="00D767F4" w:rsidP="00D767F4">
      <w:pPr>
        <w:pStyle w:val="NormalWeb"/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lastRenderedPageBreak/>
        <w:t>L’enquête bénéficie d’un personnel qualifié et expérimenté, ce qui permet de cerner avec précision les différents aspects du marché du travail.</w:t>
      </w:r>
    </w:p>
    <w:p w:rsidR="00D767F4" w:rsidRPr="006C2B93" w:rsidRDefault="00D767F4" w:rsidP="00D767F4">
      <w:pPr>
        <w:pStyle w:val="Titre3"/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Différences méthodologiques et interprétation des données</w:t>
      </w:r>
    </w:p>
    <w:p w:rsidR="00D767F4" w:rsidRPr="006C2B93" w:rsidRDefault="00D767F4" w:rsidP="00D767F4">
      <w:pPr>
        <w:pStyle w:val="NormalWeb"/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Les différences observées entre les résultats du recensement et de l’enquête nationale sur l’emploi s’expliquent par leurs méthodologies respectives :</w:t>
      </w:r>
    </w:p>
    <w:p w:rsidR="00D767F4" w:rsidRPr="006C2B93" w:rsidRDefault="00D767F4" w:rsidP="00D767F4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Le recensement, bien que couvrant l’ensemble de la population nationale, utilise une approche plus générale et déclarative, ce qui peut amplifier certains indicateurs comme le chômage.</w:t>
      </w:r>
    </w:p>
    <w:p w:rsidR="00D767F4" w:rsidRPr="006C2B93" w:rsidRDefault="00D767F4" w:rsidP="00D767F4">
      <w:pPr>
        <w:pStyle w:val="Normal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>L’enquête nationale, plus détaillée et spécialisée, fournit des résultats alignés avec les standards internationaux, permettant une analyse plus précise du marché du travail.</w:t>
      </w:r>
    </w:p>
    <w:p w:rsidR="006C2B93" w:rsidRPr="006C2B93" w:rsidRDefault="006C2B93" w:rsidP="006C2B93">
      <w:pPr>
        <w:pStyle w:val="NormalWeb"/>
        <w:jc w:val="both"/>
        <w:rPr>
          <w:rFonts w:asciiTheme="minorHAnsi" w:hAnsiTheme="minorHAnsi" w:cstheme="minorHAnsi"/>
        </w:rPr>
      </w:pPr>
      <w:r w:rsidRPr="006C2B93">
        <w:rPr>
          <w:rFonts w:asciiTheme="minorHAnsi" w:hAnsiTheme="minorHAnsi" w:cstheme="minorHAnsi"/>
        </w:rPr>
        <w:t xml:space="preserve">Ces différences sont observées non seulement au Maroc, mais également dans les recensements au niveau international, soulignant l’importance de </w:t>
      </w:r>
      <w:r w:rsidRPr="00D767F4">
        <w:rPr>
          <w:rFonts w:asciiTheme="minorHAnsi" w:hAnsiTheme="minorHAnsi" w:cstheme="minorHAnsi"/>
        </w:rPr>
        <w:t xml:space="preserve">considérer </w:t>
      </w:r>
      <w:r w:rsidRPr="006C2B93">
        <w:rPr>
          <w:rFonts w:asciiTheme="minorHAnsi" w:hAnsiTheme="minorHAnsi" w:cstheme="minorHAnsi"/>
        </w:rPr>
        <w:t xml:space="preserve">le contexte et la méthodologie de chaque source </w:t>
      </w:r>
      <w:r w:rsidRPr="00D767F4">
        <w:rPr>
          <w:rFonts w:asciiTheme="minorHAnsi" w:hAnsiTheme="minorHAnsi" w:cstheme="minorHAnsi"/>
        </w:rPr>
        <w:t>pour interpréter les données relatives au marché du travail.</w:t>
      </w:r>
    </w:p>
    <w:p w:rsidR="00D767F4" w:rsidRPr="006C2B93" w:rsidRDefault="006C2B93" w:rsidP="006C2B93">
      <w:pPr>
        <w:pStyle w:val="NormalWeb"/>
        <w:jc w:val="both"/>
        <w:rPr>
          <w:rFonts w:asciiTheme="minorHAnsi" w:hAnsiTheme="minorHAnsi" w:cstheme="minorHAnsi"/>
        </w:rPr>
      </w:pPr>
      <w:r w:rsidRPr="00D767F4">
        <w:rPr>
          <w:rFonts w:asciiTheme="minorHAnsi" w:hAnsiTheme="minorHAnsi" w:cstheme="minorHAnsi"/>
        </w:rPr>
        <w:t>Il est à noter que des écarts similaires avaient été observés lors du recensement de 2014, où le taux de chômage était estimé à 16%, contre environ 9% selon l</w:t>
      </w:r>
      <w:r w:rsidRPr="006C2B93">
        <w:rPr>
          <w:rFonts w:asciiTheme="minorHAnsi" w:hAnsiTheme="minorHAnsi" w:cstheme="minorHAnsi"/>
        </w:rPr>
        <w:t>’</w:t>
      </w:r>
      <w:r w:rsidRPr="00D767F4">
        <w:rPr>
          <w:rFonts w:asciiTheme="minorHAnsi" w:hAnsiTheme="minorHAnsi" w:cstheme="minorHAnsi"/>
        </w:rPr>
        <w:t>enquête</w:t>
      </w:r>
      <w:r w:rsidRPr="006C2B93">
        <w:rPr>
          <w:rFonts w:asciiTheme="minorHAnsi" w:hAnsiTheme="minorHAnsi" w:cstheme="minorHAnsi"/>
        </w:rPr>
        <w:t xml:space="preserve"> </w:t>
      </w:r>
      <w:r w:rsidRPr="006C2B93">
        <w:rPr>
          <w:rFonts w:asciiTheme="minorHAnsi" w:hAnsiTheme="minorHAnsi" w:cstheme="minorHAnsi"/>
        </w:rPr>
        <w:t>nationale de l’</w:t>
      </w:r>
      <w:r w:rsidRPr="006C2B93">
        <w:rPr>
          <w:rFonts w:asciiTheme="minorHAnsi" w:hAnsiTheme="minorHAnsi" w:cstheme="minorHAnsi"/>
        </w:rPr>
        <w:t>emploi</w:t>
      </w:r>
      <w:r w:rsidRPr="006C2B93">
        <w:rPr>
          <w:rFonts w:asciiTheme="minorHAnsi" w:hAnsiTheme="minorHAnsi" w:cstheme="minorHAnsi"/>
        </w:rPr>
        <w:t xml:space="preserve"> de l'époque. </w:t>
      </w:r>
      <w:r w:rsidR="00D767F4" w:rsidRPr="006C2B93">
        <w:rPr>
          <w:rFonts w:asciiTheme="minorHAnsi" w:hAnsiTheme="minorHAnsi" w:cstheme="minorHAnsi"/>
        </w:rPr>
        <w:t xml:space="preserve">Le HCP rappelle que le taux de 21,3% fournit une photographie globale et inclusive de la situation de </w:t>
      </w:r>
      <w:r w:rsidRPr="006C2B93">
        <w:rPr>
          <w:rFonts w:asciiTheme="minorHAnsi" w:hAnsiTheme="minorHAnsi" w:cstheme="minorHAnsi"/>
        </w:rPr>
        <w:t>chômage</w:t>
      </w:r>
      <w:r w:rsidR="00D767F4" w:rsidRPr="006C2B93">
        <w:rPr>
          <w:rFonts w:asciiTheme="minorHAnsi" w:hAnsiTheme="minorHAnsi" w:cstheme="minorHAnsi"/>
        </w:rPr>
        <w:t xml:space="preserve"> au niveau national, tout en étant conscient des limites méthodologiques inhérentes au recensement. Pour une analyse approfondie et précise, les enquêtes trimestrielles demeurent la référence. Le HCP reste à la disposition des chercheurs, des décideurs et du public pour fournir des clarifications et des données complémentaires.</w:t>
      </w:r>
    </w:p>
    <w:p w:rsidR="0034558E" w:rsidRPr="006C2B93" w:rsidRDefault="0034558E" w:rsidP="00D767F4">
      <w:pPr>
        <w:jc w:val="both"/>
        <w:rPr>
          <w:rFonts w:cstheme="minorHAnsi"/>
        </w:rPr>
      </w:pPr>
    </w:p>
    <w:sectPr w:rsidR="0034558E" w:rsidRPr="006C2B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9E8" w:rsidRDefault="003649E8" w:rsidP="00E32C3F">
      <w:pPr>
        <w:spacing w:after="0" w:line="240" w:lineRule="auto"/>
      </w:pPr>
      <w:r>
        <w:separator/>
      </w:r>
    </w:p>
  </w:endnote>
  <w:endnote w:type="continuationSeparator" w:id="0">
    <w:p w:rsidR="003649E8" w:rsidRDefault="003649E8" w:rsidP="00E32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182952"/>
      <w:docPartObj>
        <w:docPartGallery w:val="Page Numbers (Bottom of Page)"/>
        <w:docPartUnique/>
      </w:docPartObj>
    </w:sdtPr>
    <w:sdtContent>
      <w:p w:rsidR="00E32C3F" w:rsidRDefault="00E32C3F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32C3F" w:rsidRDefault="00E32C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9E8" w:rsidRDefault="003649E8" w:rsidP="00E32C3F">
      <w:pPr>
        <w:spacing w:after="0" w:line="240" w:lineRule="auto"/>
      </w:pPr>
      <w:r>
        <w:separator/>
      </w:r>
    </w:p>
  </w:footnote>
  <w:footnote w:type="continuationSeparator" w:id="0">
    <w:p w:rsidR="003649E8" w:rsidRDefault="003649E8" w:rsidP="00E32C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259FF"/>
    <w:multiLevelType w:val="multilevel"/>
    <w:tmpl w:val="B5A0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340968"/>
    <w:multiLevelType w:val="multilevel"/>
    <w:tmpl w:val="0B06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B5222"/>
    <w:multiLevelType w:val="multilevel"/>
    <w:tmpl w:val="767A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424E09"/>
    <w:multiLevelType w:val="multilevel"/>
    <w:tmpl w:val="D982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B61FB2"/>
    <w:multiLevelType w:val="multilevel"/>
    <w:tmpl w:val="3EDE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C2160B"/>
    <w:multiLevelType w:val="multilevel"/>
    <w:tmpl w:val="B5AC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E77BE3"/>
    <w:multiLevelType w:val="multilevel"/>
    <w:tmpl w:val="0B98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7F4"/>
    <w:rsid w:val="0034558E"/>
    <w:rsid w:val="003649E8"/>
    <w:rsid w:val="006C2B93"/>
    <w:rsid w:val="00D767F4"/>
    <w:rsid w:val="00E3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3C5F7-D71B-4F74-9FD4-24A29202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D767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D767F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D76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D767F4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E3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2C3F"/>
  </w:style>
  <w:style w:type="paragraph" w:styleId="Pieddepage">
    <w:name w:val="footer"/>
    <w:basedOn w:val="Normal"/>
    <w:link w:val="PieddepageCar"/>
    <w:uiPriority w:val="99"/>
    <w:unhideWhenUsed/>
    <w:rsid w:val="00E32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2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0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DB037-8306-41A0-B358-76C83613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2024-12-23T10:44:00Z</dcterms:created>
  <dcterms:modified xsi:type="dcterms:W3CDTF">2024-12-23T11:21:00Z</dcterms:modified>
</cp:coreProperties>
</file>