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B92" w:rsidRDefault="00A03B92" w:rsidP="00990A1B">
      <w:pPr>
        <w:pStyle w:val="Corpsdetexte2"/>
        <w:spacing w:before="120" w:after="120"/>
        <w:rPr>
          <w:rFonts w:asciiTheme="majorBidi" w:hAnsiTheme="majorBidi" w:cstheme="majorBidi"/>
          <w:sz w:val="28"/>
          <w:szCs w:val="28"/>
        </w:rPr>
      </w:pPr>
    </w:p>
    <w:p w:rsidR="001C1497" w:rsidRDefault="001C1497" w:rsidP="006D508A">
      <w:pPr>
        <w:spacing w:line="240" w:lineRule="auto"/>
        <w:jc w:val="both"/>
        <w:rPr>
          <w:rFonts w:asciiTheme="majorBidi" w:hAnsiTheme="majorBidi" w:cstheme="majorBidi"/>
          <w:b/>
          <w:bCs/>
          <w:sz w:val="28"/>
          <w:szCs w:val="28"/>
        </w:rPr>
      </w:pPr>
    </w:p>
    <w:p w:rsidR="001C1497" w:rsidRDefault="001C1497" w:rsidP="006D508A">
      <w:pPr>
        <w:spacing w:line="240" w:lineRule="auto"/>
        <w:jc w:val="both"/>
        <w:rPr>
          <w:rFonts w:asciiTheme="majorBidi" w:hAnsiTheme="majorBidi" w:cstheme="majorBidi"/>
          <w:b/>
          <w:bCs/>
          <w:sz w:val="28"/>
          <w:szCs w:val="28"/>
        </w:rPr>
      </w:pPr>
    </w:p>
    <w:p w:rsidR="001C1497" w:rsidRDefault="006D508A" w:rsidP="001C1497">
      <w:pPr>
        <w:spacing w:after="0" w:line="312" w:lineRule="auto"/>
        <w:jc w:val="center"/>
        <w:rPr>
          <w:rFonts w:asciiTheme="majorBidi" w:hAnsiTheme="majorBidi" w:cstheme="majorBidi"/>
          <w:b/>
          <w:bCs/>
          <w:sz w:val="28"/>
          <w:szCs w:val="28"/>
        </w:rPr>
      </w:pPr>
      <w:r w:rsidRPr="00BE2A0E">
        <w:rPr>
          <w:rFonts w:asciiTheme="majorBidi" w:hAnsiTheme="majorBidi" w:cstheme="majorBidi"/>
          <w:b/>
          <w:bCs/>
          <w:sz w:val="28"/>
          <w:szCs w:val="28"/>
        </w:rPr>
        <w:t>Note sur les principaux résultats de</w:t>
      </w:r>
    </w:p>
    <w:p w:rsidR="006D508A" w:rsidRPr="00BE2A0E" w:rsidRDefault="006D508A" w:rsidP="001C1497">
      <w:pPr>
        <w:spacing w:after="0" w:line="312" w:lineRule="auto"/>
        <w:jc w:val="center"/>
        <w:rPr>
          <w:rFonts w:asciiTheme="majorBidi" w:hAnsiTheme="majorBidi" w:cstheme="majorBidi"/>
          <w:b/>
          <w:bCs/>
          <w:sz w:val="28"/>
          <w:szCs w:val="28"/>
        </w:rPr>
      </w:pPr>
      <w:proofErr w:type="gramStart"/>
      <w:r w:rsidRPr="00BE2A0E">
        <w:rPr>
          <w:rFonts w:asciiTheme="majorBidi" w:hAnsiTheme="majorBidi" w:cstheme="majorBidi"/>
          <w:b/>
          <w:bCs/>
          <w:sz w:val="28"/>
          <w:szCs w:val="28"/>
        </w:rPr>
        <w:t>l’enquête</w:t>
      </w:r>
      <w:proofErr w:type="gramEnd"/>
      <w:r w:rsidRPr="00BE2A0E">
        <w:rPr>
          <w:rFonts w:asciiTheme="majorBidi" w:hAnsiTheme="majorBidi" w:cstheme="majorBidi"/>
          <w:b/>
          <w:bCs/>
          <w:sz w:val="28"/>
          <w:szCs w:val="28"/>
        </w:rPr>
        <w:t xml:space="preserve"> nationale sur le niveau de vie des ménages 2022-2023</w:t>
      </w:r>
    </w:p>
    <w:p w:rsidR="006D508A" w:rsidRDefault="006D508A" w:rsidP="00990A1B">
      <w:pPr>
        <w:pStyle w:val="Corpsdetexte2"/>
        <w:spacing w:before="120" w:after="120"/>
        <w:rPr>
          <w:rFonts w:asciiTheme="majorBidi" w:hAnsiTheme="majorBidi" w:cstheme="majorBidi"/>
          <w:sz w:val="28"/>
          <w:szCs w:val="28"/>
        </w:rPr>
      </w:pPr>
    </w:p>
    <w:p w:rsidR="00990A1B" w:rsidRPr="00990A1B" w:rsidRDefault="00A03B92" w:rsidP="00990A1B">
      <w:pPr>
        <w:pStyle w:val="Corpsdetexte2"/>
        <w:spacing w:before="120" w:after="120"/>
        <w:rPr>
          <w:rFonts w:asciiTheme="majorBidi" w:hAnsiTheme="majorBidi" w:cstheme="majorBidi"/>
          <w:sz w:val="26"/>
          <w:szCs w:val="26"/>
        </w:rPr>
      </w:pPr>
      <w:r>
        <w:rPr>
          <w:rFonts w:asciiTheme="majorBidi" w:hAnsiTheme="majorBidi" w:cstheme="majorBidi"/>
          <w:sz w:val="28"/>
          <w:szCs w:val="28"/>
        </w:rPr>
        <w:t>L</w:t>
      </w:r>
      <w:r w:rsidR="000573B4" w:rsidRPr="00BE2A0E">
        <w:rPr>
          <w:rFonts w:asciiTheme="majorBidi" w:hAnsiTheme="majorBidi" w:cstheme="majorBidi"/>
          <w:sz w:val="28"/>
          <w:szCs w:val="28"/>
        </w:rPr>
        <w:t>e Haut-Commissariat au Plan a mené une Enquête Nationale sur le N</w:t>
      </w:r>
      <w:r w:rsidR="00FD0D6B" w:rsidRPr="00BE2A0E">
        <w:rPr>
          <w:rFonts w:asciiTheme="majorBidi" w:hAnsiTheme="majorBidi" w:cstheme="majorBidi"/>
          <w:sz w:val="28"/>
          <w:szCs w:val="28"/>
        </w:rPr>
        <w:t>iveau de Vie des Ménages</w:t>
      </w:r>
      <w:r w:rsidR="000573B4" w:rsidRPr="00BE2A0E">
        <w:rPr>
          <w:rFonts w:asciiTheme="majorBidi" w:hAnsiTheme="majorBidi" w:cstheme="majorBidi"/>
          <w:sz w:val="28"/>
          <w:szCs w:val="28"/>
        </w:rPr>
        <w:t xml:space="preserve"> </w:t>
      </w:r>
      <w:r w:rsidR="00EB69BA" w:rsidRPr="00BE2A0E">
        <w:rPr>
          <w:rFonts w:asciiTheme="majorBidi" w:hAnsiTheme="majorBidi" w:cstheme="majorBidi"/>
          <w:sz w:val="28"/>
          <w:szCs w:val="28"/>
        </w:rPr>
        <w:t>entre mars 2022 et mars 2023 auprès d’un</w:t>
      </w:r>
      <w:r w:rsidR="00990A1B" w:rsidRPr="00BE2A0E">
        <w:rPr>
          <w:rFonts w:asciiTheme="majorBidi" w:hAnsiTheme="majorBidi" w:cstheme="majorBidi"/>
          <w:sz w:val="28"/>
          <w:szCs w:val="28"/>
        </w:rPr>
        <w:t xml:space="preserve"> </w:t>
      </w:r>
      <w:r w:rsidR="00990A1B" w:rsidRPr="00990A1B">
        <w:rPr>
          <w:rFonts w:asciiTheme="majorBidi" w:hAnsiTheme="majorBidi" w:cstheme="majorBidi"/>
          <w:sz w:val="28"/>
          <w:szCs w:val="28"/>
        </w:rPr>
        <w:t xml:space="preserve">échantillon de 18000 ménages, représentatif des catégories socioéconomiques et de toutes les régions du Royaume. Cette enquête de structure, qui fait suite à une enquête similaire en 2014 et une enquête partielle en 2019, fournit une vision actualisée des dynamiques socio-économiques qui caractérisent la société marocaine. </w:t>
      </w:r>
    </w:p>
    <w:p w:rsidR="00990A1B" w:rsidRPr="00990A1B" w:rsidRDefault="00990A1B" w:rsidP="00990A1B">
      <w:pPr>
        <w:spacing w:after="0" w:line="240" w:lineRule="auto"/>
        <w:jc w:val="both"/>
        <w:rPr>
          <w:rFonts w:asciiTheme="majorBidi" w:hAnsiTheme="majorBidi" w:cstheme="majorBidi"/>
          <w:b/>
          <w:color w:val="0070C0"/>
          <w:sz w:val="28"/>
          <w:szCs w:val="28"/>
        </w:rPr>
      </w:pPr>
      <w:r w:rsidRPr="00990A1B">
        <w:rPr>
          <w:rFonts w:asciiTheme="majorBidi" w:hAnsiTheme="majorBidi" w:cstheme="majorBidi"/>
          <w:sz w:val="28"/>
          <w:szCs w:val="28"/>
        </w:rPr>
        <w:t>Il en ressort que structurellement le niveau de vie des ménages s’améliore, sans que cette dynamique ne s’accompagne d’une réduction des inégalités. Les politiques de filet</w:t>
      </w:r>
      <w:r w:rsidR="00612D21">
        <w:rPr>
          <w:rFonts w:asciiTheme="majorBidi" w:hAnsiTheme="majorBidi" w:cstheme="majorBidi"/>
          <w:sz w:val="28"/>
          <w:szCs w:val="28"/>
        </w:rPr>
        <w:t>s sociaux</w:t>
      </w:r>
      <w:r w:rsidRPr="00990A1B">
        <w:rPr>
          <w:rFonts w:asciiTheme="majorBidi" w:hAnsiTheme="majorBidi" w:cstheme="majorBidi"/>
          <w:sz w:val="28"/>
          <w:szCs w:val="28"/>
        </w:rPr>
        <w:t xml:space="preserve"> ont un impact tangib</w:t>
      </w:r>
      <w:r w:rsidR="00612D21">
        <w:rPr>
          <w:rFonts w:asciiTheme="majorBidi" w:hAnsiTheme="majorBidi" w:cstheme="majorBidi"/>
          <w:sz w:val="28"/>
          <w:szCs w:val="28"/>
        </w:rPr>
        <w:t>le sur la réduction de la</w:t>
      </w:r>
      <w:r w:rsidRPr="00990A1B">
        <w:rPr>
          <w:rFonts w:asciiTheme="majorBidi" w:hAnsiTheme="majorBidi" w:cstheme="majorBidi"/>
          <w:sz w:val="28"/>
          <w:szCs w:val="28"/>
        </w:rPr>
        <w:t xml:space="preserve"> pauvreté, mais la vulnérabilité des couches sociales non ciblées par ces politiques, augmente. Ainsi</w:t>
      </w:r>
      <w:r>
        <w:rPr>
          <w:rFonts w:asciiTheme="majorBidi" w:hAnsiTheme="majorBidi" w:cstheme="majorBidi"/>
          <w:sz w:val="28"/>
          <w:szCs w:val="28"/>
        </w:rPr>
        <w:t>,</w:t>
      </w:r>
      <w:r w:rsidRPr="00990A1B">
        <w:rPr>
          <w:rFonts w:asciiTheme="majorBidi" w:hAnsiTheme="majorBidi" w:cstheme="majorBidi"/>
          <w:sz w:val="28"/>
          <w:szCs w:val="28"/>
        </w:rPr>
        <w:t xml:space="preserve"> l</w:t>
      </w:r>
      <w:r w:rsidR="008B6C5A">
        <w:rPr>
          <w:rFonts w:asciiTheme="majorBidi" w:hAnsiTheme="majorBidi" w:cstheme="majorBidi"/>
          <w:sz w:val="28"/>
          <w:szCs w:val="28"/>
        </w:rPr>
        <w:t>a part des ménages avec un</w:t>
      </w:r>
      <w:r w:rsidRPr="00990A1B">
        <w:rPr>
          <w:rFonts w:asciiTheme="majorBidi" w:hAnsiTheme="majorBidi" w:cstheme="majorBidi"/>
          <w:sz w:val="28"/>
          <w:szCs w:val="28"/>
        </w:rPr>
        <w:t xml:space="preserve"> risque de déclassement vers la pauvreté s’élargit, et</w:t>
      </w:r>
      <w:r w:rsidR="00612D21">
        <w:rPr>
          <w:rFonts w:asciiTheme="majorBidi" w:hAnsiTheme="majorBidi" w:cstheme="majorBidi"/>
          <w:sz w:val="28"/>
          <w:szCs w:val="28"/>
        </w:rPr>
        <w:t>,</w:t>
      </w:r>
      <w:r w:rsidRPr="00990A1B">
        <w:rPr>
          <w:rFonts w:asciiTheme="majorBidi" w:hAnsiTheme="majorBidi" w:cstheme="majorBidi"/>
          <w:sz w:val="28"/>
          <w:szCs w:val="28"/>
        </w:rPr>
        <w:t xml:space="preserve"> pour la pr</w:t>
      </w:r>
      <w:r w:rsidR="008B6C5A">
        <w:rPr>
          <w:rFonts w:asciiTheme="majorBidi" w:hAnsiTheme="majorBidi" w:cstheme="majorBidi"/>
          <w:sz w:val="28"/>
          <w:szCs w:val="28"/>
        </w:rPr>
        <w:t>emière fois, concerne autant</w:t>
      </w:r>
      <w:r w:rsidRPr="00990A1B">
        <w:rPr>
          <w:rFonts w:asciiTheme="majorBidi" w:hAnsiTheme="majorBidi" w:cstheme="majorBidi"/>
          <w:sz w:val="28"/>
          <w:szCs w:val="28"/>
        </w:rPr>
        <w:t xml:space="preserve"> les milieux urbains que ruraux. </w:t>
      </w:r>
    </w:p>
    <w:p w:rsidR="00990A1B" w:rsidRPr="00990A1B" w:rsidRDefault="00990A1B" w:rsidP="00990A1B">
      <w:pPr>
        <w:spacing w:before="120" w:after="120" w:line="240" w:lineRule="auto"/>
        <w:jc w:val="both"/>
        <w:rPr>
          <w:rFonts w:asciiTheme="majorBidi" w:hAnsiTheme="majorBidi" w:cstheme="majorBidi"/>
          <w:b/>
          <w:color w:val="0070C0"/>
          <w:sz w:val="28"/>
          <w:szCs w:val="28"/>
        </w:rPr>
      </w:pPr>
      <w:r w:rsidRPr="00990A1B">
        <w:rPr>
          <w:rFonts w:asciiTheme="majorBidi" w:hAnsiTheme="majorBidi" w:cstheme="majorBidi"/>
          <w:b/>
          <w:color w:val="0070C0"/>
          <w:sz w:val="28"/>
          <w:szCs w:val="28"/>
        </w:rPr>
        <w:t xml:space="preserve">Le niveau de vie a nettement progressé entre 2014 et 2019, avec une décélération entre 2019 et 2022, période </w:t>
      </w:r>
      <w:proofErr w:type="spellStart"/>
      <w:r w:rsidRPr="00990A1B">
        <w:rPr>
          <w:rFonts w:asciiTheme="majorBidi" w:hAnsiTheme="majorBidi" w:cstheme="majorBidi"/>
          <w:b/>
          <w:color w:val="0070C0"/>
          <w:sz w:val="28"/>
          <w:szCs w:val="28"/>
        </w:rPr>
        <w:t>Covid</w:t>
      </w:r>
      <w:proofErr w:type="spellEnd"/>
      <w:r w:rsidRPr="00990A1B">
        <w:rPr>
          <w:rFonts w:asciiTheme="majorBidi" w:hAnsiTheme="majorBidi" w:cstheme="majorBidi"/>
          <w:b/>
          <w:color w:val="0070C0"/>
          <w:sz w:val="28"/>
          <w:szCs w:val="28"/>
        </w:rPr>
        <w:t xml:space="preserve"> </w:t>
      </w:r>
    </w:p>
    <w:p w:rsidR="00990A1B" w:rsidRPr="00990A1B" w:rsidRDefault="00990A1B" w:rsidP="00990A1B">
      <w:pPr>
        <w:keepNext/>
        <w:spacing w:before="120" w:after="120" w:line="240" w:lineRule="auto"/>
        <w:jc w:val="both"/>
        <w:outlineLvl w:val="1"/>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sidRPr="00990A1B">
        <w:rPr>
          <w:rFonts w:asciiTheme="majorBidi" w:eastAsia="Times New Roman" w:hAnsiTheme="majorBidi" w:cstheme="majorBidi"/>
          <w:sz w:val="28"/>
          <w:szCs w:val="28"/>
        </w:rPr>
        <w:t xml:space="preserve">Entre 2014 et 2022, la dépense annuelle moyenne par ménage est passée de 76 317 DH à 83 713 DH à l’échelle nationale correspondant à 95 386 DH en milieu urbain et à 56 769 DH en milieu rural. Ramenée à l’échelle individuelle, la dépense annuelle moyenne par personne est passée de 15 876 DH en 2014 à 20 658 DH en 2022. Elle a ainsi progressé, aux prix constants, à un taux annuel moyen de 1,1% entre 2014 et 2022, passant de 3,1% entre 2014 et 2019 à -3,1% entre 2019 et 2022. </w:t>
      </w:r>
    </w:p>
    <w:p w:rsidR="00990A1B" w:rsidRPr="00990A1B" w:rsidRDefault="00990A1B" w:rsidP="00990A1B">
      <w:pPr>
        <w:autoSpaceDE w:val="0"/>
        <w:autoSpaceDN w:val="0"/>
        <w:adjustRightInd w:val="0"/>
        <w:spacing w:before="120" w:after="120" w:line="240" w:lineRule="auto"/>
        <w:jc w:val="both"/>
        <w:rPr>
          <w:rFonts w:asciiTheme="majorBidi" w:hAnsiTheme="majorBidi" w:cstheme="majorBidi"/>
          <w:b/>
          <w:color w:val="0070C0"/>
          <w:sz w:val="28"/>
          <w:szCs w:val="28"/>
        </w:rPr>
      </w:pPr>
      <w:r w:rsidRPr="00990A1B">
        <w:rPr>
          <w:rFonts w:asciiTheme="majorBidi" w:hAnsiTheme="majorBidi" w:cstheme="majorBidi"/>
          <w:b/>
          <w:color w:val="0070C0"/>
          <w:sz w:val="28"/>
          <w:szCs w:val="28"/>
        </w:rPr>
        <w:t>Des changements significatifs dans la consommation des ménages : plus de charges pour l’alimentation, moins de dépenses de loisirs</w:t>
      </w:r>
    </w:p>
    <w:p w:rsidR="00990A1B" w:rsidRPr="00990A1B"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sz w:val="28"/>
          <w:szCs w:val="28"/>
        </w:rPr>
        <w:t>Concernant les dépenses dans le budget total des ménages, la part des dépenses alimentaires a augmenté de 37% en 2014 à 38,2% en 2022 ; les dépe</w:t>
      </w:r>
      <w:r>
        <w:rPr>
          <w:rFonts w:asciiTheme="majorBidi" w:hAnsiTheme="majorBidi" w:cstheme="majorBidi"/>
          <w:sz w:val="28"/>
          <w:szCs w:val="28"/>
        </w:rPr>
        <w:t>nses d’habitation et d’énergie </w:t>
      </w:r>
      <w:r w:rsidRPr="00990A1B">
        <w:rPr>
          <w:rFonts w:asciiTheme="majorBidi" w:hAnsiTheme="majorBidi" w:cstheme="majorBidi"/>
          <w:sz w:val="28"/>
          <w:szCs w:val="28"/>
        </w:rPr>
        <w:t>sont passées de 23% à 25,4% ; les dépenses d’hygiène de 2,7% à 3,9% et les dépenses de communication de 2,2% à 2,6%.</w:t>
      </w:r>
    </w:p>
    <w:p w:rsidR="00990A1B"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sz w:val="28"/>
          <w:szCs w:val="28"/>
        </w:rPr>
        <w:t xml:space="preserve">En revanche, les dépenses de soins de santé ont diminué de 6,1% à 5,9% ; </w:t>
      </w:r>
      <w:r>
        <w:rPr>
          <w:rFonts w:asciiTheme="majorBidi" w:hAnsiTheme="majorBidi" w:cstheme="majorBidi"/>
          <w:sz w:val="28"/>
          <w:szCs w:val="28"/>
        </w:rPr>
        <w:t>les dépenses de transport </w:t>
      </w:r>
      <w:r w:rsidRPr="00990A1B">
        <w:rPr>
          <w:rFonts w:asciiTheme="majorBidi" w:hAnsiTheme="majorBidi" w:cstheme="majorBidi"/>
          <w:sz w:val="28"/>
          <w:szCs w:val="28"/>
        </w:rPr>
        <w:t>ont baissé</w:t>
      </w:r>
      <w:r w:rsidR="00F04755">
        <w:rPr>
          <w:rFonts w:asciiTheme="majorBidi" w:hAnsiTheme="majorBidi" w:cstheme="majorBidi"/>
          <w:sz w:val="28"/>
          <w:szCs w:val="28"/>
        </w:rPr>
        <w:t xml:space="preserve"> </w:t>
      </w:r>
      <w:r w:rsidR="00F04755" w:rsidRPr="00E031EF">
        <w:rPr>
          <w:rFonts w:asciiTheme="majorBidi" w:hAnsiTheme="majorBidi" w:cstheme="majorBidi"/>
          <w:sz w:val="28"/>
          <w:szCs w:val="28"/>
        </w:rPr>
        <w:t>de</w:t>
      </w:r>
      <w:r w:rsidRPr="00990A1B">
        <w:rPr>
          <w:rFonts w:asciiTheme="majorBidi" w:hAnsiTheme="majorBidi" w:cstheme="majorBidi"/>
          <w:sz w:val="28"/>
          <w:szCs w:val="28"/>
        </w:rPr>
        <w:t xml:space="preserve"> 7,1% à 5,8% ; les dépenses d’équipements ménagers sont passées de 3,2% à 2,3% et les dépenses de loisirs et culture de 1,9% à 0,5%. </w:t>
      </w:r>
    </w:p>
    <w:p w:rsidR="00990A1B" w:rsidRPr="00990A1B" w:rsidRDefault="00BE2A0E" w:rsidP="00990A1B">
      <w:pPr>
        <w:spacing w:before="120" w:after="120" w:line="240" w:lineRule="auto"/>
        <w:jc w:val="both"/>
        <w:rPr>
          <w:rFonts w:asciiTheme="majorBidi" w:hAnsiTheme="majorBidi" w:cstheme="majorBidi"/>
          <w:b/>
          <w:color w:val="0070C0"/>
          <w:sz w:val="28"/>
          <w:szCs w:val="28"/>
        </w:rPr>
      </w:pPr>
      <w:bookmarkStart w:id="0" w:name="_GoBack"/>
      <w:bookmarkEnd w:id="0"/>
      <w:r>
        <w:rPr>
          <w:rFonts w:asciiTheme="majorBidi" w:hAnsiTheme="majorBidi" w:cstheme="majorBidi"/>
          <w:b/>
          <w:color w:val="0070C0"/>
          <w:sz w:val="28"/>
          <w:szCs w:val="28"/>
        </w:rPr>
        <w:lastRenderedPageBreak/>
        <w:t xml:space="preserve">Les </w:t>
      </w:r>
      <w:r w:rsidR="00990A1B" w:rsidRPr="00990A1B">
        <w:rPr>
          <w:rFonts w:asciiTheme="majorBidi" w:hAnsiTheme="majorBidi" w:cstheme="majorBidi"/>
          <w:b/>
          <w:color w:val="0070C0"/>
          <w:sz w:val="28"/>
          <w:szCs w:val="28"/>
        </w:rPr>
        <w:t>inégalités sociales se creusent avec une stabilité des inégalités territoriales entre 2014 et 2022</w:t>
      </w:r>
    </w:p>
    <w:p w:rsidR="00990A1B" w:rsidRPr="00990A1B" w:rsidRDefault="00990A1B" w:rsidP="00990A1B">
      <w:pPr>
        <w:spacing w:before="120" w:after="120" w:line="240" w:lineRule="auto"/>
        <w:jc w:val="both"/>
        <w:rPr>
          <w:rFonts w:asciiTheme="majorBidi" w:eastAsia="Times New Roman" w:hAnsiTheme="majorBidi" w:cstheme="majorBidi"/>
          <w:sz w:val="28"/>
          <w:szCs w:val="28"/>
        </w:rPr>
      </w:pPr>
      <w:r w:rsidRPr="00990A1B">
        <w:rPr>
          <w:rFonts w:asciiTheme="majorBidi" w:eastAsia="Times New Roman" w:hAnsiTheme="majorBidi" w:cstheme="majorBidi"/>
          <w:sz w:val="28"/>
          <w:szCs w:val="28"/>
        </w:rPr>
        <w:t>Le niveau de vie des 20% les moins aisés a annuellement progressé de 1,1</w:t>
      </w:r>
      <w:r w:rsidR="00BE2A0E">
        <w:rPr>
          <w:rFonts w:asciiTheme="majorBidi" w:eastAsia="Times New Roman" w:hAnsiTheme="majorBidi" w:cstheme="majorBidi"/>
          <w:sz w:val="28"/>
          <w:szCs w:val="28"/>
        </w:rPr>
        <w:t xml:space="preserve">% </w:t>
      </w:r>
      <w:r w:rsidRPr="00990A1B">
        <w:rPr>
          <w:rFonts w:asciiTheme="majorBidi" w:eastAsia="Times New Roman" w:hAnsiTheme="majorBidi" w:cstheme="majorBidi"/>
          <w:sz w:val="28"/>
          <w:szCs w:val="28"/>
        </w:rPr>
        <w:t>entre 2014 et 2022.</w:t>
      </w:r>
      <w:r w:rsidRPr="00990A1B">
        <w:rPr>
          <w:rFonts w:asciiTheme="majorBidi" w:hAnsiTheme="majorBidi" w:cstheme="majorBidi"/>
          <w:sz w:val="28"/>
          <w:szCs w:val="28"/>
        </w:rPr>
        <w:t xml:space="preserve"> Cette progression résulte d’une amélioration de 3,9% entre 2014 et 2019, et </w:t>
      </w:r>
      <w:r w:rsidRPr="00990A1B">
        <w:rPr>
          <w:rFonts w:asciiTheme="majorBidi" w:hAnsiTheme="majorBidi" w:cstheme="majorBidi"/>
          <w:color w:val="000000"/>
          <w:sz w:val="28"/>
          <w:szCs w:val="28"/>
        </w:rPr>
        <w:t>d’une baisse du niveau de vie de -4,6%</w:t>
      </w:r>
      <w:r w:rsidRPr="00990A1B">
        <w:rPr>
          <w:rFonts w:asciiTheme="majorBidi" w:hAnsiTheme="majorBidi" w:cstheme="majorBidi"/>
          <w:sz w:val="28"/>
          <w:szCs w:val="28"/>
        </w:rPr>
        <w:t xml:space="preserve"> entre 2019 et 2022.</w:t>
      </w:r>
    </w:p>
    <w:p w:rsidR="00990A1B" w:rsidRPr="00990A1B" w:rsidRDefault="00990A1B" w:rsidP="00990A1B">
      <w:pPr>
        <w:spacing w:before="120" w:after="120" w:line="240" w:lineRule="auto"/>
        <w:jc w:val="both"/>
        <w:rPr>
          <w:rFonts w:asciiTheme="majorBidi" w:eastAsia="Times New Roman" w:hAnsiTheme="majorBidi" w:cstheme="majorBidi"/>
          <w:sz w:val="28"/>
          <w:szCs w:val="28"/>
        </w:rPr>
      </w:pPr>
      <w:r w:rsidRPr="00990A1B">
        <w:rPr>
          <w:rFonts w:asciiTheme="majorBidi" w:eastAsia="Times New Roman" w:hAnsiTheme="majorBidi" w:cstheme="majorBidi"/>
          <w:sz w:val="28"/>
          <w:szCs w:val="28"/>
        </w:rPr>
        <w:t>Pour les 20% les plus aisés, le niveau de vie a annuellement progressé de 1,4</w:t>
      </w:r>
      <w:r>
        <w:rPr>
          <w:rFonts w:asciiTheme="majorBidi" w:eastAsia="Times New Roman" w:hAnsiTheme="majorBidi" w:cstheme="majorBidi"/>
          <w:sz w:val="28"/>
          <w:szCs w:val="28"/>
        </w:rPr>
        <w:t xml:space="preserve">% </w:t>
      </w:r>
      <w:r w:rsidRPr="00990A1B">
        <w:rPr>
          <w:rFonts w:asciiTheme="majorBidi" w:eastAsia="Times New Roman" w:hAnsiTheme="majorBidi" w:cstheme="majorBidi"/>
          <w:sz w:val="28"/>
          <w:szCs w:val="28"/>
        </w:rPr>
        <w:t xml:space="preserve">entre 2014 et 2022, une amélioration marquée de 2,8% entre 2014 et 2019, mais avec une régression de -1,7% entre 2019 et 2022. </w:t>
      </w:r>
    </w:p>
    <w:p w:rsidR="00990A1B" w:rsidRPr="00990A1B" w:rsidRDefault="00990A1B" w:rsidP="00990A1B">
      <w:pPr>
        <w:spacing w:before="120" w:after="120" w:line="240" w:lineRule="auto"/>
        <w:jc w:val="both"/>
        <w:rPr>
          <w:rFonts w:asciiTheme="majorBidi" w:eastAsia="Times New Roman" w:hAnsiTheme="majorBidi" w:cstheme="majorBidi"/>
          <w:sz w:val="28"/>
          <w:szCs w:val="28"/>
        </w:rPr>
      </w:pPr>
      <w:r w:rsidRPr="00990A1B">
        <w:rPr>
          <w:rFonts w:asciiTheme="majorBidi" w:hAnsiTheme="majorBidi" w:cstheme="majorBidi"/>
          <w:sz w:val="28"/>
          <w:szCs w:val="28"/>
        </w:rPr>
        <w:t>Quant à la catégorie sociale intermédiaire, son niveau de vie a progressé de 0,8% entre 2014 et 2022, avec une progression de 3,3% entre 2014 et 2019 et une régression de -4,3% entre 2019 et 2022.</w:t>
      </w:r>
    </w:p>
    <w:p w:rsidR="00FB3A00"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sz w:val="28"/>
          <w:szCs w:val="28"/>
        </w:rPr>
        <w:t xml:space="preserve">Les couches les plus pauvres et les plus riches ont vu globalement leur niveau de vie progresser alors que la classe moyenne n’a pas pu autant bénéficier ni des fruits de la croissance ni des politiques de redistribution. Dans ce contexte, les inégalités du niveau de vie, mesurées par l’indice de Gini, se sont creusées entre 2014 et 2022, passant de 39,5% à 40,5%, après avoir enregistré une diminution à 38,5% en 2019. </w:t>
      </w:r>
    </w:p>
    <w:p w:rsidR="00990A1B" w:rsidRPr="00990A1B"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sz w:val="28"/>
          <w:szCs w:val="28"/>
        </w:rPr>
        <w:t>Par ailleurs, les disparités entre les milieux urbain et rural, mesurées par le rapport entre le niveau de vie moyen des citadins et celui des ruraux, sont restées stables à 1,9 fois entre 2014 et 2022, après avoir été réduit à 1,8 fois en 2019.</w:t>
      </w:r>
    </w:p>
    <w:p w:rsidR="00990A1B" w:rsidRPr="00990A1B"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b/>
          <w:color w:val="0070C0"/>
          <w:sz w:val="28"/>
          <w:szCs w:val="28"/>
        </w:rPr>
        <w:t xml:space="preserve">La pauvreté absolue a globalement reculé entre 2014 et 2022 </w:t>
      </w:r>
    </w:p>
    <w:p w:rsidR="00990A1B" w:rsidRPr="00990A1B"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sz w:val="28"/>
          <w:szCs w:val="28"/>
        </w:rPr>
        <w:t xml:space="preserve">Le taux de pauvreté absolue a globalement reculé entre 2014 et 2022, passant de 4,8% à 3,9% après avoir atteint un taux de 1,7% en 2019. </w:t>
      </w:r>
    </w:p>
    <w:p w:rsidR="00990A1B" w:rsidRPr="00990A1B"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sz w:val="28"/>
          <w:szCs w:val="28"/>
        </w:rPr>
        <w:t>La même tendance est observée en milieu rural, avec une baisse du taux de pauvreté, passant de 9,5% en 2014 à 6,9% en 2022</w:t>
      </w:r>
      <w:r w:rsidR="00FB3A00">
        <w:rPr>
          <w:rFonts w:asciiTheme="majorBidi" w:hAnsiTheme="majorBidi" w:cstheme="majorBidi"/>
          <w:sz w:val="28"/>
          <w:szCs w:val="28"/>
        </w:rPr>
        <w:t>.</w:t>
      </w:r>
      <w:r w:rsidRPr="00990A1B">
        <w:rPr>
          <w:rFonts w:asciiTheme="majorBidi" w:hAnsiTheme="majorBidi" w:cstheme="majorBidi"/>
          <w:sz w:val="28"/>
          <w:szCs w:val="28"/>
        </w:rPr>
        <w:t xml:space="preserve"> En revanche, en milieu urbain, la pauvreté a enregistré une légère hausse, de 1,6% en 2014 à 2,2% en 2022.</w:t>
      </w:r>
    </w:p>
    <w:p w:rsidR="00722AB2" w:rsidRPr="00990A1B" w:rsidRDefault="00990A1B" w:rsidP="006D508A">
      <w:pPr>
        <w:spacing w:before="120" w:after="120" w:line="240" w:lineRule="auto"/>
        <w:jc w:val="both"/>
        <w:rPr>
          <w:rFonts w:asciiTheme="majorBidi" w:eastAsia="Times New Roman" w:hAnsiTheme="majorBidi" w:cstheme="majorBidi"/>
          <w:sz w:val="28"/>
          <w:szCs w:val="28"/>
        </w:rPr>
      </w:pPr>
      <w:r w:rsidRPr="00990A1B">
        <w:rPr>
          <w:rFonts w:asciiTheme="majorBidi" w:hAnsiTheme="majorBidi" w:cstheme="majorBidi"/>
          <w:sz w:val="28"/>
          <w:szCs w:val="28"/>
        </w:rPr>
        <w:t xml:space="preserve">Au total, l’effectif de la population pauvre au niveau national est de 1,42 million </w:t>
      </w:r>
      <w:r w:rsidR="00631DBE">
        <w:rPr>
          <w:rFonts w:asciiTheme="majorBidi" w:hAnsiTheme="majorBidi" w:cstheme="majorBidi"/>
          <w:sz w:val="28"/>
          <w:szCs w:val="28"/>
        </w:rPr>
        <w:t>en 2022, dont 512 mille en milieu urbain</w:t>
      </w:r>
      <w:r w:rsidRPr="00990A1B">
        <w:rPr>
          <w:rFonts w:asciiTheme="majorBidi" w:hAnsiTheme="majorBidi" w:cstheme="majorBidi"/>
          <w:sz w:val="28"/>
          <w:szCs w:val="28"/>
        </w:rPr>
        <w:t xml:space="preserve"> et 906 mille dans le rural. </w:t>
      </w:r>
      <w:r w:rsidRPr="00990A1B">
        <w:rPr>
          <w:rFonts w:asciiTheme="majorBidi" w:eastAsia="Times New Roman" w:hAnsiTheme="majorBidi" w:cstheme="majorBidi"/>
          <w:sz w:val="28"/>
          <w:szCs w:val="28"/>
        </w:rPr>
        <w:t xml:space="preserve">En 2022, Cinq régions présentent un taux de pauvreté supérieur à la moyenne nationale (3,9%) : Fès-Meknès (9%), </w:t>
      </w:r>
      <w:proofErr w:type="spellStart"/>
      <w:r w:rsidRPr="00990A1B">
        <w:rPr>
          <w:rFonts w:asciiTheme="majorBidi" w:eastAsia="Times New Roman" w:hAnsiTheme="majorBidi" w:cstheme="majorBidi"/>
          <w:sz w:val="28"/>
          <w:szCs w:val="28"/>
        </w:rPr>
        <w:t>Guelmim</w:t>
      </w:r>
      <w:proofErr w:type="spellEnd"/>
      <w:r w:rsidRPr="00990A1B">
        <w:rPr>
          <w:rFonts w:asciiTheme="majorBidi" w:eastAsia="Times New Roman" w:hAnsiTheme="majorBidi" w:cstheme="majorBidi"/>
          <w:sz w:val="28"/>
          <w:szCs w:val="28"/>
        </w:rPr>
        <w:t>-Oued Noun (7,6%), Béni Mellal-</w:t>
      </w:r>
      <w:proofErr w:type="spellStart"/>
      <w:r w:rsidRPr="00990A1B">
        <w:rPr>
          <w:rFonts w:asciiTheme="majorBidi" w:eastAsia="Times New Roman" w:hAnsiTheme="majorBidi" w:cstheme="majorBidi"/>
          <w:sz w:val="28"/>
          <w:szCs w:val="28"/>
        </w:rPr>
        <w:t>Khénifra</w:t>
      </w:r>
      <w:proofErr w:type="spellEnd"/>
      <w:r w:rsidRPr="00990A1B">
        <w:rPr>
          <w:rFonts w:asciiTheme="majorBidi" w:eastAsia="Times New Roman" w:hAnsiTheme="majorBidi" w:cstheme="majorBidi"/>
          <w:sz w:val="28"/>
          <w:szCs w:val="28"/>
        </w:rPr>
        <w:t xml:space="preserve"> (6,6%), </w:t>
      </w:r>
      <w:proofErr w:type="spellStart"/>
      <w:r w:rsidRPr="00990A1B">
        <w:rPr>
          <w:rFonts w:asciiTheme="majorBidi" w:eastAsia="Times New Roman" w:hAnsiTheme="majorBidi" w:cstheme="majorBidi"/>
          <w:sz w:val="28"/>
          <w:szCs w:val="28"/>
        </w:rPr>
        <w:t>Darâa</w:t>
      </w:r>
      <w:proofErr w:type="spellEnd"/>
      <w:r w:rsidRPr="00990A1B">
        <w:rPr>
          <w:rFonts w:asciiTheme="majorBidi" w:eastAsia="Times New Roman" w:hAnsiTheme="majorBidi" w:cstheme="majorBidi"/>
          <w:sz w:val="28"/>
          <w:szCs w:val="28"/>
        </w:rPr>
        <w:t>-Tafilalet (4,9%) et L’Oriental (4,2%).</w:t>
      </w:r>
    </w:p>
    <w:p w:rsidR="00990A1B" w:rsidRPr="00990A1B" w:rsidRDefault="00990A1B" w:rsidP="00990A1B">
      <w:pPr>
        <w:spacing w:before="120" w:after="120" w:line="240" w:lineRule="auto"/>
        <w:jc w:val="both"/>
        <w:rPr>
          <w:rFonts w:asciiTheme="majorBidi" w:eastAsia="Times New Roman" w:hAnsiTheme="majorBidi" w:cstheme="majorBidi"/>
          <w:b/>
          <w:bCs/>
          <w:color w:val="0070C0"/>
          <w:spacing w:val="4"/>
          <w:sz w:val="28"/>
          <w:szCs w:val="28"/>
        </w:rPr>
      </w:pPr>
      <w:r w:rsidRPr="00990A1B">
        <w:rPr>
          <w:rFonts w:asciiTheme="majorBidi" w:eastAsia="Times New Roman" w:hAnsiTheme="majorBidi" w:cstheme="majorBidi"/>
          <w:b/>
          <w:bCs/>
          <w:color w:val="0070C0"/>
          <w:spacing w:val="4"/>
          <w:sz w:val="28"/>
          <w:szCs w:val="28"/>
        </w:rPr>
        <w:t>La vulnérabilité devient de plus en plus prégnante en milieu urbain</w:t>
      </w:r>
    </w:p>
    <w:p w:rsidR="00990A1B" w:rsidRPr="00990A1B" w:rsidRDefault="00990A1B" w:rsidP="00E748C4">
      <w:pPr>
        <w:spacing w:before="120" w:after="120" w:line="240" w:lineRule="auto"/>
        <w:jc w:val="both"/>
        <w:rPr>
          <w:rFonts w:asciiTheme="majorBidi" w:eastAsia="Times New Roman" w:hAnsiTheme="majorBidi" w:cstheme="majorBidi"/>
          <w:spacing w:val="4"/>
          <w:sz w:val="28"/>
          <w:szCs w:val="28"/>
        </w:rPr>
      </w:pPr>
      <w:r w:rsidRPr="00990A1B">
        <w:rPr>
          <w:rFonts w:asciiTheme="majorBidi" w:eastAsia="Times New Roman" w:hAnsiTheme="majorBidi" w:cstheme="majorBidi"/>
          <w:spacing w:val="4"/>
          <w:sz w:val="28"/>
          <w:szCs w:val="28"/>
        </w:rPr>
        <w:t>La vulnérabilité à la pauvreté renseigne sur le risque de basculer dans la pauvreté si des filets de sécurité ne protègent pas des chocs économiques et sociaux.</w:t>
      </w:r>
    </w:p>
    <w:p w:rsidR="00E748C4" w:rsidRDefault="00990A1B" w:rsidP="00990A1B">
      <w:pPr>
        <w:spacing w:before="120" w:after="120" w:line="240" w:lineRule="auto"/>
        <w:jc w:val="both"/>
        <w:rPr>
          <w:rFonts w:asciiTheme="majorBidi" w:eastAsia="Times New Roman" w:hAnsiTheme="majorBidi" w:cstheme="majorBidi"/>
          <w:spacing w:val="4"/>
          <w:sz w:val="28"/>
          <w:szCs w:val="28"/>
        </w:rPr>
      </w:pPr>
      <w:r w:rsidRPr="00990A1B">
        <w:rPr>
          <w:rFonts w:asciiTheme="majorBidi" w:eastAsia="Times New Roman" w:hAnsiTheme="majorBidi" w:cstheme="majorBidi"/>
          <w:spacing w:val="4"/>
          <w:sz w:val="28"/>
          <w:szCs w:val="28"/>
        </w:rPr>
        <w:t xml:space="preserve">La vulnérabilité a connu une légère hausse de 12,5% à 12,9% entre 2014 et 2022 après avoir atteint 7,3% en 2019. Dans les zones rurales, la prévalence de la vulnérabilité en 2022 (19,2%) demeure similaire à celle observée en 2014 (19,4%), tandis qu'en milieu urbain, elle a augmenté à 9,5% en 2022 par rapport à 7,9% en 2014. </w:t>
      </w:r>
    </w:p>
    <w:p w:rsidR="00990A1B" w:rsidRPr="00990A1B" w:rsidRDefault="00990A1B" w:rsidP="00990A1B">
      <w:pPr>
        <w:spacing w:before="120" w:after="120" w:line="240" w:lineRule="auto"/>
        <w:jc w:val="both"/>
        <w:rPr>
          <w:rFonts w:asciiTheme="majorBidi" w:eastAsia="Times New Roman" w:hAnsiTheme="majorBidi" w:cstheme="majorBidi"/>
          <w:spacing w:val="4"/>
          <w:sz w:val="28"/>
          <w:szCs w:val="28"/>
        </w:rPr>
      </w:pPr>
      <w:r w:rsidRPr="00990A1B">
        <w:rPr>
          <w:rFonts w:asciiTheme="majorBidi" w:eastAsia="Times New Roman" w:hAnsiTheme="majorBidi" w:cstheme="majorBidi"/>
          <w:spacing w:val="4"/>
          <w:sz w:val="28"/>
          <w:szCs w:val="28"/>
        </w:rPr>
        <w:lastRenderedPageBreak/>
        <w:t xml:space="preserve">Le nombre de personnes économiquement vulnérables est de 4,75 millions en 2022, dont 2,24 millions en milieu urbain et 2,51 millions en milieu rural. La vulnérabilité économique se développe en milieu urbain : en 2022, une tendance nouvelle se dessine, près de la moitié des personnes vulnérables sont des citadins (47,2%), contre 36% en 2014. </w:t>
      </w:r>
    </w:p>
    <w:p w:rsidR="00990A1B" w:rsidRPr="00990A1B" w:rsidRDefault="00990A1B" w:rsidP="00990A1B">
      <w:pPr>
        <w:shd w:val="clear" w:color="auto" w:fill="FFFFFF"/>
        <w:spacing w:before="120" w:after="120" w:line="240" w:lineRule="auto"/>
        <w:jc w:val="both"/>
        <w:rPr>
          <w:rFonts w:asciiTheme="majorBidi" w:eastAsia="Times New Roman" w:hAnsiTheme="majorBidi" w:cstheme="majorBidi"/>
          <w:b/>
          <w:bCs/>
          <w:color w:val="0070C0"/>
          <w:sz w:val="28"/>
          <w:szCs w:val="28"/>
        </w:rPr>
      </w:pPr>
      <w:r w:rsidRPr="00990A1B">
        <w:rPr>
          <w:rFonts w:asciiTheme="majorBidi" w:eastAsia="Times New Roman" w:hAnsiTheme="majorBidi" w:cstheme="majorBidi"/>
          <w:b/>
          <w:bCs/>
          <w:color w:val="0070C0"/>
          <w:sz w:val="28"/>
          <w:szCs w:val="28"/>
        </w:rPr>
        <w:t xml:space="preserve">Réduction notable de la pauvreté multidimensionnelle en milieu rural </w:t>
      </w:r>
    </w:p>
    <w:p w:rsidR="00990A1B" w:rsidRPr="00990A1B" w:rsidRDefault="00990A1B" w:rsidP="00990A1B">
      <w:pPr>
        <w:shd w:val="clear" w:color="auto" w:fill="FFFFFF"/>
        <w:spacing w:before="120" w:after="120" w:line="240" w:lineRule="auto"/>
        <w:jc w:val="both"/>
        <w:rPr>
          <w:rFonts w:asciiTheme="majorBidi" w:hAnsiTheme="majorBidi" w:cstheme="majorBidi"/>
          <w:color w:val="0D0D0D"/>
          <w:sz w:val="28"/>
          <w:szCs w:val="28"/>
          <w:shd w:val="clear" w:color="auto" w:fill="FFFFFF"/>
        </w:rPr>
      </w:pPr>
      <w:r w:rsidRPr="00990A1B">
        <w:rPr>
          <w:rFonts w:asciiTheme="majorBidi" w:hAnsiTheme="majorBidi" w:cstheme="majorBidi"/>
          <w:color w:val="0D0D0D"/>
          <w:sz w:val="28"/>
          <w:szCs w:val="28"/>
          <w:shd w:val="clear" w:color="auto" w:fill="FFFFFF"/>
        </w:rPr>
        <w:t xml:space="preserve">La pauvreté multidimensionnelle a considérablement diminué, passant de 9,1% en 2014 à 5,7% en 2022, surtout en milieu rural, où le taux est passé de 19,4% à 11,2%, tandis qu'en milieu urbain, il est passé de 2,2% à 2,6%. </w:t>
      </w:r>
    </w:p>
    <w:p w:rsidR="00990A1B" w:rsidRPr="00990A1B" w:rsidRDefault="00990A1B" w:rsidP="00990A1B">
      <w:pPr>
        <w:spacing w:before="120" w:after="120" w:line="240" w:lineRule="auto"/>
        <w:jc w:val="both"/>
        <w:rPr>
          <w:rFonts w:asciiTheme="majorBidi" w:eastAsia="Times New Roman" w:hAnsiTheme="majorBidi" w:cstheme="majorBidi"/>
          <w:sz w:val="28"/>
          <w:szCs w:val="28"/>
        </w:rPr>
      </w:pPr>
      <w:r w:rsidRPr="00990A1B">
        <w:rPr>
          <w:rFonts w:asciiTheme="majorBidi" w:eastAsia="Times New Roman" w:hAnsiTheme="majorBidi" w:cstheme="majorBidi"/>
          <w:sz w:val="28"/>
          <w:szCs w:val="28"/>
        </w:rPr>
        <w:t>Deux régions affichent des taux de pauvreté multidimensionnelle à deux chiffres : « Béni Mellal-</w:t>
      </w:r>
      <w:proofErr w:type="spellStart"/>
      <w:r w:rsidRPr="00990A1B">
        <w:rPr>
          <w:rFonts w:asciiTheme="majorBidi" w:eastAsia="Times New Roman" w:hAnsiTheme="majorBidi" w:cstheme="majorBidi"/>
          <w:sz w:val="28"/>
          <w:szCs w:val="28"/>
        </w:rPr>
        <w:t>Khénifra</w:t>
      </w:r>
      <w:proofErr w:type="spellEnd"/>
      <w:r w:rsidRPr="00990A1B">
        <w:rPr>
          <w:rFonts w:asciiTheme="majorBidi" w:eastAsia="Times New Roman" w:hAnsiTheme="majorBidi" w:cstheme="majorBidi"/>
          <w:sz w:val="28"/>
          <w:szCs w:val="28"/>
        </w:rPr>
        <w:t xml:space="preserve"> » (11,6%) et « Fès-Meknès » (10,4%). Ces deux régions concentrent, à elles seules, plus de 40,0% de la population en situation de pauvreté multidimensionnelle.</w:t>
      </w:r>
    </w:p>
    <w:p w:rsidR="00990A1B" w:rsidRPr="00990A1B" w:rsidRDefault="00990A1B" w:rsidP="00990A1B">
      <w:pPr>
        <w:spacing w:before="120" w:after="120" w:line="240" w:lineRule="auto"/>
        <w:jc w:val="both"/>
        <w:rPr>
          <w:rFonts w:asciiTheme="majorBidi" w:eastAsia="Times New Roman" w:hAnsiTheme="majorBidi" w:cstheme="majorBidi"/>
          <w:b/>
          <w:bCs/>
          <w:color w:val="0070C0"/>
          <w:sz w:val="28"/>
          <w:szCs w:val="28"/>
        </w:rPr>
      </w:pPr>
      <w:r w:rsidRPr="00990A1B">
        <w:rPr>
          <w:rFonts w:asciiTheme="majorBidi" w:eastAsia="Times New Roman" w:hAnsiTheme="majorBidi" w:cstheme="majorBidi"/>
          <w:b/>
          <w:bCs/>
          <w:color w:val="0070C0"/>
          <w:sz w:val="28"/>
          <w:szCs w:val="28"/>
        </w:rPr>
        <w:t>En termes de revenu, le revenu annuel</w:t>
      </w:r>
      <w:r w:rsidR="00BE2A0E">
        <w:rPr>
          <w:rFonts w:asciiTheme="majorBidi" w:eastAsia="Times New Roman" w:hAnsiTheme="majorBidi" w:cstheme="majorBidi"/>
          <w:b/>
          <w:bCs/>
          <w:color w:val="0070C0"/>
          <w:sz w:val="28"/>
          <w:szCs w:val="28"/>
        </w:rPr>
        <w:t xml:space="preserve"> moyen des ménages s’élève à 89 </w:t>
      </w:r>
      <w:r w:rsidRPr="00990A1B">
        <w:rPr>
          <w:rFonts w:asciiTheme="majorBidi" w:eastAsia="Times New Roman" w:hAnsiTheme="majorBidi" w:cstheme="majorBidi"/>
          <w:b/>
          <w:bCs/>
          <w:color w:val="0070C0"/>
          <w:sz w:val="28"/>
          <w:szCs w:val="28"/>
        </w:rPr>
        <w:t xml:space="preserve">170 DH par an </w:t>
      </w:r>
    </w:p>
    <w:p w:rsidR="00990A1B" w:rsidRPr="00990A1B"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sz w:val="28"/>
          <w:szCs w:val="28"/>
        </w:rPr>
        <w:t>Le revenu annuel moyen des ménages s’élève à 89 170 DH au niveau national, 103 520 DH en milieu urbain et 56 047 DH en milieu rural. Par personne, le revenu annuel moyen est de 21 949 DH en 2022. Il est 2,1 fois plus élevé en milieu urbain (26 988 DH) qu’en milieu rural (12 862 DH).</w:t>
      </w:r>
    </w:p>
    <w:p w:rsidR="00990A1B" w:rsidRPr="00990A1B"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sz w:val="28"/>
          <w:szCs w:val="28"/>
        </w:rPr>
        <w:t xml:space="preserve">Au niveau national, près de sept ménages sur dix (71,8%) ont un revenu annuel inférieur à la moyenne, avec des disparités entre le milieu urbain (65,9%) et le milieu rural (85,4%). </w:t>
      </w:r>
    </w:p>
    <w:p w:rsidR="00990A1B" w:rsidRPr="00990A1B" w:rsidRDefault="00990A1B" w:rsidP="00990A1B">
      <w:pPr>
        <w:spacing w:before="120" w:after="120" w:line="240" w:lineRule="auto"/>
        <w:jc w:val="both"/>
        <w:rPr>
          <w:rFonts w:asciiTheme="majorBidi" w:hAnsiTheme="majorBidi" w:cstheme="majorBidi"/>
          <w:b/>
          <w:color w:val="0070C0"/>
          <w:sz w:val="28"/>
          <w:szCs w:val="28"/>
        </w:rPr>
      </w:pPr>
      <w:r w:rsidRPr="00990A1B">
        <w:rPr>
          <w:rFonts w:asciiTheme="majorBidi" w:hAnsiTheme="majorBidi" w:cstheme="majorBidi"/>
          <w:b/>
          <w:color w:val="0070C0"/>
          <w:sz w:val="28"/>
          <w:szCs w:val="28"/>
        </w:rPr>
        <w:t>Plus de la moitié du revenu des ménages provient des salaires (35%) et des transferts (21%)</w:t>
      </w:r>
    </w:p>
    <w:p w:rsidR="00990A1B" w:rsidRPr="00990A1B" w:rsidRDefault="00990A1B" w:rsidP="00990A1B">
      <w:pPr>
        <w:spacing w:before="120" w:after="120" w:line="240" w:lineRule="auto"/>
        <w:jc w:val="both"/>
        <w:rPr>
          <w:rFonts w:asciiTheme="majorBidi" w:eastAsia="Times New Roman" w:hAnsiTheme="majorBidi" w:cstheme="majorBidi"/>
          <w:sz w:val="28"/>
          <w:szCs w:val="28"/>
        </w:rPr>
      </w:pPr>
      <w:r w:rsidRPr="00990A1B">
        <w:rPr>
          <w:rFonts w:asciiTheme="majorBidi" w:hAnsiTheme="majorBidi" w:cstheme="majorBidi"/>
          <w:sz w:val="28"/>
          <w:szCs w:val="28"/>
        </w:rPr>
        <w:t>Les revenus salariaux représentent la principale source de revenu pour les ménages, contribuant à hauteur de</w:t>
      </w:r>
      <w:r w:rsidRPr="00990A1B">
        <w:rPr>
          <w:rFonts w:asciiTheme="majorBidi" w:hAnsiTheme="majorBidi" w:cstheme="majorBidi"/>
          <w:b/>
          <w:bCs/>
          <w:sz w:val="28"/>
          <w:szCs w:val="28"/>
        </w:rPr>
        <w:t xml:space="preserve"> </w:t>
      </w:r>
      <w:r w:rsidRPr="00990A1B">
        <w:rPr>
          <w:rFonts w:asciiTheme="majorBidi" w:eastAsia="Times New Roman" w:hAnsiTheme="majorBidi" w:cstheme="majorBidi"/>
          <w:sz w:val="28"/>
          <w:szCs w:val="28"/>
        </w:rPr>
        <w:t xml:space="preserve">35,1% du revenu total. Cette proportion est de </w:t>
      </w:r>
      <w:r w:rsidRPr="00990A1B">
        <w:rPr>
          <w:rFonts w:asciiTheme="majorBidi" w:hAnsiTheme="majorBidi" w:cstheme="majorBidi"/>
          <w:sz w:val="28"/>
          <w:szCs w:val="28"/>
        </w:rPr>
        <w:t>36,4</w:t>
      </w:r>
      <w:r w:rsidRPr="00990A1B">
        <w:rPr>
          <w:rFonts w:asciiTheme="majorBidi" w:eastAsia="Times New Roman" w:hAnsiTheme="majorBidi" w:cstheme="majorBidi"/>
          <w:sz w:val="28"/>
          <w:szCs w:val="28"/>
        </w:rPr>
        <w:t xml:space="preserve">% en milieu urbain et de </w:t>
      </w:r>
      <w:r w:rsidRPr="00990A1B">
        <w:rPr>
          <w:rFonts w:asciiTheme="majorBidi" w:hAnsiTheme="majorBidi" w:cstheme="majorBidi"/>
          <w:sz w:val="28"/>
          <w:szCs w:val="28"/>
        </w:rPr>
        <w:t>29,5</w:t>
      </w:r>
      <w:r w:rsidRPr="00990A1B">
        <w:rPr>
          <w:rFonts w:asciiTheme="majorBidi" w:eastAsia="Times New Roman" w:hAnsiTheme="majorBidi" w:cstheme="majorBidi"/>
          <w:sz w:val="28"/>
          <w:szCs w:val="28"/>
        </w:rPr>
        <w:t>% en milieu rural. </w:t>
      </w:r>
    </w:p>
    <w:p w:rsidR="00990A1B" w:rsidRPr="00990A1B" w:rsidRDefault="00990A1B" w:rsidP="00990A1B">
      <w:pPr>
        <w:spacing w:before="120" w:after="120" w:line="240" w:lineRule="auto"/>
        <w:jc w:val="both"/>
        <w:rPr>
          <w:rFonts w:asciiTheme="majorBidi" w:hAnsiTheme="majorBidi" w:cstheme="majorBidi"/>
          <w:sz w:val="28"/>
          <w:szCs w:val="28"/>
        </w:rPr>
      </w:pPr>
      <w:r w:rsidRPr="00990A1B">
        <w:rPr>
          <w:rFonts w:asciiTheme="majorBidi" w:hAnsiTheme="majorBidi" w:cstheme="majorBidi"/>
          <w:sz w:val="28"/>
          <w:szCs w:val="28"/>
        </w:rPr>
        <w:t xml:space="preserve">Les transferts publics et privés représentent 21,3 % du revenu total, avec une proportion de 22,8 % en milieu urbain et de 15,1 % en milieu rural. </w:t>
      </w:r>
    </w:p>
    <w:p w:rsidR="00990A1B" w:rsidRPr="00990A1B" w:rsidRDefault="00990A1B" w:rsidP="00990A1B">
      <w:pPr>
        <w:spacing w:before="120" w:after="120" w:line="240" w:lineRule="auto"/>
        <w:jc w:val="both"/>
        <w:rPr>
          <w:rFonts w:asciiTheme="majorBidi" w:eastAsia="Times New Roman" w:hAnsiTheme="majorBidi" w:cstheme="majorBidi"/>
          <w:b/>
          <w:bCs/>
          <w:sz w:val="24"/>
          <w:szCs w:val="24"/>
        </w:rPr>
      </w:pPr>
    </w:p>
    <w:p w:rsidR="003F4C11" w:rsidRPr="00831B86" w:rsidRDefault="00990A1B" w:rsidP="002612DA">
      <w:pPr>
        <w:spacing w:before="120" w:after="120" w:line="240" w:lineRule="auto"/>
        <w:jc w:val="both"/>
        <w:rPr>
          <w:rFonts w:asciiTheme="majorBidi" w:hAnsiTheme="majorBidi" w:cstheme="majorBidi"/>
          <w:b/>
          <w:bCs/>
          <w:sz w:val="24"/>
          <w:szCs w:val="24"/>
        </w:rPr>
      </w:pPr>
      <w:r w:rsidRPr="00990A1B">
        <w:rPr>
          <w:rFonts w:asciiTheme="majorBidi" w:eastAsia="Times New Roman" w:hAnsiTheme="majorBidi" w:cstheme="majorBidi"/>
          <w:sz w:val="28"/>
          <w:szCs w:val="28"/>
        </w:rPr>
        <w:t>En conclusion, l’analyse des déterminants de la réduction de la pauvreté montre que les politiques sociales en faveur des plus pauvres, ont permis à ces couches de la population de mieux bénéficier des f</w:t>
      </w:r>
      <w:r w:rsidR="00FE0901">
        <w:rPr>
          <w:rFonts w:asciiTheme="majorBidi" w:eastAsia="Times New Roman" w:hAnsiTheme="majorBidi" w:cstheme="majorBidi"/>
          <w:sz w:val="28"/>
          <w:szCs w:val="28"/>
        </w:rPr>
        <w:t>ruits de la croissance. L’accentuation</w:t>
      </w:r>
      <w:r w:rsidRPr="00990A1B">
        <w:rPr>
          <w:rFonts w:asciiTheme="majorBidi" w:eastAsia="Times New Roman" w:hAnsiTheme="majorBidi" w:cstheme="majorBidi"/>
          <w:sz w:val="28"/>
          <w:szCs w:val="28"/>
        </w:rPr>
        <w:t xml:space="preserve"> de l’indice de Gini, et l’évolution à la marge du niveau de vie des cla</w:t>
      </w:r>
      <w:r w:rsidR="00687677">
        <w:rPr>
          <w:rFonts w:asciiTheme="majorBidi" w:eastAsia="Times New Roman" w:hAnsiTheme="majorBidi" w:cstheme="majorBidi"/>
          <w:sz w:val="28"/>
          <w:szCs w:val="28"/>
        </w:rPr>
        <w:t>sses intermédiaires, quant à elles</w:t>
      </w:r>
      <w:r w:rsidR="00575D3A">
        <w:rPr>
          <w:rFonts w:asciiTheme="majorBidi" w:eastAsia="Times New Roman" w:hAnsiTheme="majorBidi" w:cstheme="majorBidi"/>
          <w:sz w:val="28"/>
          <w:szCs w:val="28"/>
        </w:rPr>
        <w:t>,</w:t>
      </w:r>
      <w:r w:rsidRPr="00990A1B">
        <w:rPr>
          <w:rFonts w:asciiTheme="majorBidi" w:eastAsia="Times New Roman" w:hAnsiTheme="majorBidi" w:cstheme="majorBidi"/>
          <w:sz w:val="28"/>
          <w:szCs w:val="28"/>
        </w:rPr>
        <w:t xml:space="preserve"> révèlent la nécessité de politiques publiques redistributives volontaristes à l’adresse de la classe moyenne pour répondre à l’enjeu de réduction des inégalités. A noter que</w:t>
      </w:r>
      <w:r w:rsidRPr="00990A1B">
        <w:rPr>
          <w:rFonts w:asciiTheme="majorBidi" w:hAnsiTheme="majorBidi" w:cstheme="majorBidi"/>
          <w:sz w:val="28"/>
          <w:szCs w:val="28"/>
        </w:rPr>
        <w:t xml:space="preserve"> l’inflexion dans la trajectoire d’amélioration des différents indicateurs à partir de 2019 jusqu’en 2022, une période marquée par la pandémie Covid-19, nécessite une nouvelle évaluation du </w:t>
      </w:r>
      <w:r w:rsidRPr="00990A1B">
        <w:rPr>
          <w:rFonts w:asciiTheme="majorBidi" w:hAnsiTheme="majorBidi" w:cstheme="majorBidi"/>
          <w:sz w:val="28"/>
          <w:szCs w:val="28"/>
        </w:rPr>
        <w:lastRenderedPageBreak/>
        <w:t>n</w:t>
      </w:r>
      <w:r w:rsidR="00E748C4">
        <w:rPr>
          <w:rFonts w:asciiTheme="majorBidi" w:hAnsiTheme="majorBidi" w:cstheme="majorBidi"/>
          <w:sz w:val="28"/>
          <w:szCs w:val="28"/>
        </w:rPr>
        <w:t>iveau de vie des ménages</w:t>
      </w:r>
      <w:r w:rsidR="00B1115C">
        <w:rPr>
          <w:rFonts w:asciiTheme="majorBidi" w:hAnsiTheme="majorBidi" w:cstheme="majorBidi"/>
          <w:sz w:val="28"/>
          <w:szCs w:val="28"/>
        </w:rPr>
        <w:t xml:space="preserve"> afin</w:t>
      </w:r>
      <w:r w:rsidRPr="00990A1B">
        <w:rPr>
          <w:rFonts w:asciiTheme="majorBidi" w:hAnsiTheme="majorBidi" w:cstheme="majorBidi"/>
          <w:sz w:val="28"/>
          <w:szCs w:val="28"/>
        </w:rPr>
        <w:t xml:space="preserve"> de </w:t>
      </w:r>
      <w:r w:rsidR="00E748C4">
        <w:rPr>
          <w:rFonts w:asciiTheme="majorBidi" w:hAnsiTheme="majorBidi" w:cstheme="majorBidi"/>
          <w:sz w:val="28"/>
          <w:szCs w:val="28"/>
        </w:rPr>
        <w:t>distinguer ce qui relève du structurel et ce qui relève</w:t>
      </w:r>
      <w:r w:rsidRPr="00990A1B">
        <w:rPr>
          <w:rFonts w:asciiTheme="majorBidi" w:hAnsiTheme="majorBidi" w:cstheme="majorBidi"/>
          <w:sz w:val="28"/>
          <w:szCs w:val="28"/>
        </w:rPr>
        <w:t xml:space="preserve"> du conjoncturel.</w:t>
      </w:r>
    </w:p>
    <w:p w:rsidR="003F4C11" w:rsidRPr="00831B86" w:rsidRDefault="003F4C11" w:rsidP="00FD0D6B">
      <w:pPr>
        <w:shd w:val="clear" w:color="auto" w:fill="FFFFFF"/>
        <w:spacing w:before="120" w:after="120" w:line="240" w:lineRule="auto"/>
        <w:jc w:val="both"/>
        <w:rPr>
          <w:rFonts w:asciiTheme="majorBidi" w:eastAsia="Times New Roman" w:hAnsiTheme="majorBidi" w:cstheme="majorBidi"/>
          <w:b/>
          <w:bCs/>
          <w:color w:val="0070C0"/>
          <w:sz w:val="24"/>
          <w:szCs w:val="24"/>
        </w:rPr>
      </w:pPr>
    </w:p>
    <w:sectPr w:rsidR="003F4C11" w:rsidRPr="00831B86" w:rsidSect="00CA3F1B">
      <w:footerReference w:type="default" r:id="rId8"/>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F93" w:rsidRDefault="00161F93" w:rsidP="00EF7CDE">
      <w:pPr>
        <w:spacing w:after="0" w:line="240" w:lineRule="auto"/>
      </w:pPr>
      <w:r>
        <w:separator/>
      </w:r>
    </w:p>
  </w:endnote>
  <w:endnote w:type="continuationSeparator" w:id="0">
    <w:p w:rsidR="00161F93" w:rsidRDefault="00161F93" w:rsidP="00EF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431077"/>
      <w:docPartObj>
        <w:docPartGallery w:val="Page Numbers (Bottom of Page)"/>
        <w:docPartUnique/>
      </w:docPartObj>
    </w:sdtPr>
    <w:sdtEndPr/>
    <w:sdtContent>
      <w:p w:rsidR="00EF7CDE" w:rsidRDefault="00EF7CDE">
        <w:pPr>
          <w:pStyle w:val="Pieddepage"/>
          <w:jc w:val="center"/>
        </w:pPr>
        <w:r>
          <w:fldChar w:fldCharType="begin"/>
        </w:r>
        <w:r>
          <w:instrText>PAGE   \* MERGEFORMAT</w:instrText>
        </w:r>
        <w:r>
          <w:fldChar w:fldCharType="separate"/>
        </w:r>
        <w:r w:rsidR="00E031EF">
          <w:rPr>
            <w:noProof/>
          </w:rPr>
          <w:t>4</w:t>
        </w:r>
        <w:r>
          <w:fldChar w:fldCharType="end"/>
        </w:r>
      </w:p>
    </w:sdtContent>
  </w:sdt>
  <w:p w:rsidR="00EF7CDE" w:rsidRDefault="00EF7C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F93" w:rsidRDefault="00161F93" w:rsidP="00EF7CDE">
      <w:pPr>
        <w:spacing w:after="0" w:line="240" w:lineRule="auto"/>
      </w:pPr>
      <w:r>
        <w:separator/>
      </w:r>
    </w:p>
  </w:footnote>
  <w:footnote w:type="continuationSeparator" w:id="0">
    <w:p w:rsidR="00161F93" w:rsidRDefault="00161F93" w:rsidP="00EF7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BFD"/>
    <w:multiLevelType w:val="hybridMultilevel"/>
    <w:tmpl w:val="56DA78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FF0211"/>
    <w:multiLevelType w:val="hybridMultilevel"/>
    <w:tmpl w:val="FF16AA94"/>
    <w:lvl w:ilvl="0" w:tplc="AF40AF38">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E1108F"/>
    <w:multiLevelType w:val="hybridMultilevel"/>
    <w:tmpl w:val="FB6AD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D66515"/>
    <w:multiLevelType w:val="hybridMultilevel"/>
    <w:tmpl w:val="4670C7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536565"/>
    <w:multiLevelType w:val="hybridMultilevel"/>
    <w:tmpl w:val="E95AAF5A"/>
    <w:lvl w:ilvl="0" w:tplc="39144178">
      <w:start w:val="16"/>
      <w:numFmt w:val="bullet"/>
      <w:lvlText w:val="-"/>
      <w:lvlJc w:val="left"/>
      <w:pPr>
        <w:ind w:left="1068" w:hanging="360"/>
      </w:pPr>
      <w:rPr>
        <w:rFonts w:ascii="Times New Roman" w:eastAsia="+mn-e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C913E3C"/>
    <w:multiLevelType w:val="hybridMultilevel"/>
    <w:tmpl w:val="382E9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5C1097"/>
    <w:multiLevelType w:val="hybridMultilevel"/>
    <w:tmpl w:val="6AEEA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650BAB"/>
    <w:multiLevelType w:val="hybridMultilevel"/>
    <w:tmpl w:val="95CA0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60F67"/>
    <w:multiLevelType w:val="hybridMultilevel"/>
    <w:tmpl w:val="1C60E4F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787846"/>
    <w:multiLevelType w:val="hybridMultilevel"/>
    <w:tmpl w:val="DE1A36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F80229"/>
    <w:multiLevelType w:val="hybridMultilevel"/>
    <w:tmpl w:val="F7647CE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5"/>
  </w:num>
  <w:num w:numId="2">
    <w:abstractNumId w:val="7"/>
  </w:num>
  <w:num w:numId="3">
    <w:abstractNumId w:val="10"/>
  </w:num>
  <w:num w:numId="4">
    <w:abstractNumId w:val="6"/>
  </w:num>
  <w:num w:numId="5">
    <w:abstractNumId w:val="2"/>
  </w:num>
  <w:num w:numId="6">
    <w:abstractNumId w:val="0"/>
  </w:num>
  <w:num w:numId="7">
    <w:abstractNumId w:val="4"/>
  </w:num>
  <w:num w:numId="8">
    <w:abstractNumId w:val="8"/>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8D"/>
    <w:rsid w:val="00005FF0"/>
    <w:rsid w:val="00042D3B"/>
    <w:rsid w:val="000573B4"/>
    <w:rsid w:val="00067E59"/>
    <w:rsid w:val="000959EE"/>
    <w:rsid w:val="000C059A"/>
    <w:rsid w:val="00105319"/>
    <w:rsid w:val="001209AB"/>
    <w:rsid w:val="00161F93"/>
    <w:rsid w:val="001B6295"/>
    <w:rsid w:val="001C1497"/>
    <w:rsid w:val="001C3DFC"/>
    <w:rsid w:val="00241D38"/>
    <w:rsid w:val="00253858"/>
    <w:rsid w:val="002612DA"/>
    <w:rsid w:val="00272EBF"/>
    <w:rsid w:val="002D19F1"/>
    <w:rsid w:val="002F4C51"/>
    <w:rsid w:val="003850C4"/>
    <w:rsid w:val="003D2ACD"/>
    <w:rsid w:val="003E7A4F"/>
    <w:rsid w:val="003F1566"/>
    <w:rsid w:val="003F4C11"/>
    <w:rsid w:val="003F7C1B"/>
    <w:rsid w:val="0040788B"/>
    <w:rsid w:val="00481D6E"/>
    <w:rsid w:val="00485F5D"/>
    <w:rsid w:val="00487A38"/>
    <w:rsid w:val="004D4265"/>
    <w:rsid w:val="00575D3A"/>
    <w:rsid w:val="0058188D"/>
    <w:rsid w:val="0058225F"/>
    <w:rsid w:val="005823F4"/>
    <w:rsid w:val="005842C6"/>
    <w:rsid w:val="005973D5"/>
    <w:rsid w:val="005A1A5F"/>
    <w:rsid w:val="005A404B"/>
    <w:rsid w:val="00602A1E"/>
    <w:rsid w:val="00612D21"/>
    <w:rsid w:val="00631DBE"/>
    <w:rsid w:val="00651DED"/>
    <w:rsid w:val="00666352"/>
    <w:rsid w:val="00687677"/>
    <w:rsid w:val="006B0DDE"/>
    <w:rsid w:val="006C05DF"/>
    <w:rsid w:val="006C208D"/>
    <w:rsid w:val="006D1F3E"/>
    <w:rsid w:val="006D24EA"/>
    <w:rsid w:val="006D508A"/>
    <w:rsid w:val="00701F8B"/>
    <w:rsid w:val="007107E0"/>
    <w:rsid w:val="007150C4"/>
    <w:rsid w:val="00715EC8"/>
    <w:rsid w:val="00722AB2"/>
    <w:rsid w:val="00742895"/>
    <w:rsid w:val="00742DA1"/>
    <w:rsid w:val="007640D3"/>
    <w:rsid w:val="007A0EC8"/>
    <w:rsid w:val="00804583"/>
    <w:rsid w:val="00831B86"/>
    <w:rsid w:val="00853D16"/>
    <w:rsid w:val="008634AF"/>
    <w:rsid w:val="00891961"/>
    <w:rsid w:val="00893648"/>
    <w:rsid w:val="008A47C5"/>
    <w:rsid w:val="008B6C5A"/>
    <w:rsid w:val="00971D51"/>
    <w:rsid w:val="00990A1B"/>
    <w:rsid w:val="00996269"/>
    <w:rsid w:val="009C51FE"/>
    <w:rsid w:val="00A03B92"/>
    <w:rsid w:val="00A2001F"/>
    <w:rsid w:val="00B1115C"/>
    <w:rsid w:val="00B33AA6"/>
    <w:rsid w:val="00B36168"/>
    <w:rsid w:val="00B72670"/>
    <w:rsid w:val="00BD4BBA"/>
    <w:rsid w:val="00BE2A0E"/>
    <w:rsid w:val="00C31FD6"/>
    <w:rsid w:val="00C6428E"/>
    <w:rsid w:val="00C65470"/>
    <w:rsid w:val="00CA3F1B"/>
    <w:rsid w:val="00CA788D"/>
    <w:rsid w:val="00CB6E98"/>
    <w:rsid w:val="00CC14DB"/>
    <w:rsid w:val="00CC74CC"/>
    <w:rsid w:val="00CF6516"/>
    <w:rsid w:val="00D20411"/>
    <w:rsid w:val="00D512E2"/>
    <w:rsid w:val="00D72CB9"/>
    <w:rsid w:val="00DD4242"/>
    <w:rsid w:val="00DD4DCB"/>
    <w:rsid w:val="00DE1AD7"/>
    <w:rsid w:val="00E031EF"/>
    <w:rsid w:val="00E04609"/>
    <w:rsid w:val="00E4454D"/>
    <w:rsid w:val="00E6745F"/>
    <w:rsid w:val="00E717A0"/>
    <w:rsid w:val="00E748C4"/>
    <w:rsid w:val="00E84F26"/>
    <w:rsid w:val="00EB69BA"/>
    <w:rsid w:val="00EC1E0E"/>
    <w:rsid w:val="00EF7CDE"/>
    <w:rsid w:val="00F04755"/>
    <w:rsid w:val="00F24BAA"/>
    <w:rsid w:val="00F304AA"/>
    <w:rsid w:val="00F373B9"/>
    <w:rsid w:val="00F5694B"/>
    <w:rsid w:val="00F83025"/>
    <w:rsid w:val="00FB3A00"/>
    <w:rsid w:val="00FD0D6B"/>
    <w:rsid w:val="00FE09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1459"/>
  <w15:docId w15:val="{7E8F626D-BE1B-48BC-A54C-B078C04F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88D"/>
    <w:rPr>
      <w:rFonts w:eastAsiaTheme="minorEastAsia"/>
      <w:lang w:eastAsia="fr-FR"/>
    </w:rPr>
  </w:style>
  <w:style w:type="paragraph" w:styleId="Titre1">
    <w:name w:val="heading 1"/>
    <w:basedOn w:val="Normal"/>
    <w:next w:val="Normal"/>
    <w:link w:val="Titre1Car"/>
    <w:uiPriority w:val="9"/>
    <w:qFormat/>
    <w:rsid w:val="000573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semiHidden/>
    <w:rsid w:val="0058188D"/>
    <w:pPr>
      <w:spacing w:after="0" w:line="240" w:lineRule="auto"/>
      <w:jc w:val="both"/>
    </w:pPr>
    <w:rPr>
      <w:rFonts w:ascii="Arial" w:eastAsia="Times New Roman" w:hAnsi="Arial" w:cs="Arial"/>
      <w:sz w:val="30"/>
      <w:szCs w:val="30"/>
    </w:rPr>
  </w:style>
  <w:style w:type="character" w:customStyle="1" w:styleId="Corpsdetexte2Car">
    <w:name w:val="Corps de texte 2 Car"/>
    <w:basedOn w:val="Policepardfaut"/>
    <w:link w:val="Corpsdetexte2"/>
    <w:uiPriority w:val="99"/>
    <w:semiHidden/>
    <w:rsid w:val="0058188D"/>
    <w:rPr>
      <w:rFonts w:ascii="Arial" w:eastAsia="Times New Roman" w:hAnsi="Arial" w:cs="Arial"/>
      <w:sz w:val="30"/>
      <w:szCs w:val="30"/>
      <w:lang w:eastAsia="fr-FR"/>
    </w:rPr>
  </w:style>
  <w:style w:type="paragraph" w:styleId="Paragraphedeliste">
    <w:name w:val="List Paragraph"/>
    <w:basedOn w:val="Normal"/>
    <w:link w:val="ParagraphedelisteCar"/>
    <w:uiPriority w:val="34"/>
    <w:qFormat/>
    <w:rsid w:val="0058188D"/>
    <w:pPr>
      <w:ind w:left="720"/>
      <w:contextualSpacing/>
      <w:jc w:val="both"/>
    </w:pPr>
    <w:rPr>
      <w:rFonts w:ascii="Calibri" w:eastAsia="Calibri" w:hAnsi="Calibri" w:cs="Times New Roman"/>
    </w:rPr>
  </w:style>
  <w:style w:type="character" w:customStyle="1" w:styleId="ParagraphedelisteCar">
    <w:name w:val="Paragraphe de liste Car"/>
    <w:link w:val="Paragraphedeliste"/>
    <w:uiPriority w:val="34"/>
    <w:locked/>
    <w:rsid w:val="0058188D"/>
    <w:rPr>
      <w:rFonts w:ascii="Calibri" w:eastAsia="Calibri" w:hAnsi="Calibri" w:cs="Times New Roman"/>
      <w:lang w:eastAsia="fr-FR"/>
    </w:rPr>
  </w:style>
  <w:style w:type="paragraph" w:styleId="Textedebulles">
    <w:name w:val="Balloon Text"/>
    <w:basedOn w:val="Normal"/>
    <w:link w:val="TextedebullesCar"/>
    <w:uiPriority w:val="99"/>
    <w:semiHidden/>
    <w:unhideWhenUsed/>
    <w:rsid w:val="00CC74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74CC"/>
    <w:rPr>
      <w:rFonts w:ascii="Segoe UI" w:eastAsiaTheme="minorEastAsia" w:hAnsi="Segoe UI" w:cs="Segoe UI"/>
      <w:sz w:val="18"/>
      <w:szCs w:val="18"/>
      <w:lang w:eastAsia="fr-FR"/>
    </w:rPr>
  </w:style>
  <w:style w:type="paragraph" w:styleId="En-tte">
    <w:name w:val="header"/>
    <w:basedOn w:val="Normal"/>
    <w:link w:val="En-tteCar"/>
    <w:uiPriority w:val="99"/>
    <w:unhideWhenUsed/>
    <w:rsid w:val="00EF7CDE"/>
    <w:pPr>
      <w:tabs>
        <w:tab w:val="center" w:pos="4703"/>
        <w:tab w:val="right" w:pos="9406"/>
      </w:tabs>
      <w:spacing w:after="0" w:line="240" w:lineRule="auto"/>
    </w:pPr>
  </w:style>
  <w:style w:type="character" w:customStyle="1" w:styleId="En-tteCar">
    <w:name w:val="En-tête Car"/>
    <w:basedOn w:val="Policepardfaut"/>
    <w:link w:val="En-tte"/>
    <w:uiPriority w:val="99"/>
    <w:rsid w:val="00EF7CDE"/>
    <w:rPr>
      <w:rFonts w:eastAsiaTheme="minorEastAsia"/>
      <w:lang w:eastAsia="fr-FR"/>
    </w:rPr>
  </w:style>
  <w:style w:type="paragraph" w:styleId="Pieddepage">
    <w:name w:val="footer"/>
    <w:basedOn w:val="Normal"/>
    <w:link w:val="PieddepageCar"/>
    <w:uiPriority w:val="99"/>
    <w:unhideWhenUsed/>
    <w:rsid w:val="00EF7CDE"/>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F7CDE"/>
    <w:rPr>
      <w:rFonts w:eastAsiaTheme="minorEastAsia"/>
      <w:lang w:eastAsia="fr-FR"/>
    </w:rPr>
  </w:style>
  <w:style w:type="character" w:customStyle="1" w:styleId="Titre1Car">
    <w:name w:val="Titre 1 Car"/>
    <w:basedOn w:val="Policepardfaut"/>
    <w:link w:val="Titre1"/>
    <w:uiPriority w:val="9"/>
    <w:rsid w:val="000573B4"/>
    <w:rPr>
      <w:rFonts w:asciiTheme="majorHAnsi" w:eastAsiaTheme="majorEastAsia" w:hAnsiTheme="majorHAnsi" w:cstheme="majorBidi"/>
      <w:color w:val="365F91" w:themeColor="accent1" w:themeShade="BF"/>
      <w:sz w:val="32"/>
      <w:szCs w:val="32"/>
      <w:lang w:eastAsia="fr-FR"/>
    </w:rPr>
  </w:style>
  <w:style w:type="paragraph" w:styleId="NormalWeb">
    <w:name w:val="Normal (Web)"/>
    <w:basedOn w:val="Normal"/>
    <w:uiPriority w:val="99"/>
    <w:semiHidden/>
    <w:unhideWhenUsed/>
    <w:rsid w:val="000573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13696-EAA3-4105-ABB8-1039302A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1198</Words>
  <Characters>6592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K.SOUDI</dc:creator>
  <cp:lastModifiedBy>DELL</cp:lastModifiedBy>
  <cp:revision>6</cp:revision>
  <cp:lastPrinted>2025-02-07T09:16:00Z</cp:lastPrinted>
  <dcterms:created xsi:type="dcterms:W3CDTF">2025-02-14T15:13:00Z</dcterms:created>
  <dcterms:modified xsi:type="dcterms:W3CDTF">2025-02-14T18:08:00Z</dcterms:modified>
</cp:coreProperties>
</file>