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36" w:rsidRPr="00AC52D2" w:rsidRDefault="009D106B" w:rsidP="00824A36">
      <w:pPr>
        <w:widowControl w:val="0"/>
        <w:autoSpaceDE w:val="0"/>
        <w:autoSpaceDN w:val="0"/>
        <w:adjustRightInd w:val="0"/>
        <w:spacing w:line="240" w:lineRule="atLeast"/>
        <w:ind w:left="2903" w:right="-20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inline distT="0" distB="0" distL="0" distR="0">
            <wp:extent cx="2349500" cy="1143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45" w:lineRule="exact"/>
        <w:rPr>
          <w:rFonts w:ascii="Book Antiqua" w:hAnsi="Book Antiqua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CO</w:t>
      </w:r>
      <w:r w:rsidRPr="00AC52D2">
        <w:rPr>
          <w:rFonts w:ascii="Book Antiqua" w:hAnsi="Book Antiqua" w:cs="Arial"/>
          <w:color w:val="993265"/>
          <w:w w:val="112"/>
          <w:sz w:val="64"/>
          <w:szCs w:val="64"/>
        </w:rPr>
        <w:t>M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P</w:t>
      </w:r>
      <w:r w:rsidRPr="00AC52D2">
        <w:rPr>
          <w:rFonts w:ascii="Book Antiqua" w:hAnsi="Book Antiqua" w:cs="Arial"/>
          <w:color w:val="993265"/>
          <w:spacing w:val="-4"/>
          <w:w w:val="108"/>
          <w:sz w:val="64"/>
          <w:szCs w:val="64"/>
        </w:rPr>
        <w:t>T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3"/>
          <w:sz w:val="64"/>
          <w:szCs w:val="64"/>
        </w:rPr>
        <w:t>S</w:t>
      </w:r>
      <w:r w:rsidRPr="00AC52D2">
        <w:rPr>
          <w:rFonts w:ascii="Book Antiqua" w:hAnsi="Book Antiqua"/>
          <w:color w:val="993265"/>
          <w:spacing w:val="17"/>
          <w:sz w:val="64"/>
          <w:szCs w:val="64"/>
        </w:rPr>
        <w:t xml:space="preserve"> 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R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G</w:t>
      </w:r>
      <w:r w:rsidRPr="00AC52D2">
        <w:rPr>
          <w:rFonts w:ascii="Book Antiqua" w:hAnsi="Book Antiqua" w:cs="Arial"/>
          <w:color w:val="993265"/>
          <w:w w:val="145"/>
          <w:sz w:val="64"/>
          <w:szCs w:val="64"/>
        </w:rPr>
        <w:t>I</w:t>
      </w:r>
      <w:r w:rsidRPr="00AC52D2">
        <w:rPr>
          <w:rFonts w:ascii="Book Antiqua" w:hAnsi="Book Antiqua" w:cs="Arial"/>
          <w:color w:val="993265"/>
          <w:spacing w:val="-3"/>
          <w:w w:val="99"/>
          <w:sz w:val="64"/>
          <w:szCs w:val="64"/>
        </w:rPr>
        <w:t>O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N</w:t>
      </w:r>
      <w:r w:rsidRPr="00AC52D2">
        <w:rPr>
          <w:rFonts w:ascii="Book Antiqua" w:hAnsi="Book Antiqua" w:cs="Arial"/>
          <w:color w:val="993265"/>
          <w:spacing w:val="-4"/>
          <w:w w:val="107"/>
          <w:sz w:val="64"/>
          <w:szCs w:val="64"/>
        </w:rPr>
        <w:t>A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U</w:t>
      </w:r>
      <w:r w:rsidRPr="00AC52D2">
        <w:rPr>
          <w:rFonts w:ascii="Book Antiqua" w:hAnsi="Book Antiqua" w:cs="Arial"/>
          <w:color w:val="993265"/>
          <w:w w:val="104"/>
          <w:sz w:val="64"/>
          <w:szCs w:val="64"/>
        </w:rPr>
        <w:t>X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000000"/>
          <w:sz w:val="28"/>
          <w:szCs w:val="28"/>
        </w:rPr>
      </w:pP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6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R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B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4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C</w:t>
      </w:r>
      <w:r w:rsidRPr="00AC52D2">
        <w:rPr>
          <w:rFonts w:ascii="Book Antiqua" w:hAnsi="Book Antiqua" w:cs="Arial"/>
          <w:color w:val="993265"/>
          <w:spacing w:val="-4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MM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11"/>
          <w:sz w:val="28"/>
          <w:szCs w:val="28"/>
        </w:rPr>
        <w:t>N</w:t>
      </w:r>
      <w:r w:rsidRPr="00AC52D2">
        <w:rPr>
          <w:rFonts w:ascii="Book Antiqua" w:hAnsi="Book Antiqua"/>
          <w:color w:val="993265"/>
          <w:w w:val="111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F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18"/>
          <w:sz w:val="28"/>
          <w:szCs w:val="28"/>
        </w:rPr>
        <w:t>L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</w:t>
      </w:r>
      <w:r w:rsidRPr="00AC52D2">
        <w:rPr>
          <w:rFonts w:ascii="Book Antiqua" w:hAnsi="Book Antiqua" w:cs="Arial"/>
          <w:color w:val="993265"/>
          <w:spacing w:val="-5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G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401CC4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</w:t>
      </w:r>
      <w:r w:rsidR="00401CC4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12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  <w:r w:rsidRPr="00AC52D2">
        <w:rPr>
          <w:rFonts w:ascii="Book Antiqua" w:hAnsi="Book Antiqua" w:cs="Helvetica"/>
          <w:color w:val="000000"/>
          <w:sz w:val="20"/>
          <w:szCs w:val="20"/>
        </w:rPr>
        <w:tab/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E92B3C" w:rsidP="00401CC4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color w:val="000000"/>
        </w:rPr>
        <w:sectPr w:rsidR="00824A36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  <w:r w:rsidRPr="00AC52D2">
        <w:rPr>
          <w:rFonts w:ascii="Book Antiqua" w:hAnsi="Book Antiqua" w:cs="Arial"/>
          <w:color w:val="993265"/>
          <w:spacing w:val="-3"/>
          <w:w w:val="107"/>
        </w:rPr>
        <w:t>juillet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</w:t>
      </w:r>
      <w:r w:rsidR="00401CC4">
        <w:rPr>
          <w:rFonts w:ascii="Book Antiqua" w:hAnsi="Book Antiqua" w:cs="Arial"/>
          <w:color w:val="993265"/>
          <w:spacing w:val="-3"/>
          <w:w w:val="107"/>
        </w:rPr>
        <w:t>14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 Haut-commissariat au Plan (HCP) a procédé, conformément aux normes internationales de comptabilité nationale, à l’élaboration des comptes régionaux pour l’année 20</w:t>
      </w:r>
      <w:r>
        <w:rPr>
          <w:rFonts w:ascii="Book Antiqua" w:hAnsi="Book Antiqua" w:cs="Arial"/>
        </w:rPr>
        <w:t>12</w:t>
      </w:r>
      <w:r w:rsidRPr="00AC52D2">
        <w:rPr>
          <w:rFonts w:ascii="Book Antiqua" w:hAnsi="Book Antiqua" w:cs="Arial"/>
        </w:rPr>
        <w:t xml:space="preserve">. Ces comptes présentent le Produit Intérieur Brut par région et par groupe de branches d’activité </w:t>
      </w:r>
      <w:r>
        <w:rPr>
          <w:rFonts w:ascii="Book Antiqua" w:hAnsi="Book Antiqua" w:cs="Arial"/>
        </w:rPr>
        <w:t>ainsi que</w:t>
      </w:r>
      <w:r w:rsidRPr="00AC52D2">
        <w:rPr>
          <w:rFonts w:ascii="Book Antiqua" w:hAnsi="Book Antiqua" w:cs="Arial"/>
        </w:rPr>
        <w:t xml:space="preserve"> les dépenses de consommation finale des ménages par région. </w:t>
      </w:r>
      <w:r>
        <w:rPr>
          <w:rFonts w:ascii="Book Antiqua" w:hAnsi="Book Antiqua" w:cs="Arial"/>
        </w:rPr>
        <w:t xml:space="preserve"> </w:t>
      </w:r>
      <w:r w:rsidR="009D106B">
        <w:rPr>
          <w:rFonts w:ascii="Book Antiqua" w:hAnsi="Book Antiqua" w:cs="Arial"/>
        </w:rPr>
        <w:t xml:space="preserve">   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A-Produit intérieur brut (</w:t>
      </w:r>
      <w:r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72325E" w:rsidRPr="0006454A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ab/>
      </w:r>
      <w:r w:rsidRPr="0006454A">
        <w:rPr>
          <w:rFonts w:ascii="Book Antiqua" w:hAnsi="Book Antiqua" w:cs="Arial"/>
          <w:b/>
          <w:bCs/>
          <w:i/>
          <w:iCs/>
          <w:color w:val="943634"/>
        </w:rPr>
        <w:t>Evolution du PIB par région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établis pour l’année 2012 dégagent des évolutions contrastées des</w:t>
      </w:r>
      <w:r w:rsidRPr="00AC52D2">
        <w:rPr>
          <w:rFonts w:ascii="Book Antiqua" w:hAnsi="Book Antiqua" w:cs="Arial"/>
        </w:rPr>
        <w:t xml:space="preserve"> PIB </w:t>
      </w:r>
      <w:r w:rsidR="00B478DA">
        <w:rPr>
          <w:rFonts w:ascii="Book Antiqua" w:hAnsi="Book Antiqua" w:cs="Arial"/>
        </w:rPr>
        <w:t xml:space="preserve">en valeur </w:t>
      </w:r>
      <w:r>
        <w:rPr>
          <w:rFonts w:ascii="Book Antiqua" w:hAnsi="Book Antiqua" w:cs="Arial"/>
        </w:rPr>
        <w:t xml:space="preserve">des différentes régions du Royaume. </w:t>
      </w:r>
    </w:p>
    <w:p w:rsidR="0072325E" w:rsidRPr="00EC16E9" w:rsidRDefault="0072325E" w:rsidP="0072325E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EC16E9">
        <w:rPr>
          <w:rFonts w:ascii="Book Antiqua" w:hAnsi="Book Antiqua" w:cs="Arial"/>
        </w:rPr>
        <w:t xml:space="preserve">Sept régions ont enregistré des taux d’accroissement du PIB </w:t>
      </w:r>
      <w:r w:rsidR="009824BA">
        <w:rPr>
          <w:rFonts w:ascii="Book Antiqua" w:hAnsi="Book Antiqua" w:cs="Arial"/>
        </w:rPr>
        <w:t xml:space="preserve">en valeur </w:t>
      </w:r>
      <w:r w:rsidRPr="00EC16E9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3</w:t>
      </w:r>
      <w:r w:rsidRPr="00EC16E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1</w:t>
      </w:r>
      <w:r w:rsidR="009824BA">
        <w:rPr>
          <w:rFonts w:ascii="Book Antiqua" w:hAnsi="Book Antiqua" w:cs="Arial"/>
        </w:rPr>
        <w:t>%</w:t>
      </w:r>
      <w:r w:rsidRPr="00EC16E9">
        <w:rPr>
          <w:rFonts w:ascii="Book Antiqua" w:hAnsi="Book Antiqua" w:cs="Arial"/>
        </w:rPr>
        <w:t xml:space="preserve">). Il s’agit des régions du Grand Casablanca et de Taza-Al Hoceïma–Taounate avec des hausses importantes  de plus de 7 %, de Fès–Boulemane (6,6%), de Rabat-Salé-Zemmour–Zaer (5,3%), de Marrakech-Tensift-Al Haouz et de Tanger-Tétouan (4,1% chacune) </w:t>
      </w:r>
      <w:r>
        <w:rPr>
          <w:rFonts w:ascii="Book Antiqua" w:hAnsi="Book Antiqua" w:cs="Arial"/>
        </w:rPr>
        <w:t xml:space="preserve">ainsi que </w:t>
      </w:r>
      <w:r w:rsidRPr="00EC16E9">
        <w:rPr>
          <w:rFonts w:ascii="Book Antiqua" w:hAnsi="Book Antiqua" w:cs="Arial"/>
        </w:rPr>
        <w:t>des  régions du sud (3,8%)</w:t>
      </w:r>
      <w:r>
        <w:rPr>
          <w:rFonts w:ascii="Book Antiqua" w:hAnsi="Book Antiqua" w:cs="Arial"/>
        </w:rPr>
        <w:t> ;</w:t>
      </w:r>
    </w:p>
    <w:p w:rsidR="0072325E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72325E" w:rsidP="009824B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693915">
        <w:rPr>
          <w:rFonts w:ascii="Book Antiqua" w:hAnsi="Book Antiqua" w:cs="Arial"/>
        </w:rPr>
        <w:t xml:space="preserve">les régions </w:t>
      </w:r>
      <w:r>
        <w:rPr>
          <w:rFonts w:ascii="Book Antiqua" w:hAnsi="Book Antiqua" w:cs="Arial"/>
        </w:rPr>
        <w:t xml:space="preserve">de </w:t>
      </w:r>
      <w:r w:rsidRPr="00693915">
        <w:rPr>
          <w:rFonts w:ascii="Book Antiqua" w:hAnsi="Book Antiqua" w:cs="Arial"/>
        </w:rPr>
        <w:t xml:space="preserve">Meknès–Tafilalet </w:t>
      </w:r>
      <w:r>
        <w:rPr>
          <w:rFonts w:ascii="Book Antiqua" w:hAnsi="Book Antiqua" w:cs="Arial"/>
        </w:rPr>
        <w:t xml:space="preserve">et de Tadla-Azilal ont réalisé des </w:t>
      </w:r>
      <w:r w:rsidR="009824BA">
        <w:rPr>
          <w:rFonts w:ascii="Book Antiqua" w:hAnsi="Book Antiqua" w:cs="Arial"/>
        </w:rPr>
        <w:t xml:space="preserve">hausses du PIB </w:t>
      </w:r>
      <w:r>
        <w:rPr>
          <w:rFonts w:ascii="Book Antiqua" w:hAnsi="Book Antiqua" w:cs="Arial"/>
        </w:rPr>
        <w:t xml:space="preserve"> au même niveau que celle de</w:t>
      </w:r>
      <w:r w:rsidRPr="00693915">
        <w:rPr>
          <w:rFonts w:ascii="Book Antiqua" w:hAnsi="Book Antiqua" w:cs="Arial"/>
        </w:rPr>
        <w:t xml:space="preserve"> la moyenne nationale</w:t>
      </w:r>
      <w:r>
        <w:rPr>
          <w:rFonts w:ascii="Book Antiqua" w:hAnsi="Book Antiqua" w:cs="Arial"/>
        </w:rPr>
        <w:t> ;</w:t>
      </w:r>
      <w:r w:rsidRPr="00693915">
        <w:rPr>
          <w:rFonts w:ascii="Book Antiqua" w:hAnsi="Book Antiqua" w:cs="Arial"/>
        </w:rPr>
        <w:t xml:space="preserve"> </w:t>
      </w:r>
    </w:p>
    <w:p w:rsidR="0072325E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72325E" w:rsidP="0072325E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Trois régions ont enregistré des rythmes de croissance positive, mais i</w:t>
      </w:r>
      <w:r w:rsidRPr="004D1885">
        <w:rPr>
          <w:rFonts w:ascii="Book Antiqua" w:hAnsi="Book Antiqua" w:cs="Arial"/>
        </w:rPr>
        <w:t xml:space="preserve">nférieurs à la moyenne </w:t>
      </w:r>
      <w:r>
        <w:rPr>
          <w:rFonts w:ascii="Book Antiqua" w:hAnsi="Book Antiqua" w:cs="Arial"/>
        </w:rPr>
        <w:t xml:space="preserve">nationale. Il s’agit </w:t>
      </w:r>
      <w:r w:rsidRPr="00693915">
        <w:rPr>
          <w:rFonts w:ascii="Book Antiqua" w:hAnsi="Book Antiqua" w:cs="Arial"/>
        </w:rPr>
        <w:t>du Gharb-Chrarda-Béni Hssen</w:t>
      </w:r>
      <w:r w:rsidRPr="004D188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(1,4 %), de </w:t>
      </w:r>
      <w:r w:rsidRPr="00C13C6E">
        <w:rPr>
          <w:rFonts w:ascii="Book Antiqua" w:hAnsi="Book Antiqua" w:cs="Arial"/>
        </w:rPr>
        <w:t xml:space="preserve">l’Oriental (1,4%) </w:t>
      </w:r>
      <w:r>
        <w:rPr>
          <w:rFonts w:ascii="Book Antiqua" w:hAnsi="Book Antiqua" w:cs="Arial"/>
        </w:rPr>
        <w:t xml:space="preserve">et de </w:t>
      </w:r>
      <w:r w:rsidRPr="004D1885">
        <w:rPr>
          <w:rFonts w:ascii="Book Antiqua" w:hAnsi="Book Antiqua" w:cs="Arial"/>
        </w:rPr>
        <w:t>Souss-Massa-Daraâ</w:t>
      </w:r>
      <w:r>
        <w:rPr>
          <w:rFonts w:ascii="Book Antiqua" w:hAnsi="Book Antiqua" w:cs="Arial"/>
        </w:rPr>
        <w:t xml:space="preserve"> (0,8%).</w:t>
      </w:r>
      <w:r w:rsidRPr="004D1885">
        <w:rPr>
          <w:rFonts w:ascii="Book Antiqua" w:hAnsi="Book Antiqua" w:cs="Arial"/>
        </w:rPr>
        <w:t xml:space="preserve"> </w:t>
      </w:r>
    </w:p>
    <w:p w:rsidR="0072325E" w:rsidRPr="004D1885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 </w:t>
      </w:r>
    </w:p>
    <w:p w:rsidR="0072325E" w:rsidRPr="00C13C6E" w:rsidRDefault="0072325E" w:rsidP="0072325E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693915">
        <w:rPr>
          <w:rFonts w:ascii="Book Antiqua" w:hAnsi="Book Antiqua" w:cs="Arial"/>
        </w:rPr>
        <w:t xml:space="preserve">Doukala–Abda </w:t>
      </w:r>
      <w:r>
        <w:rPr>
          <w:rFonts w:ascii="Book Antiqua" w:hAnsi="Book Antiqua" w:cs="Arial"/>
        </w:rPr>
        <w:t xml:space="preserve">et de chaouia-ouardigha ont affiché, en revanche, des croissances négatives, avec (-8,5%) et </w:t>
      </w:r>
      <w:r w:rsidRPr="00C13C6E">
        <w:rPr>
          <w:rFonts w:ascii="Book Antiqua" w:hAnsi="Book Antiqua" w:cs="Arial"/>
        </w:rPr>
        <w:t>(-</w:t>
      </w:r>
      <w:r>
        <w:rPr>
          <w:rFonts w:ascii="Book Antiqua" w:hAnsi="Book Antiqua" w:cs="Arial"/>
        </w:rPr>
        <w:t>3,4%), respectivement.</w:t>
      </w:r>
    </w:p>
    <w:p w:rsidR="0072325E" w:rsidRDefault="0072325E" w:rsidP="0072325E">
      <w:pPr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spacing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 xml:space="preserve">Ces évolutions se sont traduites par un creusement des écarts entre les régions en termes de création de richesse. En effet,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>
        <w:rPr>
          <w:rFonts w:ascii="Book Antiqua" w:hAnsi="Book Antiqua" w:cs="Arial"/>
        </w:rPr>
        <w:t xml:space="preserve">) s’est situé à 26,2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 en 2012</w:t>
      </w:r>
      <w:r w:rsidRPr="002630C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au lieu de  </w:t>
      </w:r>
      <w:r w:rsidRPr="00AC52D2">
        <w:rPr>
          <w:rFonts w:ascii="Book Antiqua" w:hAnsi="Book Antiqua" w:cs="Arial"/>
        </w:rPr>
        <w:t xml:space="preserve">24,6 </w:t>
      </w:r>
      <w:r>
        <w:rPr>
          <w:rFonts w:ascii="Book Antiqua" w:hAnsi="Book Antiqua" w:cs="Arial"/>
        </w:rPr>
        <w:t>milliards une année plus tôt.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72325E" w:rsidRPr="00C07374" w:rsidRDefault="0072325E" w:rsidP="0072325E">
      <w:pPr>
        <w:autoSpaceDE w:val="0"/>
        <w:autoSpaceDN w:val="0"/>
        <w:adjustRightInd w:val="0"/>
        <w:spacing w:before="360" w:line="360" w:lineRule="exact"/>
        <w:ind w:firstLine="709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lastRenderedPageBreak/>
        <w:t>Structure du PIB selon les régions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 la contribution des régions à la formation du PIB montre une concentration de la création de la richesse. En ef</w:t>
      </w:r>
      <w:r w:rsidR="00A55437">
        <w:rPr>
          <w:rFonts w:ascii="Book Antiqua" w:hAnsi="Book Antiqua" w:cs="Arial"/>
        </w:rPr>
        <w:t>fet, le quart des régions crée</w:t>
      </w:r>
      <w:r>
        <w:rPr>
          <w:rFonts w:ascii="Book Antiqua" w:hAnsi="Book Antiqua" w:cs="Arial"/>
        </w:rPr>
        <w:t xml:space="preserve"> près de la moitié du PIB et la moitié des régions crée plus de trois quart du PIB.</w:t>
      </w:r>
    </w:p>
    <w:p w:rsidR="0072325E" w:rsidRPr="00C13C6E" w:rsidRDefault="0072325E" w:rsidP="00C336EA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quatre </w:t>
      </w:r>
      <w:r w:rsidRPr="00AC52D2">
        <w:rPr>
          <w:rFonts w:ascii="Book Antiqua" w:hAnsi="Book Antiqua" w:cs="Arial"/>
        </w:rPr>
        <w:t xml:space="preserve"> régions </w:t>
      </w:r>
      <w:r>
        <w:rPr>
          <w:rFonts w:ascii="Book Antiqua" w:hAnsi="Book Antiqua" w:cs="Arial"/>
        </w:rPr>
        <w:t>qui créent près de la moitié d</w:t>
      </w:r>
      <w:r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 xml:space="preserve">49,5 % du </w:t>
      </w:r>
      <w:r w:rsidRPr="00AC52D2">
        <w:rPr>
          <w:rFonts w:ascii="Book Antiqua" w:hAnsi="Book Antiqua" w:cs="Arial"/>
        </w:rPr>
        <w:t>PIB en valeur)</w:t>
      </w:r>
      <w:r>
        <w:rPr>
          <w:rFonts w:ascii="Book Antiqua" w:hAnsi="Book Antiqua" w:cs="Arial"/>
        </w:rPr>
        <w:t xml:space="preserve"> sont la région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(20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>), de R</w:t>
      </w:r>
      <w:r w:rsidRPr="00AC52D2">
        <w:rPr>
          <w:rFonts w:ascii="Book Antiqua" w:hAnsi="Book Antiqua" w:cs="Arial"/>
        </w:rPr>
        <w:t>abat-Salé-Zemmour-Zaer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12,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de </w:t>
      </w:r>
      <w:r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 xml:space="preserve"> (</w:t>
      </w:r>
      <w:r w:rsidRPr="00C13C6E">
        <w:rPr>
          <w:rFonts w:ascii="Book Antiqua" w:hAnsi="Book Antiqua" w:cs="Arial"/>
        </w:rPr>
        <w:t xml:space="preserve"> 8,</w:t>
      </w:r>
      <w:r>
        <w:rPr>
          <w:rFonts w:ascii="Book Antiqua" w:hAnsi="Book Antiqua" w:cs="Arial"/>
        </w:rPr>
        <w:t>4</w:t>
      </w:r>
      <w:r w:rsidRPr="00C13C6E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),</w:t>
      </w:r>
      <w:r w:rsidRPr="00AB21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AC52D2">
        <w:rPr>
          <w:rFonts w:ascii="Book Antiqua" w:hAnsi="Book Antiqua" w:cs="Arial"/>
        </w:rPr>
        <w:t>Chaouia</w:t>
      </w:r>
      <w:r>
        <w:rPr>
          <w:rFonts w:ascii="Book Antiqua" w:hAnsi="Book Antiqua" w:cs="Arial"/>
        </w:rPr>
        <w:t>-</w:t>
      </w:r>
      <w:r w:rsidRPr="00AC52D2">
        <w:rPr>
          <w:rFonts w:ascii="Book Antiqua" w:hAnsi="Book Antiqua" w:cs="Arial"/>
        </w:rPr>
        <w:t>Ouardigha</w:t>
      </w:r>
      <w:r>
        <w:rPr>
          <w:rFonts w:ascii="Book Antiqua" w:hAnsi="Book Antiqua" w:cs="Arial"/>
        </w:rPr>
        <w:t xml:space="preserve"> ( </w:t>
      </w:r>
      <w:r w:rsidRPr="00AC52D2">
        <w:rPr>
          <w:rFonts w:ascii="Book Antiqua" w:hAnsi="Book Antiqua" w:cs="Arial"/>
        </w:rPr>
        <w:t>8,</w:t>
      </w:r>
      <w:r w:rsidR="00C336EA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).</w:t>
      </w:r>
    </w:p>
    <w:p w:rsidR="0072325E" w:rsidRPr="00AC52D2" w:rsidRDefault="0072325E" w:rsidP="0072325E">
      <w:pPr>
        <w:pStyle w:val="Paragraphedeliste"/>
        <w:autoSpaceDE w:val="0"/>
        <w:autoSpaceDN w:val="0"/>
        <w:adjustRightInd w:val="0"/>
        <w:spacing w:before="180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autres </w:t>
      </w:r>
      <w:r w:rsidRPr="00AC52D2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participent </w:t>
      </w:r>
      <w:r w:rsidRPr="00AC52D2">
        <w:rPr>
          <w:rFonts w:ascii="Book Antiqua" w:hAnsi="Book Antiqua" w:cs="Arial"/>
        </w:rPr>
        <w:t xml:space="preserve">pour </w:t>
      </w:r>
      <w:r>
        <w:rPr>
          <w:rFonts w:ascii="Book Antiqua" w:hAnsi="Book Antiqua" w:cs="Arial"/>
        </w:rPr>
        <w:t>un peu plus du quart (</w:t>
      </w:r>
      <w:r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du PIB. Il s’agit de </w:t>
      </w:r>
      <w:r w:rsidRPr="004D1885">
        <w:rPr>
          <w:rFonts w:ascii="Book Antiqua" w:hAnsi="Book Antiqua" w:cs="Arial"/>
        </w:rPr>
        <w:t>Tanger-Tétouan</w:t>
      </w:r>
      <w:r>
        <w:rPr>
          <w:rFonts w:ascii="Book Antiqua" w:hAnsi="Book Antiqua" w:cs="Arial"/>
        </w:rPr>
        <w:t xml:space="preserve"> (7,9%), de </w:t>
      </w:r>
      <w:r w:rsidRPr="00AC52D2">
        <w:rPr>
          <w:rFonts w:ascii="Book Antiqua" w:hAnsi="Book Antiqua" w:cs="Arial"/>
        </w:rPr>
        <w:t>Souss-Massa-Daraâ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7,</w:t>
      </w:r>
      <w:r>
        <w:rPr>
          <w:rFonts w:ascii="Book Antiqua" w:hAnsi="Book Antiqua" w:cs="Arial"/>
        </w:rPr>
        <w:t>5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Doukala–Abda (6</w:t>
      </w:r>
      <w:r>
        <w:rPr>
          <w:rFonts w:ascii="Book Antiqua" w:hAnsi="Book Antiqua" w:cs="Arial"/>
        </w:rPr>
        <w:t>,1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Meknès–Tafilalet (5,5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 restantes contribuent pour 23,3% du PIB. Il s’agit de l’</w:t>
      </w:r>
      <w:r w:rsidRPr="00AC52D2">
        <w:rPr>
          <w:rFonts w:ascii="Book Antiqua" w:hAnsi="Book Antiqua" w:cs="Arial"/>
        </w:rPr>
        <w:t>Oriental (4,</w:t>
      </w:r>
      <w:r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%),  les </w:t>
      </w:r>
      <w:r>
        <w:rPr>
          <w:rFonts w:ascii="Book Antiqua" w:hAnsi="Book Antiqua" w:cs="Arial"/>
        </w:rPr>
        <w:t xml:space="preserve">trois </w:t>
      </w:r>
      <w:r w:rsidRPr="00AC52D2">
        <w:rPr>
          <w:rFonts w:ascii="Book Antiqua" w:hAnsi="Book Antiqua" w:cs="Arial"/>
        </w:rPr>
        <w:t>régions du sud (4,4%),  Fès–Boulemane (4,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>Gharb-Chrarda-Béni Hssen (4,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Taza-Al Hoceïma–Taounate</w:t>
      </w:r>
      <w:r>
        <w:rPr>
          <w:rFonts w:ascii="Book Antiqua" w:hAnsi="Book Antiqua" w:cs="Arial"/>
        </w:rPr>
        <w:t xml:space="preserve"> (3,0%)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Tadla-Azilal</w:t>
      </w:r>
      <w:r>
        <w:rPr>
          <w:rFonts w:ascii="Book Antiqua" w:hAnsi="Book Antiqua" w:cs="Arial"/>
        </w:rPr>
        <w:t xml:space="preserve"> (2,7%).</w:t>
      </w:r>
      <w:r w:rsidRPr="00AC52D2">
        <w:rPr>
          <w:rFonts w:ascii="Book Antiqua" w:hAnsi="Book Antiqua" w:cs="Arial"/>
        </w:rPr>
        <w:t xml:space="preserve"> 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comparaison avec les comptes régionaux de 2011 montre que la concentration de la création du PIB dans les quatre premières régions susmentionnées est en augmentation, passant de 48,9% du PIB en 2011 à 49,5%, la part des quatre autres régions est en recul de 27,9% en 2011 à 27%, alors que celle des huit dernières régions est en légère amélioration de 23,1% en 2011 à 23,3%. 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72325E" w:rsidRPr="00C07374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 xml:space="preserve">Structure des activités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économiques </w:t>
      </w:r>
      <w:r w:rsidRPr="00C07374">
        <w:rPr>
          <w:rFonts w:ascii="Book Antiqua" w:hAnsi="Book Antiqua" w:cs="Arial"/>
          <w:b/>
          <w:bCs/>
          <w:i/>
          <w:iCs/>
          <w:color w:val="943634"/>
        </w:rPr>
        <w:t>par région 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des</w:t>
      </w:r>
      <w:r w:rsidRPr="00AC52D2">
        <w:rPr>
          <w:rFonts w:ascii="Book Antiqua" w:hAnsi="Book Antiqua" w:cs="Arial"/>
        </w:rPr>
        <w:t xml:space="preserve"> activités économiques </w:t>
      </w:r>
      <w:r>
        <w:rPr>
          <w:rFonts w:ascii="Book Antiqua" w:hAnsi="Book Antiqua" w:cs="Arial"/>
        </w:rPr>
        <w:t xml:space="preserve">ne présente pas des similitudes dans toutes les régions du Royaume. L’activité économique reste dominée dans certaines régions par le secteur primaire </w:t>
      </w:r>
      <w:r w:rsidRPr="00AC52D2">
        <w:rPr>
          <w:rFonts w:ascii="Book Antiqua" w:hAnsi="Book Antiqua" w:cs="Arial"/>
        </w:rPr>
        <w:t>(agriculture et pêche)</w:t>
      </w:r>
      <w:r>
        <w:rPr>
          <w:rFonts w:ascii="Book Antiqua" w:hAnsi="Book Antiqua" w:cs="Arial"/>
        </w:rPr>
        <w:t xml:space="preserve">, dans d’autres par le secteur secondaire </w:t>
      </w:r>
      <w:r w:rsidRPr="00AC52D2">
        <w:rPr>
          <w:rFonts w:ascii="Book Antiqua" w:hAnsi="Book Antiqua" w:cs="Arial"/>
        </w:rPr>
        <w:t>(Industrie, mines, distribution d’électricité et d’eau et bâtiment et travaux publi</w:t>
      </w:r>
      <w:r>
        <w:rPr>
          <w:rFonts w:ascii="Book Antiqua" w:hAnsi="Book Antiqua" w:cs="Arial"/>
        </w:rPr>
        <w:t>c</w:t>
      </w:r>
      <w:r w:rsidRPr="00AC52D2">
        <w:rPr>
          <w:rFonts w:ascii="Book Antiqua" w:hAnsi="Book Antiqua" w:cs="Arial"/>
        </w:rPr>
        <w:t>s)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dans d’autres par le secteur tertiaire </w:t>
      </w:r>
      <w:r w:rsidRPr="00AC52D2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. </w:t>
      </w:r>
    </w:p>
    <w:p w:rsidR="0072325E" w:rsidRDefault="0072325E" w:rsidP="00447933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1F389D">
        <w:rPr>
          <w:rFonts w:ascii="Book Antiqua" w:hAnsi="Book Antiqua" w:cs="Arial"/>
        </w:rPr>
        <w:t xml:space="preserve"> comptes </w:t>
      </w:r>
      <w:r w:rsidR="00447933">
        <w:rPr>
          <w:rFonts w:ascii="Book Antiqua" w:hAnsi="Book Antiqua" w:cs="Arial"/>
        </w:rPr>
        <w:t>régionaux de</w:t>
      </w:r>
      <w:r w:rsidRPr="001F389D">
        <w:rPr>
          <w:rFonts w:ascii="Book Antiqua" w:hAnsi="Book Antiqua" w:cs="Arial"/>
        </w:rPr>
        <w:t xml:space="preserve"> 20</w:t>
      </w:r>
      <w:r>
        <w:rPr>
          <w:rFonts w:ascii="Book Antiqua" w:hAnsi="Book Antiqua" w:cs="Arial"/>
        </w:rPr>
        <w:t>12</w:t>
      </w:r>
      <w:r w:rsidRPr="001F389D">
        <w:rPr>
          <w:rFonts w:ascii="Book Antiqua" w:hAnsi="Book Antiqua" w:cs="Arial"/>
        </w:rPr>
        <w:t xml:space="preserve"> confirment la prédominance des 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Pr="001F389D">
        <w:rPr>
          <w:rFonts w:ascii="Book Antiqua" w:hAnsi="Book Antiqua" w:cs="Arial"/>
        </w:rPr>
        <w:t xml:space="preserve">dans trois régions. Il s’agit du Gharb-Chrarda-Béni Hssen </w:t>
      </w:r>
      <w:r>
        <w:rPr>
          <w:rFonts w:ascii="Book Antiqua" w:hAnsi="Book Antiqua" w:cs="Arial"/>
        </w:rPr>
        <w:t xml:space="preserve">(30,6% du PIB régional), </w:t>
      </w:r>
      <w:r w:rsidRPr="001F389D">
        <w:rPr>
          <w:rFonts w:ascii="Book Antiqua" w:hAnsi="Book Antiqua" w:cs="Arial"/>
        </w:rPr>
        <w:t xml:space="preserve">de Taza-Al Hoceima-Taounate </w:t>
      </w:r>
      <w:r>
        <w:rPr>
          <w:rFonts w:ascii="Book Antiqua" w:hAnsi="Book Antiqua" w:cs="Arial"/>
        </w:rPr>
        <w:t xml:space="preserve">(30,2%) et de </w:t>
      </w:r>
      <w:r w:rsidRPr="001F389D">
        <w:rPr>
          <w:rFonts w:ascii="Book Antiqua" w:hAnsi="Book Antiqua" w:cs="Arial"/>
        </w:rPr>
        <w:t>Tadla-Azila</w:t>
      </w:r>
      <w:r>
        <w:rPr>
          <w:rFonts w:ascii="Book Antiqua" w:hAnsi="Book Antiqua" w:cs="Arial"/>
        </w:rPr>
        <w:t>l (29,4%). Toutefois, ces trois régions ont vu la part des activités primaires dans leurs PIB régionaux</w:t>
      </w:r>
      <w:r w:rsidRPr="008F1E3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baisser</w:t>
      </w:r>
      <w:r w:rsidRPr="008F1E3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trois points chacune entre 2011 et 2012.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quant à elles, bien représentées dans les </w:t>
      </w:r>
      <w:r w:rsidRPr="00AC52D2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Chaouia–Ouardigha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4,4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du PIB), de </w:t>
      </w:r>
      <w:r w:rsidRPr="00AC52D2">
        <w:rPr>
          <w:rFonts w:ascii="Book Antiqua" w:hAnsi="Book Antiqua" w:cs="Arial"/>
        </w:rPr>
        <w:t xml:space="preserve">Doukala-Abda </w:t>
      </w:r>
      <w:r>
        <w:rPr>
          <w:rFonts w:ascii="Book Antiqua" w:hAnsi="Book Antiqua" w:cs="Arial"/>
        </w:rPr>
        <w:t>(41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 du Grand Casablanca (36%)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C336EA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 leur côté, 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sont largement dominantes dans les régions de 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alé–Zemmour-Zaer</w:t>
      </w:r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des trois régions du Sud (60,2%),</w:t>
      </w:r>
      <w:r w:rsidRPr="00AC52D2">
        <w:rPr>
          <w:rFonts w:ascii="Book Antiqua" w:hAnsi="Book Antiqua" w:cs="Arial"/>
        </w:rPr>
        <w:t xml:space="preserve"> du Grand Casablanca</w:t>
      </w:r>
      <w:r>
        <w:rPr>
          <w:rFonts w:ascii="Book Antiqua" w:hAnsi="Book Antiqua" w:cs="Arial"/>
        </w:rPr>
        <w:t xml:space="preserve"> (55,</w:t>
      </w:r>
      <w:r w:rsidR="00C336E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Pr="005F142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Fès-Boulemane</w:t>
      </w:r>
      <w:r>
        <w:rPr>
          <w:rFonts w:ascii="Book Antiqua" w:hAnsi="Book Antiqua" w:cs="Arial"/>
        </w:rPr>
        <w:t xml:space="preserve"> (5</w:t>
      </w:r>
      <w:r w:rsidR="00C336E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336E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86300D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>Contribution régionale à l’activité économique nationale </w:t>
      </w:r>
    </w:p>
    <w:p w:rsidR="0072325E" w:rsidRPr="00AC52D2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 w:rsidRPr="003736A4">
        <w:rPr>
          <w:rFonts w:ascii="Book Antiqua" w:hAnsi="Book Antiqua" w:cs="Arial"/>
        </w:rPr>
        <w:t xml:space="preserve">La configuration de la contribution régionale </w:t>
      </w:r>
      <w:r>
        <w:rPr>
          <w:rFonts w:ascii="Book Antiqua" w:hAnsi="Book Antiqua" w:cs="Arial"/>
        </w:rPr>
        <w:t>à la création des valeurs ajoutées sectorielles</w:t>
      </w:r>
      <w:r w:rsidRPr="003736A4">
        <w:rPr>
          <w:rFonts w:ascii="Book Antiqua" w:hAnsi="Book Antiqua" w:cs="Arial"/>
        </w:rPr>
        <w:t xml:space="preserve"> n’a pas connu de grands changements par rapport à 20</w:t>
      </w:r>
      <w:r>
        <w:rPr>
          <w:rFonts w:ascii="Book Antiqua" w:hAnsi="Book Antiqua" w:cs="Arial"/>
        </w:rPr>
        <w:t>11. Ainsi, Les activités du secteur primaire continuent à être l’apanage de six régions (</w:t>
      </w:r>
      <w:r w:rsidRPr="009D1864">
        <w:rPr>
          <w:rFonts w:ascii="Book Antiqua" w:hAnsi="Book Antiqua" w:cs="Arial"/>
        </w:rPr>
        <w:t>Souss-Massa-Draâ, Marrakech-Tensift-Al Haouz, Meknès–Tafilalet, Gharb-Chrarda-Béni Hssen, Chaouia–Ouardigha et Doukala–Abda</w:t>
      </w:r>
      <w:r>
        <w:rPr>
          <w:rFonts w:ascii="Book Antiqua" w:hAnsi="Book Antiqua" w:cs="Arial"/>
        </w:rPr>
        <w:t>),</w:t>
      </w:r>
      <w:r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</w:rPr>
        <w:t xml:space="preserve">qui contribuent pour 55,8% à la création de la valeur ajoutée nationale de ce secteur en 2012 au lieu de 56,8% en 2011. </w:t>
      </w:r>
    </w:p>
    <w:p w:rsidR="0072325E" w:rsidRPr="00AC52D2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Pr="00AC52D2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du Grand Casablanca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Chaouia-Ouardigha</w:t>
      </w:r>
      <w:r>
        <w:rPr>
          <w:rFonts w:ascii="Book Antiqua" w:hAnsi="Book Antiqua" w:cs="Arial"/>
        </w:rPr>
        <w:t>, qui ont participé pour 42,4%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2012 au lieu de 42,7% en 2011</w:t>
      </w:r>
      <w:r w:rsidRPr="00AC52D2">
        <w:rPr>
          <w:rFonts w:ascii="Book Antiqua" w:hAnsi="Book Antiqua" w:cs="Arial"/>
        </w:rPr>
        <w:t>.</w:t>
      </w:r>
    </w:p>
    <w:p w:rsidR="0072325E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 Grand Casablanca et Rabat-Salé-Zemmour-Zaer </w:t>
      </w:r>
      <w:r>
        <w:rPr>
          <w:rFonts w:ascii="Book Antiqua" w:hAnsi="Book Antiqua" w:cs="Arial"/>
        </w:rPr>
        <w:t>contribuent, à elles seules, pour 39,5% à la valeur ajoutée des activités tertiaires en 2012 au lieu de 38,8% en 2011.</w:t>
      </w: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>PIB par habitant et par région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</w:t>
      </w:r>
      <w:r w:rsidRPr="00AC52D2">
        <w:rPr>
          <w:rFonts w:ascii="Book Antiqua" w:hAnsi="Book Antiqua" w:cs="Arial"/>
        </w:rPr>
        <w:t>PIB par habitant</w:t>
      </w:r>
      <w:r>
        <w:rPr>
          <w:rFonts w:ascii="Book Antiqua" w:hAnsi="Book Antiqua" w:cs="Arial"/>
        </w:rPr>
        <w:t xml:space="preserve"> dans le </w:t>
      </w:r>
      <w:r w:rsidRPr="0045373E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a enregistré un accroissement de 6,8</w:t>
      </w:r>
      <w:r w:rsidRPr="00EF2958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en 2012, pour se situer à </w:t>
      </w:r>
      <w:r>
        <w:rPr>
          <w:rFonts w:ascii="Book Antiqua" w:hAnsi="Book Antiqua" w:cs="Calibri"/>
          <w:color w:val="000000"/>
          <w:sz w:val="22"/>
          <w:szCs w:val="22"/>
        </w:rPr>
        <w:t xml:space="preserve">43375 DH, </w:t>
      </w:r>
      <w:r>
        <w:rPr>
          <w:rFonts w:ascii="Book Antiqua" w:hAnsi="Book Antiqua" w:cs="Arial"/>
        </w:rPr>
        <w:t>ce qui a conforté la place de cette région à la tête des régions en termes de PIB par habitant.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trois autres régions présentent un PIB par habitant supérieur à</w:t>
      </w:r>
      <w:r w:rsidRPr="00AC52D2">
        <w:rPr>
          <w:rFonts w:ascii="Book Antiqua" w:hAnsi="Book Antiqua" w:cs="Arial"/>
        </w:rPr>
        <w:t xml:space="preserve"> la moyenne nationale (</w:t>
      </w:r>
      <w:r>
        <w:rPr>
          <w:rFonts w:ascii="Book Antiqua" w:hAnsi="Book Antiqua" w:cs="Arial"/>
        </w:rPr>
        <w:t>25386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 xml:space="preserve">. Il s’agit de la région de </w:t>
      </w:r>
      <w:r w:rsidRPr="0045373E">
        <w:rPr>
          <w:rFonts w:ascii="Book Antiqua" w:hAnsi="Book Antiqua" w:cs="Arial"/>
        </w:rPr>
        <w:t>Chaouia – Ouardigha</w:t>
      </w:r>
      <w:r>
        <w:rPr>
          <w:rFonts w:ascii="Book Antiqua" w:hAnsi="Book Antiqua" w:cs="Arial"/>
        </w:rPr>
        <w:t xml:space="preserve"> avec 39107</w:t>
      </w:r>
      <w:r w:rsidRPr="00AC52D2">
        <w:rPr>
          <w:rFonts w:ascii="Book Antiqua" w:hAnsi="Book Antiqua" w:cs="Arial"/>
        </w:rPr>
        <w:t xml:space="preserve"> DH,</w:t>
      </w:r>
      <w:r w:rsidRPr="0045373E">
        <w:t xml:space="preserve"> </w:t>
      </w:r>
      <w:r>
        <w:t xml:space="preserve">de </w:t>
      </w:r>
      <w:r w:rsidRPr="0045373E">
        <w:rPr>
          <w:rFonts w:ascii="Book Antiqua" w:hAnsi="Book Antiqua" w:cs="Arial"/>
        </w:rPr>
        <w:t>Rabat - Salé - Zemmour – Zaer</w:t>
      </w:r>
      <w:r>
        <w:rPr>
          <w:rFonts w:ascii="Book Antiqua" w:hAnsi="Book Antiqua" w:cs="Arial"/>
        </w:rPr>
        <w:t xml:space="preserve"> avec 38 124 DH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trois</w:t>
      </w:r>
      <w:r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avec </w:t>
      </w:r>
      <w:r w:rsidRPr="00AC52D2">
        <w:rPr>
          <w:rFonts w:ascii="Book Antiqua" w:hAnsi="Book Antiqua" w:cs="Arial"/>
        </w:rPr>
        <w:t>35</w:t>
      </w:r>
      <w:r>
        <w:rPr>
          <w:rFonts w:ascii="Book Antiqua" w:hAnsi="Book Antiqua" w:cs="Arial"/>
        </w:rPr>
        <w:t>770</w:t>
      </w:r>
      <w:r w:rsidRPr="00AC52D2">
        <w:rPr>
          <w:rFonts w:ascii="Book Antiqua" w:hAnsi="Book Antiqua" w:cs="Arial"/>
        </w:rPr>
        <w:t xml:space="preserve"> DH. </w:t>
      </w:r>
    </w:p>
    <w:p w:rsidR="0072325E" w:rsidRPr="00AC52D2" w:rsidRDefault="0072325E" w:rsidP="00447933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 xml:space="preserve">Pour les régions restantes, </w:t>
      </w:r>
      <w:r w:rsidR="00447933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 PIB par habitant s’est situé entre 13367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, </w:t>
      </w:r>
      <w:r w:rsidR="00447933">
        <w:rPr>
          <w:rFonts w:ascii="Book Antiqua" w:hAnsi="Book Antiqua" w:cs="Arial"/>
        </w:rPr>
        <w:t>enregistré</w:t>
      </w:r>
      <w:r>
        <w:rPr>
          <w:rFonts w:ascii="Book Antiqua" w:hAnsi="Book Antiqua" w:cs="Arial"/>
        </w:rPr>
        <w:t xml:space="preserve"> dans la région de </w:t>
      </w:r>
      <w:r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et 24234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, enregistré dans la région de </w:t>
      </w:r>
      <w:r w:rsidRPr="0045373E">
        <w:rPr>
          <w:rFonts w:ascii="Book Antiqua" w:hAnsi="Book Antiqua" w:cs="Arial"/>
        </w:rPr>
        <w:t>Doukala – Abda</w:t>
      </w:r>
      <w:r w:rsidRPr="00AC52D2">
        <w:rPr>
          <w:rFonts w:ascii="Book Antiqua" w:hAnsi="Book Antiqua" w:cs="Arial"/>
        </w:rPr>
        <w:t xml:space="preserve">. </w:t>
      </w:r>
    </w:p>
    <w:p w:rsidR="0072325E" w:rsidRPr="00721E76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</w:t>
      </w:r>
      <w:r w:rsidRPr="00AC52D2">
        <w:rPr>
          <w:rFonts w:ascii="Book Antiqua" w:hAnsi="Book Antiqua" w:cs="Arial"/>
        </w:rPr>
        <w:t>8258 DH en 201</w:t>
      </w:r>
      <w:r>
        <w:rPr>
          <w:rFonts w:ascii="Book Antiqua" w:hAnsi="Book Antiqua" w:cs="Arial"/>
        </w:rPr>
        <w:t xml:space="preserve">1 </w:t>
      </w:r>
      <w:r w:rsidRPr="00AC52D2">
        <w:rPr>
          <w:rFonts w:ascii="Book Antiqua" w:hAnsi="Book Antiqua" w:cs="Arial"/>
        </w:rPr>
        <w:t>à 8</w:t>
      </w:r>
      <w:r>
        <w:rPr>
          <w:rFonts w:ascii="Book Antiqua" w:hAnsi="Book Antiqua" w:cs="Arial"/>
        </w:rPr>
        <w:t>173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2.</w:t>
      </w:r>
    </w:p>
    <w:p w:rsidR="0072325E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</w:p>
    <w:p w:rsidR="0072325E" w:rsidRPr="006745A6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B-D</w:t>
      </w:r>
      <w:r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72325E" w:rsidRPr="00D90F1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D90F1E">
        <w:rPr>
          <w:rFonts w:ascii="Book Antiqua" w:hAnsi="Book Antiqua" w:cs="Arial"/>
          <w:b/>
          <w:bCs/>
          <w:i/>
          <w:iCs/>
          <w:color w:val="943634"/>
        </w:rPr>
        <w:t>Structure des dépenses de consommation selon les régions</w:t>
      </w:r>
    </w:p>
    <w:p w:rsidR="0072325E" w:rsidRDefault="0072325E" w:rsidP="0072325E">
      <w:pPr>
        <w:autoSpaceDE w:val="0"/>
        <w:autoSpaceDN w:val="0"/>
        <w:adjustRightInd w:val="0"/>
        <w:spacing w:before="12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contribution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différentes régions aux dépenses de consommation finale des ménages (DCFM) </w:t>
      </w:r>
      <w:r>
        <w:rPr>
          <w:rFonts w:ascii="Book Antiqua" w:hAnsi="Book Antiqua" w:cs="Arial"/>
        </w:rPr>
        <w:t xml:space="preserve">présentent une structure similaire à celle de leurs </w:t>
      </w:r>
      <w:r w:rsidRPr="00AC52D2">
        <w:rPr>
          <w:rFonts w:ascii="Book Antiqua" w:hAnsi="Book Antiqua" w:cs="Arial"/>
        </w:rPr>
        <w:t>participation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à la création de la richesse nationale</w:t>
      </w:r>
      <w:r>
        <w:rPr>
          <w:rFonts w:ascii="Book Antiqua" w:hAnsi="Book Antiqua" w:cs="Arial"/>
        </w:rPr>
        <w:t xml:space="preserve">. </w:t>
      </w:r>
    </w:p>
    <w:p w:rsidR="0072325E" w:rsidRPr="00AC52D2" w:rsidRDefault="0072325E" w:rsidP="00447933">
      <w:pPr>
        <w:autoSpaceDE w:val="0"/>
        <w:autoSpaceDN w:val="0"/>
        <w:adjustRightInd w:val="0"/>
        <w:spacing w:before="12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effet,</w:t>
      </w:r>
      <w:r w:rsidRPr="00AC52D2">
        <w:rPr>
          <w:rFonts w:ascii="Book Antiqua" w:hAnsi="Book Antiqua" w:cs="Arial"/>
        </w:rPr>
        <w:t xml:space="preserve"> les  </w:t>
      </w:r>
      <w:r>
        <w:rPr>
          <w:rFonts w:ascii="Book Antiqua" w:hAnsi="Book Antiqua" w:cs="Arial"/>
        </w:rPr>
        <w:t>cinq</w:t>
      </w:r>
      <w:r w:rsidRPr="00AC52D2">
        <w:rPr>
          <w:rFonts w:ascii="Book Antiqua" w:hAnsi="Book Antiqua" w:cs="Arial"/>
        </w:rPr>
        <w:t xml:space="preserve"> régions qui créent  </w:t>
      </w:r>
      <w:r>
        <w:rPr>
          <w:rFonts w:ascii="Book Antiqua" w:hAnsi="Book Antiqua" w:cs="Arial"/>
        </w:rPr>
        <w:t>56,7</w:t>
      </w:r>
      <w:r w:rsidRPr="00AC52D2">
        <w:rPr>
          <w:rFonts w:ascii="Book Antiqua" w:hAnsi="Book Antiqua" w:cs="Arial"/>
        </w:rPr>
        <w:t xml:space="preserve">% du PIB participent pour </w:t>
      </w:r>
      <w:r>
        <w:rPr>
          <w:rFonts w:ascii="Book Antiqua" w:hAnsi="Book Antiqua" w:cs="Arial"/>
        </w:rPr>
        <w:t>56,1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aux </w:t>
      </w:r>
      <w:r w:rsidRPr="00AC52D2">
        <w:rPr>
          <w:rFonts w:ascii="Book Antiqua" w:hAnsi="Book Antiqua" w:cs="Arial"/>
        </w:rPr>
        <w:t>DCFM.</w:t>
      </w:r>
      <w:r>
        <w:rPr>
          <w:rFonts w:ascii="Book Antiqua" w:hAnsi="Book Antiqua" w:cs="Arial"/>
        </w:rPr>
        <w:t xml:space="preserve"> Il s’agit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14,</w:t>
      </w:r>
      <w:r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suivi de Tanger-Tétouan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11,8%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de Rabat-Salé-Zemmour–Zaer</w:t>
      </w:r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de </w:t>
      </w:r>
      <w:r w:rsidRPr="00D90F1E">
        <w:rPr>
          <w:rFonts w:ascii="Book Antiqua" w:hAnsi="Book Antiqua" w:cs="Arial"/>
          <w:sz w:val="20"/>
          <w:szCs w:val="20"/>
        </w:rPr>
        <w:t xml:space="preserve"> </w:t>
      </w:r>
      <w:r w:rsidRPr="00D90F1E">
        <w:rPr>
          <w:rFonts w:ascii="Book Antiqua" w:hAnsi="Book Antiqua" w:cs="Arial"/>
        </w:rPr>
        <w:t xml:space="preserve">Marrakech-Tensift-Al Haouz </w:t>
      </w:r>
      <w:r>
        <w:rPr>
          <w:rFonts w:ascii="Book Antiqua" w:hAnsi="Book Antiqua" w:cs="Arial"/>
        </w:rPr>
        <w:t xml:space="preserve">(10,3%) et de </w:t>
      </w:r>
      <w:r w:rsidRPr="00D90F1E">
        <w:rPr>
          <w:rFonts w:ascii="Book Antiqua" w:hAnsi="Book Antiqua" w:cs="Arial"/>
        </w:rPr>
        <w:t>Souss-Massa-Draâ</w:t>
      </w:r>
      <w:r>
        <w:rPr>
          <w:rFonts w:ascii="Book Antiqua" w:hAnsi="Book Antiqua" w:cs="Arial"/>
        </w:rPr>
        <w:t xml:space="preserve"> (8,7%).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3,6% pour la région de Tadla-Azilal et 6,4% pour la région de l’Oriental.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Pr="00AC52D2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Globalement, ces dépenses sont de plus en plus inégalitaires.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1</w:t>
      </w:r>
      <w:r>
        <w:rPr>
          <w:rFonts w:ascii="Book Antiqua" w:hAnsi="Book Antiqua" w:cs="Arial"/>
        </w:rPr>
        <w:t>4,4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 xml:space="preserve">2 au lieu de </w:t>
      </w:r>
      <w:r w:rsidRPr="00AC52D2">
        <w:rPr>
          <w:rFonts w:ascii="Book Antiqua" w:hAnsi="Book Antiqua" w:cs="Arial"/>
        </w:rPr>
        <w:t>14 milliards de DH</w:t>
      </w:r>
      <w:r>
        <w:rPr>
          <w:rFonts w:ascii="Book Antiqua" w:hAnsi="Book Antiqua" w:cs="Arial"/>
        </w:rPr>
        <w:t xml:space="preserve"> en 2011 et </w:t>
      </w:r>
      <w:r w:rsidRPr="00AC52D2">
        <w:rPr>
          <w:rFonts w:ascii="Book Antiqua" w:hAnsi="Book Antiqua" w:cs="Arial"/>
        </w:rPr>
        <w:t>12,8 milliards de DH</w:t>
      </w:r>
      <w:r w:rsidR="00C45D8B" w:rsidRPr="00C45D8B">
        <w:rPr>
          <w:rFonts w:ascii="Book Antiqua" w:hAnsi="Book Antiqua" w:cs="Arial"/>
        </w:rPr>
        <w:t xml:space="preserve"> </w:t>
      </w:r>
      <w:r w:rsidR="00C45D8B">
        <w:rPr>
          <w:rFonts w:ascii="Book Antiqua" w:hAnsi="Book Antiqua" w:cs="Arial"/>
        </w:rPr>
        <w:t>en 2010</w:t>
      </w:r>
      <w:r w:rsidRPr="00AC52D2">
        <w:rPr>
          <w:rFonts w:ascii="Book Antiqua" w:hAnsi="Book Antiqua" w:cs="Arial"/>
        </w:rPr>
        <w:t>. </w:t>
      </w:r>
    </w:p>
    <w:p w:rsidR="0072325E" w:rsidRPr="0086300D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Dépenses de consommation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72325E" w:rsidRDefault="0072325E" w:rsidP="00A8730F">
      <w:pPr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 xml:space="preserve">ar habitant présentent d’importantes inégalités entre </w:t>
      </w:r>
      <w:r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>. Six régions affichent des niveaux de dépenses par tête supérieurs à la moyenne nationale (15206</w:t>
      </w:r>
      <w:r w:rsidRPr="00AC52D2">
        <w:rPr>
          <w:rFonts w:ascii="Book Antiqua" w:hAnsi="Book Antiqua" w:cs="Arial"/>
        </w:rPr>
        <w:t xml:space="preserve"> DH </w:t>
      </w:r>
      <w:r>
        <w:rPr>
          <w:rFonts w:ascii="Book Antiqua" w:hAnsi="Book Antiqua" w:cs="Arial"/>
        </w:rPr>
        <w:t xml:space="preserve">en 2012) au lieu de </w:t>
      </w:r>
      <w:r w:rsidR="00A8730F">
        <w:rPr>
          <w:rFonts w:ascii="Book Antiqua" w:hAnsi="Book Antiqua" w:cs="Arial"/>
        </w:rPr>
        <w:t>neuf régions</w:t>
      </w:r>
      <w:r>
        <w:rPr>
          <w:rFonts w:ascii="Book Antiqua" w:hAnsi="Book Antiqua" w:cs="Arial"/>
        </w:rPr>
        <w:t xml:space="preserve"> en 2011. Il s’agit  d</w:t>
      </w:r>
      <w:r w:rsidRPr="00AC52D2">
        <w:rPr>
          <w:rFonts w:ascii="Book Antiqua" w:hAnsi="Book Antiqua" w:cs="Arial"/>
        </w:rPr>
        <w:t>es régions de Rabat-Salé-Zemmour–Zaer</w:t>
      </w:r>
      <w:r>
        <w:rPr>
          <w:rFonts w:ascii="Book Antiqua" w:hAnsi="Book Antiqua" w:cs="Arial"/>
        </w:rPr>
        <w:t xml:space="preserve"> (20469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>, de Tanger–Tétouan</w:t>
      </w:r>
      <w:r>
        <w:rPr>
          <w:rFonts w:ascii="Book Antiqua" w:hAnsi="Book Antiqua" w:cs="Arial"/>
        </w:rPr>
        <w:t xml:space="preserve"> (19294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>, des régions du sud</w:t>
      </w:r>
      <w:r>
        <w:rPr>
          <w:rFonts w:ascii="Book Antiqua" w:hAnsi="Book Antiqua" w:cs="Arial"/>
        </w:rPr>
        <w:t xml:space="preserve"> (18495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),</w:t>
      </w:r>
      <w:r w:rsidRPr="00AC52D2">
        <w:rPr>
          <w:rFonts w:ascii="Book Antiqua" w:hAnsi="Book Antiqua" w:cs="Arial"/>
        </w:rPr>
        <w:t xml:space="preserve"> du Grand Casablanca</w:t>
      </w:r>
      <w:r>
        <w:rPr>
          <w:rFonts w:ascii="Book Antiqua" w:hAnsi="Book Antiqua" w:cs="Arial"/>
        </w:rPr>
        <w:t xml:space="preserve"> (17960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), de l’oriental (15837 DH), et de Fès-Boulemane (15516 DH)</w:t>
      </w:r>
      <w:r w:rsidRPr="00AC52D2">
        <w:rPr>
          <w:rFonts w:ascii="Book Antiqua" w:hAnsi="Book Antiqua" w:cs="Arial"/>
        </w:rPr>
        <w:t>.</w:t>
      </w:r>
    </w:p>
    <w:p w:rsidR="0072325E" w:rsidRPr="00AC52D2" w:rsidRDefault="0072325E" w:rsidP="0072325E">
      <w:pPr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de consommation passent d’un minimum de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11647</w:t>
      </w:r>
      <w:r w:rsidRPr="00AC52D2">
        <w:rPr>
          <w:rFonts w:ascii="Book Antiqua" w:hAnsi="Book Antiqua" w:cs="Arial"/>
        </w:rPr>
        <w:t xml:space="preserve"> DH (</w:t>
      </w:r>
      <w:r w:rsidRPr="00FE196C">
        <w:rPr>
          <w:rFonts w:ascii="Book Antiqua" w:hAnsi="Book Antiqua" w:cs="Arial"/>
        </w:rPr>
        <w:t>Doukala – Abda</w:t>
      </w:r>
      <w:r w:rsidRPr="00AC52D2">
        <w:rPr>
          <w:rFonts w:ascii="Book Antiqua" w:hAnsi="Book Antiqua" w:cs="Arial"/>
        </w:rPr>
        <w:t xml:space="preserve">) à </w:t>
      </w:r>
      <w:r>
        <w:rPr>
          <w:rFonts w:ascii="Book Antiqua" w:hAnsi="Book Antiqua" w:cs="Arial"/>
        </w:rPr>
        <w:t xml:space="preserve">15179 </w:t>
      </w:r>
      <w:r w:rsidRPr="00AC52D2">
        <w:rPr>
          <w:rFonts w:ascii="Book Antiqua" w:hAnsi="Book Antiqua" w:cs="Arial"/>
        </w:rPr>
        <w:t xml:space="preserve">DH </w:t>
      </w:r>
      <w:r>
        <w:rPr>
          <w:rFonts w:ascii="Book Antiqua" w:hAnsi="Book Antiqua" w:cs="Arial"/>
        </w:rPr>
        <w:t>Marrakech-Tensift-Al Haouz.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différentes </w:t>
      </w:r>
      <w:r w:rsidRPr="00AC52D2">
        <w:rPr>
          <w:rFonts w:ascii="Book Antiqua" w:hAnsi="Book Antiqua" w:cs="Arial"/>
        </w:rPr>
        <w:t>régions ont enregistré</w:t>
      </w:r>
      <w:r>
        <w:rPr>
          <w:rFonts w:ascii="Book Antiqua" w:hAnsi="Book Antiqua" w:cs="Arial"/>
        </w:rPr>
        <w:t>, par ailleurs,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amélioration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dépenses de consommation des ménages en valeur</w:t>
      </w:r>
      <w:r>
        <w:rPr>
          <w:rFonts w:ascii="Book Antiqua" w:hAnsi="Book Antiqua" w:cs="Arial"/>
        </w:rPr>
        <w:t xml:space="preserve"> par tête entre 2011 et 2012, et se sont accompagnées d’une quasi- stabilité des inégalités.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en légère baisse, passant de </w:t>
      </w:r>
      <w:r w:rsidRPr="00AC52D2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>43</w:t>
      </w:r>
      <w:r w:rsidRPr="00AC52D2">
        <w:rPr>
          <w:rFonts w:ascii="Book Antiqua" w:hAnsi="Book Antiqua" w:cs="Arial"/>
        </w:rPr>
        <w:t xml:space="preserve"> DH en  201</w:t>
      </w:r>
      <w:r>
        <w:rPr>
          <w:rFonts w:ascii="Book Antiqua" w:hAnsi="Book Antiqua" w:cs="Arial"/>
        </w:rPr>
        <w:t xml:space="preserve">1 à </w:t>
      </w:r>
      <w:r w:rsidRPr="00AC52D2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>04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2.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Face à l’amélioration de la consommation des ménages dans l’ensemble des régions, les </w:t>
      </w:r>
      <w:r w:rsidRPr="00AC52D2">
        <w:rPr>
          <w:rFonts w:ascii="Book Antiqua" w:hAnsi="Book Antiqua" w:cs="Arial"/>
        </w:rPr>
        <w:t xml:space="preserve">PIB par tête </w:t>
      </w:r>
      <w:r>
        <w:rPr>
          <w:rFonts w:ascii="Book Antiqua" w:hAnsi="Book Antiqua" w:cs="Arial"/>
        </w:rPr>
        <w:t>ont affiché des tendances d’évolution contrastées et se sont inscrits</w:t>
      </w:r>
      <w:r w:rsidRPr="006446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dans certaines régions, dans des rythmes à la baisse</w:t>
      </w:r>
      <w:r w:rsidRPr="00AC52D2">
        <w:rPr>
          <w:rFonts w:ascii="Book Antiqua" w:hAnsi="Book Antiqua" w:cs="Arial"/>
        </w:rPr>
        <w:t xml:space="preserve">.  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447933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9 régions continu</w:t>
      </w:r>
      <w:r w:rsidR="00887BAF">
        <w:rPr>
          <w:rFonts w:ascii="Book Antiqua" w:hAnsi="Book Antiqua" w:cs="Arial"/>
        </w:rPr>
        <w:t>ent</w:t>
      </w:r>
      <w:r>
        <w:rPr>
          <w:rFonts w:ascii="Book Antiqua" w:hAnsi="Book Antiqua" w:cs="Arial"/>
        </w:rPr>
        <w:t xml:space="preserve"> de présenter</w:t>
      </w:r>
      <w:r w:rsidR="00887BAF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887BAF">
        <w:rPr>
          <w:rFonts w:ascii="Book Antiqua" w:hAnsi="Book Antiqua" w:cs="Arial"/>
        </w:rPr>
        <w:t xml:space="preserve">en 2012, </w:t>
      </w:r>
      <w:r>
        <w:rPr>
          <w:rFonts w:ascii="Book Antiqua" w:hAnsi="Book Antiqua" w:cs="Arial"/>
        </w:rPr>
        <w:t>des ratios de la DCFM par tête au PIB par tête supérieurs au ratio national</w:t>
      </w:r>
      <w:r w:rsidRPr="009C440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(59,9% en 2012) et varient entre 63% dans la région de </w:t>
      </w:r>
      <w:r w:rsidRPr="00AC52D2">
        <w:rPr>
          <w:rFonts w:ascii="Book Antiqua" w:hAnsi="Book Antiqua" w:cs="Arial"/>
        </w:rPr>
        <w:t>Gharb-Chrarda-Béni Hssen</w:t>
      </w:r>
      <w:r>
        <w:rPr>
          <w:rFonts w:ascii="Book Antiqua" w:hAnsi="Book Antiqua" w:cs="Arial"/>
        </w:rPr>
        <w:t xml:space="preserve"> et 89% dans la région de </w:t>
      </w:r>
      <w:r w:rsidRPr="00AC52D2">
        <w:rPr>
          <w:rFonts w:ascii="Book Antiqua" w:hAnsi="Book Antiqua" w:cs="Arial"/>
        </w:rPr>
        <w:t>T</w:t>
      </w:r>
      <w:r>
        <w:rPr>
          <w:rFonts w:ascii="Book Antiqua" w:hAnsi="Book Antiqua" w:cs="Arial"/>
        </w:rPr>
        <w:t>anger</w:t>
      </w:r>
      <w:r w:rsidRPr="00AC52D2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 xml:space="preserve">Tétouan. Les régions de </w:t>
      </w:r>
      <w:r w:rsidRPr="00AC52D2">
        <w:rPr>
          <w:rFonts w:ascii="Book Antiqua" w:hAnsi="Book Antiqua" w:cs="Arial"/>
        </w:rPr>
        <w:t>Chaouia-Ouardigha</w:t>
      </w:r>
      <w:r>
        <w:rPr>
          <w:rFonts w:ascii="Book Antiqua" w:hAnsi="Book Antiqua" w:cs="Arial"/>
        </w:rPr>
        <w:t xml:space="preserve">, du Grand Casablanca, de </w:t>
      </w:r>
      <w:r w:rsidRPr="00AC52D2">
        <w:rPr>
          <w:rFonts w:ascii="Book Antiqua" w:hAnsi="Book Antiqua" w:cs="Arial"/>
        </w:rPr>
        <w:t>Doukala–Abda</w:t>
      </w:r>
      <w:r>
        <w:rPr>
          <w:rFonts w:ascii="Book Antiqua" w:hAnsi="Book Antiqua" w:cs="Arial"/>
        </w:rPr>
        <w:t xml:space="preserve">, du Sud et  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présentent les ratios les plus faibles, de l’ordre de 34,5%, 41,4%, 48,1%, 51,7% et 53,7% respectivement.</w:t>
      </w: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4E2357" w:rsidRDefault="004E2357" w:rsidP="00D21C7C">
      <w:pPr>
        <w:widowControl w:val="0"/>
        <w:autoSpaceDE w:val="0"/>
        <w:autoSpaceDN w:val="0"/>
        <w:adjustRightInd w:val="0"/>
        <w:spacing w:line="330" w:lineRule="atLeast"/>
        <w:ind w:right="82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AA31EB" w:rsidRDefault="009D106B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880100" cy="8318500"/>
            <wp:effectExtent l="19050" t="0" r="6350" b="0"/>
            <wp:docPr id="2" name="Image 5" descr="C:\Documents and Settings\Administrateur\Bureau\comptes regionaux\année 2012\cartes_201477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Documents and Settings\Administrateur\Bureau\comptes regionaux\année 2012\cartes_201477\1_f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31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EB" w:rsidRDefault="00AA31EB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AA31EB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372100" cy="7594600"/>
            <wp:effectExtent l="19050" t="0" r="0" b="0"/>
            <wp:docPr id="3" name="Image 6" descr="C:\Documents and Settings\Administrateur\Bureau\comptes regionaux\année 2012\cartes_201477\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:\Documents and Settings\Administrateur\Bureau\comptes regionaux\année 2012\cartes_201477\2_f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57" w:rsidRPr="00AC52D2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638800" cy="7962900"/>
            <wp:effectExtent l="19050" t="0" r="0" b="0"/>
            <wp:docPr id="4" name="Image 7" descr="C:\Documents and Settings\Administrateur\Bureau\comptes regionaux\année 2012\cartes_201477\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:\Documents and Settings\Administrateur\Bureau\comptes regionaux\année 2012\cartes_201477\3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600700" cy="7912100"/>
            <wp:effectExtent l="19050" t="0" r="0" b="0"/>
            <wp:docPr id="5" name="Image 8" descr="C:\Documents and Settings\Administrateur\Bureau\comptes regionaux\année 2012\cartes_201477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C:\Documents and Settings\Administrateur\Bureau\comptes regionaux\année 2012\cartes_201477\4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693" w:rsidRDefault="009D106B" w:rsidP="004D7693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noProof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422900" cy="8267700"/>
            <wp:effectExtent l="19050" t="0" r="6350" b="0"/>
            <wp:docPr id="6" name="Image 6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_fr_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Pr="004D7693" w:rsidRDefault="004D7693" w:rsidP="004D7693">
      <w:pPr>
        <w:tabs>
          <w:tab w:val="left" w:pos="8010"/>
        </w:tabs>
        <w:rPr>
          <w:rFonts w:ascii="Book Antiqua" w:hAnsi="Book Antiqua" w:cs="Arial"/>
          <w:sz w:val="64"/>
          <w:szCs w:val="64"/>
        </w:rPr>
      </w:pPr>
      <w:r>
        <w:rPr>
          <w:rFonts w:ascii="Book Antiqua" w:hAnsi="Book Antiqua" w:cs="Arial"/>
          <w:sz w:val="64"/>
          <w:szCs w:val="64"/>
        </w:rPr>
        <w:tab/>
      </w: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Default="004D7693" w:rsidP="004D7693">
      <w:pPr>
        <w:tabs>
          <w:tab w:val="left" w:pos="6450"/>
        </w:tabs>
        <w:rPr>
          <w:rFonts w:ascii="Book Antiqua" w:hAnsi="Book Antiqua" w:cs="Arial"/>
          <w:sz w:val="64"/>
          <w:szCs w:val="64"/>
        </w:rPr>
      </w:pPr>
      <w:r>
        <w:rPr>
          <w:rFonts w:ascii="Book Antiqua" w:hAnsi="Book Antiqua" w:cs="Arial"/>
          <w:sz w:val="64"/>
          <w:szCs w:val="64"/>
        </w:rPr>
        <w:tab/>
      </w:r>
    </w:p>
    <w:p w:rsidR="004D7693" w:rsidRDefault="004D7693" w:rsidP="004D7693">
      <w:pPr>
        <w:widowControl w:val="0"/>
        <w:autoSpaceDE w:val="0"/>
        <w:autoSpaceDN w:val="0"/>
        <w:adjustRightInd w:val="0"/>
        <w:spacing w:line="330" w:lineRule="atLeast"/>
        <w:ind w:right="82"/>
        <w:rPr>
          <w:rFonts w:ascii="Book Antiqua" w:hAnsi="Book Antiqua" w:cs="Arial"/>
          <w:noProof/>
          <w:color w:val="993265"/>
          <w:w w:val="99"/>
          <w:sz w:val="64"/>
          <w:szCs w:val="64"/>
        </w:rPr>
      </w:pPr>
    </w:p>
    <w:p w:rsidR="004D7693" w:rsidRDefault="004D7693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AC52D2" w:rsidRDefault="00940D8A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TABLEAUX DES RESULTATS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Pr="00AC52D2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84B2E" w:rsidRPr="00AC52D2" w:rsidSect="006C1480">
          <w:headerReference w:type="default" r:id="rId16"/>
          <w:footerReference w:type="default" r:id="rId17"/>
          <w:type w:val="nextColumn"/>
          <w:pgSz w:w="11900" w:h="16840"/>
          <w:pgMar w:top="624" w:right="680" w:bottom="1247" w:left="1304" w:header="720" w:footer="720" w:gutter="0"/>
          <w:cols w:space="720"/>
          <w:noEndnote/>
        </w:sectPr>
      </w:pPr>
    </w:p>
    <w:tbl>
      <w:tblPr>
        <w:tblW w:w="12321" w:type="dxa"/>
        <w:tblCellMar>
          <w:left w:w="70" w:type="dxa"/>
          <w:right w:w="70" w:type="dxa"/>
        </w:tblCellMar>
        <w:tblLook w:val="04A0"/>
      </w:tblPr>
      <w:tblGrid>
        <w:gridCol w:w="669"/>
        <w:gridCol w:w="4634"/>
        <w:gridCol w:w="1390"/>
        <w:gridCol w:w="1390"/>
        <w:gridCol w:w="949"/>
        <w:gridCol w:w="949"/>
        <w:gridCol w:w="1170"/>
        <w:gridCol w:w="1170"/>
      </w:tblGrid>
      <w:tr w:rsidR="00AA31EB" w:rsidTr="004D7693">
        <w:trPr>
          <w:trHeight w:val="480"/>
        </w:trPr>
        <w:tc>
          <w:tcPr>
            <w:tcW w:w="12321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AA31EB" w:rsidTr="004D7693">
        <w:trPr>
          <w:trHeight w:val="315"/>
        </w:trPr>
        <w:tc>
          <w:tcPr>
            <w:tcW w:w="66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8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35438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36797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35491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35770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61183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61676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17528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17427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33412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33874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18721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18778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70543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68148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40750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39107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66457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69192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20046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20666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39288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39829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19759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158842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171404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40624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43375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96155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101216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36732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38124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55331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50631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26657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24234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21917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22603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14531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14910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44191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45557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19931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20389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32316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34450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18532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19480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23391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25040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12544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13367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63122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65718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21149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21682</w:t>
            </w:r>
          </w:p>
        </w:tc>
      </w:tr>
      <w:tr w:rsidR="00AA31EB" w:rsidTr="004D7693">
        <w:trPr>
          <w:trHeight w:val="345"/>
        </w:trPr>
        <w:tc>
          <w:tcPr>
            <w:tcW w:w="53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Enceintes extra-territoriales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45"/>
        </w:trPr>
        <w:tc>
          <w:tcPr>
            <w:tcW w:w="53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802607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827497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24891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25386</w:t>
            </w:r>
          </w:p>
        </w:tc>
      </w:tr>
    </w:tbl>
    <w:p w:rsidR="00EB441E" w:rsidRDefault="00EB441E" w:rsidP="00AA31EB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B441E" w:rsidRDefault="00EB441E" w:rsidP="00AA31EB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464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566"/>
        <w:gridCol w:w="58"/>
        <w:gridCol w:w="3862"/>
        <w:gridCol w:w="95"/>
        <w:gridCol w:w="1175"/>
        <w:gridCol w:w="122"/>
        <w:gridCol w:w="1053"/>
        <w:gridCol w:w="339"/>
        <w:gridCol w:w="836"/>
        <w:gridCol w:w="870"/>
        <w:gridCol w:w="305"/>
        <w:gridCol w:w="1175"/>
        <w:gridCol w:w="226"/>
        <w:gridCol w:w="949"/>
        <w:gridCol w:w="40"/>
        <w:gridCol w:w="949"/>
        <w:gridCol w:w="133"/>
        <w:gridCol w:w="1711"/>
      </w:tblGrid>
      <w:tr w:rsidR="00EB441E" w:rsidRPr="00AA31EB" w:rsidTr="004D7693">
        <w:trPr>
          <w:gridAfter w:val="1"/>
          <w:wAfter w:w="1711" w:type="dxa"/>
          <w:trHeight w:val="480"/>
        </w:trPr>
        <w:tc>
          <w:tcPr>
            <w:tcW w:w="12753" w:type="dxa"/>
            <w:gridSpan w:val="17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56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4486" w:type="dxa"/>
            <w:gridSpan w:val="3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784" w:type="dxa"/>
            <w:gridSpan w:val="5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2" w:type="dxa"/>
            <w:gridSpan w:val="5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71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4486" w:type="dxa"/>
            <w:gridSpan w:val="3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18061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19026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18088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18495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40908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43222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11719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12213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20157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11295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11828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22188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23537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12817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13507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48723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50821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14697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15179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30338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31923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15148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15837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68921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70971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14.6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17626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17960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52508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54343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20059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20469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23114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24334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11136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11647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16729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17688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11091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11668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28816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30362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12997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13589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26038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27439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14932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15516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20781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22173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11144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11836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55654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58480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18647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19294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4486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bookmarkStart w:id="0" w:name="OLE_LINK1"/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472938</w:t>
            </w:r>
            <w:bookmarkEnd w:id="0"/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495657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0D0BA4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0D0BA4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14667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15206</w:t>
            </w:r>
          </w:p>
        </w:tc>
      </w:tr>
      <w:tr w:rsidR="00AA31EB" w:rsidRPr="00AA31EB" w:rsidTr="004D7693">
        <w:trPr>
          <w:trHeight w:val="537"/>
        </w:trPr>
        <w:tc>
          <w:tcPr>
            <w:tcW w:w="14464" w:type="dxa"/>
            <w:gridSpan w:val="1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 (en millions de DH)</w:t>
            </w:r>
          </w:p>
        </w:tc>
      </w:tr>
      <w:tr w:rsidR="00AA31EB" w:rsidRPr="00AA31EB" w:rsidTr="004D7693">
        <w:trPr>
          <w:trHeight w:val="31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4D7693">
        <w:trPr>
          <w:trHeight w:val="314"/>
        </w:trPr>
        <w:tc>
          <w:tcPr>
            <w:tcW w:w="4581" w:type="dxa"/>
            <w:gridSpan w:val="4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35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350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35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833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4D7693">
        <w:trPr>
          <w:trHeight w:val="314"/>
        </w:trPr>
        <w:tc>
          <w:tcPr>
            <w:tcW w:w="4581" w:type="dxa"/>
            <w:gridSpan w:val="4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6273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6251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8112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20691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22151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12300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12276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12443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31372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32630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5068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4347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11097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10349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6293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7417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13968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14056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2051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10241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8749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38340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37100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17440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18281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4523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4018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10262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11194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18928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21095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32827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32575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4439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4328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2A3417" w:rsidRPr="002A34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5591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6174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10302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9548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20597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21454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2798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2653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2510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2371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57522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61677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87486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94887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11324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12468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7972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7877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12322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13527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68744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72526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7116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7287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10872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8583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21822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20836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18700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17902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3938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3309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7376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6646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3156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3658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9600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10446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1852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10424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10468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9300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9642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20367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21403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4043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3969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3939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7687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8333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17557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18772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3103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3406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7851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7550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2606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2982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11480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12196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2313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8129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8145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16012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16522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31147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33641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7834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7409</w:t>
            </w:r>
          </w:p>
        </w:tc>
      </w:tr>
      <w:tr w:rsidR="00AA31EB" w:rsidRPr="00AA31EB" w:rsidTr="004D7693">
        <w:trPr>
          <w:trHeight w:val="344"/>
        </w:trPr>
        <w:tc>
          <w:tcPr>
            <w:tcW w:w="4581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4D7693">
        <w:trPr>
          <w:trHeight w:val="344"/>
        </w:trPr>
        <w:tc>
          <w:tcPr>
            <w:tcW w:w="4581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114866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110575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224556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232872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402998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424283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60187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7F79B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59767</w:t>
            </w:r>
          </w:p>
        </w:tc>
      </w:tr>
    </w:tbl>
    <w:p w:rsidR="00336A41" w:rsidRPr="00AA31EB" w:rsidRDefault="00AA31EB" w:rsidP="00AA31EB">
      <w:pPr>
        <w:pStyle w:val="Paragraphedeliste"/>
        <w:numPr>
          <w:ilvl w:val="0"/>
          <w:numId w:val="17"/>
        </w:numPr>
        <w:tabs>
          <w:tab w:val="num" w:pos="720"/>
        </w:tabs>
        <w:spacing w:line="320" w:lineRule="exact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  <w:r>
        <w:rPr>
          <w:rFonts w:ascii="Book Antiqua" w:hAnsi="Book Antiqua"/>
          <w:color w:val="000000"/>
          <w:sz w:val="22"/>
          <w:szCs w:val="22"/>
        </w:rPr>
        <w:t xml:space="preserve"> : </w:t>
      </w:r>
      <w:r w:rsidRPr="00E27A76">
        <w:rPr>
          <w:rFonts w:ascii="Book Antiqua" w:hAnsi="Book Antiqua"/>
          <w:color w:val="000000"/>
          <w:sz w:val="22"/>
          <w:szCs w:val="22"/>
        </w:rPr>
        <w:t>Impôts nets des subventions sur les produits</w:t>
      </w: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438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817"/>
        <w:gridCol w:w="5189"/>
        <w:gridCol w:w="1054"/>
        <w:gridCol w:w="1054"/>
        <w:gridCol w:w="1054"/>
        <w:gridCol w:w="1054"/>
        <w:gridCol w:w="1054"/>
        <w:gridCol w:w="1054"/>
        <w:gridCol w:w="1054"/>
        <w:gridCol w:w="1054"/>
      </w:tblGrid>
      <w:tr w:rsidR="00AA31EB" w:rsidRPr="00AA31EB" w:rsidTr="00AA31EB">
        <w:trPr>
          <w:trHeight w:val="469"/>
        </w:trPr>
        <w:tc>
          <w:tcPr>
            <w:tcW w:w="14436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AA31EB" w:rsidRPr="00AA31EB" w:rsidTr="00AA31EB">
        <w:trPr>
          <w:trHeight w:val="309"/>
        </w:trPr>
        <w:tc>
          <w:tcPr>
            <w:tcW w:w="8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AA31EB">
        <w:trPr>
          <w:trHeight w:val="309"/>
        </w:trPr>
        <w:tc>
          <w:tcPr>
            <w:tcW w:w="600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AA31EB">
        <w:trPr>
          <w:trHeight w:val="309"/>
        </w:trPr>
        <w:tc>
          <w:tcPr>
            <w:tcW w:w="600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0.5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7.3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20.9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3.1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</w:tr>
      <w:tr w:rsidR="00AA31EB" w:rsidRPr="00AA31EB" w:rsidTr="00AA31EB">
        <w:trPr>
          <w:trHeight w:val="338"/>
        </w:trPr>
        <w:tc>
          <w:tcPr>
            <w:tcW w:w="600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AA31EB" w:rsidRPr="00AA31EB" w:rsidTr="00AA31EB">
        <w:trPr>
          <w:trHeight w:val="338"/>
        </w:trPr>
        <w:tc>
          <w:tcPr>
            <w:tcW w:w="600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</w:tbl>
    <w:p w:rsidR="00336A41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31EB" w:rsidRDefault="00AA31EB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539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756"/>
        <w:gridCol w:w="4796"/>
        <w:gridCol w:w="972"/>
        <w:gridCol w:w="973"/>
        <w:gridCol w:w="972"/>
        <w:gridCol w:w="973"/>
        <w:gridCol w:w="1085"/>
        <w:gridCol w:w="973"/>
        <w:gridCol w:w="972"/>
        <w:gridCol w:w="2067"/>
      </w:tblGrid>
      <w:tr w:rsidR="00AA31EB" w:rsidRPr="00AA31EB" w:rsidTr="00AA31EB">
        <w:trPr>
          <w:trHeight w:val="488"/>
        </w:trPr>
        <w:tc>
          <w:tcPr>
            <w:tcW w:w="1453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AA31EB" w:rsidRPr="00AA31EB" w:rsidTr="00AA31EB">
        <w:trPr>
          <w:trHeight w:val="321"/>
        </w:trPr>
        <w:tc>
          <w:tcPr>
            <w:tcW w:w="75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AA31EB">
        <w:trPr>
          <w:trHeight w:val="321"/>
        </w:trPr>
        <w:tc>
          <w:tcPr>
            <w:tcW w:w="555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9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9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30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AA31EB">
        <w:trPr>
          <w:trHeight w:val="321"/>
        </w:trPr>
        <w:tc>
          <w:tcPr>
            <w:tcW w:w="555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60.2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0.8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52.9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7.0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6.3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53.9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7.3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41.2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35.4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</w:tr>
      <w:tr w:rsidR="00AA31EB" w:rsidRPr="00AA31EB" w:rsidTr="00AA31EB">
        <w:trPr>
          <w:trHeight w:val="351"/>
        </w:trPr>
        <w:tc>
          <w:tcPr>
            <w:tcW w:w="5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AA31EB" w:rsidRPr="00AA31EB" w:rsidTr="00AA31EB">
        <w:trPr>
          <w:trHeight w:val="351"/>
        </w:trPr>
        <w:tc>
          <w:tcPr>
            <w:tcW w:w="5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</w:tbl>
    <w:p w:rsidR="00AA31EB" w:rsidRPr="00AC52D2" w:rsidRDefault="00AA31EB" w:rsidP="00D61C2C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sectPr w:rsidR="00AA31EB" w:rsidRPr="00AC52D2" w:rsidSect="005A0840">
      <w:pgSz w:w="16840" w:h="11900" w:orient="landscape"/>
      <w:pgMar w:top="1304" w:right="624" w:bottom="680" w:left="12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69" w:rsidRDefault="00717669" w:rsidP="006C1480">
      <w:r>
        <w:separator/>
      </w:r>
    </w:p>
  </w:endnote>
  <w:endnote w:type="continuationSeparator" w:id="1">
    <w:p w:rsidR="00717669" w:rsidRDefault="00717669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D091F">
    <w:pPr>
      <w:pStyle w:val="Pieddepage"/>
      <w:jc w:val="center"/>
    </w:pPr>
    <w:fldSimple w:instr=" PAGE   \* MERGEFORMAT ">
      <w:r w:rsidR="00B54A10">
        <w:rPr>
          <w:noProof/>
        </w:rPr>
        <w:t>2</w:t>
      </w:r>
    </w:fldSimple>
  </w:p>
  <w:p w:rsidR="00DC7D72" w:rsidRDefault="00DC7D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D091F">
    <w:pPr>
      <w:pStyle w:val="Pieddepage"/>
      <w:jc w:val="center"/>
    </w:pPr>
    <w:fldSimple w:instr=" PAGE   \* MERGEFORMAT ">
      <w:r w:rsidR="00AD719C">
        <w:rPr>
          <w:noProof/>
        </w:rPr>
        <w:t>17</w:t>
      </w:r>
    </w:fldSimple>
  </w:p>
  <w:p w:rsidR="00DC7D72" w:rsidRDefault="00DC7D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69" w:rsidRDefault="00717669" w:rsidP="006C1480">
      <w:r>
        <w:separator/>
      </w:r>
    </w:p>
  </w:footnote>
  <w:footnote w:type="continuationSeparator" w:id="1">
    <w:p w:rsidR="00717669" w:rsidRDefault="00717669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D091F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 w:rsidRPr="009D091F">
      <w:rPr>
        <w:noProof/>
      </w:rPr>
      <w:pict>
        <v:polyline id="_x0000_s6147" style="position:absolute;left:0;text-align:left;z-index:-251658240;mso-position-horizontal-relative:page;mso-position-vertical-relative:text" points="594.95pt,47.95pt,0,47.95pt" coordsize="11899,0" filled="f" strokecolor="#92d050" strokeweight=".70553mm">
          <v:path arrowok="t"/>
          <w10:wrap anchorx="page"/>
        </v:polyline>
      </w:pict>
    </w:r>
    <w:r w:rsidR="009D106B"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2300" cy="520700"/>
          <wp:effectExtent l="19050" t="0" r="6350" b="0"/>
          <wp:docPr id="8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DC7D72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D106B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2300" cy="520700"/>
          <wp:effectExtent l="19050" t="0" r="6350" b="0"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9D091F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  <w:r w:rsidRPr="009D091F">
      <w:rPr>
        <w:noProof/>
      </w:rPr>
      <w:pict>
        <v:shape id="_x0000_s6145" style="position:absolute;margin-left:17.25pt;margin-top:4.3pt;width:801pt;height:8.3pt;z-index:-251659264;mso-position-horizontal-relative:page;mso-position-vertical-relative:text" coordsize="11899,0" path="m11899,l,e" filled="f" strokecolor="#92d050" strokeweight=".70553mm">
          <v:path arrowok="t"/>
          <w10:wrap anchorx="page"/>
        </v:shape>
      </w:pict>
    </w:r>
    <w:r w:rsidR="00DC7D72">
      <w:rPr>
        <w:color w:val="000000"/>
        <w:sz w:val="18"/>
        <w:szCs w:val="18"/>
      </w:rPr>
      <w:t xml:space="preserve">  </w:t>
    </w: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9C52912C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D68EC1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75950"/>
    <w:rsid w:val="00001163"/>
    <w:rsid w:val="00003ECF"/>
    <w:rsid w:val="0001242F"/>
    <w:rsid w:val="000133D9"/>
    <w:rsid w:val="00015320"/>
    <w:rsid w:val="00054250"/>
    <w:rsid w:val="00056086"/>
    <w:rsid w:val="00056B44"/>
    <w:rsid w:val="00060D79"/>
    <w:rsid w:val="00065D4A"/>
    <w:rsid w:val="00070AA5"/>
    <w:rsid w:val="00075DC7"/>
    <w:rsid w:val="000763BE"/>
    <w:rsid w:val="00077A7B"/>
    <w:rsid w:val="0008340C"/>
    <w:rsid w:val="000834FB"/>
    <w:rsid w:val="00084933"/>
    <w:rsid w:val="00087027"/>
    <w:rsid w:val="000901D7"/>
    <w:rsid w:val="00090248"/>
    <w:rsid w:val="00093EF8"/>
    <w:rsid w:val="000A1E00"/>
    <w:rsid w:val="000B3349"/>
    <w:rsid w:val="000D0BA4"/>
    <w:rsid w:val="000D5BED"/>
    <w:rsid w:val="000E1A84"/>
    <w:rsid w:val="000E24B1"/>
    <w:rsid w:val="000F06D5"/>
    <w:rsid w:val="000F37AB"/>
    <w:rsid w:val="000F7103"/>
    <w:rsid w:val="000F7155"/>
    <w:rsid w:val="00100C78"/>
    <w:rsid w:val="00103B95"/>
    <w:rsid w:val="0010473D"/>
    <w:rsid w:val="00105DC5"/>
    <w:rsid w:val="001076DC"/>
    <w:rsid w:val="001120CA"/>
    <w:rsid w:val="00115BE0"/>
    <w:rsid w:val="00124B3B"/>
    <w:rsid w:val="001325D5"/>
    <w:rsid w:val="0013385F"/>
    <w:rsid w:val="001371F3"/>
    <w:rsid w:val="00147520"/>
    <w:rsid w:val="001620B7"/>
    <w:rsid w:val="00164CA5"/>
    <w:rsid w:val="001666A3"/>
    <w:rsid w:val="00170F70"/>
    <w:rsid w:val="0017461C"/>
    <w:rsid w:val="0018092B"/>
    <w:rsid w:val="00184064"/>
    <w:rsid w:val="00185BD6"/>
    <w:rsid w:val="001920C7"/>
    <w:rsid w:val="00192A47"/>
    <w:rsid w:val="001A6CC0"/>
    <w:rsid w:val="001B47F8"/>
    <w:rsid w:val="001C3ABA"/>
    <w:rsid w:val="001C4E46"/>
    <w:rsid w:val="001D5824"/>
    <w:rsid w:val="001E7C61"/>
    <w:rsid w:val="001F318A"/>
    <w:rsid w:val="0020255F"/>
    <w:rsid w:val="00205D70"/>
    <w:rsid w:val="00211145"/>
    <w:rsid w:val="00235A1D"/>
    <w:rsid w:val="00244BAB"/>
    <w:rsid w:val="002559C7"/>
    <w:rsid w:val="00274850"/>
    <w:rsid w:val="00280D74"/>
    <w:rsid w:val="00290197"/>
    <w:rsid w:val="00293BCE"/>
    <w:rsid w:val="002A3417"/>
    <w:rsid w:val="002A5433"/>
    <w:rsid w:val="002B673B"/>
    <w:rsid w:val="002C0C2A"/>
    <w:rsid w:val="002C144E"/>
    <w:rsid w:val="002D33BE"/>
    <w:rsid w:val="002D4E33"/>
    <w:rsid w:val="002F10EF"/>
    <w:rsid w:val="00304233"/>
    <w:rsid w:val="00304956"/>
    <w:rsid w:val="003049FC"/>
    <w:rsid w:val="00317459"/>
    <w:rsid w:val="003321F9"/>
    <w:rsid w:val="00336A41"/>
    <w:rsid w:val="00342142"/>
    <w:rsid w:val="0035062B"/>
    <w:rsid w:val="0035380B"/>
    <w:rsid w:val="0036188B"/>
    <w:rsid w:val="0037174F"/>
    <w:rsid w:val="00386E5F"/>
    <w:rsid w:val="00387318"/>
    <w:rsid w:val="003A0EE6"/>
    <w:rsid w:val="003A1048"/>
    <w:rsid w:val="003A6CC3"/>
    <w:rsid w:val="003B6E99"/>
    <w:rsid w:val="003C0EAC"/>
    <w:rsid w:val="003D3811"/>
    <w:rsid w:val="003D456D"/>
    <w:rsid w:val="003D7A26"/>
    <w:rsid w:val="003E556B"/>
    <w:rsid w:val="003F0D9F"/>
    <w:rsid w:val="003F7DB1"/>
    <w:rsid w:val="00401CC4"/>
    <w:rsid w:val="00401DC7"/>
    <w:rsid w:val="00403F1C"/>
    <w:rsid w:val="00426D0C"/>
    <w:rsid w:val="00430C9D"/>
    <w:rsid w:val="00435FF7"/>
    <w:rsid w:val="00436AD7"/>
    <w:rsid w:val="00447933"/>
    <w:rsid w:val="004636A6"/>
    <w:rsid w:val="00465150"/>
    <w:rsid w:val="00481674"/>
    <w:rsid w:val="004835C4"/>
    <w:rsid w:val="0048567F"/>
    <w:rsid w:val="00486938"/>
    <w:rsid w:val="00487585"/>
    <w:rsid w:val="00487712"/>
    <w:rsid w:val="004962EC"/>
    <w:rsid w:val="004A03CC"/>
    <w:rsid w:val="004A2E6E"/>
    <w:rsid w:val="004A4ABA"/>
    <w:rsid w:val="004B17DE"/>
    <w:rsid w:val="004B22DF"/>
    <w:rsid w:val="004B3ACE"/>
    <w:rsid w:val="004C1F35"/>
    <w:rsid w:val="004D350F"/>
    <w:rsid w:val="004D58CD"/>
    <w:rsid w:val="004D7693"/>
    <w:rsid w:val="004E2357"/>
    <w:rsid w:val="004E4032"/>
    <w:rsid w:val="004F187F"/>
    <w:rsid w:val="004F4AEC"/>
    <w:rsid w:val="004F61EB"/>
    <w:rsid w:val="005073AE"/>
    <w:rsid w:val="00513B01"/>
    <w:rsid w:val="005225A3"/>
    <w:rsid w:val="00524BF1"/>
    <w:rsid w:val="00533BEA"/>
    <w:rsid w:val="005371E9"/>
    <w:rsid w:val="00541470"/>
    <w:rsid w:val="0055098A"/>
    <w:rsid w:val="0055338C"/>
    <w:rsid w:val="0055433D"/>
    <w:rsid w:val="00562AE0"/>
    <w:rsid w:val="00575950"/>
    <w:rsid w:val="00582598"/>
    <w:rsid w:val="0058665B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B0BA8"/>
    <w:rsid w:val="005B0BCB"/>
    <w:rsid w:val="005B39E6"/>
    <w:rsid w:val="005C0FC1"/>
    <w:rsid w:val="005C4D7A"/>
    <w:rsid w:val="005E41C9"/>
    <w:rsid w:val="005E461A"/>
    <w:rsid w:val="005F4D52"/>
    <w:rsid w:val="00632EF3"/>
    <w:rsid w:val="006334F4"/>
    <w:rsid w:val="006339EF"/>
    <w:rsid w:val="0064461C"/>
    <w:rsid w:val="0066509C"/>
    <w:rsid w:val="00670B0F"/>
    <w:rsid w:val="00672A72"/>
    <w:rsid w:val="006745A6"/>
    <w:rsid w:val="006A3E78"/>
    <w:rsid w:val="006A3F22"/>
    <w:rsid w:val="006B51C3"/>
    <w:rsid w:val="006C1480"/>
    <w:rsid w:val="006C79B5"/>
    <w:rsid w:val="006D0082"/>
    <w:rsid w:val="006D0BBD"/>
    <w:rsid w:val="006E0616"/>
    <w:rsid w:val="00702AA7"/>
    <w:rsid w:val="00715837"/>
    <w:rsid w:val="00717669"/>
    <w:rsid w:val="0072325E"/>
    <w:rsid w:val="007250DF"/>
    <w:rsid w:val="007253F4"/>
    <w:rsid w:val="00730FDC"/>
    <w:rsid w:val="007350EB"/>
    <w:rsid w:val="007404CC"/>
    <w:rsid w:val="00742039"/>
    <w:rsid w:val="00742237"/>
    <w:rsid w:val="00742316"/>
    <w:rsid w:val="0074744D"/>
    <w:rsid w:val="007539B7"/>
    <w:rsid w:val="0075634A"/>
    <w:rsid w:val="00775745"/>
    <w:rsid w:val="007761EA"/>
    <w:rsid w:val="0078152A"/>
    <w:rsid w:val="007829B6"/>
    <w:rsid w:val="00782D69"/>
    <w:rsid w:val="007831FD"/>
    <w:rsid w:val="00783227"/>
    <w:rsid w:val="0078374F"/>
    <w:rsid w:val="0078787A"/>
    <w:rsid w:val="007A786E"/>
    <w:rsid w:val="007B0CF3"/>
    <w:rsid w:val="007B3208"/>
    <w:rsid w:val="007C268C"/>
    <w:rsid w:val="007C4BE9"/>
    <w:rsid w:val="007D0377"/>
    <w:rsid w:val="007D33ED"/>
    <w:rsid w:val="007D783B"/>
    <w:rsid w:val="007E5780"/>
    <w:rsid w:val="007F32E6"/>
    <w:rsid w:val="007F79B4"/>
    <w:rsid w:val="00810663"/>
    <w:rsid w:val="008131D9"/>
    <w:rsid w:val="00815D52"/>
    <w:rsid w:val="00824877"/>
    <w:rsid w:val="00824A36"/>
    <w:rsid w:val="00827F58"/>
    <w:rsid w:val="00832675"/>
    <w:rsid w:val="008344E8"/>
    <w:rsid w:val="00840992"/>
    <w:rsid w:val="00854C12"/>
    <w:rsid w:val="00857D1C"/>
    <w:rsid w:val="00862B25"/>
    <w:rsid w:val="00862EBA"/>
    <w:rsid w:val="008633E2"/>
    <w:rsid w:val="008645A7"/>
    <w:rsid w:val="008661D4"/>
    <w:rsid w:val="00870352"/>
    <w:rsid w:val="0087772E"/>
    <w:rsid w:val="00883597"/>
    <w:rsid w:val="00887BAF"/>
    <w:rsid w:val="00891BC9"/>
    <w:rsid w:val="00892F0F"/>
    <w:rsid w:val="008948EF"/>
    <w:rsid w:val="008B658C"/>
    <w:rsid w:val="008B7CDF"/>
    <w:rsid w:val="008C0351"/>
    <w:rsid w:val="008C1086"/>
    <w:rsid w:val="008C3B00"/>
    <w:rsid w:val="008C5E6D"/>
    <w:rsid w:val="008D09BB"/>
    <w:rsid w:val="008D0B4F"/>
    <w:rsid w:val="008D37B5"/>
    <w:rsid w:val="008D60B7"/>
    <w:rsid w:val="008F4126"/>
    <w:rsid w:val="00902189"/>
    <w:rsid w:val="00904D78"/>
    <w:rsid w:val="00906C2D"/>
    <w:rsid w:val="00913959"/>
    <w:rsid w:val="0092463F"/>
    <w:rsid w:val="0092484E"/>
    <w:rsid w:val="00940D8A"/>
    <w:rsid w:val="009435D6"/>
    <w:rsid w:val="0094690C"/>
    <w:rsid w:val="0095166A"/>
    <w:rsid w:val="00951F50"/>
    <w:rsid w:val="009606CF"/>
    <w:rsid w:val="00964DF4"/>
    <w:rsid w:val="009665F5"/>
    <w:rsid w:val="00967AA8"/>
    <w:rsid w:val="00974133"/>
    <w:rsid w:val="00976D56"/>
    <w:rsid w:val="009773BD"/>
    <w:rsid w:val="00977DFD"/>
    <w:rsid w:val="00981CF7"/>
    <w:rsid w:val="009824BA"/>
    <w:rsid w:val="009A33C5"/>
    <w:rsid w:val="009A4116"/>
    <w:rsid w:val="009A54B7"/>
    <w:rsid w:val="009C2585"/>
    <w:rsid w:val="009C4BD7"/>
    <w:rsid w:val="009C6AB3"/>
    <w:rsid w:val="009D091F"/>
    <w:rsid w:val="009D106B"/>
    <w:rsid w:val="009D4DBA"/>
    <w:rsid w:val="009D6DFD"/>
    <w:rsid w:val="009E02EA"/>
    <w:rsid w:val="009E3C70"/>
    <w:rsid w:val="00A02A24"/>
    <w:rsid w:val="00A07FB7"/>
    <w:rsid w:val="00A107A1"/>
    <w:rsid w:val="00A12F4A"/>
    <w:rsid w:val="00A131AC"/>
    <w:rsid w:val="00A14864"/>
    <w:rsid w:val="00A16AD3"/>
    <w:rsid w:val="00A227AF"/>
    <w:rsid w:val="00A22A00"/>
    <w:rsid w:val="00A22C29"/>
    <w:rsid w:val="00A268B2"/>
    <w:rsid w:val="00A40954"/>
    <w:rsid w:val="00A4150B"/>
    <w:rsid w:val="00A44373"/>
    <w:rsid w:val="00A4638E"/>
    <w:rsid w:val="00A46855"/>
    <w:rsid w:val="00A55437"/>
    <w:rsid w:val="00A66782"/>
    <w:rsid w:val="00A66938"/>
    <w:rsid w:val="00A803C9"/>
    <w:rsid w:val="00A8730F"/>
    <w:rsid w:val="00A92DC6"/>
    <w:rsid w:val="00A978D1"/>
    <w:rsid w:val="00AA31EB"/>
    <w:rsid w:val="00AA51F4"/>
    <w:rsid w:val="00AA57D9"/>
    <w:rsid w:val="00AA6619"/>
    <w:rsid w:val="00AB0D11"/>
    <w:rsid w:val="00AC1BE4"/>
    <w:rsid w:val="00AC1DBC"/>
    <w:rsid w:val="00AC2009"/>
    <w:rsid w:val="00AC3D0A"/>
    <w:rsid w:val="00AC52D2"/>
    <w:rsid w:val="00AC6B4C"/>
    <w:rsid w:val="00AD181C"/>
    <w:rsid w:val="00AD5214"/>
    <w:rsid w:val="00AD719C"/>
    <w:rsid w:val="00AE68D2"/>
    <w:rsid w:val="00B016DF"/>
    <w:rsid w:val="00B135A4"/>
    <w:rsid w:val="00B140DA"/>
    <w:rsid w:val="00B14B4E"/>
    <w:rsid w:val="00B2042F"/>
    <w:rsid w:val="00B377DB"/>
    <w:rsid w:val="00B4350B"/>
    <w:rsid w:val="00B43E8A"/>
    <w:rsid w:val="00B478DA"/>
    <w:rsid w:val="00B50818"/>
    <w:rsid w:val="00B51C02"/>
    <w:rsid w:val="00B54A10"/>
    <w:rsid w:val="00B60C30"/>
    <w:rsid w:val="00B630F7"/>
    <w:rsid w:val="00B63D26"/>
    <w:rsid w:val="00B67808"/>
    <w:rsid w:val="00B71FA6"/>
    <w:rsid w:val="00B832A6"/>
    <w:rsid w:val="00B84AF8"/>
    <w:rsid w:val="00B861F6"/>
    <w:rsid w:val="00B92A7F"/>
    <w:rsid w:val="00BA2D03"/>
    <w:rsid w:val="00BA2E8E"/>
    <w:rsid w:val="00BA3001"/>
    <w:rsid w:val="00BB41FB"/>
    <w:rsid w:val="00BC2625"/>
    <w:rsid w:val="00BC3B44"/>
    <w:rsid w:val="00BC5182"/>
    <w:rsid w:val="00BC6AF2"/>
    <w:rsid w:val="00BD02E5"/>
    <w:rsid w:val="00BD16B3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B92"/>
    <w:rsid w:val="00C07BDC"/>
    <w:rsid w:val="00C14129"/>
    <w:rsid w:val="00C20B2B"/>
    <w:rsid w:val="00C20F30"/>
    <w:rsid w:val="00C300ED"/>
    <w:rsid w:val="00C336EA"/>
    <w:rsid w:val="00C3624C"/>
    <w:rsid w:val="00C40552"/>
    <w:rsid w:val="00C41438"/>
    <w:rsid w:val="00C45D8B"/>
    <w:rsid w:val="00C46A62"/>
    <w:rsid w:val="00C61875"/>
    <w:rsid w:val="00C702F1"/>
    <w:rsid w:val="00C71898"/>
    <w:rsid w:val="00C845E7"/>
    <w:rsid w:val="00C87936"/>
    <w:rsid w:val="00C91222"/>
    <w:rsid w:val="00C9589A"/>
    <w:rsid w:val="00CA27FA"/>
    <w:rsid w:val="00CB01D6"/>
    <w:rsid w:val="00CB0A14"/>
    <w:rsid w:val="00CB163F"/>
    <w:rsid w:val="00CB3CA3"/>
    <w:rsid w:val="00CB67CF"/>
    <w:rsid w:val="00CC268B"/>
    <w:rsid w:val="00CC36E4"/>
    <w:rsid w:val="00CC38F8"/>
    <w:rsid w:val="00CD22B6"/>
    <w:rsid w:val="00CD29EF"/>
    <w:rsid w:val="00CD3CB3"/>
    <w:rsid w:val="00CE30DF"/>
    <w:rsid w:val="00CE37A8"/>
    <w:rsid w:val="00CE4DAA"/>
    <w:rsid w:val="00CF0781"/>
    <w:rsid w:val="00CF17EC"/>
    <w:rsid w:val="00CF45AD"/>
    <w:rsid w:val="00D03E27"/>
    <w:rsid w:val="00D210EC"/>
    <w:rsid w:val="00D21C7C"/>
    <w:rsid w:val="00D27505"/>
    <w:rsid w:val="00D31F77"/>
    <w:rsid w:val="00D34330"/>
    <w:rsid w:val="00D43B2F"/>
    <w:rsid w:val="00D46F83"/>
    <w:rsid w:val="00D56E62"/>
    <w:rsid w:val="00D61C2C"/>
    <w:rsid w:val="00D61CD1"/>
    <w:rsid w:val="00D66534"/>
    <w:rsid w:val="00D71158"/>
    <w:rsid w:val="00D863FB"/>
    <w:rsid w:val="00D875D8"/>
    <w:rsid w:val="00D90572"/>
    <w:rsid w:val="00D91AB4"/>
    <w:rsid w:val="00D97E65"/>
    <w:rsid w:val="00DA21B9"/>
    <w:rsid w:val="00DA517C"/>
    <w:rsid w:val="00DA5C18"/>
    <w:rsid w:val="00DB0658"/>
    <w:rsid w:val="00DC139A"/>
    <w:rsid w:val="00DC478C"/>
    <w:rsid w:val="00DC7145"/>
    <w:rsid w:val="00DC7D72"/>
    <w:rsid w:val="00DD34A3"/>
    <w:rsid w:val="00DE3D22"/>
    <w:rsid w:val="00DE3E69"/>
    <w:rsid w:val="00DE5DB0"/>
    <w:rsid w:val="00E0156A"/>
    <w:rsid w:val="00E06566"/>
    <w:rsid w:val="00E14B14"/>
    <w:rsid w:val="00E15F6A"/>
    <w:rsid w:val="00E1641E"/>
    <w:rsid w:val="00E22987"/>
    <w:rsid w:val="00E24B81"/>
    <w:rsid w:val="00E27A76"/>
    <w:rsid w:val="00E33037"/>
    <w:rsid w:val="00E43F7E"/>
    <w:rsid w:val="00E51BD4"/>
    <w:rsid w:val="00E52379"/>
    <w:rsid w:val="00E56284"/>
    <w:rsid w:val="00E573E8"/>
    <w:rsid w:val="00E80108"/>
    <w:rsid w:val="00E90EEC"/>
    <w:rsid w:val="00E92B3C"/>
    <w:rsid w:val="00E95FEC"/>
    <w:rsid w:val="00EA3338"/>
    <w:rsid w:val="00EB2CAB"/>
    <w:rsid w:val="00EB2EBC"/>
    <w:rsid w:val="00EB441E"/>
    <w:rsid w:val="00EC5912"/>
    <w:rsid w:val="00ED1280"/>
    <w:rsid w:val="00ED209B"/>
    <w:rsid w:val="00ED58D4"/>
    <w:rsid w:val="00EE0AD8"/>
    <w:rsid w:val="00EE5969"/>
    <w:rsid w:val="00EF2958"/>
    <w:rsid w:val="00EF598A"/>
    <w:rsid w:val="00EF5DFF"/>
    <w:rsid w:val="00F15606"/>
    <w:rsid w:val="00F231A7"/>
    <w:rsid w:val="00F31A49"/>
    <w:rsid w:val="00F357DB"/>
    <w:rsid w:val="00F41D87"/>
    <w:rsid w:val="00F425D5"/>
    <w:rsid w:val="00F45698"/>
    <w:rsid w:val="00F530A1"/>
    <w:rsid w:val="00F534AD"/>
    <w:rsid w:val="00F5407D"/>
    <w:rsid w:val="00F62736"/>
    <w:rsid w:val="00F65718"/>
    <w:rsid w:val="00F65FF8"/>
    <w:rsid w:val="00F821C0"/>
    <w:rsid w:val="00F832AC"/>
    <w:rsid w:val="00F84B2E"/>
    <w:rsid w:val="00F85E15"/>
    <w:rsid w:val="00F957AF"/>
    <w:rsid w:val="00FA3B73"/>
    <w:rsid w:val="00FA6F64"/>
    <w:rsid w:val="00FA7E7C"/>
    <w:rsid w:val="00FB1D21"/>
    <w:rsid w:val="00FB63C8"/>
    <w:rsid w:val="00FC1236"/>
    <w:rsid w:val="00FD09D6"/>
    <w:rsid w:val="00FD3D87"/>
    <w:rsid w:val="00FD5733"/>
    <w:rsid w:val="00FD7116"/>
    <w:rsid w:val="00FE0C98"/>
    <w:rsid w:val="00FE196C"/>
    <w:rsid w:val="00FE7228"/>
    <w:rsid w:val="00FE748C"/>
    <w:rsid w:val="00FE7784"/>
    <w:rsid w:val="00FF06C3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E7FA-E5F9-42C9-B1E8-895243D9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2259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HP</cp:lastModifiedBy>
  <cp:revision>2</cp:revision>
  <cp:lastPrinted>2014-07-14T12:48:00Z</cp:lastPrinted>
  <dcterms:created xsi:type="dcterms:W3CDTF">2017-03-30T13:48:00Z</dcterms:created>
  <dcterms:modified xsi:type="dcterms:W3CDTF">2017-03-30T13:48:00Z</dcterms:modified>
</cp:coreProperties>
</file>