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4F" w:rsidRPr="00AC52D2" w:rsidRDefault="0078374F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824A36" w:rsidRPr="00AC52D2" w:rsidRDefault="009A290A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ind w:left="2903" w:right="-20"/>
        <w:rPr>
          <w:rFonts w:ascii="Book Antiqua" w:hAnsi="Book Antiqua"/>
        </w:rPr>
      </w:pPr>
      <w:r>
        <w:rPr>
          <w:rFonts w:ascii="Book Antiqua" w:hAnsi="Book Antiqua"/>
          <w:noProof/>
        </w:rPr>
        <w:drawing>
          <wp:inline distT="0" distB="0" distL="0" distR="0">
            <wp:extent cx="2033270" cy="901065"/>
            <wp:effectExtent l="19050" t="0" r="508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/>
          <w:sz w:val="20"/>
          <w:szCs w:val="20"/>
        </w:rPr>
      </w:pPr>
    </w:p>
    <w:p w:rsidR="00824A36" w:rsidRPr="00407830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/>
          <w:b/>
          <w:bCs/>
          <w:color w:val="993265"/>
          <w:w w:val="104"/>
          <w:sz w:val="64"/>
          <w:szCs w:val="64"/>
        </w:rPr>
      </w:pPr>
      <w:r w:rsidRPr="00407830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CO</w:t>
      </w:r>
      <w:r w:rsidRPr="00407830">
        <w:rPr>
          <w:rFonts w:ascii="Book Antiqua" w:hAnsi="Book Antiqua" w:cs="Arial"/>
          <w:b/>
          <w:bCs/>
          <w:color w:val="993265"/>
          <w:w w:val="112"/>
          <w:sz w:val="64"/>
          <w:szCs w:val="64"/>
        </w:rPr>
        <w:t>M</w:t>
      </w:r>
      <w:r w:rsidRPr="00407830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P</w:t>
      </w:r>
      <w:r w:rsidRPr="00407830">
        <w:rPr>
          <w:rFonts w:ascii="Book Antiqua" w:hAnsi="Book Antiqua" w:cs="Arial"/>
          <w:b/>
          <w:bCs/>
          <w:color w:val="993265"/>
          <w:spacing w:val="-4"/>
          <w:w w:val="108"/>
          <w:sz w:val="64"/>
          <w:szCs w:val="64"/>
        </w:rPr>
        <w:t>T</w:t>
      </w:r>
      <w:r w:rsidRPr="00407830">
        <w:rPr>
          <w:rFonts w:ascii="Book Antiqua" w:hAnsi="Book Antiqua" w:cs="Arial"/>
          <w:b/>
          <w:bCs/>
          <w:color w:val="993265"/>
          <w:w w:val="107"/>
          <w:sz w:val="64"/>
          <w:szCs w:val="64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3"/>
          <w:sz w:val="64"/>
          <w:szCs w:val="64"/>
        </w:rPr>
        <w:t>S</w:t>
      </w:r>
      <w:r w:rsidRPr="00407830">
        <w:rPr>
          <w:rFonts w:ascii="Book Antiqua" w:hAnsi="Book Antiqua"/>
          <w:b/>
          <w:bCs/>
          <w:color w:val="993265"/>
          <w:spacing w:val="17"/>
          <w:sz w:val="64"/>
          <w:szCs w:val="64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R</w:t>
      </w:r>
      <w:r w:rsidRPr="00407830">
        <w:rPr>
          <w:rFonts w:ascii="Book Antiqua" w:hAnsi="Book Antiqua" w:cs="Arial"/>
          <w:b/>
          <w:bCs/>
          <w:color w:val="993265"/>
          <w:w w:val="107"/>
          <w:sz w:val="64"/>
          <w:szCs w:val="64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G</w:t>
      </w:r>
      <w:r w:rsidRPr="00407830">
        <w:rPr>
          <w:rFonts w:ascii="Book Antiqua" w:hAnsi="Book Antiqua" w:cs="Arial"/>
          <w:b/>
          <w:bCs/>
          <w:color w:val="993265"/>
          <w:w w:val="145"/>
          <w:sz w:val="64"/>
          <w:szCs w:val="64"/>
        </w:rPr>
        <w:t>I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64"/>
          <w:szCs w:val="64"/>
        </w:rPr>
        <w:t>O</w:t>
      </w:r>
      <w:r w:rsidRPr="00407830">
        <w:rPr>
          <w:rFonts w:ascii="Book Antiqua" w:hAnsi="Book Antiqua" w:cs="Arial"/>
          <w:b/>
          <w:bCs/>
          <w:color w:val="993265"/>
          <w:w w:val="111"/>
          <w:sz w:val="64"/>
          <w:szCs w:val="64"/>
        </w:rPr>
        <w:t>N</w:t>
      </w:r>
      <w:r w:rsidRPr="00407830">
        <w:rPr>
          <w:rFonts w:ascii="Book Antiqua" w:hAnsi="Book Antiqua" w:cs="Arial"/>
          <w:b/>
          <w:bCs/>
          <w:color w:val="993265"/>
          <w:spacing w:val="-4"/>
          <w:w w:val="107"/>
          <w:sz w:val="64"/>
          <w:szCs w:val="64"/>
        </w:rPr>
        <w:t>A</w:t>
      </w:r>
      <w:r w:rsidRPr="00407830">
        <w:rPr>
          <w:rFonts w:ascii="Book Antiqua" w:hAnsi="Book Antiqua" w:cs="Arial"/>
          <w:b/>
          <w:bCs/>
          <w:color w:val="993265"/>
          <w:w w:val="111"/>
          <w:sz w:val="64"/>
          <w:szCs w:val="64"/>
        </w:rPr>
        <w:t>U</w:t>
      </w:r>
      <w:r w:rsidRPr="00407830">
        <w:rPr>
          <w:rFonts w:ascii="Book Antiqua" w:hAnsi="Book Antiqua" w:cs="Arial"/>
          <w:b/>
          <w:bCs/>
          <w:color w:val="993265"/>
          <w:w w:val="104"/>
          <w:sz w:val="64"/>
          <w:szCs w:val="64"/>
        </w:rPr>
        <w:t>X</w:t>
      </w:r>
      <w:r w:rsidRPr="00407830">
        <w:rPr>
          <w:rFonts w:ascii="Book Antiqua" w:hAnsi="Book Antiqua"/>
          <w:b/>
          <w:bCs/>
          <w:color w:val="993265"/>
          <w:w w:val="104"/>
          <w:sz w:val="64"/>
          <w:szCs w:val="64"/>
        </w:rPr>
        <w:t xml:space="preserve"> </w:t>
      </w:r>
    </w:p>
    <w:p w:rsidR="00824A36" w:rsidRPr="00407830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b/>
          <w:bCs/>
          <w:color w:val="000000"/>
          <w:sz w:val="28"/>
          <w:szCs w:val="28"/>
        </w:rPr>
      </w:pP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P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28"/>
          <w:szCs w:val="28"/>
        </w:rPr>
        <w:t>R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O</w:t>
      </w:r>
      <w:r w:rsidRPr="00407830">
        <w:rPr>
          <w:rFonts w:ascii="Book Antiqua" w:hAnsi="Book Antiqua" w:cs="Arial"/>
          <w:b/>
          <w:bCs/>
          <w:color w:val="993265"/>
          <w:w w:val="106"/>
          <w:sz w:val="28"/>
          <w:szCs w:val="28"/>
        </w:rPr>
        <w:t>D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U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/>
          <w:b/>
          <w:bCs/>
          <w:color w:val="993265"/>
          <w:spacing w:val="6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28"/>
          <w:szCs w:val="28"/>
        </w:rPr>
        <w:t>R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U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R</w:t>
      </w:r>
      <w:r w:rsidRPr="00407830">
        <w:rPr>
          <w:rFonts w:ascii="Book Antiqua" w:hAnsi="Book Antiqua"/>
          <w:b/>
          <w:bCs/>
          <w:color w:val="993265"/>
          <w:spacing w:val="8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B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28"/>
          <w:szCs w:val="28"/>
        </w:rPr>
        <w:t>R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U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/>
          <w:b/>
          <w:bCs/>
          <w:color w:val="993265"/>
          <w:spacing w:val="9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/>
          <w:b/>
          <w:bCs/>
          <w:color w:val="993265"/>
          <w:spacing w:val="9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4"/>
          <w:w w:val="106"/>
          <w:sz w:val="28"/>
          <w:szCs w:val="28"/>
        </w:rPr>
        <w:t>D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P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  <w:r w:rsidRPr="00407830">
        <w:rPr>
          <w:rFonts w:ascii="Book Antiqua" w:hAnsi="Book Antiqua"/>
          <w:b/>
          <w:bCs/>
          <w:color w:val="993265"/>
          <w:spacing w:val="10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106"/>
          <w:sz w:val="28"/>
          <w:szCs w:val="28"/>
        </w:rPr>
        <w:t>D</w:t>
      </w:r>
      <w:r w:rsidRPr="00407830">
        <w:rPr>
          <w:rFonts w:ascii="Book Antiqua" w:hAnsi="Book Antiqua" w:cs="Arial"/>
          <w:b/>
          <w:bCs/>
          <w:color w:val="993265"/>
          <w:w w:val="107"/>
          <w:sz w:val="28"/>
          <w:szCs w:val="28"/>
        </w:rPr>
        <w:t>E</w:t>
      </w:r>
      <w:r w:rsidRPr="00407830">
        <w:rPr>
          <w:rFonts w:ascii="Book Antiqua" w:hAnsi="Book Antiqua"/>
          <w:b/>
          <w:bCs/>
          <w:color w:val="993265"/>
          <w:spacing w:val="8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3"/>
          <w:w w:val="99"/>
          <w:sz w:val="28"/>
          <w:szCs w:val="28"/>
        </w:rPr>
        <w:t>C</w:t>
      </w:r>
      <w:r w:rsidRPr="00407830">
        <w:rPr>
          <w:rFonts w:ascii="Book Antiqua" w:hAnsi="Book Antiqua" w:cs="Arial"/>
          <w:b/>
          <w:bCs/>
          <w:color w:val="993265"/>
          <w:spacing w:val="-4"/>
          <w:w w:val="99"/>
          <w:sz w:val="28"/>
          <w:szCs w:val="28"/>
        </w:rPr>
        <w:t>O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O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2"/>
          <w:sz w:val="28"/>
          <w:szCs w:val="28"/>
        </w:rPr>
        <w:t>MM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A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T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O</w:t>
      </w:r>
      <w:r w:rsidRPr="00407830">
        <w:rPr>
          <w:rFonts w:ascii="Book Antiqua" w:hAnsi="Book Antiqua" w:cs="Arial"/>
          <w:b/>
          <w:bCs/>
          <w:color w:val="993265"/>
          <w:w w:val="111"/>
          <w:sz w:val="28"/>
          <w:szCs w:val="28"/>
        </w:rPr>
        <w:t>N</w:t>
      </w:r>
      <w:r w:rsidRPr="00407830">
        <w:rPr>
          <w:rFonts w:ascii="Book Antiqua" w:hAnsi="Book Antiqua"/>
          <w:b/>
          <w:bCs/>
          <w:color w:val="993265"/>
          <w:w w:val="111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108"/>
          <w:sz w:val="28"/>
          <w:szCs w:val="28"/>
        </w:rPr>
        <w:t>F</w:t>
      </w:r>
      <w:r w:rsidRPr="00407830">
        <w:rPr>
          <w:rFonts w:ascii="Book Antiqua" w:hAnsi="Book Antiqua" w:cs="Arial"/>
          <w:b/>
          <w:bCs/>
          <w:color w:val="993265"/>
          <w:w w:val="145"/>
          <w:sz w:val="28"/>
          <w:szCs w:val="28"/>
        </w:rPr>
        <w:t>I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A</w:t>
      </w:r>
      <w:r w:rsidRPr="00407830">
        <w:rPr>
          <w:rFonts w:ascii="Book Antiqua" w:hAnsi="Book Antiqua" w:cs="Arial"/>
          <w:b/>
          <w:bCs/>
          <w:color w:val="993265"/>
          <w:w w:val="118"/>
          <w:sz w:val="28"/>
          <w:szCs w:val="28"/>
        </w:rPr>
        <w:t>L</w:t>
      </w:r>
      <w:r w:rsidRPr="00407830">
        <w:rPr>
          <w:rFonts w:ascii="Book Antiqua" w:hAnsi="Book Antiqua" w:cs="Arial"/>
          <w:b/>
          <w:bCs/>
          <w:color w:val="993265"/>
          <w:w w:val="107"/>
          <w:sz w:val="28"/>
          <w:szCs w:val="28"/>
        </w:rPr>
        <w:t>E</w:t>
      </w:r>
      <w:r w:rsidRPr="00407830">
        <w:rPr>
          <w:rFonts w:ascii="Book Antiqua" w:hAnsi="Book Antiqua"/>
          <w:b/>
          <w:bCs/>
          <w:color w:val="993265"/>
          <w:spacing w:val="8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w w:val="106"/>
          <w:sz w:val="28"/>
          <w:szCs w:val="28"/>
        </w:rPr>
        <w:t>D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  <w:r w:rsidRPr="00407830">
        <w:rPr>
          <w:rFonts w:ascii="Book Antiqua" w:hAnsi="Book Antiqua"/>
          <w:b/>
          <w:bCs/>
          <w:color w:val="993265"/>
          <w:spacing w:val="10"/>
          <w:sz w:val="28"/>
          <w:szCs w:val="28"/>
        </w:rPr>
        <w:t xml:space="preserve"> 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2"/>
          <w:sz w:val="28"/>
          <w:szCs w:val="28"/>
        </w:rPr>
        <w:t>M</w:t>
      </w:r>
      <w:r w:rsidRPr="00407830">
        <w:rPr>
          <w:rFonts w:ascii="Book Antiqua" w:hAnsi="Book Antiqua" w:cs="Arial"/>
          <w:b/>
          <w:bCs/>
          <w:color w:val="993265"/>
          <w:spacing w:val="-5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spacing w:val="-2"/>
          <w:w w:val="111"/>
          <w:sz w:val="28"/>
          <w:szCs w:val="28"/>
        </w:rPr>
        <w:t>N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A</w:t>
      </w:r>
      <w:r w:rsidRPr="00407830">
        <w:rPr>
          <w:rFonts w:ascii="Book Antiqua" w:hAnsi="Book Antiqua" w:cs="Arial"/>
          <w:b/>
          <w:bCs/>
          <w:color w:val="993265"/>
          <w:w w:val="99"/>
          <w:sz w:val="28"/>
          <w:szCs w:val="28"/>
        </w:rPr>
        <w:t>G</w:t>
      </w:r>
      <w:r w:rsidRPr="00407830">
        <w:rPr>
          <w:rFonts w:ascii="Book Antiqua" w:hAnsi="Book Antiqua" w:cs="Arial"/>
          <w:b/>
          <w:bCs/>
          <w:color w:val="993265"/>
          <w:spacing w:val="-3"/>
          <w:w w:val="107"/>
          <w:sz w:val="28"/>
          <w:szCs w:val="28"/>
        </w:rPr>
        <w:t>E</w:t>
      </w:r>
      <w:r w:rsidRPr="00407830">
        <w:rPr>
          <w:rFonts w:ascii="Book Antiqua" w:hAnsi="Book Antiqua" w:cs="Arial"/>
          <w:b/>
          <w:bCs/>
          <w:color w:val="993265"/>
          <w:w w:val="93"/>
          <w:sz w:val="28"/>
          <w:szCs w:val="28"/>
        </w:rPr>
        <w:t>S</w:t>
      </w: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74" w:lineRule="exact"/>
        <w:rPr>
          <w:rFonts w:ascii="Book Antiqua" w:hAnsi="Book Antiqua" w:cs="Arial"/>
          <w:color w:val="000000"/>
          <w:sz w:val="26"/>
          <w:szCs w:val="26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exact"/>
        <w:ind w:left="3388" w:right="3224"/>
        <w:jc w:val="center"/>
        <w:rPr>
          <w:rFonts w:ascii="Book Antiqua" w:hAnsi="Book Antiqua" w:cs="Helvetica"/>
          <w:b/>
          <w:bCs/>
          <w:color w:val="7F007F"/>
          <w:w w:val="99"/>
          <w:sz w:val="48"/>
          <w:szCs w:val="48"/>
        </w:rPr>
      </w:pPr>
      <w:r w:rsidRPr="00AC52D2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20</w:t>
      </w:r>
      <w:r w:rsidR="00401CC4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>1</w:t>
      </w:r>
      <w:r w:rsidR="00D417C8">
        <w:rPr>
          <w:rFonts w:ascii="Book Antiqua" w:hAnsi="Book Antiqua" w:cs="Helvetica"/>
          <w:b/>
          <w:bCs/>
          <w:color w:val="7F007F"/>
          <w:spacing w:val="-2"/>
          <w:w w:val="99"/>
          <w:sz w:val="48"/>
          <w:szCs w:val="48"/>
        </w:rPr>
        <w:t xml:space="preserve">3 </w:t>
      </w: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480" w:lineRule="exact"/>
        <w:ind w:left="3388" w:right="3224"/>
        <w:jc w:val="center"/>
        <w:rPr>
          <w:rFonts w:ascii="Book Antiqua" w:hAnsi="Book Antiqua" w:cs="Helvetica"/>
          <w:color w:val="000000"/>
          <w:sz w:val="48"/>
          <w:szCs w:val="48"/>
        </w:rPr>
      </w:pPr>
      <w:r w:rsidRPr="00AC52D2">
        <w:rPr>
          <w:rFonts w:ascii="Book Antiqua" w:hAnsi="Book Antiqua"/>
          <w:b/>
          <w:bCs/>
          <w:color w:val="7F007F"/>
          <w:spacing w:val="14"/>
          <w:sz w:val="48"/>
          <w:szCs w:val="48"/>
        </w:rPr>
        <w:t xml:space="preserve"> </w:t>
      </w: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Pr="00AC52D2" w:rsidRDefault="00824A36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200" w:lineRule="exact"/>
        <w:rPr>
          <w:rFonts w:ascii="Book Antiqua" w:hAnsi="Book Antiqua" w:cs="Helvetica"/>
          <w:color w:val="000000"/>
          <w:sz w:val="20"/>
          <w:szCs w:val="20"/>
        </w:rPr>
      </w:pPr>
    </w:p>
    <w:p w:rsidR="00824A36" w:rsidRDefault="007677D0" w:rsidP="008B547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Book Antiqua" w:hAnsi="Book Antiqua" w:cs="Arial"/>
          <w:color w:val="993265"/>
          <w:spacing w:val="-3"/>
          <w:w w:val="107"/>
        </w:rPr>
      </w:pPr>
      <w:r>
        <w:rPr>
          <w:rFonts w:ascii="Book Antiqua" w:hAnsi="Book Antiqua" w:cs="Arial"/>
          <w:color w:val="993265"/>
          <w:spacing w:val="-3"/>
          <w:w w:val="107"/>
        </w:rPr>
        <w:t>Septembre</w:t>
      </w:r>
      <w:r w:rsidR="00D417C8">
        <w:rPr>
          <w:rFonts w:ascii="Book Antiqua" w:hAnsi="Book Antiqua" w:cs="Arial"/>
          <w:color w:val="993265"/>
          <w:spacing w:val="-3"/>
          <w:w w:val="107"/>
        </w:rPr>
        <w:t xml:space="preserve"> </w:t>
      </w:r>
      <w:r w:rsidR="00824A36" w:rsidRPr="00AC52D2">
        <w:rPr>
          <w:rFonts w:ascii="Book Antiqua" w:hAnsi="Book Antiqua" w:cs="Arial"/>
          <w:color w:val="993265"/>
          <w:spacing w:val="-3"/>
          <w:w w:val="107"/>
        </w:rPr>
        <w:t xml:space="preserve"> 20</w:t>
      </w:r>
      <w:r w:rsidR="00401CC4">
        <w:rPr>
          <w:rFonts w:ascii="Book Antiqua" w:hAnsi="Book Antiqua" w:cs="Arial"/>
          <w:color w:val="993265"/>
          <w:spacing w:val="-3"/>
          <w:w w:val="107"/>
        </w:rPr>
        <w:t>1</w:t>
      </w:r>
      <w:r w:rsidR="00D417C8">
        <w:rPr>
          <w:rFonts w:ascii="Book Antiqua" w:hAnsi="Book Antiqua" w:cs="Arial"/>
          <w:color w:val="993265"/>
          <w:spacing w:val="-3"/>
          <w:w w:val="107"/>
        </w:rPr>
        <w:t>5</w:t>
      </w:r>
    </w:p>
    <w:p w:rsidR="00D417C8" w:rsidRPr="00AC52D2" w:rsidRDefault="00D417C8" w:rsidP="008B547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Book Antiqua" w:hAnsi="Book Antiqua" w:cs="Arial"/>
          <w:color w:val="000000"/>
        </w:rPr>
        <w:sectPr w:rsidR="00D417C8" w:rsidRPr="00AC52D2" w:rsidSect="006C1480">
          <w:headerReference w:type="default" r:id="rId9"/>
          <w:footerReference w:type="default" r:id="rId10"/>
          <w:type w:val="nextColumn"/>
          <w:pgSz w:w="11900" w:h="16840"/>
          <w:pgMar w:top="624" w:right="680" w:bottom="1247" w:left="1304" w:header="720" w:footer="720" w:gutter="0"/>
          <w:cols w:space="720"/>
          <w:noEndnote/>
          <w:titlePg/>
          <w:docGrid w:linePitch="326"/>
        </w:sectPr>
      </w:pPr>
    </w:p>
    <w:p w:rsidR="0072325E" w:rsidRDefault="0072325E" w:rsidP="00D47DB0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>Le Haut-commissariat au Plan (HCP) a procédé, conformément aux normes internationales de comptabilité nationale, à l’élaboration des comptes régionaux pour l’année 20</w:t>
      </w:r>
      <w:r>
        <w:rPr>
          <w:rFonts w:ascii="Book Antiqua" w:hAnsi="Book Antiqua" w:cs="Arial"/>
        </w:rPr>
        <w:t>1</w:t>
      </w:r>
      <w:r w:rsidR="00D417C8">
        <w:rPr>
          <w:rFonts w:ascii="Book Antiqua" w:hAnsi="Book Antiqua" w:cs="Arial"/>
        </w:rPr>
        <w:t>3. Ces comptes</w:t>
      </w:r>
      <w:r w:rsidR="008B5472">
        <w:rPr>
          <w:rFonts w:ascii="Book Antiqua" w:hAnsi="Book Antiqua" w:cs="Arial"/>
        </w:rPr>
        <w:t xml:space="preserve"> sont </w:t>
      </w:r>
      <w:r w:rsidR="00D417C8">
        <w:rPr>
          <w:rFonts w:ascii="Book Antiqua" w:hAnsi="Book Antiqua" w:cs="Arial"/>
        </w:rPr>
        <w:t xml:space="preserve">établis </w:t>
      </w:r>
      <w:r w:rsidR="008B5472">
        <w:rPr>
          <w:rFonts w:ascii="Book Antiqua" w:hAnsi="Book Antiqua" w:cs="Arial"/>
        </w:rPr>
        <w:t>en base</w:t>
      </w:r>
      <w:r w:rsidR="00D417C8">
        <w:rPr>
          <w:rFonts w:ascii="Book Antiqua" w:hAnsi="Book Antiqua" w:cs="Arial"/>
        </w:rPr>
        <w:t xml:space="preserve"> 2007</w:t>
      </w:r>
      <w:r w:rsidR="008B5472">
        <w:rPr>
          <w:rFonts w:ascii="Book Antiqua" w:hAnsi="Book Antiqua" w:cs="Arial"/>
        </w:rPr>
        <w:t xml:space="preserve"> et selon les découpages de 16 et 12 régions. Ils </w:t>
      </w:r>
      <w:r w:rsidRPr="00AC52D2">
        <w:rPr>
          <w:rFonts w:ascii="Book Antiqua" w:hAnsi="Book Antiqua" w:cs="Arial"/>
        </w:rPr>
        <w:t xml:space="preserve">présentent le Produit Intérieur Brut par région et par groupe de branches d’activité </w:t>
      </w:r>
      <w:r>
        <w:rPr>
          <w:rFonts w:ascii="Book Antiqua" w:hAnsi="Book Antiqua" w:cs="Arial"/>
        </w:rPr>
        <w:t>ainsi que</w:t>
      </w:r>
      <w:r w:rsidRPr="00AC52D2">
        <w:rPr>
          <w:rFonts w:ascii="Book Antiqua" w:hAnsi="Book Antiqua" w:cs="Arial"/>
        </w:rPr>
        <w:t xml:space="preserve"> les dépenses de consommation finale des ménages par région. </w:t>
      </w:r>
      <w:r>
        <w:rPr>
          <w:rFonts w:ascii="Book Antiqua" w:hAnsi="Book Antiqua" w:cs="Arial"/>
        </w:rPr>
        <w:t xml:space="preserve"> </w:t>
      </w:r>
    </w:p>
    <w:p w:rsidR="00F21D3F" w:rsidRPr="0053667B" w:rsidRDefault="00F21D3F" w:rsidP="0053667B">
      <w:pPr>
        <w:autoSpaceDE w:val="0"/>
        <w:autoSpaceDN w:val="0"/>
        <w:adjustRightInd w:val="0"/>
        <w:spacing w:line="240" w:lineRule="exact"/>
        <w:jc w:val="both"/>
        <w:rPr>
          <w:rFonts w:ascii="Book Antiqua" w:hAnsi="Book Antiqua" w:cs="Arial"/>
          <w:sz w:val="20"/>
          <w:szCs w:val="20"/>
        </w:rPr>
      </w:pPr>
    </w:p>
    <w:p w:rsidR="0072325E" w:rsidRPr="00AC52D2" w:rsidRDefault="00F21D3F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244BAB">
        <w:rPr>
          <w:rFonts w:ascii="Arial" w:hAnsi="Arial" w:cs="Arial"/>
          <w:b/>
          <w:bCs/>
          <w:color w:val="993200"/>
          <w:spacing w:val="-2"/>
          <w:w w:val="95"/>
          <w:sz w:val="32"/>
          <w:szCs w:val="32"/>
        </w:rPr>
        <w:t>Comptes relatifs aux 1</w:t>
      </w:r>
      <w:r>
        <w:rPr>
          <w:rFonts w:ascii="Arial" w:hAnsi="Arial" w:cs="Arial"/>
          <w:b/>
          <w:bCs/>
          <w:color w:val="993200"/>
          <w:spacing w:val="-2"/>
          <w:w w:val="95"/>
          <w:sz w:val="32"/>
          <w:szCs w:val="32"/>
        </w:rPr>
        <w:t>6</w:t>
      </w:r>
      <w:r w:rsidRPr="00244BAB">
        <w:rPr>
          <w:rFonts w:ascii="Arial" w:hAnsi="Arial" w:cs="Arial"/>
          <w:b/>
          <w:bCs/>
          <w:color w:val="993200"/>
          <w:spacing w:val="-2"/>
          <w:w w:val="95"/>
          <w:sz w:val="32"/>
          <w:szCs w:val="32"/>
        </w:rPr>
        <w:t xml:space="preserve"> régions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A-Produit intérieur brut (</w:t>
      </w:r>
      <w:r w:rsidRPr="00D71158">
        <w:rPr>
          <w:rFonts w:ascii="Book Antiqua" w:hAnsi="Book Antiqua" w:cs="Arial"/>
          <w:b/>
          <w:bCs/>
          <w:color w:val="943634"/>
          <w:sz w:val="30"/>
          <w:szCs w:val="30"/>
        </w:rPr>
        <w:t>PIB</w:t>
      </w:r>
      <w:r>
        <w:rPr>
          <w:rFonts w:ascii="Book Antiqua" w:hAnsi="Book Antiqua" w:cs="Arial"/>
          <w:b/>
          <w:bCs/>
          <w:color w:val="943634"/>
          <w:sz w:val="30"/>
          <w:szCs w:val="30"/>
        </w:rPr>
        <w:t>)</w:t>
      </w:r>
    </w:p>
    <w:p w:rsidR="0072325E" w:rsidRPr="008B547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Evolution du PIB par région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comptes régionaux établis pour l’année 201</w:t>
      </w:r>
      <w:r w:rsidR="00E11F4F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dégagent des évolutions contrastées des</w:t>
      </w:r>
      <w:r w:rsidRPr="00AC52D2">
        <w:rPr>
          <w:rFonts w:ascii="Book Antiqua" w:hAnsi="Book Antiqua" w:cs="Arial"/>
        </w:rPr>
        <w:t xml:space="preserve"> PIB </w:t>
      </w:r>
      <w:r w:rsidR="005A7F79">
        <w:rPr>
          <w:rFonts w:ascii="Book Antiqua" w:hAnsi="Book Antiqua" w:cs="Arial"/>
        </w:rPr>
        <w:t xml:space="preserve">en valeur </w:t>
      </w:r>
      <w:r>
        <w:rPr>
          <w:rFonts w:ascii="Book Antiqua" w:hAnsi="Book Antiqua" w:cs="Arial"/>
        </w:rPr>
        <w:t xml:space="preserve">des différentes régions du Royaume. </w:t>
      </w:r>
    </w:p>
    <w:p w:rsidR="00922356" w:rsidRDefault="009F65B4" w:rsidP="008B5472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Sept</w:t>
      </w:r>
      <w:r w:rsidR="0072325E" w:rsidRPr="009F65B4">
        <w:rPr>
          <w:rFonts w:ascii="Book Antiqua" w:hAnsi="Book Antiqua" w:cs="Arial"/>
        </w:rPr>
        <w:t xml:space="preserve"> régions ont enregistré des taux d’accroissement du PIB </w:t>
      </w:r>
      <w:r w:rsidR="00320ECC">
        <w:rPr>
          <w:rFonts w:ascii="Book Antiqua" w:hAnsi="Book Antiqua" w:cs="Arial"/>
        </w:rPr>
        <w:t xml:space="preserve">en valeur </w:t>
      </w:r>
      <w:r w:rsidR="009708EA" w:rsidRPr="009F65B4">
        <w:rPr>
          <w:rFonts w:ascii="Book Antiqua" w:hAnsi="Book Antiqua" w:cs="Arial"/>
        </w:rPr>
        <w:t xml:space="preserve">supérieur à </w:t>
      </w:r>
      <w:r w:rsidR="0072325E" w:rsidRPr="009F65B4">
        <w:rPr>
          <w:rFonts w:ascii="Book Antiqua" w:hAnsi="Book Antiqua" w:cs="Arial"/>
        </w:rPr>
        <w:t xml:space="preserve"> la moyenne nationale </w:t>
      </w:r>
      <w:r w:rsidR="0072325E" w:rsidRPr="00922356">
        <w:rPr>
          <w:rFonts w:ascii="Book Antiqua" w:hAnsi="Book Antiqua" w:cs="Arial"/>
        </w:rPr>
        <w:t>(</w:t>
      </w:r>
      <w:r w:rsidR="000D2F1A" w:rsidRPr="00922356">
        <w:rPr>
          <w:rFonts w:ascii="Book Antiqua" w:hAnsi="Book Antiqua" w:cs="Arial"/>
        </w:rPr>
        <w:t>6</w:t>
      </w:r>
      <w:r w:rsidR="0072325E" w:rsidRPr="00922356">
        <w:rPr>
          <w:rFonts w:ascii="Book Antiqua" w:hAnsi="Book Antiqua" w:cs="Arial"/>
        </w:rPr>
        <w:t>,</w:t>
      </w:r>
      <w:r w:rsidR="00922356" w:rsidRPr="00922356">
        <w:rPr>
          <w:rFonts w:ascii="Book Antiqua" w:hAnsi="Book Antiqua" w:cs="Arial"/>
        </w:rPr>
        <w:t>3</w:t>
      </w:r>
      <w:r w:rsidR="000D2F1A" w:rsidRPr="00922356">
        <w:rPr>
          <w:rFonts w:ascii="Book Antiqua" w:hAnsi="Book Antiqua" w:cs="Arial"/>
        </w:rPr>
        <w:t xml:space="preserve"> %)</w:t>
      </w:r>
      <w:r w:rsidR="0072325E" w:rsidRPr="00922356">
        <w:rPr>
          <w:rFonts w:ascii="Book Antiqua" w:hAnsi="Book Antiqua" w:cs="Arial"/>
        </w:rPr>
        <w:t>.</w:t>
      </w:r>
      <w:r w:rsidR="0072325E" w:rsidRPr="009F65B4">
        <w:rPr>
          <w:rFonts w:ascii="Book Antiqua" w:hAnsi="Book Antiqua" w:cs="Arial"/>
        </w:rPr>
        <w:t xml:space="preserve"> Il s’agit des régions</w:t>
      </w:r>
      <w:r w:rsidR="000D2F1A" w:rsidRPr="009F65B4">
        <w:rPr>
          <w:rFonts w:ascii="Book Antiqua" w:hAnsi="Book Antiqua" w:cs="Arial"/>
        </w:rPr>
        <w:t xml:space="preserve"> de</w:t>
      </w:r>
      <w:r w:rsidR="0072325E" w:rsidRPr="009F65B4">
        <w:rPr>
          <w:rFonts w:ascii="Book Antiqua" w:hAnsi="Book Antiqua" w:cs="Arial"/>
        </w:rPr>
        <w:t xml:space="preserve"> </w:t>
      </w:r>
      <w:r w:rsidR="000D2F1A" w:rsidRPr="009F65B4">
        <w:rPr>
          <w:rFonts w:ascii="Book Antiqua" w:hAnsi="Book Antiqua" w:cs="Arial"/>
        </w:rPr>
        <w:t>Doukala–Abda</w:t>
      </w:r>
      <w:r w:rsidRPr="009F65B4">
        <w:rPr>
          <w:rFonts w:ascii="Book Antiqua" w:hAnsi="Book Antiqua" w:cs="Arial"/>
        </w:rPr>
        <w:t xml:space="preserve"> (18,8%</w:t>
      </w:r>
      <w:r w:rsidR="00F95319" w:rsidRPr="009F65B4">
        <w:rPr>
          <w:rFonts w:ascii="Book Antiqua" w:hAnsi="Book Antiqua" w:cs="Arial"/>
        </w:rPr>
        <w:t>),</w:t>
      </w:r>
      <w:r w:rsidR="009708EA" w:rsidRPr="009F65B4">
        <w:rPr>
          <w:rFonts w:ascii="Book Antiqua" w:hAnsi="Book Antiqua" w:cs="Arial"/>
        </w:rPr>
        <w:t xml:space="preserve"> </w:t>
      </w:r>
      <w:r w:rsidR="000D2F1A" w:rsidRPr="009F65B4">
        <w:rPr>
          <w:rFonts w:ascii="Book Antiqua" w:hAnsi="Book Antiqua" w:cs="Arial"/>
        </w:rPr>
        <w:t xml:space="preserve"> </w:t>
      </w:r>
      <w:r w:rsidR="009708EA" w:rsidRPr="009F65B4">
        <w:rPr>
          <w:rFonts w:ascii="Book Antiqua" w:hAnsi="Book Antiqua" w:cs="Arial"/>
        </w:rPr>
        <w:t>Souss-Massa-Daraâ</w:t>
      </w:r>
      <w:r w:rsidRPr="009F65B4">
        <w:rPr>
          <w:rFonts w:ascii="Book Antiqua" w:hAnsi="Book Antiqua" w:cs="Arial"/>
        </w:rPr>
        <w:t xml:space="preserve"> (13,</w:t>
      </w:r>
      <w:r w:rsidR="00922356">
        <w:rPr>
          <w:rFonts w:ascii="Book Antiqua" w:hAnsi="Book Antiqua" w:cs="Arial"/>
        </w:rPr>
        <w:t>6</w:t>
      </w:r>
      <w:r w:rsidRPr="009F65B4">
        <w:rPr>
          <w:rFonts w:ascii="Book Antiqua" w:hAnsi="Book Antiqua" w:cs="Arial"/>
        </w:rPr>
        <w:t>%)</w:t>
      </w:r>
      <w:r w:rsidR="009708EA" w:rsidRPr="009F65B4">
        <w:rPr>
          <w:rFonts w:ascii="Book Antiqua" w:hAnsi="Book Antiqua" w:cs="Arial"/>
        </w:rPr>
        <w:t>, Tanger-Tétouan</w:t>
      </w:r>
      <w:r w:rsidRPr="009F65B4">
        <w:rPr>
          <w:rFonts w:ascii="Book Antiqua" w:hAnsi="Book Antiqua" w:cs="Arial"/>
        </w:rPr>
        <w:t xml:space="preserve"> (1</w:t>
      </w:r>
      <w:r w:rsidR="00922356">
        <w:rPr>
          <w:rFonts w:ascii="Book Antiqua" w:hAnsi="Book Antiqua" w:cs="Arial"/>
        </w:rPr>
        <w:t>2</w:t>
      </w:r>
      <w:r w:rsidRPr="009F65B4">
        <w:rPr>
          <w:rFonts w:ascii="Book Antiqua" w:hAnsi="Book Antiqua" w:cs="Arial"/>
        </w:rPr>
        <w:t>,</w:t>
      </w:r>
      <w:r w:rsidR="00922356">
        <w:rPr>
          <w:rFonts w:ascii="Book Antiqua" w:hAnsi="Book Antiqua" w:cs="Arial"/>
        </w:rPr>
        <w:t>2</w:t>
      </w:r>
      <w:r w:rsidRPr="009F65B4">
        <w:rPr>
          <w:rFonts w:ascii="Book Antiqua" w:hAnsi="Book Antiqua" w:cs="Arial"/>
        </w:rPr>
        <w:t>%)</w:t>
      </w:r>
      <w:r w:rsidR="009708EA" w:rsidRPr="009F65B4">
        <w:rPr>
          <w:rFonts w:ascii="Book Antiqua" w:hAnsi="Book Antiqua" w:cs="Arial"/>
        </w:rPr>
        <w:t>, Gharb-Chrarda-Béni Hssen</w:t>
      </w:r>
      <w:r w:rsidRPr="009F65B4">
        <w:rPr>
          <w:rFonts w:ascii="Book Antiqua" w:hAnsi="Book Antiqua" w:cs="Arial"/>
        </w:rPr>
        <w:t xml:space="preserve"> (1</w:t>
      </w:r>
      <w:r w:rsidR="00506508">
        <w:rPr>
          <w:rFonts w:ascii="Book Antiqua" w:hAnsi="Book Antiqua" w:cs="Arial"/>
        </w:rPr>
        <w:t>1</w:t>
      </w:r>
      <w:r w:rsidRPr="009F65B4">
        <w:rPr>
          <w:rFonts w:ascii="Book Antiqua" w:hAnsi="Book Antiqua" w:cs="Arial"/>
        </w:rPr>
        <w:t>,</w:t>
      </w:r>
      <w:r w:rsidR="00506508">
        <w:rPr>
          <w:rFonts w:ascii="Book Antiqua" w:hAnsi="Book Antiqua" w:cs="Arial"/>
        </w:rPr>
        <w:t>2</w:t>
      </w:r>
      <w:r w:rsidRPr="009F65B4">
        <w:rPr>
          <w:rFonts w:ascii="Book Antiqua" w:hAnsi="Book Antiqua" w:cs="Arial"/>
        </w:rPr>
        <w:t>%)</w:t>
      </w:r>
      <w:r w:rsidR="009708EA" w:rsidRPr="009F65B4">
        <w:rPr>
          <w:rFonts w:ascii="Book Antiqua" w:hAnsi="Book Antiqua" w:cs="Arial"/>
        </w:rPr>
        <w:t>, l’Oriental</w:t>
      </w:r>
      <w:r w:rsidRPr="009F65B4">
        <w:rPr>
          <w:rFonts w:ascii="Book Antiqua" w:hAnsi="Book Antiqua" w:cs="Arial"/>
        </w:rPr>
        <w:t xml:space="preserve">  (10,</w:t>
      </w:r>
      <w:r w:rsidR="00922356">
        <w:rPr>
          <w:rFonts w:ascii="Book Antiqua" w:hAnsi="Book Antiqua" w:cs="Arial"/>
        </w:rPr>
        <w:t>8</w:t>
      </w:r>
      <w:r w:rsidRPr="009F65B4">
        <w:rPr>
          <w:rFonts w:ascii="Book Antiqua" w:hAnsi="Book Antiqua" w:cs="Arial"/>
        </w:rPr>
        <w:t>%)</w:t>
      </w:r>
      <w:r w:rsidR="009708EA" w:rsidRPr="009F65B4">
        <w:rPr>
          <w:rFonts w:ascii="Book Antiqua" w:hAnsi="Book Antiqua" w:cs="Arial"/>
        </w:rPr>
        <w:t>, Tadla-Azilal</w:t>
      </w:r>
      <w:r w:rsidRPr="009F65B4">
        <w:rPr>
          <w:rFonts w:ascii="Book Antiqua" w:hAnsi="Book Antiqua" w:cs="Arial"/>
        </w:rPr>
        <w:t xml:space="preserve"> (10,</w:t>
      </w:r>
      <w:r w:rsidR="00922356">
        <w:rPr>
          <w:rFonts w:ascii="Book Antiqua" w:hAnsi="Book Antiqua" w:cs="Arial"/>
        </w:rPr>
        <w:t>4</w:t>
      </w:r>
      <w:r w:rsidRPr="009F65B4">
        <w:rPr>
          <w:rFonts w:ascii="Book Antiqua" w:hAnsi="Book Antiqua" w:cs="Arial"/>
        </w:rPr>
        <w:t>%)</w:t>
      </w:r>
      <w:r w:rsidR="00922356">
        <w:rPr>
          <w:rFonts w:ascii="Book Antiqua" w:hAnsi="Book Antiqua" w:cs="Arial"/>
        </w:rPr>
        <w:t xml:space="preserve"> et </w:t>
      </w:r>
      <w:r>
        <w:rPr>
          <w:rFonts w:ascii="Book Antiqua" w:hAnsi="Book Antiqua" w:cs="Arial"/>
        </w:rPr>
        <w:t>le Grand Casablanca (8,</w:t>
      </w:r>
      <w:r w:rsidR="00922356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%)</w:t>
      </w:r>
      <w:r w:rsidR="00922356">
        <w:rPr>
          <w:rFonts w:ascii="Book Antiqua" w:hAnsi="Book Antiqua" w:cs="Arial"/>
        </w:rPr>
        <w:t>.</w:t>
      </w:r>
    </w:p>
    <w:p w:rsidR="00922356" w:rsidRDefault="00922356" w:rsidP="00922356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exact"/>
        <w:ind w:left="851"/>
        <w:jc w:val="both"/>
        <w:rPr>
          <w:rFonts w:ascii="Book Antiqua" w:hAnsi="Book Antiqua" w:cs="Arial"/>
        </w:rPr>
      </w:pPr>
    </w:p>
    <w:p w:rsidR="0072325E" w:rsidRPr="009F65B4" w:rsidRDefault="00922356" w:rsidP="008B5472">
      <w:pPr>
        <w:pStyle w:val="Paragraphedeliste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La  région de </w:t>
      </w:r>
      <w:r w:rsidRPr="00C13C6E">
        <w:rPr>
          <w:rFonts w:ascii="Book Antiqua" w:hAnsi="Book Antiqua" w:cs="Arial"/>
        </w:rPr>
        <w:t>Marrakech-Tensift-Al Haouz</w:t>
      </w:r>
      <w:r>
        <w:rPr>
          <w:rFonts w:ascii="Book Antiqua" w:hAnsi="Book Antiqua" w:cs="Arial"/>
        </w:rPr>
        <w:t xml:space="preserve">  a réalisé un accroissement similaire à la moyenne nationale (6,3%)</w:t>
      </w:r>
      <w:r w:rsidR="009F65B4" w:rsidRPr="009F65B4">
        <w:rPr>
          <w:rFonts w:ascii="Book Antiqua" w:hAnsi="Book Antiqua" w:cs="Arial"/>
        </w:rPr>
        <w:t>.</w:t>
      </w:r>
      <w:r w:rsidR="009708EA" w:rsidRPr="009F65B4">
        <w:rPr>
          <w:rFonts w:ascii="Book Antiqua" w:hAnsi="Book Antiqua" w:cs="Arial"/>
        </w:rPr>
        <w:t xml:space="preserve"> </w:t>
      </w:r>
    </w:p>
    <w:p w:rsidR="00922356" w:rsidRDefault="00922356" w:rsidP="008B5472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</w:p>
    <w:p w:rsidR="0072325E" w:rsidRDefault="00922356" w:rsidP="008B5472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Deux</w:t>
      </w:r>
      <w:r w:rsidR="0072325E">
        <w:rPr>
          <w:rFonts w:ascii="Book Antiqua" w:hAnsi="Book Antiqua" w:cs="Arial"/>
        </w:rPr>
        <w:t xml:space="preserve"> régions ont </w:t>
      </w:r>
      <w:r w:rsidR="002A5687">
        <w:rPr>
          <w:rFonts w:ascii="Book Antiqua" w:hAnsi="Book Antiqua" w:cs="Arial"/>
        </w:rPr>
        <w:t>affiché</w:t>
      </w:r>
      <w:r w:rsidR="0072325E">
        <w:rPr>
          <w:rFonts w:ascii="Book Antiqua" w:hAnsi="Book Antiqua" w:cs="Arial"/>
        </w:rPr>
        <w:t xml:space="preserve"> des rythmes de croissance positi</w:t>
      </w:r>
      <w:r w:rsidR="00320ECC">
        <w:rPr>
          <w:rFonts w:ascii="Book Antiqua" w:hAnsi="Book Antiqua" w:cs="Arial"/>
        </w:rPr>
        <w:t>fs</w:t>
      </w:r>
      <w:r w:rsidR="0072325E">
        <w:rPr>
          <w:rFonts w:ascii="Book Antiqua" w:hAnsi="Book Antiqua" w:cs="Arial"/>
        </w:rPr>
        <w:t>, mais i</w:t>
      </w:r>
      <w:r w:rsidR="0072325E" w:rsidRPr="004D1885">
        <w:rPr>
          <w:rFonts w:ascii="Book Antiqua" w:hAnsi="Book Antiqua" w:cs="Arial"/>
        </w:rPr>
        <w:t xml:space="preserve">nférieurs à la moyenne </w:t>
      </w:r>
      <w:r w:rsidR="0072325E">
        <w:rPr>
          <w:rFonts w:ascii="Book Antiqua" w:hAnsi="Book Antiqua" w:cs="Arial"/>
        </w:rPr>
        <w:t xml:space="preserve">nationale. Il s’agit </w:t>
      </w:r>
      <w:r w:rsidR="000010CD">
        <w:rPr>
          <w:rFonts w:ascii="Book Antiqua" w:hAnsi="Book Antiqua" w:cs="Arial"/>
        </w:rPr>
        <w:t xml:space="preserve">de </w:t>
      </w:r>
      <w:r w:rsidR="000010CD" w:rsidRPr="00AC52D2">
        <w:rPr>
          <w:rFonts w:ascii="Book Antiqua" w:hAnsi="Book Antiqua" w:cs="Arial"/>
        </w:rPr>
        <w:t>Fès–Boulemane</w:t>
      </w:r>
      <w:r w:rsidR="0072325E">
        <w:rPr>
          <w:rFonts w:ascii="Book Antiqua" w:hAnsi="Book Antiqua" w:cs="Arial"/>
        </w:rPr>
        <w:t xml:space="preserve"> </w:t>
      </w:r>
      <w:r w:rsidR="0072325E" w:rsidRPr="00C13C6E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4</w:t>
      </w:r>
      <w:r w:rsidR="0072325E" w:rsidRPr="00C13C6E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2</w:t>
      </w:r>
      <w:r w:rsidR="0072325E" w:rsidRPr="00C13C6E">
        <w:rPr>
          <w:rFonts w:ascii="Book Antiqua" w:hAnsi="Book Antiqua" w:cs="Arial"/>
        </w:rPr>
        <w:t xml:space="preserve">%) </w:t>
      </w:r>
      <w:r w:rsidR="0072325E">
        <w:rPr>
          <w:rFonts w:ascii="Book Antiqua" w:hAnsi="Book Antiqua" w:cs="Arial"/>
        </w:rPr>
        <w:t xml:space="preserve">et de </w:t>
      </w:r>
      <w:r w:rsidR="000010CD" w:rsidRPr="00AC52D2">
        <w:rPr>
          <w:rFonts w:ascii="Book Antiqua" w:hAnsi="Book Antiqua" w:cs="Arial"/>
        </w:rPr>
        <w:t xml:space="preserve">Meknès–Tafilalet </w:t>
      </w:r>
      <w:r w:rsidR="0072325E">
        <w:rPr>
          <w:rFonts w:ascii="Book Antiqua" w:hAnsi="Book Antiqua" w:cs="Arial"/>
        </w:rPr>
        <w:t>(</w:t>
      </w:r>
      <w:r w:rsidR="000010CD">
        <w:rPr>
          <w:rFonts w:ascii="Book Antiqua" w:hAnsi="Book Antiqua" w:cs="Arial"/>
        </w:rPr>
        <w:t>3,</w:t>
      </w:r>
      <w:r w:rsidR="00EC43B1">
        <w:rPr>
          <w:rFonts w:ascii="Book Antiqua" w:hAnsi="Book Antiqua" w:cs="Arial"/>
        </w:rPr>
        <w:t>5</w:t>
      </w:r>
      <w:r w:rsidR="0072325E">
        <w:rPr>
          <w:rFonts w:ascii="Book Antiqua" w:hAnsi="Book Antiqua" w:cs="Arial"/>
        </w:rPr>
        <w:t>%).</w:t>
      </w:r>
      <w:r w:rsidR="0072325E" w:rsidRPr="004D1885">
        <w:rPr>
          <w:rFonts w:ascii="Book Antiqua" w:hAnsi="Book Antiqua" w:cs="Arial"/>
        </w:rPr>
        <w:t xml:space="preserve"> </w:t>
      </w:r>
    </w:p>
    <w:p w:rsidR="0072325E" w:rsidRPr="004D1885" w:rsidRDefault="0072325E" w:rsidP="008B5472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 w:rsidRPr="004D1885">
        <w:rPr>
          <w:rFonts w:ascii="Book Antiqua" w:hAnsi="Book Antiqua" w:cs="Arial"/>
        </w:rPr>
        <w:t xml:space="preserve"> </w:t>
      </w:r>
    </w:p>
    <w:p w:rsidR="0072325E" w:rsidRDefault="0072325E" w:rsidP="008B5472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spacing w:before="100" w:beforeAutospacing="1" w:after="100" w:afterAutospacing="1" w:line="360" w:lineRule="exact"/>
        <w:ind w:left="851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2A5687">
        <w:rPr>
          <w:rFonts w:ascii="Book Antiqua" w:hAnsi="Book Antiqua" w:cs="Arial"/>
        </w:rPr>
        <w:t xml:space="preserve">de </w:t>
      </w:r>
      <w:r w:rsidR="002C6B95">
        <w:rPr>
          <w:rFonts w:ascii="Book Antiqua" w:hAnsi="Book Antiqua" w:cs="Arial"/>
        </w:rPr>
        <w:t>C</w:t>
      </w:r>
      <w:r>
        <w:rPr>
          <w:rFonts w:ascii="Book Antiqua" w:hAnsi="Book Antiqua" w:cs="Arial"/>
        </w:rPr>
        <w:t>haouia-</w:t>
      </w:r>
      <w:r w:rsidR="002C6B95">
        <w:rPr>
          <w:rFonts w:ascii="Book Antiqua" w:hAnsi="Book Antiqua" w:cs="Arial"/>
        </w:rPr>
        <w:t>O</w:t>
      </w:r>
      <w:r>
        <w:rPr>
          <w:rFonts w:ascii="Book Antiqua" w:hAnsi="Book Antiqua" w:cs="Arial"/>
        </w:rPr>
        <w:t>uardigha</w:t>
      </w:r>
      <w:r w:rsidR="002A5687">
        <w:rPr>
          <w:rFonts w:ascii="Book Antiqua" w:hAnsi="Book Antiqua" w:cs="Arial"/>
        </w:rPr>
        <w:t>, de</w:t>
      </w:r>
      <w:r w:rsidR="002A5687" w:rsidRPr="002A5687">
        <w:rPr>
          <w:rFonts w:ascii="Book Antiqua" w:hAnsi="Book Antiqua" w:cs="Arial"/>
        </w:rPr>
        <w:t xml:space="preserve"> </w:t>
      </w:r>
      <w:r w:rsidR="002A5687">
        <w:rPr>
          <w:rFonts w:ascii="Book Antiqua" w:hAnsi="Book Antiqua" w:cs="Arial"/>
        </w:rPr>
        <w:t>R</w:t>
      </w:r>
      <w:r w:rsidR="002A5687" w:rsidRPr="00AC52D2">
        <w:rPr>
          <w:rFonts w:ascii="Book Antiqua" w:hAnsi="Book Antiqua" w:cs="Arial"/>
        </w:rPr>
        <w:t>abat-Salé-Zemmour-Zaer</w:t>
      </w:r>
      <w:r w:rsidR="002A5687">
        <w:rPr>
          <w:rFonts w:ascii="Book Antiqua" w:hAnsi="Book Antiqua" w:cs="Arial"/>
        </w:rPr>
        <w:t xml:space="preserve">, les trois régions du Sud et la région de </w:t>
      </w:r>
      <w:r w:rsidR="002A5687" w:rsidRPr="00AC52D2">
        <w:rPr>
          <w:rFonts w:ascii="Book Antiqua" w:hAnsi="Book Antiqua" w:cs="Arial"/>
        </w:rPr>
        <w:t>Taza-Al Hoceïma–Taounate</w:t>
      </w:r>
      <w:r>
        <w:rPr>
          <w:rFonts w:ascii="Book Antiqua" w:hAnsi="Book Antiqua" w:cs="Arial"/>
        </w:rPr>
        <w:t xml:space="preserve"> </w:t>
      </w:r>
      <w:r w:rsidR="002A5687">
        <w:rPr>
          <w:rFonts w:ascii="Book Antiqua" w:hAnsi="Book Antiqua" w:cs="Arial"/>
        </w:rPr>
        <w:t>ont marqué,</w:t>
      </w:r>
      <w:r>
        <w:rPr>
          <w:rFonts w:ascii="Book Antiqua" w:hAnsi="Book Antiqua" w:cs="Arial"/>
        </w:rPr>
        <w:t xml:space="preserve"> en revanche, des croissances négatives, </w:t>
      </w:r>
      <w:r w:rsidR="002C6B95">
        <w:rPr>
          <w:rFonts w:ascii="Book Antiqua" w:hAnsi="Book Antiqua" w:cs="Arial"/>
        </w:rPr>
        <w:t xml:space="preserve">respectivement </w:t>
      </w:r>
      <w:r w:rsidR="00FF0EE6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(-</w:t>
      </w:r>
      <w:r w:rsidR="002A5687">
        <w:rPr>
          <w:rFonts w:ascii="Book Antiqua" w:hAnsi="Book Antiqua" w:cs="Arial"/>
        </w:rPr>
        <w:t>2,7</w:t>
      </w:r>
      <w:r>
        <w:rPr>
          <w:rFonts w:ascii="Book Antiqua" w:hAnsi="Book Antiqua" w:cs="Arial"/>
        </w:rPr>
        <w:t>%)</w:t>
      </w:r>
      <w:r w:rsidR="00FF0EE6">
        <w:rPr>
          <w:rFonts w:ascii="Book Antiqua" w:hAnsi="Book Antiqua" w:cs="Arial"/>
        </w:rPr>
        <w:t>, (-</w:t>
      </w:r>
      <w:r w:rsidR="00506508">
        <w:rPr>
          <w:rFonts w:ascii="Book Antiqua" w:hAnsi="Book Antiqua" w:cs="Arial"/>
        </w:rPr>
        <w:t>3</w:t>
      </w:r>
      <w:r w:rsidR="00FF0EE6">
        <w:rPr>
          <w:rFonts w:ascii="Book Antiqua" w:hAnsi="Book Antiqua" w:cs="Arial"/>
        </w:rPr>
        <w:t>,</w:t>
      </w:r>
      <w:r w:rsidR="00506508">
        <w:rPr>
          <w:rFonts w:ascii="Book Antiqua" w:hAnsi="Book Antiqua" w:cs="Arial"/>
        </w:rPr>
        <w:t>8</w:t>
      </w:r>
      <w:r w:rsidR="00FF0EE6">
        <w:rPr>
          <w:rFonts w:ascii="Book Antiqua" w:hAnsi="Book Antiqua" w:cs="Arial"/>
        </w:rPr>
        <w:t>%), (-1,</w:t>
      </w:r>
      <w:r w:rsidR="00506508">
        <w:rPr>
          <w:rFonts w:ascii="Book Antiqua" w:hAnsi="Book Antiqua" w:cs="Arial"/>
        </w:rPr>
        <w:t>1</w:t>
      </w:r>
      <w:r w:rsidR="00FF0EE6">
        <w:rPr>
          <w:rFonts w:ascii="Book Antiqua" w:hAnsi="Book Antiqua" w:cs="Arial"/>
        </w:rPr>
        <w:t>%) et (-0,</w:t>
      </w:r>
      <w:r w:rsidR="00506508">
        <w:rPr>
          <w:rFonts w:ascii="Book Antiqua" w:hAnsi="Book Antiqua" w:cs="Arial"/>
        </w:rPr>
        <w:t>2</w:t>
      </w:r>
      <w:r w:rsidR="00FF0EE6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>.</w:t>
      </w:r>
    </w:p>
    <w:p w:rsidR="00F1616B" w:rsidRDefault="00F1616B" w:rsidP="00F1616B">
      <w:pPr>
        <w:pStyle w:val="Paragraphedeliste"/>
        <w:rPr>
          <w:rFonts w:ascii="Book Antiqua" w:hAnsi="Book Antiqua" w:cs="Arial"/>
        </w:rPr>
      </w:pPr>
    </w:p>
    <w:p w:rsidR="00F1616B" w:rsidRPr="00C13C6E" w:rsidRDefault="00F1616B" w:rsidP="00F1616B">
      <w:pPr>
        <w:pStyle w:val="Paragraphedeliste"/>
        <w:autoSpaceDE w:val="0"/>
        <w:autoSpaceDN w:val="0"/>
        <w:adjustRightInd w:val="0"/>
        <w:spacing w:before="100" w:beforeAutospacing="1" w:after="100" w:afterAutospacing="1" w:line="360" w:lineRule="exact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Ces évolutions se sont traduites par un creusement des écarts entre les régions en termes de création de richesse. En effet,</w:t>
      </w:r>
      <w:r w:rsidRPr="00F1616B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(la moyenne des écarts absolus </w:t>
      </w:r>
      <w:r w:rsidRPr="00AC52D2">
        <w:rPr>
          <w:rFonts w:ascii="Book Antiqua" w:hAnsi="Book Antiqua" w:cs="Arial"/>
        </w:rPr>
        <w:lastRenderedPageBreak/>
        <w:t>entre le PIB des différentes régions et le PIB régional  moyen</w:t>
      </w:r>
      <w:r>
        <w:rPr>
          <w:rFonts w:ascii="Book Antiqua" w:hAnsi="Book Antiqua" w:cs="Arial"/>
        </w:rPr>
        <w:t xml:space="preserve">) s’est situé à 29,6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de DH en 2013</w:t>
      </w:r>
      <w:r w:rsidRPr="002630C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au lieu de  28,1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une année plus tôt.</w:t>
      </w:r>
    </w:p>
    <w:p w:rsidR="006A6CEE" w:rsidRDefault="006A6CEE" w:rsidP="00431B35">
      <w:pPr>
        <w:widowControl w:val="0"/>
        <w:autoSpaceDE w:val="0"/>
        <w:autoSpaceDN w:val="0"/>
        <w:adjustRightInd w:val="0"/>
        <w:spacing w:line="220" w:lineRule="exact"/>
        <w:jc w:val="both"/>
        <w:rPr>
          <w:rFonts w:ascii="Book Antiqua" w:hAnsi="Book Antiqua" w:cs="Arial"/>
        </w:rPr>
      </w:pPr>
    </w:p>
    <w:p w:rsidR="0072325E" w:rsidRPr="008B547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Structure du PIB selon les régions</w:t>
      </w:r>
    </w:p>
    <w:p w:rsidR="00735FD5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La structure de la contribution des régions à la formation du PIB montre une </w:t>
      </w:r>
      <w:r w:rsidR="008B5472">
        <w:rPr>
          <w:rFonts w:ascii="Book Antiqua" w:hAnsi="Book Antiqua" w:cs="Arial"/>
        </w:rPr>
        <w:t xml:space="preserve">forte </w:t>
      </w:r>
      <w:r>
        <w:rPr>
          <w:rFonts w:ascii="Book Antiqua" w:hAnsi="Book Antiqua" w:cs="Arial"/>
        </w:rPr>
        <w:t>concentration de la création de la richesse</w:t>
      </w:r>
      <w:r w:rsidR="00735FD5">
        <w:rPr>
          <w:rFonts w:ascii="Book Antiqua" w:hAnsi="Book Antiqua" w:cs="Arial"/>
        </w:rPr>
        <w:t> </w:t>
      </w:r>
      <w:r w:rsidR="008B5472">
        <w:rPr>
          <w:rFonts w:ascii="Book Antiqua" w:hAnsi="Book Antiqua" w:cs="Arial"/>
        </w:rPr>
        <w:t>nationale</w:t>
      </w:r>
      <w:r w:rsidR="00735FD5">
        <w:rPr>
          <w:rFonts w:ascii="Book Antiqua" w:hAnsi="Book Antiqua" w:cs="Arial"/>
        </w:rPr>
        <w:t>:</w:t>
      </w:r>
      <w:r>
        <w:rPr>
          <w:rFonts w:ascii="Book Antiqua" w:hAnsi="Book Antiqua" w:cs="Arial"/>
        </w:rPr>
        <w:t xml:space="preserve"> </w:t>
      </w:r>
    </w:p>
    <w:p w:rsidR="0072325E" w:rsidRPr="00C13C6E" w:rsidRDefault="00AF1B7A" w:rsidP="008B5472">
      <w:pPr>
        <w:numPr>
          <w:ilvl w:val="0"/>
          <w:numId w:val="20"/>
        </w:numPr>
        <w:autoSpaceDE w:val="0"/>
        <w:autoSpaceDN w:val="0"/>
        <w:adjustRightInd w:val="0"/>
        <w:spacing w:before="120" w:after="120" w:line="360" w:lineRule="exact"/>
        <w:ind w:left="714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Q</w:t>
      </w:r>
      <w:r w:rsidR="0072325E">
        <w:rPr>
          <w:rFonts w:ascii="Book Antiqua" w:hAnsi="Book Antiqua" w:cs="Arial"/>
        </w:rPr>
        <w:t xml:space="preserve">uatre </w:t>
      </w:r>
      <w:r w:rsidR="0072325E" w:rsidRPr="00AC52D2">
        <w:rPr>
          <w:rFonts w:ascii="Book Antiqua" w:hAnsi="Book Antiqua" w:cs="Arial"/>
        </w:rPr>
        <w:t xml:space="preserve">régions </w:t>
      </w:r>
      <w:r w:rsidR="0072325E">
        <w:rPr>
          <w:rFonts w:ascii="Book Antiqua" w:hAnsi="Book Antiqua" w:cs="Arial"/>
        </w:rPr>
        <w:t>créent p</w:t>
      </w:r>
      <w:r w:rsidR="004F0650">
        <w:rPr>
          <w:rFonts w:ascii="Book Antiqua" w:hAnsi="Book Antiqua" w:cs="Arial"/>
        </w:rPr>
        <w:t xml:space="preserve">lus </w:t>
      </w:r>
      <w:r w:rsidR="0072325E">
        <w:rPr>
          <w:rFonts w:ascii="Book Antiqua" w:hAnsi="Book Antiqua" w:cs="Arial"/>
        </w:rPr>
        <w:t>de la moitié d</w:t>
      </w:r>
      <w:r w:rsidR="0072325E" w:rsidRPr="00AC52D2">
        <w:rPr>
          <w:rFonts w:ascii="Book Antiqua" w:hAnsi="Book Antiqua" w:cs="Arial"/>
        </w:rPr>
        <w:t>e la richesse nationale (</w:t>
      </w:r>
      <w:r>
        <w:rPr>
          <w:rFonts w:ascii="Book Antiqua" w:hAnsi="Book Antiqua" w:cs="Arial"/>
        </w:rPr>
        <w:t>51,2</w:t>
      </w:r>
      <w:r w:rsidR="0072325E">
        <w:rPr>
          <w:rFonts w:ascii="Book Antiqua" w:hAnsi="Book Antiqua" w:cs="Arial"/>
        </w:rPr>
        <w:t xml:space="preserve"> % du </w:t>
      </w:r>
      <w:r w:rsidR="0072325E" w:rsidRPr="00AC52D2">
        <w:rPr>
          <w:rFonts w:ascii="Book Antiqua" w:hAnsi="Book Antiqua" w:cs="Arial"/>
        </w:rPr>
        <w:t>PIB en valeur</w:t>
      </w:r>
      <w:r w:rsidRPr="00AC52D2">
        <w:rPr>
          <w:rFonts w:ascii="Book Antiqua" w:hAnsi="Book Antiqua" w:cs="Arial"/>
        </w:rPr>
        <w:t>)</w:t>
      </w:r>
      <w:r w:rsidR="003D3138">
        <w:rPr>
          <w:rFonts w:ascii="Book Antiqua" w:hAnsi="Book Antiqua" w:cs="Arial"/>
        </w:rPr>
        <w:t>. I</w:t>
      </w:r>
      <w:r>
        <w:rPr>
          <w:rFonts w:ascii="Book Antiqua" w:hAnsi="Book Antiqua" w:cs="Arial"/>
        </w:rPr>
        <w:t xml:space="preserve">l s’agit de </w:t>
      </w:r>
      <w:r w:rsidR="0072325E">
        <w:rPr>
          <w:rFonts w:ascii="Book Antiqua" w:hAnsi="Book Antiqua" w:cs="Arial"/>
        </w:rPr>
        <w:t xml:space="preserve">la région du </w:t>
      </w:r>
      <w:r w:rsidR="0072325E" w:rsidRPr="00AC52D2">
        <w:rPr>
          <w:rFonts w:ascii="Book Antiqua" w:hAnsi="Book Antiqua" w:cs="Arial"/>
        </w:rPr>
        <w:t xml:space="preserve">Grand Casablanca </w:t>
      </w:r>
      <w:r w:rsidR="0072325E">
        <w:rPr>
          <w:rFonts w:ascii="Book Antiqua" w:hAnsi="Book Antiqua" w:cs="Arial"/>
        </w:rPr>
        <w:t>(2</w:t>
      </w:r>
      <w:r>
        <w:rPr>
          <w:rFonts w:ascii="Book Antiqua" w:hAnsi="Book Antiqua" w:cs="Arial"/>
        </w:rPr>
        <w:t>3</w:t>
      </w:r>
      <w:r w:rsidR="0072325E" w:rsidRPr="00AC52D2">
        <w:rPr>
          <w:rFonts w:ascii="Book Antiqua" w:hAnsi="Book Antiqua" w:cs="Arial"/>
        </w:rPr>
        <w:t>,</w:t>
      </w:r>
      <w:r w:rsidR="004E486E">
        <w:rPr>
          <w:rFonts w:ascii="Book Antiqua" w:hAnsi="Book Antiqua" w:cs="Arial"/>
        </w:rPr>
        <w:t>4</w:t>
      </w:r>
      <w:r w:rsidR="0072325E" w:rsidRPr="00AC52D2">
        <w:rPr>
          <w:rFonts w:ascii="Book Antiqua" w:hAnsi="Book Antiqua" w:cs="Arial"/>
        </w:rPr>
        <w:t>% du PIB</w:t>
      </w:r>
      <w:r w:rsidR="0072325E">
        <w:rPr>
          <w:rFonts w:ascii="Book Antiqua" w:hAnsi="Book Antiqua" w:cs="Arial"/>
        </w:rPr>
        <w:t>), de R</w:t>
      </w:r>
      <w:r w:rsidR="0072325E" w:rsidRPr="00AC52D2">
        <w:rPr>
          <w:rFonts w:ascii="Book Antiqua" w:hAnsi="Book Antiqua" w:cs="Arial"/>
        </w:rPr>
        <w:t>abat-Salé-Zemmour-Zaer</w:t>
      </w:r>
      <w:r w:rsidR="0072325E">
        <w:rPr>
          <w:rFonts w:ascii="Book Antiqua" w:hAnsi="Book Antiqua" w:cs="Arial"/>
        </w:rPr>
        <w:t xml:space="preserve"> (</w:t>
      </w:r>
      <w:r>
        <w:rPr>
          <w:rFonts w:ascii="Book Antiqua" w:hAnsi="Book Antiqua" w:cs="Arial"/>
        </w:rPr>
        <w:t>11</w:t>
      </w:r>
      <w:r w:rsidR="0072325E"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="0072325E" w:rsidRPr="00AC52D2">
        <w:rPr>
          <w:rFonts w:ascii="Book Antiqua" w:hAnsi="Book Antiqua" w:cs="Arial"/>
        </w:rPr>
        <w:t>%</w:t>
      </w:r>
      <w:r w:rsidR="0072325E">
        <w:rPr>
          <w:rFonts w:ascii="Book Antiqua" w:hAnsi="Book Antiqua" w:cs="Arial"/>
        </w:rPr>
        <w:t xml:space="preserve">), de </w:t>
      </w:r>
      <w:r w:rsidR="00123DEE" w:rsidRPr="004D1885">
        <w:rPr>
          <w:rFonts w:ascii="Book Antiqua" w:hAnsi="Book Antiqua" w:cs="Arial"/>
        </w:rPr>
        <w:t>Tanger-Tétouan</w:t>
      </w:r>
      <w:r w:rsidR="00123DEE">
        <w:rPr>
          <w:rFonts w:ascii="Book Antiqua" w:hAnsi="Book Antiqua" w:cs="Arial"/>
        </w:rPr>
        <w:t xml:space="preserve"> </w:t>
      </w:r>
      <w:r w:rsidR="00167046">
        <w:rPr>
          <w:rFonts w:ascii="Book Antiqua" w:hAnsi="Book Antiqua" w:cs="Arial"/>
        </w:rPr>
        <w:t>(</w:t>
      </w:r>
      <w:r w:rsidR="00167046" w:rsidRPr="00C13C6E">
        <w:rPr>
          <w:rFonts w:ascii="Book Antiqua" w:hAnsi="Book Antiqua" w:cs="Arial"/>
        </w:rPr>
        <w:t>8,5</w:t>
      </w:r>
      <w:r w:rsidR="0072325E" w:rsidRPr="00C13C6E">
        <w:rPr>
          <w:rFonts w:ascii="Book Antiqua" w:hAnsi="Book Antiqua" w:cs="Arial"/>
        </w:rPr>
        <w:t>%</w:t>
      </w:r>
      <w:r w:rsidR="00123DEE">
        <w:rPr>
          <w:rFonts w:ascii="Book Antiqua" w:hAnsi="Book Antiqua" w:cs="Arial"/>
        </w:rPr>
        <w:t>)</w:t>
      </w:r>
      <w:r w:rsidR="0072325E" w:rsidRPr="00AB2181">
        <w:rPr>
          <w:rFonts w:ascii="Book Antiqua" w:hAnsi="Book Antiqua" w:cs="Arial"/>
        </w:rPr>
        <w:t xml:space="preserve"> </w:t>
      </w:r>
      <w:r w:rsidR="0072325E">
        <w:rPr>
          <w:rFonts w:ascii="Book Antiqua" w:hAnsi="Book Antiqua" w:cs="Arial"/>
        </w:rPr>
        <w:t xml:space="preserve">et de </w:t>
      </w:r>
      <w:r w:rsidR="00123DEE" w:rsidRPr="00AC52D2">
        <w:rPr>
          <w:rFonts w:ascii="Book Antiqua" w:hAnsi="Book Antiqua" w:cs="Arial"/>
        </w:rPr>
        <w:t>Souss-Massa-Daraâ</w:t>
      </w:r>
      <w:r w:rsidR="00123DEE">
        <w:rPr>
          <w:rFonts w:ascii="Book Antiqua" w:hAnsi="Book Antiqua" w:cs="Arial"/>
        </w:rPr>
        <w:t xml:space="preserve"> (</w:t>
      </w:r>
      <w:r w:rsidR="00123DEE" w:rsidRPr="00AC52D2">
        <w:rPr>
          <w:rFonts w:ascii="Book Antiqua" w:hAnsi="Book Antiqua" w:cs="Arial"/>
        </w:rPr>
        <w:t>7,</w:t>
      </w:r>
      <w:r w:rsidR="00123DEE">
        <w:rPr>
          <w:rFonts w:ascii="Book Antiqua" w:hAnsi="Book Antiqua" w:cs="Arial"/>
        </w:rPr>
        <w:t>7</w:t>
      </w:r>
      <w:r w:rsidR="00123DEE" w:rsidRPr="00AC52D2">
        <w:rPr>
          <w:rFonts w:ascii="Book Antiqua" w:hAnsi="Book Antiqua" w:cs="Arial"/>
        </w:rPr>
        <w:t>%</w:t>
      </w:r>
      <w:r w:rsidR="00123DEE">
        <w:rPr>
          <w:rFonts w:ascii="Book Antiqua" w:hAnsi="Book Antiqua" w:cs="Arial"/>
        </w:rPr>
        <w:t>).</w:t>
      </w:r>
    </w:p>
    <w:p w:rsidR="0072325E" w:rsidRPr="00AC52D2" w:rsidRDefault="0072325E" w:rsidP="008B5472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spacing w:before="120" w:after="120" w:line="360" w:lineRule="exact"/>
        <w:ind w:left="714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Quatre autres </w:t>
      </w:r>
      <w:r w:rsidRPr="00AC52D2">
        <w:rPr>
          <w:rFonts w:ascii="Book Antiqua" w:hAnsi="Book Antiqua" w:cs="Arial"/>
        </w:rPr>
        <w:t xml:space="preserve">régions </w:t>
      </w:r>
      <w:r>
        <w:rPr>
          <w:rFonts w:ascii="Book Antiqua" w:hAnsi="Book Antiqua" w:cs="Arial"/>
        </w:rPr>
        <w:t xml:space="preserve">participent </w:t>
      </w:r>
      <w:r w:rsidRPr="00AC52D2">
        <w:rPr>
          <w:rFonts w:ascii="Book Antiqua" w:hAnsi="Book Antiqua" w:cs="Arial"/>
        </w:rPr>
        <w:t xml:space="preserve">pour </w:t>
      </w:r>
      <w:r>
        <w:rPr>
          <w:rFonts w:ascii="Book Antiqua" w:hAnsi="Book Antiqua" w:cs="Arial"/>
        </w:rPr>
        <w:t>un peu plus du quart (</w:t>
      </w:r>
      <w:r w:rsidRPr="00AC52D2">
        <w:rPr>
          <w:rFonts w:ascii="Book Antiqua" w:hAnsi="Book Antiqua" w:cs="Arial"/>
        </w:rPr>
        <w:t>2</w:t>
      </w:r>
      <w:r w:rsidR="00123DEE">
        <w:rPr>
          <w:rFonts w:ascii="Book Antiqua" w:hAnsi="Book Antiqua" w:cs="Arial"/>
        </w:rPr>
        <w:t>6,4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)</w:t>
      </w:r>
      <w:r w:rsidRPr="00AC52D2">
        <w:rPr>
          <w:rFonts w:ascii="Book Antiqua" w:hAnsi="Book Antiqua" w:cs="Arial"/>
        </w:rPr>
        <w:t xml:space="preserve"> du PIB. Il s’agit de </w:t>
      </w:r>
      <w:r w:rsidR="00123DEE" w:rsidRPr="00C13C6E">
        <w:rPr>
          <w:rFonts w:ascii="Book Antiqua" w:hAnsi="Book Antiqua" w:cs="Arial"/>
        </w:rPr>
        <w:t>Marrakech-Tensift-Al Haouz</w:t>
      </w:r>
      <w:r w:rsidR="00123DEE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(7,</w:t>
      </w:r>
      <w:r w:rsidR="00EC43B1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%), de </w:t>
      </w:r>
      <w:r w:rsidR="006B6E14">
        <w:rPr>
          <w:rFonts w:ascii="Book Antiqua" w:hAnsi="Book Antiqua" w:cs="Arial"/>
        </w:rPr>
        <w:t>chaouia-ouardigha</w:t>
      </w:r>
      <w:r w:rsidR="006B6E14" w:rsidRPr="00AC52D2">
        <w:rPr>
          <w:rFonts w:ascii="Book Antiqua" w:hAnsi="Book Antiqua" w:cs="Arial"/>
        </w:rPr>
        <w:t xml:space="preserve"> </w:t>
      </w:r>
      <w:r w:rsidR="006B6E14">
        <w:rPr>
          <w:rFonts w:ascii="Book Antiqua" w:hAnsi="Book Antiqua" w:cs="Arial"/>
        </w:rPr>
        <w:t xml:space="preserve">(6,9%), de </w:t>
      </w:r>
      <w:r w:rsidR="00123DEE" w:rsidRPr="00AC52D2">
        <w:rPr>
          <w:rFonts w:ascii="Book Antiqua" w:hAnsi="Book Antiqua" w:cs="Arial"/>
        </w:rPr>
        <w:t xml:space="preserve">Doukala–Abda </w:t>
      </w:r>
      <w:r>
        <w:rPr>
          <w:rFonts w:ascii="Book Antiqua" w:hAnsi="Book Antiqua" w:cs="Arial"/>
        </w:rPr>
        <w:t>(</w:t>
      </w:r>
      <w:r w:rsidR="006B6E14"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>,</w:t>
      </w:r>
      <w:r w:rsidR="006B6E14"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</w:t>
      </w:r>
      <w:r w:rsidR="006B6E14">
        <w:rPr>
          <w:rFonts w:ascii="Book Antiqua" w:hAnsi="Book Antiqua" w:cs="Arial"/>
        </w:rPr>
        <w:t xml:space="preserve">) </w:t>
      </w:r>
      <w:r>
        <w:rPr>
          <w:rFonts w:ascii="Book Antiqua" w:hAnsi="Book Antiqua" w:cs="Arial"/>
        </w:rPr>
        <w:t>et</w:t>
      </w:r>
      <w:r w:rsidR="006B6E14">
        <w:rPr>
          <w:rFonts w:ascii="Book Antiqua" w:hAnsi="Book Antiqua" w:cs="Arial"/>
        </w:rPr>
        <w:t xml:space="preserve"> de 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Meknès–Tafilalet (5,</w:t>
      </w:r>
      <w:r w:rsidR="006B6E14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72325E" w:rsidP="008B5472">
      <w:pPr>
        <w:numPr>
          <w:ilvl w:val="0"/>
          <w:numId w:val="20"/>
        </w:numPr>
        <w:autoSpaceDE w:val="0"/>
        <w:autoSpaceDN w:val="0"/>
        <w:adjustRightInd w:val="0"/>
        <w:spacing w:before="120" w:after="120" w:line="360" w:lineRule="exact"/>
        <w:ind w:left="714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régions restantes contribuent pour 2</w:t>
      </w:r>
      <w:r w:rsidR="0016704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,</w:t>
      </w:r>
      <w:r w:rsidR="0016704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 du PIB. Il s’agit de l’</w:t>
      </w:r>
      <w:r w:rsidRPr="00AC52D2">
        <w:rPr>
          <w:rFonts w:ascii="Book Antiqua" w:hAnsi="Book Antiqua" w:cs="Arial"/>
        </w:rPr>
        <w:t>Oriental (4,</w:t>
      </w:r>
      <w:r w:rsidR="00EC43B1"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 xml:space="preserve">%),  </w:t>
      </w:r>
      <w:r w:rsidR="00167046" w:rsidRPr="00AC52D2">
        <w:rPr>
          <w:rFonts w:ascii="Book Antiqua" w:hAnsi="Book Antiqua" w:cs="Arial"/>
        </w:rPr>
        <w:t>Gharb-Chrarda-Béni Hssen (4,</w:t>
      </w:r>
      <w:r w:rsidR="00167046">
        <w:rPr>
          <w:rFonts w:ascii="Book Antiqua" w:hAnsi="Book Antiqua" w:cs="Arial"/>
        </w:rPr>
        <w:t>1</w:t>
      </w:r>
      <w:r w:rsidR="00167046" w:rsidRPr="00AC52D2">
        <w:rPr>
          <w:rFonts w:ascii="Book Antiqua" w:hAnsi="Book Antiqua" w:cs="Arial"/>
        </w:rPr>
        <w:t>%)</w:t>
      </w:r>
      <w:r w:rsidR="00167046">
        <w:rPr>
          <w:rFonts w:ascii="Book Antiqua" w:hAnsi="Book Antiqua" w:cs="Arial"/>
        </w:rPr>
        <w:t>,</w:t>
      </w:r>
      <w:r w:rsidR="00167046" w:rsidRPr="00AC52D2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les </w:t>
      </w:r>
      <w:r>
        <w:rPr>
          <w:rFonts w:ascii="Book Antiqua" w:hAnsi="Book Antiqua" w:cs="Arial"/>
        </w:rPr>
        <w:t xml:space="preserve">trois </w:t>
      </w:r>
      <w:r w:rsidRPr="00AC52D2">
        <w:rPr>
          <w:rFonts w:ascii="Book Antiqua" w:hAnsi="Book Antiqua" w:cs="Arial"/>
        </w:rPr>
        <w:t>régions du sud (4,</w:t>
      </w:r>
      <w:r w:rsidR="00167046">
        <w:rPr>
          <w:rFonts w:ascii="Book Antiqua" w:hAnsi="Book Antiqua" w:cs="Arial"/>
        </w:rPr>
        <w:t>0</w:t>
      </w:r>
      <w:r w:rsidRPr="00AC52D2">
        <w:rPr>
          <w:rFonts w:ascii="Book Antiqua" w:hAnsi="Book Antiqua" w:cs="Arial"/>
        </w:rPr>
        <w:t>%),  Fès–Boulemane (</w:t>
      </w:r>
      <w:r w:rsidR="00B71E5D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>,</w:t>
      </w:r>
      <w:r w:rsidR="00B71E5D">
        <w:rPr>
          <w:rFonts w:ascii="Book Antiqua" w:hAnsi="Book Antiqua" w:cs="Arial"/>
        </w:rPr>
        <w:t>9</w:t>
      </w:r>
      <w:r w:rsidRPr="00AC52D2">
        <w:rPr>
          <w:rFonts w:ascii="Book Antiqua" w:hAnsi="Book Antiqua" w:cs="Arial"/>
        </w:rPr>
        <w:t>%)</w:t>
      </w:r>
      <w:r>
        <w:rPr>
          <w:rFonts w:ascii="Book Antiqua" w:hAnsi="Book Antiqua" w:cs="Arial"/>
        </w:rPr>
        <w:t xml:space="preserve">, </w:t>
      </w:r>
      <w:r w:rsidRPr="00AC52D2">
        <w:rPr>
          <w:rFonts w:ascii="Book Antiqua" w:hAnsi="Book Antiqua" w:cs="Arial"/>
        </w:rPr>
        <w:t>Taza-Al Hoceïma–Taounate</w:t>
      </w:r>
      <w:r w:rsidR="00B71E5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 et </w:t>
      </w:r>
      <w:r w:rsidRPr="00AC52D2">
        <w:rPr>
          <w:rFonts w:ascii="Book Antiqua" w:hAnsi="Book Antiqua" w:cs="Arial"/>
        </w:rPr>
        <w:t>Tadla-Azilal</w:t>
      </w:r>
      <w:r>
        <w:rPr>
          <w:rFonts w:ascii="Book Antiqua" w:hAnsi="Book Antiqua" w:cs="Arial"/>
        </w:rPr>
        <w:t xml:space="preserve"> (2,7%</w:t>
      </w:r>
      <w:r w:rsidR="00B71E5D">
        <w:rPr>
          <w:rFonts w:ascii="Book Antiqua" w:hAnsi="Book Antiqua" w:cs="Arial"/>
        </w:rPr>
        <w:t xml:space="preserve"> chacune</w:t>
      </w:r>
      <w:r>
        <w:rPr>
          <w:rFonts w:ascii="Book Antiqua" w:hAnsi="Book Antiqua" w:cs="Arial"/>
        </w:rPr>
        <w:t>).</w:t>
      </w:r>
      <w:r w:rsidRPr="00AC52D2">
        <w:rPr>
          <w:rFonts w:ascii="Book Antiqua" w:hAnsi="Book Antiqua" w:cs="Arial"/>
        </w:rPr>
        <w:t xml:space="preserve">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220" w:lineRule="exact"/>
        <w:jc w:val="both"/>
        <w:rPr>
          <w:rFonts w:ascii="Book Antiqua" w:hAnsi="Book Antiqua" w:cs="Arial"/>
        </w:rPr>
      </w:pPr>
    </w:p>
    <w:p w:rsidR="0072325E" w:rsidRPr="008B547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Structure des activités économiques par région 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structure des</w:t>
      </w:r>
      <w:r w:rsidRPr="00AC52D2">
        <w:rPr>
          <w:rFonts w:ascii="Book Antiqua" w:hAnsi="Book Antiqua" w:cs="Arial"/>
        </w:rPr>
        <w:t xml:space="preserve"> activités économiques </w:t>
      </w:r>
      <w:r>
        <w:rPr>
          <w:rFonts w:ascii="Book Antiqua" w:hAnsi="Book Antiqua" w:cs="Arial"/>
        </w:rPr>
        <w:t xml:space="preserve">ne présente pas des similitudes dans toutes les régions du Royaume. L’activité économique reste dominée dans certaines régions par le secteur primaire </w:t>
      </w:r>
      <w:r w:rsidRPr="00AC52D2">
        <w:rPr>
          <w:rFonts w:ascii="Book Antiqua" w:hAnsi="Book Antiqua" w:cs="Arial"/>
        </w:rPr>
        <w:t>(agriculture et pêche)</w:t>
      </w:r>
      <w:r>
        <w:rPr>
          <w:rFonts w:ascii="Book Antiqua" w:hAnsi="Book Antiqua" w:cs="Arial"/>
        </w:rPr>
        <w:t xml:space="preserve">, dans d’autres par le secteur secondaire </w:t>
      </w:r>
      <w:r w:rsidRPr="00AC52D2">
        <w:rPr>
          <w:rFonts w:ascii="Book Antiqua" w:hAnsi="Book Antiqua" w:cs="Arial"/>
        </w:rPr>
        <w:t>(Industrie, mines, distribution d’électricité et d’eau et bâtiment et travaux publi</w:t>
      </w:r>
      <w:r>
        <w:rPr>
          <w:rFonts w:ascii="Book Antiqua" w:hAnsi="Book Antiqua" w:cs="Arial"/>
        </w:rPr>
        <w:t>c</w:t>
      </w:r>
      <w:r w:rsidRPr="00AC52D2">
        <w:rPr>
          <w:rFonts w:ascii="Book Antiqua" w:hAnsi="Book Antiqua" w:cs="Arial"/>
        </w:rPr>
        <w:t>s)</w:t>
      </w:r>
      <w:r>
        <w:rPr>
          <w:rFonts w:ascii="Book Antiqua" w:hAnsi="Book Antiqua" w:cs="Arial"/>
        </w:rPr>
        <w:t xml:space="preserve"> et 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dans d’autres par le secteur tertiaire </w:t>
      </w:r>
      <w:r w:rsidRPr="00AC52D2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. </w:t>
      </w:r>
    </w:p>
    <w:p w:rsidR="0072325E" w:rsidRDefault="0072325E" w:rsidP="00431B35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1F389D">
        <w:rPr>
          <w:rFonts w:ascii="Book Antiqua" w:hAnsi="Book Antiqua" w:cs="Arial"/>
        </w:rPr>
        <w:t xml:space="preserve"> comptes </w:t>
      </w:r>
      <w:r w:rsidR="00447933">
        <w:rPr>
          <w:rFonts w:ascii="Book Antiqua" w:hAnsi="Book Antiqua" w:cs="Arial"/>
        </w:rPr>
        <w:t>régionaux de</w:t>
      </w:r>
      <w:r w:rsidRPr="001F389D">
        <w:rPr>
          <w:rFonts w:ascii="Book Antiqua" w:hAnsi="Book Antiqua" w:cs="Arial"/>
        </w:rPr>
        <w:t xml:space="preserve"> 20</w:t>
      </w:r>
      <w:r>
        <w:rPr>
          <w:rFonts w:ascii="Book Antiqua" w:hAnsi="Book Antiqua" w:cs="Arial"/>
        </w:rPr>
        <w:t>1</w:t>
      </w:r>
      <w:r w:rsidR="00137B6C">
        <w:rPr>
          <w:rFonts w:ascii="Book Antiqua" w:hAnsi="Book Antiqua" w:cs="Arial"/>
        </w:rPr>
        <w:t>3</w:t>
      </w:r>
      <w:r w:rsidRPr="001F389D">
        <w:rPr>
          <w:rFonts w:ascii="Book Antiqua" w:hAnsi="Book Antiqua" w:cs="Arial"/>
        </w:rPr>
        <w:t xml:space="preserve"> confirment la prédominance des 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(agriculture et pêche) </w:t>
      </w:r>
      <w:r w:rsidRPr="001F389D">
        <w:rPr>
          <w:rFonts w:ascii="Book Antiqua" w:hAnsi="Book Antiqua" w:cs="Arial"/>
        </w:rPr>
        <w:t xml:space="preserve">dans trois régions. Il s’agit </w:t>
      </w:r>
      <w:r w:rsidR="00137B6C">
        <w:rPr>
          <w:rFonts w:ascii="Book Antiqua" w:hAnsi="Book Antiqua" w:cs="Arial"/>
        </w:rPr>
        <w:t xml:space="preserve">de </w:t>
      </w:r>
      <w:r w:rsidR="00137B6C" w:rsidRPr="001F389D">
        <w:rPr>
          <w:rFonts w:ascii="Book Antiqua" w:hAnsi="Book Antiqua" w:cs="Arial"/>
        </w:rPr>
        <w:t>Tadla-Azila</w:t>
      </w:r>
      <w:r w:rsidR="00137B6C">
        <w:rPr>
          <w:rFonts w:ascii="Book Antiqua" w:hAnsi="Book Antiqua" w:cs="Arial"/>
        </w:rPr>
        <w:t>l (31,8</w:t>
      </w:r>
      <w:r w:rsidR="00431B35">
        <w:rPr>
          <w:rFonts w:ascii="Book Antiqua" w:hAnsi="Book Antiqua" w:cs="Arial"/>
        </w:rPr>
        <w:t>% du PIB régional</w:t>
      </w:r>
      <w:r w:rsidR="00137B6C">
        <w:rPr>
          <w:rFonts w:ascii="Book Antiqua" w:hAnsi="Book Antiqua" w:cs="Arial"/>
        </w:rPr>
        <w:t xml:space="preserve">), du </w:t>
      </w:r>
      <w:r w:rsidRPr="001F389D">
        <w:rPr>
          <w:rFonts w:ascii="Book Antiqua" w:hAnsi="Book Antiqua" w:cs="Arial"/>
        </w:rPr>
        <w:t xml:space="preserve">Gharb-Chrarda-Béni Hssen </w:t>
      </w:r>
      <w:r>
        <w:rPr>
          <w:rFonts w:ascii="Book Antiqua" w:hAnsi="Book Antiqua" w:cs="Arial"/>
        </w:rPr>
        <w:t>(3</w:t>
      </w:r>
      <w:r w:rsidR="00137B6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137B6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%)</w:t>
      </w:r>
      <w:r w:rsidR="00137B6C">
        <w:rPr>
          <w:rFonts w:ascii="Book Antiqua" w:hAnsi="Book Antiqua" w:cs="Arial"/>
        </w:rPr>
        <w:t xml:space="preserve"> et </w:t>
      </w:r>
      <w:r w:rsidRPr="001F389D">
        <w:rPr>
          <w:rFonts w:ascii="Book Antiqua" w:hAnsi="Book Antiqua" w:cs="Arial"/>
        </w:rPr>
        <w:t xml:space="preserve">de Taza-Al Hoceima-Taounate </w:t>
      </w:r>
      <w:r>
        <w:rPr>
          <w:rFonts w:ascii="Book Antiqua" w:hAnsi="Book Antiqua" w:cs="Arial"/>
        </w:rPr>
        <w:t>(3</w:t>
      </w:r>
      <w:r w:rsidR="00137B6C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137B6C">
        <w:rPr>
          <w:rFonts w:ascii="Book Antiqua" w:hAnsi="Book Antiqua" w:cs="Arial"/>
        </w:rPr>
        <w:t>0</w:t>
      </w:r>
      <w:r>
        <w:rPr>
          <w:rFonts w:ascii="Book Antiqua" w:hAnsi="Book Antiqua" w:cs="Arial"/>
        </w:rPr>
        <w:t xml:space="preserve">%).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sont</w:t>
      </w:r>
      <w:r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quant à elles, bien représentées dans les </w:t>
      </w:r>
      <w:r w:rsidRPr="00AC52D2">
        <w:rPr>
          <w:rFonts w:ascii="Book Antiqua" w:hAnsi="Book Antiqua" w:cs="Arial"/>
        </w:rPr>
        <w:t>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 Chaouia–</w:t>
      </w:r>
      <w:r w:rsidRPr="00AC52D2">
        <w:rPr>
          <w:rFonts w:ascii="Book Antiqua" w:hAnsi="Book Antiqua" w:cs="Arial"/>
        </w:rPr>
        <w:lastRenderedPageBreak/>
        <w:t>Ouardigha</w:t>
      </w:r>
      <w:r>
        <w:rPr>
          <w:rFonts w:ascii="Book Antiqua" w:hAnsi="Book Antiqua" w:cs="Arial"/>
        </w:rPr>
        <w:t xml:space="preserve"> (</w:t>
      </w:r>
      <w:r w:rsidR="002D3422">
        <w:rPr>
          <w:rFonts w:ascii="Book Antiqua" w:hAnsi="Book Antiqua" w:cs="Arial"/>
        </w:rPr>
        <w:t>48</w:t>
      </w:r>
      <w:r>
        <w:rPr>
          <w:rFonts w:ascii="Book Antiqua" w:hAnsi="Book Antiqua" w:cs="Arial"/>
        </w:rPr>
        <w:t>,</w:t>
      </w:r>
      <w:r w:rsidR="002D3422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>du PIB</w:t>
      </w:r>
      <w:r w:rsidR="00431B35">
        <w:rPr>
          <w:rFonts w:ascii="Book Antiqua" w:hAnsi="Book Antiqua" w:cs="Arial"/>
        </w:rPr>
        <w:t xml:space="preserve"> régional</w:t>
      </w:r>
      <w:r>
        <w:rPr>
          <w:rFonts w:ascii="Book Antiqua" w:hAnsi="Book Antiqua" w:cs="Arial"/>
        </w:rPr>
        <w:t xml:space="preserve">), de </w:t>
      </w:r>
      <w:r w:rsidRPr="00AC52D2">
        <w:rPr>
          <w:rFonts w:ascii="Book Antiqua" w:hAnsi="Book Antiqua" w:cs="Arial"/>
        </w:rPr>
        <w:t xml:space="preserve">Doukala-Abda </w:t>
      </w:r>
      <w:r>
        <w:rPr>
          <w:rFonts w:ascii="Book Antiqua" w:hAnsi="Book Antiqua" w:cs="Arial"/>
        </w:rPr>
        <w:t>(</w:t>
      </w:r>
      <w:r w:rsidR="002D3422">
        <w:rPr>
          <w:rFonts w:ascii="Book Antiqua" w:hAnsi="Book Antiqua" w:cs="Arial"/>
        </w:rPr>
        <w:t>39,2</w:t>
      </w:r>
      <w:r w:rsidRPr="00AC52D2">
        <w:rPr>
          <w:rFonts w:ascii="Book Antiqua" w:hAnsi="Book Antiqua" w:cs="Arial"/>
        </w:rPr>
        <w:t>%</w:t>
      </w:r>
      <w:r w:rsidR="002D3422">
        <w:rPr>
          <w:rFonts w:ascii="Book Antiqua" w:hAnsi="Book Antiqua" w:cs="Arial"/>
        </w:rPr>
        <w:t>),</w:t>
      </w:r>
      <w:r>
        <w:rPr>
          <w:rFonts w:ascii="Book Antiqua" w:hAnsi="Book Antiqua" w:cs="Arial"/>
        </w:rPr>
        <w:t xml:space="preserve"> du Grand Casablanca (3</w:t>
      </w:r>
      <w:r w:rsidR="002D3422">
        <w:rPr>
          <w:rFonts w:ascii="Book Antiqua" w:hAnsi="Book Antiqua" w:cs="Arial"/>
        </w:rPr>
        <w:t>3,4</w:t>
      </w:r>
      <w:r>
        <w:rPr>
          <w:rFonts w:ascii="Book Antiqua" w:hAnsi="Book Antiqua" w:cs="Arial"/>
        </w:rPr>
        <w:t>%)</w:t>
      </w:r>
      <w:r w:rsidR="002D3422">
        <w:rPr>
          <w:rFonts w:ascii="Book Antiqua" w:hAnsi="Book Antiqua" w:cs="Arial"/>
        </w:rPr>
        <w:t xml:space="preserve"> et</w:t>
      </w:r>
      <w:r w:rsidR="002D3422" w:rsidRPr="002D3422">
        <w:t xml:space="preserve"> </w:t>
      </w:r>
      <w:r w:rsidR="002D3422" w:rsidRPr="002D3422">
        <w:rPr>
          <w:rFonts w:ascii="Book Antiqua" w:hAnsi="Book Antiqua" w:cs="Arial"/>
        </w:rPr>
        <w:t>Tanger – Tétouan</w:t>
      </w:r>
      <w:r w:rsidR="002D3422">
        <w:rPr>
          <w:rFonts w:ascii="Book Antiqua" w:hAnsi="Book Antiqua" w:cs="Arial"/>
        </w:rPr>
        <w:t xml:space="preserve"> (29,9%)</w:t>
      </w:r>
      <w:r w:rsidRPr="00AC52D2">
        <w:rPr>
          <w:rFonts w:ascii="Book Antiqua" w:hAnsi="Book Antiqua" w:cs="Arial"/>
        </w:rPr>
        <w:t xml:space="preserve">. </w:t>
      </w:r>
    </w:p>
    <w:p w:rsidR="0072325E" w:rsidRDefault="00F02B27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72325E">
        <w:rPr>
          <w:rFonts w:ascii="Book Antiqua" w:hAnsi="Book Antiqua" w:cs="Arial"/>
        </w:rPr>
        <w:t>es</w:t>
      </w:r>
      <w:r w:rsidR="0072325E" w:rsidRPr="00AC52D2">
        <w:rPr>
          <w:rFonts w:ascii="Book Antiqua" w:hAnsi="Book Antiqua" w:cs="Arial"/>
        </w:rPr>
        <w:t xml:space="preserve"> activités tertiaires</w:t>
      </w:r>
      <w:r w:rsidR="0072325E">
        <w:rPr>
          <w:rFonts w:ascii="Book Antiqua" w:hAnsi="Book Antiqua" w:cs="Arial"/>
        </w:rPr>
        <w:t xml:space="preserve"> </w:t>
      </w:r>
      <w:r w:rsidR="0072325E" w:rsidRPr="008D09BB">
        <w:rPr>
          <w:rFonts w:ascii="Book Antiqua" w:hAnsi="Book Antiqua" w:cs="Arial"/>
        </w:rPr>
        <w:t>(services marchands et non marchands)</w:t>
      </w:r>
      <w:r>
        <w:rPr>
          <w:rFonts w:ascii="Book Antiqua" w:hAnsi="Book Antiqua" w:cs="Arial"/>
        </w:rPr>
        <w:t xml:space="preserve">, de leur côté, </w:t>
      </w:r>
      <w:r w:rsidR="0072325E" w:rsidRPr="00AC52D2">
        <w:rPr>
          <w:rFonts w:ascii="Book Antiqua" w:hAnsi="Book Antiqua" w:cs="Arial"/>
        </w:rPr>
        <w:t>sont largement dominantes dans les régions de Rabat-</w:t>
      </w:r>
      <w:r w:rsidR="0072325E">
        <w:rPr>
          <w:rFonts w:ascii="Book Antiqua" w:hAnsi="Book Antiqua" w:cs="Arial"/>
        </w:rPr>
        <w:t>S</w:t>
      </w:r>
      <w:r w:rsidR="0072325E" w:rsidRPr="00AC52D2">
        <w:rPr>
          <w:rFonts w:ascii="Book Antiqua" w:hAnsi="Book Antiqua" w:cs="Arial"/>
        </w:rPr>
        <w:t>alé–Zemmour-Zaer</w:t>
      </w:r>
      <w:r w:rsidR="0072325E">
        <w:rPr>
          <w:rFonts w:ascii="Book Antiqua" w:hAnsi="Book Antiqua" w:cs="Arial"/>
        </w:rPr>
        <w:t xml:space="preserve">  (</w:t>
      </w:r>
      <w:r w:rsidR="0072325E" w:rsidRPr="00AC52D2">
        <w:rPr>
          <w:rFonts w:ascii="Book Antiqua" w:hAnsi="Book Antiqua" w:cs="Arial"/>
        </w:rPr>
        <w:t>7</w:t>
      </w:r>
      <w:r w:rsidR="00525B98">
        <w:rPr>
          <w:rFonts w:ascii="Book Antiqua" w:hAnsi="Book Antiqua" w:cs="Arial"/>
        </w:rPr>
        <w:t>2</w:t>
      </w:r>
      <w:r w:rsidR="0072325E" w:rsidRPr="00AC52D2">
        <w:rPr>
          <w:rFonts w:ascii="Book Antiqua" w:hAnsi="Book Antiqua" w:cs="Arial"/>
        </w:rPr>
        <w:t>,</w:t>
      </w:r>
      <w:r w:rsidR="00525B98">
        <w:rPr>
          <w:rFonts w:ascii="Book Antiqua" w:hAnsi="Book Antiqua" w:cs="Arial"/>
        </w:rPr>
        <w:t>1</w:t>
      </w:r>
      <w:r w:rsidR="0072325E" w:rsidRPr="00AC52D2">
        <w:rPr>
          <w:rFonts w:ascii="Book Antiqua" w:hAnsi="Book Antiqua" w:cs="Arial"/>
        </w:rPr>
        <w:t>%</w:t>
      </w:r>
      <w:r w:rsidR="0072325E">
        <w:rPr>
          <w:rFonts w:ascii="Book Antiqua" w:hAnsi="Book Antiqua" w:cs="Arial"/>
        </w:rPr>
        <w:t xml:space="preserve"> du PIB régional), des trois régions du Sud (6</w:t>
      </w:r>
      <w:r w:rsidR="00525B98">
        <w:rPr>
          <w:rFonts w:ascii="Book Antiqua" w:hAnsi="Book Antiqua" w:cs="Arial"/>
        </w:rPr>
        <w:t>6</w:t>
      </w:r>
      <w:r w:rsidR="0072325E">
        <w:rPr>
          <w:rFonts w:ascii="Book Antiqua" w:hAnsi="Book Antiqua" w:cs="Arial"/>
        </w:rPr>
        <w:t>,</w:t>
      </w:r>
      <w:r w:rsidR="00525B98">
        <w:rPr>
          <w:rFonts w:ascii="Book Antiqua" w:hAnsi="Book Antiqua" w:cs="Arial"/>
        </w:rPr>
        <w:t>9</w:t>
      </w:r>
      <w:r w:rsidR="0072325E">
        <w:rPr>
          <w:rFonts w:ascii="Book Antiqua" w:hAnsi="Book Antiqua" w:cs="Arial"/>
        </w:rPr>
        <w:t>%),</w:t>
      </w:r>
      <w:r w:rsidR="0072325E" w:rsidRPr="00AC52D2">
        <w:rPr>
          <w:rFonts w:ascii="Book Antiqua" w:hAnsi="Book Antiqua" w:cs="Arial"/>
        </w:rPr>
        <w:t xml:space="preserve"> du Grand Casablanca</w:t>
      </w:r>
      <w:r w:rsidR="0072325E">
        <w:rPr>
          <w:rFonts w:ascii="Book Antiqua" w:hAnsi="Book Antiqua" w:cs="Arial"/>
        </w:rPr>
        <w:t xml:space="preserve"> (5</w:t>
      </w:r>
      <w:r w:rsidR="00525B98">
        <w:rPr>
          <w:rFonts w:ascii="Book Antiqua" w:hAnsi="Book Antiqua" w:cs="Arial"/>
        </w:rPr>
        <w:t>6</w:t>
      </w:r>
      <w:r w:rsidR="0072325E">
        <w:rPr>
          <w:rFonts w:ascii="Book Antiqua" w:hAnsi="Book Antiqua" w:cs="Arial"/>
        </w:rPr>
        <w:t>,</w:t>
      </w:r>
      <w:r w:rsidR="00525B98">
        <w:rPr>
          <w:rFonts w:ascii="Book Antiqua" w:hAnsi="Book Antiqua" w:cs="Arial"/>
        </w:rPr>
        <w:t>7</w:t>
      </w:r>
      <w:r w:rsidR="0072325E">
        <w:rPr>
          <w:rFonts w:ascii="Book Antiqua" w:hAnsi="Book Antiqua" w:cs="Arial"/>
        </w:rPr>
        <w:t>%)</w:t>
      </w:r>
      <w:r w:rsidR="0072325E" w:rsidRPr="005F142E">
        <w:rPr>
          <w:rFonts w:ascii="Book Antiqua" w:hAnsi="Book Antiqua" w:cs="Arial"/>
        </w:rPr>
        <w:t xml:space="preserve"> </w:t>
      </w:r>
      <w:r w:rsidR="0072325E">
        <w:rPr>
          <w:rFonts w:ascii="Book Antiqua" w:hAnsi="Book Antiqua" w:cs="Arial"/>
        </w:rPr>
        <w:t xml:space="preserve">et </w:t>
      </w:r>
      <w:r w:rsidR="0072325E" w:rsidRPr="00AC52D2">
        <w:rPr>
          <w:rFonts w:ascii="Book Antiqua" w:hAnsi="Book Antiqua" w:cs="Arial"/>
        </w:rPr>
        <w:t>de Fès-Boulemane</w:t>
      </w:r>
      <w:r w:rsidR="0072325E">
        <w:rPr>
          <w:rFonts w:ascii="Book Antiqua" w:hAnsi="Book Antiqua" w:cs="Arial"/>
        </w:rPr>
        <w:t xml:space="preserve"> (5</w:t>
      </w:r>
      <w:r w:rsidR="00C336EA">
        <w:rPr>
          <w:rFonts w:ascii="Book Antiqua" w:hAnsi="Book Antiqua" w:cs="Arial"/>
        </w:rPr>
        <w:t>4</w:t>
      </w:r>
      <w:r w:rsidR="0072325E">
        <w:rPr>
          <w:rFonts w:ascii="Book Antiqua" w:hAnsi="Book Antiqua" w:cs="Arial"/>
        </w:rPr>
        <w:t>,</w:t>
      </w:r>
      <w:r w:rsidR="00525B98">
        <w:rPr>
          <w:rFonts w:ascii="Book Antiqua" w:hAnsi="Book Antiqua" w:cs="Arial"/>
        </w:rPr>
        <w:t>7</w:t>
      </w:r>
      <w:r w:rsidR="0072325E">
        <w:rPr>
          <w:rFonts w:ascii="Book Antiqua" w:hAnsi="Book Antiqua" w:cs="Arial"/>
        </w:rPr>
        <w:t>%)</w:t>
      </w:r>
      <w:r w:rsidR="0072325E" w:rsidRPr="00AC52D2">
        <w:rPr>
          <w:rFonts w:ascii="Book Antiqua" w:hAnsi="Book Antiqua" w:cs="Arial"/>
        </w:rPr>
        <w:t xml:space="preserve">. </w:t>
      </w:r>
    </w:p>
    <w:p w:rsidR="0072325E" w:rsidRDefault="0072325E" w:rsidP="00431B35">
      <w:pPr>
        <w:autoSpaceDE w:val="0"/>
        <w:autoSpaceDN w:val="0"/>
        <w:adjustRightInd w:val="0"/>
        <w:spacing w:before="100" w:beforeAutospacing="1" w:after="100" w:afterAutospacing="1" w:line="18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</w:p>
    <w:p w:rsidR="0072325E" w:rsidRPr="00431B35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Contribution régionale à l’activité économique nationale </w:t>
      </w:r>
    </w:p>
    <w:p w:rsidR="0072325E" w:rsidRPr="00AC52D2" w:rsidRDefault="0072325E" w:rsidP="00431B35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3736A4">
        <w:rPr>
          <w:rFonts w:ascii="Book Antiqua" w:hAnsi="Book Antiqua" w:cs="Arial"/>
        </w:rPr>
        <w:t xml:space="preserve">La configuration de la contribution régionale </w:t>
      </w:r>
      <w:r>
        <w:rPr>
          <w:rFonts w:ascii="Book Antiqua" w:hAnsi="Book Antiqua" w:cs="Arial"/>
        </w:rPr>
        <w:t>à la création des valeurs ajoutées sectorielles</w:t>
      </w:r>
      <w:r w:rsidRPr="003736A4">
        <w:rPr>
          <w:rFonts w:ascii="Book Antiqua" w:hAnsi="Book Antiqua" w:cs="Arial"/>
        </w:rPr>
        <w:t xml:space="preserve"> n’a pas connu de grands changements</w:t>
      </w:r>
      <w:r w:rsidR="009E627E">
        <w:rPr>
          <w:rFonts w:ascii="Book Antiqua" w:hAnsi="Book Antiqua" w:cs="Arial"/>
        </w:rPr>
        <w:t xml:space="preserve"> par rapport à 2012</w:t>
      </w:r>
      <w:r>
        <w:rPr>
          <w:rFonts w:ascii="Book Antiqua" w:hAnsi="Book Antiqua" w:cs="Arial"/>
        </w:rPr>
        <w:t xml:space="preserve">. Ainsi, </w:t>
      </w:r>
      <w:r w:rsidR="00F02B27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>es activités du secteur primaire continuent à être l’apanage de six régions (</w:t>
      </w:r>
      <w:r w:rsidRPr="009D1864">
        <w:rPr>
          <w:rFonts w:ascii="Book Antiqua" w:hAnsi="Book Antiqua" w:cs="Arial"/>
        </w:rPr>
        <w:t xml:space="preserve">Souss-Massa-Draâ, Marrakech-Tensift-Al Haouz, </w:t>
      </w:r>
      <w:r w:rsidR="00D01F02" w:rsidRPr="009D1864">
        <w:rPr>
          <w:rFonts w:ascii="Book Antiqua" w:hAnsi="Book Antiqua" w:cs="Arial"/>
        </w:rPr>
        <w:t>Gharb-Chrarda-Béni Hssen</w:t>
      </w:r>
      <w:r w:rsidR="00D01F02">
        <w:rPr>
          <w:rFonts w:ascii="Book Antiqua" w:hAnsi="Book Antiqua" w:cs="Arial"/>
        </w:rPr>
        <w:t>,</w:t>
      </w:r>
      <w:r w:rsidR="00D01F02" w:rsidRPr="009D1864">
        <w:rPr>
          <w:rFonts w:ascii="Book Antiqua" w:hAnsi="Book Antiqua" w:cs="Arial"/>
        </w:rPr>
        <w:t xml:space="preserve"> </w:t>
      </w:r>
      <w:r w:rsidR="00D01F02">
        <w:rPr>
          <w:rFonts w:ascii="Book Antiqua" w:hAnsi="Book Antiqua" w:cs="Arial"/>
        </w:rPr>
        <w:t>Meknès–Tafilalet,</w:t>
      </w:r>
      <w:r w:rsidRPr="009D1864">
        <w:rPr>
          <w:rFonts w:ascii="Book Antiqua" w:hAnsi="Book Antiqua" w:cs="Arial"/>
        </w:rPr>
        <w:t xml:space="preserve"> </w:t>
      </w:r>
      <w:r w:rsidR="00D01F02" w:rsidRPr="009D1864">
        <w:rPr>
          <w:rFonts w:ascii="Book Antiqua" w:hAnsi="Book Antiqua" w:cs="Arial"/>
        </w:rPr>
        <w:t>Doukala–Abda</w:t>
      </w:r>
      <w:r w:rsidR="00D01F02">
        <w:rPr>
          <w:rFonts w:ascii="Book Antiqua" w:hAnsi="Book Antiqua" w:cs="Arial"/>
        </w:rPr>
        <w:t xml:space="preserve"> et </w:t>
      </w:r>
      <w:r w:rsidRPr="009D1864">
        <w:rPr>
          <w:rFonts w:ascii="Book Antiqua" w:hAnsi="Book Antiqua" w:cs="Arial"/>
        </w:rPr>
        <w:t>Chaouia–Ouardigha</w:t>
      </w:r>
      <w:r w:rsidR="00412C41">
        <w:rPr>
          <w:rFonts w:ascii="Book Antiqua" w:hAnsi="Book Antiqua" w:cs="Arial"/>
        </w:rPr>
        <w:t>)</w:t>
      </w:r>
      <w:r w:rsidR="00431B35">
        <w:rPr>
          <w:rFonts w:ascii="Book Antiqua" w:hAnsi="Book Antiqua" w:cs="Arial"/>
        </w:rPr>
        <w:t>,</w:t>
      </w:r>
      <w:r w:rsidRPr="009D1864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qui </w:t>
      </w:r>
      <w:r w:rsidR="00431B35">
        <w:rPr>
          <w:rFonts w:ascii="Book Antiqua" w:hAnsi="Book Antiqua" w:cs="Arial"/>
        </w:rPr>
        <w:t xml:space="preserve">ont </w:t>
      </w:r>
      <w:r>
        <w:rPr>
          <w:rFonts w:ascii="Book Antiqua" w:hAnsi="Book Antiqua" w:cs="Arial"/>
        </w:rPr>
        <w:t>contribu</w:t>
      </w:r>
      <w:r w:rsidR="00431B35">
        <w:rPr>
          <w:rFonts w:ascii="Book Antiqua" w:hAnsi="Book Antiqua" w:cs="Arial"/>
        </w:rPr>
        <w:t>é</w:t>
      </w:r>
      <w:r w:rsidR="00F02B27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F02B27">
        <w:rPr>
          <w:rFonts w:ascii="Book Antiqua" w:hAnsi="Book Antiqua" w:cs="Arial"/>
        </w:rPr>
        <w:t xml:space="preserve">en 2013 </w:t>
      </w:r>
      <w:r>
        <w:rPr>
          <w:rFonts w:ascii="Book Antiqua" w:hAnsi="Book Antiqua" w:cs="Arial"/>
        </w:rPr>
        <w:t>pour 5</w:t>
      </w:r>
      <w:r w:rsidR="00D01F02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,8% à la création de la valeur ajoutée nationale de ce secteur au lieu de 5</w:t>
      </w:r>
      <w:r w:rsidR="00D01F02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>,</w:t>
      </w:r>
      <w:r w:rsidR="00D01F02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>% en 201</w:t>
      </w:r>
      <w:r w:rsidR="00D01F02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.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du secteur secondaire</w:t>
      </w:r>
      <w:r>
        <w:rPr>
          <w:rFonts w:ascii="Book Antiqua" w:hAnsi="Book Antiqua" w:cs="Arial"/>
        </w:rPr>
        <w:t xml:space="preserve"> sont concentrées dans </w:t>
      </w:r>
      <w:r w:rsidRPr="00AC52D2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>es</w:t>
      </w:r>
      <w:r w:rsidRPr="00AC52D2">
        <w:rPr>
          <w:rFonts w:ascii="Book Antiqua" w:hAnsi="Book Antiqua" w:cs="Arial"/>
        </w:rPr>
        <w:t xml:space="preserve"> région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du Grand Casablanca </w:t>
      </w:r>
      <w:r>
        <w:rPr>
          <w:rFonts w:ascii="Book Antiqua" w:hAnsi="Book Antiqua" w:cs="Arial"/>
        </w:rPr>
        <w:t xml:space="preserve">et </w:t>
      </w:r>
      <w:r w:rsidRPr="00AC52D2">
        <w:rPr>
          <w:rFonts w:ascii="Book Antiqua" w:hAnsi="Book Antiqua" w:cs="Arial"/>
        </w:rPr>
        <w:t>de Chaouia-Ouardigha</w:t>
      </w:r>
      <w:r>
        <w:rPr>
          <w:rFonts w:ascii="Book Antiqua" w:hAnsi="Book Antiqua" w:cs="Arial"/>
        </w:rPr>
        <w:t>, qui ont participé pour 42,</w:t>
      </w:r>
      <w:r w:rsidR="00194616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à </w:t>
      </w:r>
      <w:r w:rsidRPr="00AC52D2">
        <w:rPr>
          <w:rFonts w:ascii="Book Antiqua" w:hAnsi="Book Antiqua" w:cs="Arial"/>
        </w:rPr>
        <w:t>la valeur ajoutée nationale du secteur</w:t>
      </w:r>
      <w:r>
        <w:rPr>
          <w:rFonts w:ascii="Book Antiqua" w:hAnsi="Book Antiqua" w:cs="Arial"/>
        </w:rPr>
        <w:t xml:space="preserve"> en 201</w:t>
      </w:r>
      <w:r w:rsidR="00194616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au lieu de 42,7% en 201</w:t>
      </w:r>
      <w:r w:rsidR="00194616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.</w:t>
      </w:r>
    </w:p>
    <w:p w:rsidR="0072325E" w:rsidRDefault="0072325E" w:rsidP="00431B35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 Grand Casablanca et Rabat-Salé-Zemmour-Zaer </w:t>
      </w:r>
      <w:r w:rsidR="00431B35">
        <w:rPr>
          <w:rFonts w:ascii="Book Antiqua" w:hAnsi="Book Antiqua" w:cs="Arial"/>
        </w:rPr>
        <w:t xml:space="preserve">ont participé par </w:t>
      </w:r>
      <w:r w:rsidR="00194616">
        <w:rPr>
          <w:rFonts w:ascii="Book Antiqua" w:hAnsi="Book Antiqua" w:cs="Arial"/>
        </w:rPr>
        <w:t>42</w:t>
      </w:r>
      <w:r>
        <w:rPr>
          <w:rFonts w:ascii="Book Antiqua" w:hAnsi="Book Antiqua" w:cs="Arial"/>
        </w:rPr>
        <w:t>% à la valeur ajoutée des activités tertiaires en 201</w:t>
      </w:r>
      <w:r w:rsidR="00194616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au lieu de </w:t>
      </w:r>
      <w:r w:rsidR="00194616">
        <w:rPr>
          <w:rFonts w:ascii="Book Antiqua" w:hAnsi="Book Antiqua" w:cs="Arial"/>
        </w:rPr>
        <w:t>43,4</w:t>
      </w:r>
      <w:r>
        <w:rPr>
          <w:rFonts w:ascii="Book Antiqua" w:hAnsi="Book Antiqua" w:cs="Arial"/>
        </w:rPr>
        <w:t>% en 201</w:t>
      </w:r>
      <w:r w:rsidR="0019461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.</w:t>
      </w:r>
    </w:p>
    <w:p w:rsidR="00701E32" w:rsidRDefault="00701E32" w:rsidP="00431B35">
      <w:pPr>
        <w:autoSpaceDE w:val="0"/>
        <w:autoSpaceDN w:val="0"/>
        <w:adjustRightInd w:val="0"/>
        <w:spacing w:before="100" w:beforeAutospacing="1" w:after="100" w:afterAutospacing="1" w:line="12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</w:p>
    <w:p w:rsidR="0072325E" w:rsidRPr="00431B35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PIB par habitant et par région</w:t>
      </w:r>
    </w:p>
    <w:p w:rsidR="0072325E" w:rsidRDefault="00C54EEC" w:rsidP="009E627E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 </w:t>
      </w:r>
      <w:r w:rsidRPr="0045373E">
        <w:rPr>
          <w:rFonts w:ascii="Book Antiqua" w:hAnsi="Book Antiqua" w:cs="Arial"/>
        </w:rPr>
        <w:t>Grand Casablanca</w:t>
      </w:r>
      <w:r>
        <w:rPr>
          <w:rFonts w:ascii="Book Antiqua" w:hAnsi="Book Antiqua" w:cs="Arial"/>
        </w:rPr>
        <w:t xml:space="preserve"> continue de se positionner à la tête de l’ensemble des régions du Royaume en termes de PIB par habitant. Celui-ci, largement supérieur à la moyenne nationale </w:t>
      </w:r>
      <w:r w:rsidRPr="00AC52D2">
        <w:rPr>
          <w:rFonts w:ascii="Book Antiqua" w:hAnsi="Book Antiqua" w:cs="Arial"/>
        </w:rPr>
        <w:t>(</w:t>
      </w:r>
      <w:r>
        <w:rPr>
          <w:rFonts w:ascii="Book Antiqua" w:hAnsi="Book Antiqua" w:cs="Arial"/>
        </w:rPr>
        <w:t>27356</w:t>
      </w:r>
      <w:r w:rsidRPr="00AC52D2">
        <w:rPr>
          <w:rFonts w:ascii="Book Antiqua" w:hAnsi="Book Antiqua" w:cs="Arial"/>
        </w:rPr>
        <w:t xml:space="preserve"> DH)</w:t>
      </w:r>
      <w:r>
        <w:rPr>
          <w:rFonts w:ascii="Book Antiqua" w:hAnsi="Book Antiqua" w:cs="Arial"/>
        </w:rPr>
        <w:t xml:space="preserve">, a enregistré un accroissement de </w:t>
      </w:r>
      <w:r w:rsidR="003A65B8">
        <w:rPr>
          <w:rFonts w:ascii="Book Antiqua" w:hAnsi="Book Antiqua" w:cs="Arial"/>
        </w:rPr>
        <w:t>7</w:t>
      </w:r>
      <w:r w:rsidR="0072325E">
        <w:rPr>
          <w:rFonts w:ascii="Book Antiqua" w:hAnsi="Book Antiqua" w:cs="Arial"/>
        </w:rPr>
        <w:t>,</w:t>
      </w:r>
      <w:r w:rsidR="009E627E">
        <w:rPr>
          <w:rFonts w:ascii="Book Antiqua" w:hAnsi="Book Antiqua" w:cs="Arial"/>
        </w:rPr>
        <w:t>3</w:t>
      </w:r>
      <w:r w:rsidR="0072325E" w:rsidRPr="00EF2958">
        <w:rPr>
          <w:rFonts w:ascii="Book Antiqua" w:hAnsi="Book Antiqua" w:cs="Arial"/>
        </w:rPr>
        <w:t>%</w:t>
      </w:r>
      <w:r w:rsidR="0072325E">
        <w:rPr>
          <w:rFonts w:ascii="Book Antiqua" w:hAnsi="Book Antiqua" w:cs="Arial"/>
        </w:rPr>
        <w:t xml:space="preserve"> en 201</w:t>
      </w:r>
      <w:r w:rsidR="003A65B8">
        <w:rPr>
          <w:rFonts w:ascii="Book Antiqua" w:hAnsi="Book Antiqua" w:cs="Arial"/>
        </w:rPr>
        <w:t>3</w:t>
      </w:r>
      <w:r w:rsidR="0072325E">
        <w:rPr>
          <w:rFonts w:ascii="Book Antiqua" w:hAnsi="Book Antiqua" w:cs="Arial"/>
        </w:rPr>
        <w:t xml:space="preserve">, pour se situer à </w:t>
      </w:r>
      <w:r w:rsidR="003A65B8">
        <w:rPr>
          <w:rFonts w:ascii="Book Antiqua" w:hAnsi="Book Antiqua" w:cs="Calibri"/>
          <w:color w:val="000000"/>
          <w:sz w:val="22"/>
          <w:szCs w:val="22"/>
        </w:rPr>
        <w:t>529</w:t>
      </w:r>
      <w:r w:rsidR="001D71CE">
        <w:rPr>
          <w:rFonts w:ascii="Book Antiqua" w:hAnsi="Book Antiqua" w:cs="Calibri"/>
          <w:color w:val="000000"/>
          <w:sz w:val="22"/>
          <w:szCs w:val="22"/>
        </w:rPr>
        <w:t>0</w:t>
      </w:r>
      <w:r w:rsidR="00C1522A">
        <w:rPr>
          <w:rFonts w:ascii="Book Antiqua" w:hAnsi="Book Antiqua" w:cs="Calibri"/>
          <w:color w:val="000000"/>
          <w:sz w:val="22"/>
          <w:szCs w:val="22"/>
        </w:rPr>
        <w:t>3</w:t>
      </w:r>
      <w:r w:rsidR="0072325E">
        <w:rPr>
          <w:rFonts w:ascii="Book Antiqua" w:hAnsi="Book Antiqua" w:cs="Calibri"/>
          <w:color w:val="000000"/>
          <w:sz w:val="22"/>
          <w:szCs w:val="22"/>
        </w:rPr>
        <w:t xml:space="preserve"> DH</w:t>
      </w:r>
      <w:r w:rsidR="0072325E">
        <w:rPr>
          <w:rFonts w:ascii="Book Antiqua" w:hAnsi="Book Antiqua" w:cs="Arial"/>
        </w:rPr>
        <w:t>.</w:t>
      </w:r>
    </w:p>
    <w:p w:rsidR="0072325E" w:rsidRDefault="00C85046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Q</w:t>
      </w:r>
      <w:r w:rsidR="003A65B8">
        <w:rPr>
          <w:rFonts w:ascii="Book Antiqua" w:hAnsi="Book Antiqua" w:cs="Arial"/>
        </w:rPr>
        <w:t>uatre</w:t>
      </w:r>
      <w:r w:rsidR="0072325E">
        <w:rPr>
          <w:rFonts w:ascii="Book Antiqua" w:hAnsi="Book Antiqua" w:cs="Arial"/>
        </w:rPr>
        <w:t xml:space="preserve"> autres régions présentent</w:t>
      </w:r>
      <w:r>
        <w:rPr>
          <w:rFonts w:ascii="Book Antiqua" w:hAnsi="Book Antiqua" w:cs="Arial"/>
        </w:rPr>
        <w:t>, également,</w:t>
      </w:r>
      <w:r w:rsidR="0072325E">
        <w:rPr>
          <w:rFonts w:ascii="Book Antiqua" w:hAnsi="Book Antiqua" w:cs="Arial"/>
        </w:rPr>
        <w:t xml:space="preserve"> un PIB par habitant supérieur à</w:t>
      </w:r>
      <w:r w:rsidR="0072325E" w:rsidRPr="00AC52D2">
        <w:rPr>
          <w:rFonts w:ascii="Book Antiqua" w:hAnsi="Book Antiqua" w:cs="Arial"/>
        </w:rPr>
        <w:t xml:space="preserve"> la moyenne nationale</w:t>
      </w:r>
      <w:r w:rsidR="0072325E">
        <w:rPr>
          <w:rFonts w:ascii="Book Antiqua" w:hAnsi="Book Antiqua" w:cs="Arial"/>
        </w:rPr>
        <w:t xml:space="preserve">. Il s’agit de la région </w:t>
      </w:r>
      <w:r w:rsidR="0072325E">
        <w:t xml:space="preserve">de </w:t>
      </w:r>
      <w:r w:rsidR="0072325E" w:rsidRPr="0045373E">
        <w:rPr>
          <w:rFonts w:ascii="Book Antiqua" w:hAnsi="Book Antiqua" w:cs="Arial"/>
        </w:rPr>
        <w:t>Rabat - Salé - Zemmour – Zaer</w:t>
      </w:r>
      <w:r w:rsidR="0072325E">
        <w:rPr>
          <w:rFonts w:ascii="Book Antiqua" w:hAnsi="Book Antiqua" w:cs="Arial"/>
        </w:rPr>
        <w:t xml:space="preserve"> avec 38 </w:t>
      </w:r>
      <w:r w:rsidR="003A65B8">
        <w:rPr>
          <w:rFonts w:ascii="Book Antiqua" w:hAnsi="Book Antiqua" w:cs="Arial"/>
        </w:rPr>
        <w:t>7</w:t>
      </w:r>
      <w:r w:rsidR="001D71CE">
        <w:rPr>
          <w:rFonts w:ascii="Book Antiqua" w:hAnsi="Book Antiqua" w:cs="Arial"/>
        </w:rPr>
        <w:t>7</w:t>
      </w:r>
      <w:r w:rsidR="00C1522A">
        <w:rPr>
          <w:rFonts w:ascii="Book Antiqua" w:hAnsi="Book Antiqua" w:cs="Arial"/>
        </w:rPr>
        <w:t>1</w:t>
      </w:r>
      <w:r w:rsidR="0072325E">
        <w:rPr>
          <w:rFonts w:ascii="Book Antiqua" w:hAnsi="Book Antiqua" w:cs="Arial"/>
        </w:rPr>
        <w:t xml:space="preserve"> DH </w:t>
      </w:r>
      <w:r w:rsidR="003A65B8" w:rsidRPr="0045373E">
        <w:rPr>
          <w:rFonts w:ascii="Book Antiqua" w:hAnsi="Book Antiqua" w:cs="Arial"/>
        </w:rPr>
        <w:t>Chaouia – Ouardigha</w:t>
      </w:r>
      <w:r w:rsidR="003A65B8">
        <w:rPr>
          <w:rFonts w:ascii="Book Antiqua" w:hAnsi="Book Antiqua" w:cs="Arial"/>
        </w:rPr>
        <w:t xml:space="preserve"> avec 354</w:t>
      </w:r>
      <w:r w:rsidR="001D71CE">
        <w:rPr>
          <w:rFonts w:ascii="Book Antiqua" w:hAnsi="Book Antiqua" w:cs="Arial"/>
        </w:rPr>
        <w:t>1</w:t>
      </w:r>
      <w:r w:rsidR="00C1522A">
        <w:rPr>
          <w:rFonts w:ascii="Book Antiqua" w:hAnsi="Book Antiqua" w:cs="Arial"/>
        </w:rPr>
        <w:t>5</w:t>
      </w:r>
      <w:r w:rsidR="003A65B8" w:rsidRPr="00AC52D2">
        <w:rPr>
          <w:rFonts w:ascii="Book Antiqua" w:hAnsi="Book Antiqua" w:cs="Arial"/>
        </w:rPr>
        <w:t xml:space="preserve"> DH</w:t>
      </w:r>
      <w:r w:rsidR="003A65B8">
        <w:rPr>
          <w:rFonts w:ascii="Book Antiqua" w:hAnsi="Book Antiqua" w:cs="Arial"/>
        </w:rPr>
        <w:t xml:space="preserve">, </w:t>
      </w:r>
      <w:r w:rsidR="0072325E">
        <w:rPr>
          <w:rFonts w:ascii="Book Antiqua" w:hAnsi="Book Antiqua" w:cs="Arial"/>
        </w:rPr>
        <w:t>des</w:t>
      </w:r>
      <w:r w:rsidR="0072325E" w:rsidRPr="00AC52D2">
        <w:rPr>
          <w:rFonts w:ascii="Book Antiqua" w:hAnsi="Book Antiqua" w:cs="Arial"/>
        </w:rPr>
        <w:t xml:space="preserve"> </w:t>
      </w:r>
      <w:r w:rsidR="0072325E">
        <w:rPr>
          <w:rFonts w:ascii="Book Antiqua" w:hAnsi="Book Antiqua" w:cs="Arial"/>
        </w:rPr>
        <w:t>trois</w:t>
      </w:r>
      <w:r w:rsidR="0072325E" w:rsidRPr="00AC52D2">
        <w:rPr>
          <w:rFonts w:ascii="Book Antiqua" w:hAnsi="Book Antiqua" w:cs="Arial"/>
        </w:rPr>
        <w:t xml:space="preserve"> régions du sud</w:t>
      </w:r>
      <w:r w:rsidR="0072325E">
        <w:rPr>
          <w:rFonts w:ascii="Book Antiqua" w:hAnsi="Book Antiqua" w:cs="Arial"/>
        </w:rPr>
        <w:t xml:space="preserve"> avec </w:t>
      </w:r>
      <w:r w:rsidR="003A65B8" w:rsidRPr="003A65B8">
        <w:rPr>
          <w:rFonts w:ascii="Book Antiqua" w:hAnsi="Book Antiqua" w:cs="Arial"/>
        </w:rPr>
        <w:t>338</w:t>
      </w:r>
      <w:r w:rsidR="001D71CE">
        <w:rPr>
          <w:rFonts w:ascii="Book Antiqua" w:hAnsi="Book Antiqua" w:cs="Arial"/>
        </w:rPr>
        <w:t>64</w:t>
      </w:r>
      <w:r w:rsidR="003A65B8" w:rsidRPr="003A65B8">
        <w:rPr>
          <w:rFonts w:ascii="Book Antiqua" w:hAnsi="Book Antiqua" w:cs="Arial"/>
        </w:rPr>
        <w:t xml:space="preserve"> </w:t>
      </w:r>
      <w:r w:rsidR="0072325E" w:rsidRPr="00AC52D2">
        <w:rPr>
          <w:rFonts w:ascii="Book Antiqua" w:hAnsi="Book Antiqua" w:cs="Arial"/>
        </w:rPr>
        <w:t>DH</w:t>
      </w:r>
      <w:r w:rsidR="003A65B8" w:rsidRPr="003A65B8">
        <w:t xml:space="preserve"> </w:t>
      </w:r>
      <w:r w:rsidR="003A65B8">
        <w:t xml:space="preserve">et de Doukkala-Abda avec </w:t>
      </w:r>
      <w:r w:rsidR="003A65B8" w:rsidRPr="003A65B8">
        <w:rPr>
          <w:rFonts w:ascii="Book Antiqua" w:hAnsi="Book Antiqua" w:cs="Arial"/>
        </w:rPr>
        <w:t>285</w:t>
      </w:r>
      <w:r w:rsidR="001D71CE">
        <w:rPr>
          <w:rFonts w:ascii="Book Antiqua" w:hAnsi="Book Antiqua" w:cs="Arial"/>
        </w:rPr>
        <w:t>21</w:t>
      </w:r>
      <w:r w:rsidR="003A65B8">
        <w:rPr>
          <w:rFonts w:ascii="Book Antiqua" w:hAnsi="Book Antiqua" w:cs="Arial"/>
        </w:rPr>
        <w:t xml:space="preserve"> DH</w:t>
      </w:r>
      <w:r w:rsidR="0072325E" w:rsidRPr="00AC52D2">
        <w:rPr>
          <w:rFonts w:ascii="Book Antiqua" w:hAnsi="Book Antiqua" w:cs="Arial"/>
        </w:rPr>
        <w:t xml:space="preserve">.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lastRenderedPageBreak/>
        <w:t xml:space="preserve">Pour les régions restantes, </w:t>
      </w:r>
      <w:r w:rsidR="00447933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 xml:space="preserve">e PIB par habitant s’est situé entre </w:t>
      </w:r>
      <w:r w:rsidR="003A65B8" w:rsidRPr="003A65B8">
        <w:rPr>
          <w:rFonts w:ascii="Book Antiqua" w:hAnsi="Book Antiqua" w:cs="Arial"/>
        </w:rPr>
        <w:t>129</w:t>
      </w:r>
      <w:r w:rsidR="001D71CE">
        <w:rPr>
          <w:rFonts w:ascii="Book Antiqua" w:hAnsi="Book Antiqua" w:cs="Arial"/>
        </w:rPr>
        <w:t>66</w:t>
      </w:r>
      <w:r w:rsidR="003A65B8"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</w:t>
      </w:r>
      <w:r w:rsidR="00447933">
        <w:rPr>
          <w:rFonts w:ascii="Book Antiqua" w:hAnsi="Book Antiqua" w:cs="Arial"/>
        </w:rPr>
        <w:t>enregistré</w:t>
      </w:r>
      <w:r>
        <w:rPr>
          <w:rFonts w:ascii="Book Antiqua" w:hAnsi="Book Antiqua" w:cs="Arial"/>
        </w:rPr>
        <w:t xml:space="preserve"> dans la région de </w:t>
      </w:r>
      <w:r w:rsidRPr="00AC52D2">
        <w:rPr>
          <w:rFonts w:ascii="Book Antiqua" w:hAnsi="Book Antiqua" w:cs="Arial"/>
        </w:rPr>
        <w:t>Taza-Al Hoceïma–Taounate</w:t>
      </w:r>
      <w:r>
        <w:rPr>
          <w:rFonts w:ascii="Book Antiqua" w:hAnsi="Book Antiqua" w:cs="Arial"/>
        </w:rPr>
        <w:t xml:space="preserve"> et </w:t>
      </w:r>
      <w:r w:rsidR="003A65B8">
        <w:rPr>
          <w:rFonts w:ascii="Book Antiqua" w:hAnsi="Book Antiqua" w:cs="Arial"/>
        </w:rPr>
        <w:t>24</w:t>
      </w:r>
      <w:r w:rsidR="001D71CE">
        <w:rPr>
          <w:rFonts w:ascii="Book Antiqua" w:hAnsi="Book Antiqua" w:cs="Arial"/>
        </w:rPr>
        <w:t>905</w:t>
      </w:r>
      <w:r w:rsidR="003A65B8"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</w:t>
      </w:r>
      <w:r w:rsidR="00DF4CAA" w:rsidRPr="004D1885">
        <w:rPr>
          <w:rFonts w:ascii="Book Antiqua" w:hAnsi="Book Antiqua" w:cs="Arial"/>
        </w:rPr>
        <w:t>Tanger-Tétouan</w:t>
      </w:r>
      <w:r w:rsidRPr="00AC52D2">
        <w:rPr>
          <w:rFonts w:ascii="Book Antiqua" w:hAnsi="Book Antiqua" w:cs="Arial"/>
        </w:rPr>
        <w:t xml:space="preserve">. </w:t>
      </w:r>
    </w:p>
    <w:p w:rsidR="0072325E" w:rsidRPr="00721E76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Toutefois, la dispersion du PIB par habitant est en diminution.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a baissé, passant de </w:t>
      </w:r>
      <w:r w:rsidR="00A47D7C">
        <w:rPr>
          <w:rFonts w:ascii="Book Antiqua" w:hAnsi="Book Antiqua" w:cs="Arial"/>
        </w:rPr>
        <w:t>9</w:t>
      </w:r>
      <w:r w:rsidR="001D71CE">
        <w:rPr>
          <w:rFonts w:ascii="Book Antiqua" w:hAnsi="Book Antiqua" w:cs="Arial"/>
        </w:rPr>
        <w:t>247</w:t>
      </w:r>
      <w:r w:rsidRPr="00AC52D2">
        <w:rPr>
          <w:rFonts w:ascii="Book Antiqua" w:hAnsi="Book Antiqua" w:cs="Arial"/>
        </w:rPr>
        <w:t>DH en 201</w:t>
      </w:r>
      <w:r w:rsidR="00A47D7C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à 8</w:t>
      </w:r>
      <w:r w:rsidR="00A47D7C">
        <w:rPr>
          <w:rFonts w:ascii="Book Antiqua" w:hAnsi="Book Antiqua" w:cs="Arial"/>
        </w:rPr>
        <w:t>7</w:t>
      </w:r>
      <w:r w:rsidR="00A9569E">
        <w:rPr>
          <w:rFonts w:ascii="Book Antiqua" w:hAnsi="Book Antiqua" w:cs="Arial"/>
        </w:rPr>
        <w:t>62</w:t>
      </w:r>
      <w:r w:rsidRPr="00AC52D2">
        <w:rPr>
          <w:rFonts w:ascii="Book Antiqua" w:hAnsi="Book Antiqua" w:cs="Arial"/>
        </w:rPr>
        <w:t xml:space="preserve"> DH en 201</w:t>
      </w:r>
      <w:r w:rsidR="00A47D7C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.</w:t>
      </w:r>
    </w:p>
    <w:p w:rsidR="001D71CE" w:rsidRDefault="001D71C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</w:p>
    <w:p w:rsidR="0072325E" w:rsidRPr="006745A6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color w:val="943634"/>
          <w:sz w:val="30"/>
          <w:szCs w:val="30"/>
        </w:rPr>
      </w:pPr>
      <w:r>
        <w:rPr>
          <w:rFonts w:ascii="Book Antiqua" w:hAnsi="Book Antiqua" w:cs="Arial"/>
          <w:b/>
          <w:bCs/>
          <w:color w:val="943634"/>
          <w:sz w:val="30"/>
          <w:szCs w:val="30"/>
        </w:rPr>
        <w:t>B-D</w:t>
      </w:r>
      <w:r w:rsidRPr="006745A6">
        <w:rPr>
          <w:rFonts w:ascii="Book Antiqua" w:hAnsi="Book Antiqua" w:cs="Arial"/>
          <w:b/>
          <w:bCs/>
          <w:color w:val="943634"/>
          <w:sz w:val="30"/>
          <w:szCs w:val="30"/>
        </w:rPr>
        <w:t xml:space="preserve">épenses de consommation des ménages </w:t>
      </w:r>
    </w:p>
    <w:p w:rsidR="0072325E" w:rsidRPr="00D90F1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Structure des dépenses de consommation selon les régions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contribution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des différentes régions aux dépenses de consommation finale des ménages (DCFM) </w:t>
      </w:r>
      <w:r>
        <w:rPr>
          <w:rFonts w:ascii="Book Antiqua" w:hAnsi="Book Antiqua" w:cs="Arial"/>
        </w:rPr>
        <w:t xml:space="preserve">présentent une structure similaire à celle de leurs </w:t>
      </w:r>
      <w:r w:rsidRPr="00AC52D2">
        <w:rPr>
          <w:rFonts w:ascii="Book Antiqua" w:hAnsi="Book Antiqua" w:cs="Arial"/>
        </w:rPr>
        <w:t>participation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à la création de la richesse nationale</w:t>
      </w:r>
      <w:r>
        <w:rPr>
          <w:rFonts w:ascii="Book Antiqua" w:hAnsi="Book Antiqua" w:cs="Arial"/>
        </w:rPr>
        <w:t xml:space="preserve">. </w:t>
      </w:r>
    </w:p>
    <w:p w:rsidR="0072325E" w:rsidRDefault="0072325E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En effet,</w:t>
      </w:r>
      <w:r w:rsidRPr="00AC52D2">
        <w:rPr>
          <w:rFonts w:ascii="Book Antiqua" w:hAnsi="Book Antiqua" w:cs="Arial"/>
        </w:rPr>
        <w:t xml:space="preserve"> les  </w:t>
      </w:r>
      <w:r w:rsidR="00943E48">
        <w:rPr>
          <w:rFonts w:ascii="Book Antiqua" w:hAnsi="Book Antiqua" w:cs="Arial"/>
        </w:rPr>
        <w:t>quatre</w:t>
      </w:r>
      <w:r w:rsidRPr="00AC52D2">
        <w:rPr>
          <w:rFonts w:ascii="Book Antiqua" w:hAnsi="Book Antiqua" w:cs="Arial"/>
        </w:rPr>
        <w:t xml:space="preserve"> régions</w:t>
      </w:r>
      <w:r w:rsidR="00431B35">
        <w:rPr>
          <w:rFonts w:ascii="Book Antiqua" w:hAnsi="Book Antiqua" w:cs="Arial"/>
        </w:rPr>
        <w:t>,</w:t>
      </w:r>
      <w:r w:rsidRPr="00AC52D2">
        <w:rPr>
          <w:rFonts w:ascii="Book Antiqua" w:hAnsi="Book Antiqua" w:cs="Arial"/>
        </w:rPr>
        <w:t xml:space="preserve"> qui </w:t>
      </w:r>
      <w:r w:rsidR="00431B35">
        <w:rPr>
          <w:rFonts w:ascii="Book Antiqua" w:hAnsi="Book Antiqua" w:cs="Arial"/>
        </w:rPr>
        <w:t xml:space="preserve">ont </w:t>
      </w:r>
      <w:r w:rsidRPr="00AC52D2">
        <w:rPr>
          <w:rFonts w:ascii="Book Antiqua" w:hAnsi="Book Antiqua" w:cs="Arial"/>
        </w:rPr>
        <w:t>cré</w:t>
      </w:r>
      <w:r w:rsidR="00431B35">
        <w:rPr>
          <w:rFonts w:ascii="Book Antiqua" w:hAnsi="Book Antiqua" w:cs="Arial"/>
        </w:rPr>
        <w:t>é</w:t>
      </w:r>
      <w:r w:rsidRPr="00AC52D2">
        <w:rPr>
          <w:rFonts w:ascii="Book Antiqua" w:hAnsi="Book Antiqua" w:cs="Arial"/>
        </w:rPr>
        <w:t xml:space="preserve">  </w:t>
      </w:r>
      <w:r>
        <w:rPr>
          <w:rFonts w:ascii="Book Antiqua" w:hAnsi="Book Antiqua" w:cs="Arial"/>
        </w:rPr>
        <w:t>5</w:t>
      </w:r>
      <w:r w:rsidR="00943E48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,</w:t>
      </w:r>
      <w:r w:rsidR="00943E48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 xml:space="preserve">% du PIB </w:t>
      </w:r>
      <w:r w:rsidR="00431B35">
        <w:rPr>
          <w:rFonts w:ascii="Book Antiqua" w:hAnsi="Book Antiqua" w:cs="Arial"/>
        </w:rPr>
        <w:t xml:space="preserve">en 2013, ont </w:t>
      </w:r>
      <w:r w:rsidRPr="00AC52D2">
        <w:rPr>
          <w:rFonts w:ascii="Book Antiqua" w:hAnsi="Book Antiqua" w:cs="Arial"/>
        </w:rPr>
        <w:t>particip</w:t>
      </w:r>
      <w:r w:rsidR="00431B35">
        <w:rPr>
          <w:rFonts w:ascii="Book Antiqua" w:hAnsi="Book Antiqua" w:cs="Arial"/>
        </w:rPr>
        <w:t>é</w:t>
      </w:r>
      <w:r w:rsidRPr="00AC52D2">
        <w:rPr>
          <w:rFonts w:ascii="Book Antiqua" w:hAnsi="Book Antiqua" w:cs="Arial"/>
        </w:rPr>
        <w:t xml:space="preserve"> pour </w:t>
      </w:r>
      <w:r w:rsidR="00943E48">
        <w:rPr>
          <w:rFonts w:ascii="Book Antiqua" w:hAnsi="Book Antiqua" w:cs="Arial"/>
        </w:rPr>
        <w:t>47</w:t>
      </w:r>
      <w:r>
        <w:rPr>
          <w:rFonts w:ascii="Book Antiqua" w:hAnsi="Book Antiqua" w:cs="Arial"/>
        </w:rPr>
        <w:t>,</w:t>
      </w:r>
      <w:r w:rsidR="00943E48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aux </w:t>
      </w:r>
      <w:r w:rsidRPr="00AC52D2">
        <w:rPr>
          <w:rFonts w:ascii="Book Antiqua" w:hAnsi="Book Antiqua" w:cs="Arial"/>
        </w:rPr>
        <w:t>DCFM.</w:t>
      </w:r>
      <w:r>
        <w:rPr>
          <w:rFonts w:ascii="Book Antiqua" w:hAnsi="Book Antiqua" w:cs="Arial"/>
        </w:rPr>
        <w:t xml:space="preserve"> Il s’agit du </w:t>
      </w:r>
      <w:r w:rsidRPr="00AC52D2">
        <w:rPr>
          <w:rFonts w:ascii="Book Antiqua" w:hAnsi="Book Antiqua" w:cs="Arial"/>
        </w:rPr>
        <w:t xml:space="preserve">Grand Casablanca </w:t>
      </w:r>
      <w:r>
        <w:rPr>
          <w:rFonts w:ascii="Book Antiqua" w:hAnsi="Book Antiqua" w:cs="Arial"/>
        </w:rPr>
        <w:t>(</w:t>
      </w:r>
      <w:r w:rsidR="00943E48">
        <w:rPr>
          <w:rFonts w:ascii="Book Antiqua" w:hAnsi="Book Antiqua" w:cs="Arial"/>
        </w:rPr>
        <w:t>17</w:t>
      </w:r>
      <w:r w:rsidRPr="00AC52D2">
        <w:rPr>
          <w:rFonts w:ascii="Book Antiqua" w:hAnsi="Book Antiqua" w:cs="Arial"/>
        </w:rPr>
        <w:t>,</w:t>
      </w:r>
      <w:r w:rsidR="00943E48">
        <w:rPr>
          <w:rFonts w:ascii="Book Antiqua" w:hAnsi="Book Antiqua" w:cs="Arial"/>
        </w:rPr>
        <w:t>0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AC52D2">
        <w:rPr>
          <w:rFonts w:ascii="Book Antiqua" w:hAnsi="Book Antiqua" w:cs="Arial"/>
        </w:rPr>
        <w:t>suivi de Tanger-Tétouan</w:t>
      </w:r>
      <w:r>
        <w:rPr>
          <w:rFonts w:ascii="Book Antiqua" w:hAnsi="Book Antiqua" w:cs="Arial"/>
        </w:rPr>
        <w:t xml:space="preserve"> (</w:t>
      </w:r>
      <w:r w:rsidRPr="00AC52D2">
        <w:rPr>
          <w:rFonts w:ascii="Book Antiqua" w:hAnsi="Book Antiqua" w:cs="Arial"/>
        </w:rPr>
        <w:t>11,</w:t>
      </w:r>
      <w:r w:rsidR="00943E48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), </w:t>
      </w:r>
      <w:r w:rsidRPr="00AC52D2">
        <w:rPr>
          <w:rFonts w:ascii="Book Antiqua" w:hAnsi="Book Antiqua" w:cs="Arial"/>
        </w:rPr>
        <w:t xml:space="preserve">de </w:t>
      </w:r>
      <w:r w:rsidR="00943E48" w:rsidRPr="00D90F1E">
        <w:rPr>
          <w:rFonts w:ascii="Book Antiqua" w:hAnsi="Book Antiqua" w:cs="Arial"/>
        </w:rPr>
        <w:t>Souss-Massa-Draâ</w:t>
      </w:r>
      <w:r w:rsidR="00943E48">
        <w:rPr>
          <w:rFonts w:ascii="Book Antiqua" w:hAnsi="Book Antiqua" w:cs="Arial"/>
        </w:rPr>
        <w:t xml:space="preserve"> (</w:t>
      </w:r>
      <w:r w:rsidR="006003E6">
        <w:rPr>
          <w:rFonts w:ascii="Book Antiqua" w:hAnsi="Book Antiqua" w:cs="Arial"/>
        </w:rPr>
        <w:t>10,3</w:t>
      </w:r>
      <w:r w:rsidR="00943E48">
        <w:rPr>
          <w:rFonts w:ascii="Book Antiqua" w:hAnsi="Book Antiqua" w:cs="Arial"/>
        </w:rPr>
        <w:t xml:space="preserve">%) et de </w:t>
      </w:r>
      <w:r w:rsidRPr="00AC52D2">
        <w:rPr>
          <w:rFonts w:ascii="Book Antiqua" w:hAnsi="Book Antiqua" w:cs="Arial"/>
        </w:rPr>
        <w:t>Rabat-Salé-Zemmour–Zaer</w:t>
      </w:r>
      <w:r>
        <w:rPr>
          <w:rFonts w:ascii="Book Antiqua" w:hAnsi="Book Antiqua" w:cs="Arial"/>
        </w:rPr>
        <w:t xml:space="preserve">  (</w:t>
      </w:r>
      <w:r w:rsidR="00943E48">
        <w:rPr>
          <w:rFonts w:ascii="Book Antiqua" w:hAnsi="Book Antiqua" w:cs="Arial"/>
        </w:rPr>
        <w:t>8,7%).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autres régions ont des contributions comprises entre 3,</w:t>
      </w:r>
      <w:r w:rsidR="006F06B2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% pour la région de Tadla-Azilal et </w:t>
      </w:r>
      <w:r w:rsidR="006F06B2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,</w:t>
      </w:r>
      <w:r w:rsidR="006F06B2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% pour la région de </w:t>
      </w:r>
      <w:r w:rsidR="006F06B2" w:rsidRPr="009D1864">
        <w:rPr>
          <w:rFonts w:ascii="Book Antiqua" w:hAnsi="Book Antiqua" w:cs="Arial"/>
        </w:rPr>
        <w:t>Marrakech-Tensift-Al Haouz</w:t>
      </w:r>
      <w:r>
        <w:rPr>
          <w:rFonts w:ascii="Book Antiqua" w:hAnsi="Book Antiqua" w:cs="Arial"/>
        </w:rPr>
        <w:t>.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Globalement, </w:t>
      </w:r>
      <w:r w:rsidR="00C85046">
        <w:rPr>
          <w:rFonts w:ascii="Book Antiqua" w:hAnsi="Book Antiqua" w:cs="Arial"/>
        </w:rPr>
        <w:t>l</w:t>
      </w:r>
      <w:r>
        <w:rPr>
          <w:rFonts w:ascii="Book Antiqua" w:hAnsi="Book Antiqua" w:cs="Arial"/>
        </w:rPr>
        <w:t xml:space="preserve">es dépenses </w:t>
      </w:r>
      <w:r w:rsidR="00C85046">
        <w:rPr>
          <w:rFonts w:ascii="Book Antiqua" w:hAnsi="Book Antiqua" w:cs="Arial"/>
        </w:rPr>
        <w:t xml:space="preserve">de consommation </w:t>
      </w:r>
      <w:r>
        <w:rPr>
          <w:rFonts w:ascii="Book Antiqua" w:hAnsi="Book Antiqua" w:cs="Arial"/>
        </w:rPr>
        <w:t>sont de plus en plus inégalitaires. L</w:t>
      </w:r>
      <w:r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>
        <w:rPr>
          <w:rFonts w:ascii="Book Antiqua" w:hAnsi="Book Antiqua" w:cs="Arial"/>
        </w:rPr>
        <w:t>a atteint</w:t>
      </w:r>
      <w:r w:rsidRPr="00AC52D2">
        <w:rPr>
          <w:rFonts w:ascii="Book Antiqua" w:hAnsi="Book Antiqua" w:cs="Arial"/>
        </w:rPr>
        <w:t xml:space="preserve"> </w:t>
      </w:r>
      <w:r w:rsidR="000B1BF3">
        <w:rPr>
          <w:rFonts w:ascii="Book Antiqua" w:hAnsi="Book Antiqua" w:cs="Arial"/>
        </w:rPr>
        <w:t>15,7</w:t>
      </w:r>
      <w:r w:rsidRPr="00AC52D2">
        <w:rPr>
          <w:rFonts w:ascii="Book Antiqua" w:hAnsi="Book Antiqua" w:cs="Arial"/>
        </w:rPr>
        <w:t xml:space="preserve"> milliards de DH en 201</w:t>
      </w:r>
      <w:r w:rsidR="000B1BF3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 xml:space="preserve"> au lieu de </w:t>
      </w:r>
      <w:r w:rsidRPr="00AC52D2">
        <w:rPr>
          <w:rFonts w:ascii="Book Antiqua" w:hAnsi="Book Antiqua" w:cs="Arial"/>
        </w:rPr>
        <w:t>14</w:t>
      </w:r>
      <w:r w:rsidR="000B1BF3">
        <w:rPr>
          <w:rFonts w:ascii="Book Antiqua" w:hAnsi="Book Antiqua" w:cs="Arial"/>
        </w:rPr>
        <w:t>,8</w:t>
      </w:r>
      <w:r w:rsidRPr="00AC52D2">
        <w:rPr>
          <w:rFonts w:ascii="Book Antiqua" w:hAnsi="Book Antiqua" w:cs="Arial"/>
        </w:rPr>
        <w:t xml:space="preserve"> milliards de DH</w:t>
      </w:r>
      <w:r>
        <w:rPr>
          <w:rFonts w:ascii="Book Antiqua" w:hAnsi="Book Antiqua" w:cs="Arial"/>
        </w:rPr>
        <w:t xml:space="preserve"> en 201</w:t>
      </w:r>
      <w:r w:rsidR="000B1BF3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. </w:t>
      </w:r>
    </w:p>
    <w:p w:rsidR="0072325E" w:rsidRPr="0086300D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ind w:firstLine="720"/>
        <w:jc w:val="both"/>
        <w:rPr>
          <w:rFonts w:ascii="Book Antiqua" w:hAnsi="Book Antiqua" w:cs="Arial"/>
          <w:b/>
          <w:bCs/>
          <w:i/>
          <w:iCs/>
          <w:color w:val="943634"/>
        </w:rPr>
      </w:pP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Dépenses de consommation </w:t>
      </w:r>
      <w:r>
        <w:rPr>
          <w:rFonts w:ascii="Book Antiqua" w:hAnsi="Book Antiqua" w:cs="Arial"/>
          <w:b/>
          <w:bCs/>
          <w:i/>
          <w:iCs/>
          <w:color w:val="943634"/>
        </w:rPr>
        <w:t xml:space="preserve">finale </w:t>
      </w:r>
      <w:r w:rsidRPr="0086300D">
        <w:rPr>
          <w:rFonts w:ascii="Book Antiqua" w:hAnsi="Book Antiqua" w:cs="Arial"/>
          <w:b/>
          <w:bCs/>
          <w:i/>
          <w:iCs/>
          <w:color w:val="943634"/>
        </w:rPr>
        <w:t xml:space="preserve"> par habitant</w:t>
      </w:r>
    </w:p>
    <w:p w:rsidR="0072325E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Pr="00AC52D2">
        <w:rPr>
          <w:rFonts w:ascii="Book Antiqua" w:hAnsi="Book Antiqua" w:cs="Arial"/>
        </w:rPr>
        <w:t xml:space="preserve">es dépenses de consommation finale des ménages </w:t>
      </w:r>
      <w:r>
        <w:rPr>
          <w:rFonts w:ascii="Book Antiqua" w:hAnsi="Book Antiqua" w:cs="Arial"/>
        </w:rPr>
        <w:t>p</w:t>
      </w:r>
      <w:r w:rsidRPr="00AC52D2">
        <w:rPr>
          <w:rFonts w:ascii="Book Antiqua" w:hAnsi="Book Antiqua" w:cs="Arial"/>
        </w:rPr>
        <w:t>ar habitant présentent</w:t>
      </w:r>
      <w:r w:rsidR="00B014C6">
        <w:rPr>
          <w:rFonts w:ascii="Book Antiqua" w:hAnsi="Book Antiqua" w:cs="Arial"/>
        </w:rPr>
        <w:t>, de leur côté,</w:t>
      </w:r>
      <w:r w:rsidRPr="00AC52D2">
        <w:rPr>
          <w:rFonts w:ascii="Book Antiqua" w:hAnsi="Book Antiqua" w:cs="Arial"/>
        </w:rPr>
        <w:t xml:space="preserve"> d’importantes inégalités entre </w:t>
      </w:r>
      <w:r>
        <w:rPr>
          <w:rFonts w:ascii="Book Antiqua" w:hAnsi="Book Antiqua" w:cs="Arial"/>
        </w:rPr>
        <w:t xml:space="preserve">les </w:t>
      </w:r>
      <w:r w:rsidRPr="00AC52D2">
        <w:rPr>
          <w:rFonts w:ascii="Book Antiqua" w:hAnsi="Book Antiqua" w:cs="Arial"/>
        </w:rPr>
        <w:t>régions</w:t>
      </w:r>
      <w:r>
        <w:rPr>
          <w:rFonts w:ascii="Book Antiqua" w:hAnsi="Book Antiqua" w:cs="Arial"/>
        </w:rPr>
        <w:t xml:space="preserve">. </w:t>
      </w:r>
      <w:r w:rsidR="00DE6684">
        <w:rPr>
          <w:rFonts w:ascii="Book Antiqua" w:hAnsi="Book Antiqua" w:cs="Arial"/>
        </w:rPr>
        <w:t>Cinq</w:t>
      </w:r>
      <w:r>
        <w:rPr>
          <w:rFonts w:ascii="Book Antiqua" w:hAnsi="Book Antiqua" w:cs="Arial"/>
        </w:rPr>
        <w:t xml:space="preserve"> régions affichent des niveaux de dépenses par tête supérieurs à la moyenne nationale (</w:t>
      </w:r>
      <w:r w:rsidR="00DE6684">
        <w:rPr>
          <w:rFonts w:ascii="Book Antiqua" w:hAnsi="Book Antiqua" w:cs="Arial"/>
        </w:rPr>
        <w:t>1626</w:t>
      </w:r>
      <w:r w:rsidR="00770FAC">
        <w:rPr>
          <w:rFonts w:ascii="Book Antiqua" w:hAnsi="Book Antiqua" w:cs="Arial"/>
        </w:rPr>
        <w:t>3</w:t>
      </w:r>
      <w:r w:rsidRPr="00AC52D2">
        <w:rPr>
          <w:rFonts w:ascii="Book Antiqua" w:hAnsi="Book Antiqua" w:cs="Arial"/>
        </w:rPr>
        <w:t xml:space="preserve"> DH </w:t>
      </w:r>
      <w:r>
        <w:rPr>
          <w:rFonts w:ascii="Book Antiqua" w:hAnsi="Book Antiqua" w:cs="Arial"/>
        </w:rPr>
        <w:t>en 201</w:t>
      </w:r>
      <w:r w:rsidR="00DE6684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). Il s’agit  d</w:t>
      </w:r>
      <w:r w:rsidR="00DE6684">
        <w:rPr>
          <w:rFonts w:ascii="Book Antiqua" w:hAnsi="Book Antiqua" w:cs="Arial"/>
        </w:rPr>
        <w:t xml:space="preserve">es régions </w:t>
      </w:r>
      <w:r w:rsidRPr="00AC52D2">
        <w:rPr>
          <w:rFonts w:ascii="Book Antiqua" w:hAnsi="Book Antiqua" w:cs="Arial"/>
        </w:rPr>
        <w:t xml:space="preserve"> </w:t>
      </w:r>
      <w:r w:rsidR="00DE6684" w:rsidRPr="00AC52D2">
        <w:rPr>
          <w:rFonts w:ascii="Book Antiqua" w:hAnsi="Book Antiqua" w:cs="Arial"/>
        </w:rPr>
        <w:t>du Grand Casablanca</w:t>
      </w:r>
      <w:r w:rsidR="00DE6684">
        <w:rPr>
          <w:rFonts w:ascii="Book Antiqua" w:hAnsi="Book Antiqua" w:cs="Arial"/>
        </w:rPr>
        <w:t xml:space="preserve"> (</w:t>
      </w:r>
      <w:r w:rsidR="00DE6684" w:rsidRPr="00DE6684">
        <w:rPr>
          <w:rFonts w:ascii="Book Antiqua" w:hAnsi="Book Antiqua" w:cs="Arial"/>
        </w:rPr>
        <w:t>22769</w:t>
      </w:r>
      <w:r w:rsidR="00DE6684" w:rsidRPr="00AC52D2">
        <w:rPr>
          <w:rFonts w:ascii="Book Antiqua" w:hAnsi="Book Antiqua" w:cs="Arial"/>
        </w:rPr>
        <w:t>DH</w:t>
      </w:r>
      <w:r w:rsidR="00DE6684">
        <w:rPr>
          <w:rFonts w:ascii="Book Antiqua" w:hAnsi="Book Antiqua" w:cs="Arial"/>
        </w:rPr>
        <w:t>), de l’oriental (</w:t>
      </w:r>
      <w:r w:rsidR="00DE6684" w:rsidRPr="00DE6684">
        <w:rPr>
          <w:rFonts w:ascii="Book Antiqua" w:hAnsi="Book Antiqua" w:cs="Arial"/>
        </w:rPr>
        <w:t>1962</w:t>
      </w:r>
      <w:r w:rsidR="00DE6684">
        <w:rPr>
          <w:rFonts w:ascii="Book Antiqua" w:hAnsi="Book Antiqua" w:cs="Arial"/>
        </w:rPr>
        <w:t xml:space="preserve">8 DH), </w:t>
      </w:r>
      <w:r w:rsidR="00F04FD1" w:rsidRPr="00AC52D2">
        <w:rPr>
          <w:rFonts w:ascii="Book Antiqua" w:hAnsi="Book Antiqua" w:cs="Arial"/>
        </w:rPr>
        <w:t>de Tanger–Tétouan</w:t>
      </w:r>
      <w:r w:rsidR="00F04FD1">
        <w:rPr>
          <w:rFonts w:ascii="Book Antiqua" w:hAnsi="Book Antiqua" w:cs="Arial"/>
        </w:rPr>
        <w:t xml:space="preserve"> (</w:t>
      </w:r>
      <w:r w:rsidR="00F04FD1" w:rsidRPr="00F04FD1">
        <w:rPr>
          <w:rFonts w:ascii="Book Antiqua" w:hAnsi="Book Antiqua" w:cs="Arial"/>
        </w:rPr>
        <w:t>1955</w:t>
      </w:r>
      <w:r w:rsidR="00F04FD1">
        <w:rPr>
          <w:rFonts w:ascii="Book Antiqua" w:hAnsi="Book Antiqua" w:cs="Arial"/>
        </w:rPr>
        <w:t>3</w:t>
      </w:r>
      <w:r w:rsidR="00F04FD1" w:rsidRPr="00AC52D2">
        <w:rPr>
          <w:rFonts w:ascii="Book Antiqua" w:hAnsi="Book Antiqua" w:cs="Arial"/>
        </w:rPr>
        <w:t>DH</w:t>
      </w:r>
      <w:r w:rsidR="00F04FD1">
        <w:rPr>
          <w:rFonts w:ascii="Book Antiqua" w:hAnsi="Book Antiqua" w:cs="Arial"/>
        </w:rPr>
        <w:t xml:space="preserve">), </w:t>
      </w:r>
      <w:r w:rsidR="00F04FD1" w:rsidRPr="00AC52D2">
        <w:rPr>
          <w:rFonts w:ascii="Book Antiqua" w:hAnsi="Book Antiqua" w:cs="Arial"/>
        </w:rPr>
        <w:t>des régions du sud</w:t>
      </w:r>
      <w:r w:rsidR="00F04FD1">
        <w:rPr>
          <w:rFonts w:ascii="Book Antiqua" w:hAnsi="Book Antiqua" w:cs="Arial"/>
        </w:rPr>
        <w:t xml:space="preserve"> (</w:t>
      </w:r>
      <w:r w:rsidR="00F04FD1" w:rsidRPr="00F04FD1">
        <w:rPr>
          <w:rFonts w:ascii="Book Antiqua" w:hAnsi="Book Antiqua" w:cs="Arial"/>
        </w:rPr>
        <w:t>18382</w:t>
      </w:r>
      <w:r w:rsidR="00F04FD1" w:rsidRPr="00AC52D2">
        <w:rPr>
          <w:rFonts w:ascii="Book Antiqua" w:hAnsi="Book Antiqua" w:cs="Arial"/>
        </w:rPr>
        <w:t>DH</w:t>
      </w:r>
      <w:r w:rsidR="00F04FD1">
        <w:rPr>
          <w:rFonts w:ascii="Book Antiqua" w:hAnsi="Book Antiqua" w:cs="Arial"/>
        </w:rPr>
        <w:t>) et</w:t>
      </w:r>
      <w:r w:rsidR="00F04FD1" w:rsidRPr="00AC52D2">
        <w:rPr>
          <w:rFonts w:ascii="Book Antiqua" w:hAnsi="Book Antiqua" w:cs="Arial"/>
        </w:rPr>
        <w:t xml:space="preserve"> </w:t>
      </w:r>
      <w:r w:rsidR="00DE6684"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Rabat-Salé-Zemmour–Zaer</w:t>
      </w:r>
      <w:r>
        <w:rPr>
          <w:rFonts w:ascii="Book Antiqua" w:hAnsi="Book Antiqua" w:cs="Arial"/>
        </w:rPr>
        <w:t xml:space="preserve"> (</w:t>
      </w:r>
      <w:r w:rsidR="00F04FD1" w:rsidRPr="00F04FD1">
        <w:rPr>
          <w:rFonts w:ascii="Book Antiqua" w:hAnsi="Book Antiqua" w:cs="Arial"/>
        </w:rPr>
        <w:t>1737</w:t>
      </w:r>
      <w:r w:rsidR="00F818CD">
        <w:rPr>
          <w:rFonts w:ascii="Book Antiqua" w:hAnsi="Book Antiqua" w:cs="Arial"/>
        </w:rPr>
        <w:t>7</w:t>
      </w:r>
      <w:r w:rsidR="00F04FD1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 w:rsidR="00F04FD1">
        <w:rPr>
          <w:rFonts w:ascii="Book Antiqua" w:hAnsi="Book Antiqua" w:cs="Arial"/>
        </w:rPr>
        <w:t xml:space="preserve">). </w:t>
      </w:r>
      <w:r>
        <w:rPr>
          <w:rFonts w:ascii="Book Antiqua" w:hAnsi="Book Antiqua" w:cs="Arial"/>
        </w:rPr>
        <w:t xml:space="preserve"> </w:t>
      </w:r>
    </w:p>
    <w:p w:rsidR="0072325E" w:rsidRPr="00AC52D2" w:rsidRDefault="0072325E" w:rsidP="008B5472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Concernant les autres régions, ces dépenses de consommation passent d’un minimum de </w:t>
      </w:r>
      <w:r w:rsidRPr="00AC52D2">
        <w:rPr>
          <w:rFonts w:ascii="Book Antiqua" w:hAnsi="Book Antiqua" w:cs="Arial"/>
        </w:rPr>
        <w:t xml:space="preserve"> </w:t>
      </w:r>
      <w:r w:rsidR="00F04FD1" w:rsidRPr="00F04FD1">
        <w:rPr>
          <w:rFonts w:ascii="Book Antiqua" w:hAnsi="Book Antiqua" w:cs="Arial"/>
        </w:rPr>
        <w:t>1106</w:t>
      </w:r>
      <w:r w:rsidR="00F04FD1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 xml:space="preserve">DH </w:t>
      </w:r>
      <w:r w:rsidR="00F04FD1">
        <w:rPr>
          <w:rFonts w:ascii="Book Antiqua" w:hAnsi="Book Antiqua" w:cs="Arial"/>
        </w:rPr>
        <w:t>(Tadla-Azilal)</w:t>
      </w:r>
      <w:r w:rsidRPr="00AC52D2">
        <w:rPr>
          <w:rFonts w:ascii="Book Antiqua" w:hAnsi="Book Antiqua" w:cs="Arial"/>
        </w:rPr>
        <w:t xml:space="preserve"> à </w:t>
      </w:r>
      <w:r w:rsidR="00F04FD1" w:rsidRPr="00F04FD1">
        <w:rPr>
          <w:rFonts w:ascii="Book Antiqua" w:hAnsi="Book Antiqua" w:cs="Arial"/>
        </w:rPr>
        <w:t>154</w:t>
      </w:r>
      <w:r w:rsidR="00F04FD1">
        <w:rPr>
          <w:rFonts w:ascii="Book Antiqua" w:hAnsi="Book Antiqua" w:cs="Arial"/>
        </w:rPr>
        <w:t>90</w:t>
      </w:r>
      <w:r w:rsidR="00F04FD1" w:rsidRPr="00F04FD1">
        <w:rPr>
          <w:rFonts w:ascii="Book Antiqua" w:hAnsi="Book Antiqua" w:cs="Arial"/>
        </w:rPr>
        <w:t xml:space="preserve"> </w:t>
      </w:r>
      <w:r w:rsidR="00F04FD1">
        <w:rPr>
          <w:rFonts w:ascii="Book Antiqua" w:hAnsi="Book Antiqua" w:cs="Arial"/>
        </w:rPr>
        <w:t>(</w:t>
      </w:r>
      <w:r w:rsidR="00F04FD1" w:rsidRPr="00AC52D2">
        <w:rPr>
          <w:rFonts w:ascii="Book Antiqua" w:hAnsi="Book Antiqua" w:cs="Arial"/>
        </w:rPr>
        <w:t>Fès–Boulemane</w:t>
      </w:r>
      <w:r w:rsidR="00F04FD1">
        <w:rPr>
          <w:rFonts w:ascii="Book Antiqua" w:hAnsi="Book Antiqua" w:cs="Arial"/>
        </w:rPr>
        <w:t>)</w:t>
      </w:r>
      <w:r>
        <w:rPr>
          <w:rFonts w:ascii="Book Antiqua" w:hAnsi="Book Antiqua" w:cs="Arial"/>
        </w:rPr>
        <w:t>.</w:t>
      </w:r>
    </w:p>
    <w:p w:rsidR="0072325E" w:rsidRDefault="0072325E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Les différentes </w:t>
      </w:r>
      <w:r w:rsidRPr="00AC52D2">
        <w:rPr>
          <w:rFonts w:ascii="Book Antiqua" w:hAnsi="Book Antiqua" w:cs="Arial"/>
        </w:rPr>
        <w:t>régions ont enregistré</w:t>
      </w:r>
      <w:r>
        <w:rPr>
          <w:rFonts w:ascii="Book Antiqua" w:hAnsi="Book Antiqua" w:cs="Arial"/>
        </w:rPr>
        <w:t>, par ailleurs,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des</w:t>
      </w:r>
      <w:r w:rsidRPr="00AC52D2">
        <w:rPr>
          <w:rFonts w:ascii="Book Antiqua" w:hAnsi="Book Antiqua" w:cs="Arial"/>
        </w:rPr>
        <w:t xml:space="preserve"> amélioration</w:t>
      </w:r>
      <w:r>
        <w:rPr>
          <w:rFonts w:ascii="Book Antiqua" w:hAnsi="Book Antiqua" w:cs="Arial"/>
        </w:rPr>
        <w:t>s</w:t>
      </w:r>
      <w:r w:rsidRPr="00AC52D2">
        <w:rPr>
          <w:rFonts w:ascii="Book Antiqua" w:hAnsi="Book Antiqua" w:cs="Arial"/>
        </w:rPr>
        <w:t xml:space="preserve"> des dépenses de consommation des ménages en valeur</w:t>
      </w:r>
      <w:r>
        <w:rPr>
          <w:rFonts w:ascii="Book Antiqua" w:hAnsi="Book Antiqua" w:cs="Arial"/>
        </w:rPr>
        <w:t xml:space="preserve"> par tête entre 201</w:t>
      </w:r>
      <w:r w:rsidR="000E48A3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et 201</w:t>
      </w:r>
      <w:r w:rsidR="000E48A3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, et se sont accompagnées d’un</w:t>
      </w:r>
      <w:r w:rsidR="00253F3C">
        <w:rPr>
          <w:rFonts w:ascii="Book Antiqua" w:hAnsi="Book Antiqua" w:cs="Arial"/>
        </w:rPr>
        <w:t xml:space="preserve"> creusement des</w:t>
      </w:r>
      <w:r>
        <w:rPr>
          <w:rFonts w:ascii="Book Antiqua" w:hAnsi="Book Antiqua" w:cs="Arial"/>
        </w:rPr>
        <w:t xml:space="preserve"> inégalités. </w:t>
      </w:r>
      <w:r w:rsidRPr="00AC52D2">
        <w:rPr>
          <w:rFonts w:ascii="Book Antiqua" w:hAnsi="Book Antiqua" w:cs="Arial"/>
        </w:rPr>
        <w:t xml:space="preserve">L’écart absolu moyen </w:t>
      </w:r>
      <w:r>
        <w:rPr>
          <w:rFonts w:ascii="Book Antiqua" w:hAnsi="Book Antiqua" w:cs="Arial"/>
        </w:rPr>
        <w:t xml:space="preserve">est en légère </w:t>
      </w:r>
      <w:r w:rsidR="000E48A3">
        <w:rPr>
          <w:rFonts w:ascii="Book Antiqua" w:hAnsi="Book Antiqua" w:cs="Arial"/>
        </w:rPr>
        <w:t>hausse</w:t>
      </w:r>
      <w:r>
        <w:rPr>
          <w:rFonts w:ascii="Book Antiqua" w:hAnsi="Book Antiqua" w:cs="Arial"/>
        </w:rPr>
        <w:t xml:space="preserve">, passant de </w:t>
      </w:r>
      <w:r w:rsidR="000E48A3">
        <w:rPr>
          <w:rFonts w:ascii="Book Antiqua" w:hAnsi="Book Antiqua" w:cs="Arial"/>
        </w:rPr>
        <w:t>2718</w:t>
      </w:r>
      <w:r w:rsidRPr="00AC52D2">
        <w:rPr>
          <w:rFonts w:ascii="Book Antiqua" w:hAnsi="Book Antiqua" w:cs="Arial"/>
        </w:rPr>
        <w:t xml:space="preserve"> DH en  201</w:t>
      </w:r>
      <w:r w:rsidR="000E48A3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 à </w:t>
      </w:r>
      <w:r w:rsidRPr="00AC52D2">
        <w:rPr>
          <w:rFonts w:ascii="Book Antiqua" w:hAnsi="Book Antiqua" w:cs="Arial"/>
        </w:rPr>
        <w:t>2</w:t>
      </w:r>
      <w:r w:rsidR="000E48A3">
        <w:rPr>
          <w:rFonts w:ascii="Book Antiqua" w:hAnsi="Book Antiqua" w:cs="Arial"/>
        </w:rPr>
        <w:t>852</w:t>
      </w:r>
      <w:r w:rsidRPr="00AC52D2">
        <w:rPr>
          <w:rFonts w:ascii="Book Antiqua" w:hAnsi="Book Antiqua" w:cs="Arial"/>
        </w:rPr>
        <w:t xml:space="preserve"> DH en 201</w:t>
      </w:r>
      <w:r w:rsidR="000E48A3">
        <w:rPr>
          <w:rFonts w:ascii="Book Antiqua" w:hAnsi="Book Antiqua" w:cs="Arial"/>
        </w:rPr>
        <w:t>3</w:t>
      </w:r>
      <w:r w:rsidR="00253F3C">
        <w:rPr>
          <w:rFonts w:ascii="Book Antiqua" w:hAnsi="Book Antiqua" w:cs="Arial"/>
        </w:rPr>
        <w:t>,</w:t>
      </w:r>
      <w:r w:rsidR="00253F3C" w:rsidRPr="00253F3C">
        <w:rPr>
          <w:rFonts w:ascii="Book Antiqua" w:hAnsi="Book Antiqua" w:cs="Arial"/>
        </w:rPr>
        <w:t xml:space="preserve"> </w:t>
      </w:r>
      <w:r w:rsidR="00253F3C">
        <w:rPr>
          <w:rFonts w:ascii="Book Antiqua" w:hAnsi="Book Antiqua" w:cs="Arial"/>
        </w:rPr>
        <w:t>ce qui n’est pas le cas de la dispersion du PIB par tête qui est en diminution en 2013</w:t>
      </w:r>
      <w:r>
        <w:rPr>
          <w:rFonts w:ascii="Book Antiqua" w:hAnsi="Book Antiqua" w:cs="Arial"/>
        </w:rPr>
        <w:t>.</w:t>
      </w:r>
    </w:p>
    <w:p w:rsidR="00F21D3F" w:rsidRDefault="00F21D3F" w:rsidP="0095160E">
      <w:pPr>
        <w:widowControl w:val="0"/>
        <w:autoSpaceDE w:val="0"/>
        <w:autoSpaceDN w:val="0"/>
        <w:adjustRightInd w:val="0"/>
        <w:spacing w:line="140" w:lineRule="exact"/>
        <w:jc w:val="both"/>
        <w:rPr>
          <w:rFonts w:ascii="Book Antiqua" w:hAnsi="Book Antiqua" w:cs="Arial"/>
        </w:rPr>
      </w:pPr>
    </w:p>
    <w:p w:rsidR="00F21D3F" w:rsidRDefault="00F21D3F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Arial" w:hAnsi="Arial" w:cs="Arial"/>
          <w:color w:val="993200"/>
          <w:spacing w:val="-2"/>
          <w:w w:val="95"/>
          <w:sz w:val="32"/>
          <w:szCs w:val="32"/>
        </w:rPr>
      </w:pPr>
      <w:r w:rsidRPr="00244BAB">
        <w:rPr>
          <w:rFonts w:ascii="Arial" w:hAnsi="Arial" w:cs="Arial"/>
          <w:b/>
          <w:bCs/>
          <w:color w:val="993200"/>
          <w:spacing w:val="-2"/>
          <w:w w:val="95"/>
          <w:sz w:val="32"/>
          <w:szCs w:val="32"/>
        </w:rPr>
        <w:t>Comptes relatifs aux 12 régions</w:t>
      </w:r>
      <w:r>
        <w:rPr>
          <w:rFonts w:ascii="Arial" w:hAnsi="Arial" w:cs="Arial"/>
          <w:color w:val="993200"/>
          <w:spacing w:val="-2"/>
          <w:w w:val="95"/>
          <w:sz w:val="32"/>
          <w:szCs w:val="32"/>
        </w:rPr>
        <w:tab/>
      </w:r>
    </w:p>
    <w:p w:rsidR="00F50F1B" w:rsidRPr="0095160E" w:rsidRDefault="00F50F1B" w:rsidP="00D63771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95160E">
        <w:rPr>
          <w:rFonts w:ascii="Book Antiqua" w:hAnsi="Book Antiqua" w:cs="Arial"/>
          <w:b/>
          <w:bCs/>
          <w:color w:val="943634"/>
          <w:sz w:val="30"/>
          <w:szCs w:val="30"/>
        </w:rPr>
        <w:t xml:space="preserve">A-Produit intérieur brut </w:t>
      </w:r>
    </w:p>
    <w:p w:rsidR="00F21D3F" w:rsidRPr="00D63771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D63771">
        <w:rPr>
          <w:rFonts w:ascii="Book Antiqua" w:hAnsi="Book Antiqua" w:cs="Arial"/>
        </w:rPr>
        <w:t>La répartition du PIB selon le découpage du territoire national en 12 régions fait ressortir  une plus forte concentration dans la création de la richesse.</w:t>
      </w:r>
    </w:p>
    <w:p w:rsidR="00F21D3F" w:rsidRDefault="00F21D3F" w:rsidP="00F8541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76" w:lineRule="auto"/>
        <w:ind w:left="714" w:hanging="357"/>
        <w:jc w:val="both"/>
        <w:rPr>
          <w:rFonts w:ascii="Book Antiqua" w:hAnsi="Book Antiqua" w:cs="Arial"/>
        </w:rPr>
      </w:pPr>
      <w:r w:rsidRPr="000762DA">
        <w:rPr>
          <w:rFonts w:ascii="Book Antiqua" w:hAnsi="Book Antiqua" w:cs="Arial"/>
        </w:rPr>
        <w:t xml:space="preserve">Les régions de  Casablanca-Settat et de Rabat-Salé-Kénitra contribuent, à elles seules, pour  </w:t>
      </w:r>
      <w:r w:rsidR="007B72B6">
        <w:rPr>
          <w:rFonts w:ascii="Book Antiqua" w:hAnsi="Book Antiqua" w:cs="Arial"/>
        </w:rPr>
        <w:t>48</w:t>
      </w:r>
      <w:r w:rsidRPr="000762DA">
        <w:rPr>
          <w:rFonts w:ascii="Book Antiqua" w:hAnsi="Book Antiqua" w:cs="Arial"/>
        </w:rPr>
        <w:t>% du PIB national, avec 32,</w:t>
      </w:r>
      <w:r w:rsidR="007B72B6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 et 15,8% respectivement ;</w:t>
      </w:r>
    </w:p>
    <w:p w:rsidR="00F21D3F" w:rsidRPr="00E9771B" w:rsidRDefault="00F21D3F" w:rsidP="00F8541A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76" w:lineRule="auto"/>
        <w:ind w:left="714"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Cinq</w:t>
      </w:r>
      <w:r w:rsidRPr="000762DA">
        <w:rPr>
          <w:rFonts w:ascii="Book Antiqua" w:hAnsi="Book Antiqua" w:cs="Arial"/>
        </w:rPr>
        <w:t xml:space="preserve"> régions créent </w:t>
      </w:r>
      <w:r>
        <w:rPr>
          <w:rFonts w:ascii="Book Antiqua" w:hAnsi="Book Antiqua" w:cs="Arial"/>
        </w:rPr>
        <w:t>40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5</w:t>
      </w:r>
      <w:r w:rsidRPr="000762DA">
        <w:rPr>
          <w:rFonts w:ascii="Book Antiqua" w:hAnsi="Book Antiqua" w:cs="Arial"/>
        </w:rPr>
        <w:t>% du PIB</w:t>
      </w:r>
      <w:r w:rsidR="00701E32">
        <w:rPr>
          <w:rFonts w:ascii="Book Antiqua" w:hAnsi="Book Antiqua" w:cs="Arial"/>
        </w:rPr>
        <w:t>. I</w:t>
      </w:r>
      <w:r w:rsidRPr="000762DA">
        <w:rPr>
          <w:rFonts w:ascii="Book Antiqua" w:hAnsi="Book Antiqua" w:cs="Arial"/>
        </w:rPr>
        <w:t>l s’agit de Marrakech-Safi</w:t>
      </w:r>
      <w:r>
        <w:rPr>
          <w:rFonts w:ascii="Book Antiqua" w:hAnsi="Book Antiqua" w:cs="Arial"/>
        </w:rPr>
        <w:t xml:space="preserve"> (9,5%), Fès</w:t>
      </w:r>
      <w:r w:rsidR="007B72B6">
        <w:rPr>
          <w:rFonts w:ascii="Book Antiqua" w:hAnsi="Book Antiqua" w:cs="Arial"/>
        </w:rPr>
        <w:t>-Meknès</w:t>
      </w:r>
      <w:r>
        <w:rPr>
          <w:rFonts w:ascii="Book Antiqua" w:hAnsi="Book Antiqua" w:cs="Arial"/>
        </w:rPr>
        <w:t xml:space="preserve"> (9,1%), </w:t>
      </w:r>
      <w:r w:rsidRPr="0073084F">
        <w:rPr>
          <w:rFonts w:ascii="Book Antiqua" w:hAnsi="Book Antiqua" w:cs="Arial"/>
        </w:rPr>
        <w:t xml:space="preserve">Tanger-Tétouan-Al Hoceima </w:t>
      </w:r>
      <w:r w:rsidRPr="000762DA">
        <w:rPr>
          <w:rFonts w:ascii="Book Antiqua" w:hAnsi="Book Antiqua" w:cs="Arial"/>
        </w:rPr>
        <w:t>(8,</w:t>
      </w:r>
      <w:r>
        <w:rPr>
          <w:rFonts w:ascii="Book Antiqua" w:hAnsi="Book Antiqua" w:cs="Arial"/>
        </w:rPr>
        <w:t xml:space="preserve">9%), </w:t>
      </w:r>
      <w:r w:rsidRPr="000762DA">
        <w:rPr>
          <w:rFonts w:ascii="Book Antiqua" w:hAnsi="Book Antiqua" w:cs="Arial"/>
        </w:rPr>
        <w:t>de Béni Mellal-Khénifra (6,</w:t>
      </w:r>
      <w:r>
        <w:rPr>
          <w:rFonts w:ascii="Book Antiqua" w:hAnsi="Book Antiqua" w:cs="Arial"/>
        </w:rPr>
        <w:t xml:space="preserve">6%)  et  de </w:t>
      </w:r>
      <w:r w:rsidRPr="0073084F">
        <w:rPr>
          <w:rFonts w:ascii="Book Antiqua" w:hAnsi="Book Antiqua" w:cs="Arial"/>
        </w:rPr>
        <w:t>Souss-Massa</w:t>
      </w:r>
      <w:r w:rsidRPr="000762DA">
        <w:rPr>
          <w:rFonts w:ascii="Book Antiqua" w:hAnsi="Book Antiqua" w:cs="Arial"/>
        </w:rPr>
        <w:t xml:space="preserve"> (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4</w:t>
      </w:r>
      <w:r w:rsidRPr="000762DA">
        <w:rPr>
          <w:rFonts w:ascii="Book Antiqua" w:hAnsi="Book Antiqua" w:cs="Arial"/>
        </w:rPr>
        <w:t>%) ;</w:t>
      </w:r>
    </w:p>
    <w:p w:rsidR="00F21D3F" w:rsidRDefault="00F21D3F" w:rsidP="00F8541A">
      <w:pPr>
        <w:numPr>
          <w:ilvl w:val="0"/>
          <w:numId w:val="4"/>
        </w:numPr>
        <w:autoSpaceDE w:val="0"/>
        <w:autoSpaceDN w:val="0"/>
        <w:adjustRightInd w:val="0"/>
        <w:spacing w:before="100" w:beforeAutospacing="1" w:after="100" w:afterAutospacing="1" w:line="276" w:lineRule="auto"/>
        <w:ind w:left="714" w:hanging="357"/>
        <w:jc w:val="both"/>
        <w:rPr>
          <w:rFonts w:ascii="Arial" w:hAnsi="Arial" w:cs="Arial"/>
          <w:bCs/>
          <w:color w:val="000000"/>
        </w:rPr>
      </w:pPr>
      <w:r>
        <w:rPr>
          <w:rFonts w:ascii="Book Antiqua" w:hAnsi="Book Antiqua" w:cs="Arial"/>
        </w:rPr>
        <w:t>Les cinq régions restantes ne participent</w:t>
      </w:r>
      <w:r w:rsidRPr="00E9771B">
        <w:rPr>
          <w:rFonts w:ascii="Book Antiqua" w:hAnsi="Book Antiqua" w:cs="Arial"/>
        </w:rPr>
        <w:t xml:space="preserve"> qu’à hauteur  de </w:t>
      </w:r>
      <w:r>
        <w:rPr>
          <w:rFonts w:ascii="Book Antiqua" w:hAnsi="Book Antiqua" w:cs="Arial"/>
        </w:rPr>
        <w:t>11,4</w:t>
      </w:r>
      <w:r w:rsidRPr="00E9771B">
        <w:rPr>
          <w:rFonts w:ascii="Book Antiqua" w:hAnsi="Book Antiqua" w:cs="Arial"/>
        </w:rPr>
        <w:t xml:space="preserve">% à la création </w:t>
      </w:r>
      <w:r>
        <w:rPr>
          <w:rFonts w:ascii="Book Antiqua" w:hAnsi="Book Antiqua" w:cs="Arial"/>
        </w:rPr>
        <w:t>de la richesse nationale</w:t>
      </w:r>
      <w:r w:rsidR="00701E32">
        <w:rPr>
          <w:rFonts w:ascii="Book Antiqua" w:hAnsi="Book Antiqua" w:cs="Arial"/>
        </w:rPr>
        <w:t>. I</w:t>
      </w:r>
      <w:r w:rsidRPr="00E9771B">
        <w:rPr>
          <w:rFonts w:ascii="Book Antiqua" w:hAnsi="Book Antiqua" w:cs="Arial"/>
        </w:rPr>
        <w:t xml:space="preserve">l s’agit de </w:t>
      </w:r>
      <w:r>
        <w:rPr>
          <w:rFonts w:ascii="Book Antiqua" w:hAnsi="Book Antiqua" w:cs="Arial"/>
        </w:rPr>
        <w:t>l’oriental (4,</w:t>
      </w:r>
      <w:r w:rsidR="007353A7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%), de </w:t>
      </w:r>
      <w:r w:rsidRPr="00E9771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(</w:t>
      </w:r>
      <w:r w:rsidR="007353A7">
        <w:rPr>
          <w:rFonts w:ascii="Book Antiqua" w:hAnsi="Book Antiqua" w:cs="Arial"/>
        </w:rPr>
        <w:t>2,7</w:t>
      </w:r>
      <w:r w:rsidRPr="00E9771B">
        <w:rPr>
          <w:rFonts w:ascii="Book Antiqua" w:hAnsi="Book Antiqua" w:cs="Arial"/>
        </w:rPr>
        <w:t>%) et des trois régions du sud (3,</w:t>
      </w:r>
      <w:r>
        <w:rPr>
          <w:rFonts w:ascii="Book Antiqua" w:hAnsi="Book Antiqua" w:cs="Arial"/>
        </w:rPr>
        <w:t>8</w:t>
      </w:r>
      <w:r w:rsidRPr="00E9771B">
        <w:rPr>
          <w:rFonts w:ascii="Book Antiqua" w:hAnsi="Book Antiqua" w:cs="Arial"/>
        </w:rPr>
        <w:t>%</w:t>
      </w:r>
      <w:r>
        <w:rPr>
          <w:rFonts w:ascii="Arial" w:hAnsi="Arial" w:cs="Arial"/>
          <w:bCs/>
          <w:color w:val="000000"/>
        </w:rPr>
        <w:t>).</w:t>
      </w:r>
    </w:p>
    <w:p w:rsidR="00F21D3F" w:rsidRPr="002705E3" w:rsidRDefault="00F21D3F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 w:rsidRPr="00E9771B">
        <w:rPr>
          <w:rFonts w:ascii="Book Antiqua" w:hAnsi="Book Antiqua" w:cs="Arial"/>
        </w:rPr>
        <w:t xml:space="preserve">L’écart absolu moyen entre le PIB des différentes régions et le PIB régional moyen est de </w:t>
      </w:r>
      <w:r w:rsidRPr="00CA68BC">
        <w:rPr>
          <w:rFonts w:ascii="Book Antiqua" w:hAnsi="Book Antiqua" w:cs="Arial"/>
        </w:rPr>
        <w:t>50,8</w:t>
      </w:r>
      <w:r w:rsidRPr="00E9771B">
        <w:rPr>
          <w:rFonts w:ascii="Book Antiqua" w:hAnsi="Book Antiqua" w:cs="Arial"/>
        </w:rPr>
        <w:t xml:space="preserve"> milliards de DH dans le découpage </w:t>
      </w:r>
      <w:r w:rsidR="00A51A35">
        <w:rPr>
          <w:rFonts w:ascii="Book Antiqua" w:hAnsi="Book Antiqua" w:cs="Arial"/>
        </w:rPr>
        <w:t>en</w:t>
      </w:r>
      <w:r w:rsidRPr="00E9771B">
        <w:rPr>
          <w:rFonts w:ascii="Book Antiqua" w:hAnsi="Book Antiqua" w:cs="Arial"/>
        </w:rPr>
        <w:t xml:space="preserve"> 12 régions</w:t>
      </w:r>
      <w:r>
        <w:rPr>
          <w:rFonts w:ascii="Book Antiqua" w:hAnsi="Book Antiqua" w:cs="Arial"/>
        </w:rPr>
        <w:t>,</w:t>
      </w:r>
      <w:r w:rsidRPr="00E9771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soit une dispersion plus forte que celle enregistrée dans</w:t>
      </w:r>
      <w:r w:rsidRPr="00E9771B">
        <w:rPr>
          <w:rFonts w:ascii="Book Antiqua" w:hAnsi="Book Antiqua" w:cs="Arial"/>
        </w:rPr>
        <w:t xml:space="preserve"> le découpage </w:t>
      </w:r>
      <w:r w:rsidR="00A51A35">
        <w:rPr>
          <w:rFonts w:ascii="Book Antiqua" w:hAnsi="Book Antiqua" w:cs="Arial"/>
        </w:rPr>
        <w:t>en</w:t>
      </w:r>
      <w:r w:rsidRPr="00E9771B">
        <w:rPr>
          <w:rFonts w:ascii="Book Antiqua" w:hAnsi="Book Antiqua" w:cs="Arial"/>
        </w:rPr>
        <w:t xml:space="preserve"> 16 régions </w:t>
      </w:r>
      <w:r>
        <w:rPr>
          <w:rFonts w:ascii="Book Antiqua" w:hAnsi="Book Antiqua" w:cs="Arial"/>
        </w:rPr>
        <w:t>(</w:t>
      </w:r>
      <w:r w:rsidR="00701E32">
        <w:rPr>
          <w:rFonts w:ascii="Book Antiqua" w:hAnsi="Book Antiqua" w:cs="Arial"/>
        </w:rPr>
        <w:t>29,6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milliards</w:t>
      </w:r>
      <w:r>
        <w:rPr>
          <w:rFonts w:ascii="Book Antiqua" w:hAnsi="Book Antiqua" w:cs="Arial"/>
        </w:rPr>
        <w:t xml:space="preserve"> de DH). </w:t>
      </w:r>
    </w:p>
    <w:p w:rsidR="00892EF2" w:rsidRDefault="007D6052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Par ailleurs, l</w:t>
      </w:r>
      <w:r w:rsidR="00F21D3F">
        <w:rPr>
          <w:rFonts w:ascii="Book Antiqua" w:hAnsi="Book Antiqua" w:cs="Arial"/>
        </w:rPr>
        <w:t>es comptes régionaux de 2013 montrent que l</w:t>
      </w:r>
      <w:r>
        <w:rPr>
          <w:rFonts w:ascii="Book Antiqua" w:hAnsi="Book Antiqua" w:cs="Arial"/>
        </w:rPr>
        <w:t xml:space="preserve">e PIB régional </w:t>
      </w:r>
      <w:r w:rsidR="00F21D3F">
        <w:rPr>
          <w:rFonts w:ascii="Book Antiqua" w:hAnsi="Book Antiqua" w:cs="Arial"/>
        </w:rPr>
        <w:t>rapporté à la population présente des disparités importantes entre les différentes régions.</w:t>
      </w:r>
      <w:r w:rsidR="0095160E">
        <w:rPr>
          <w:rFonts w:ascii="Book Antiqua" w:hAnsi="Book Antiqua" w:cs="Arial"/>
        </w:rPr>
        <w:t xml:space="preserve"> Elles sont, toutefois, en baisse par rapport du découpage en 16 régions.</w:t>
      </w:r>
      <w:r w:rsidR="00F21D3F">
        <w:rPr>
          <w:rFonts w:ascii="Book Antiqua" w:hAnsi="Book Antiqua" w:cs="Arial"/>
        </w:rPr>
        <w:t xml:space="preserve"> </w:t>
      </w:r>
    </w:p>
    <w:p w:rsidR="00892EF2" w:rsidRDefault="00F21D3F" w:rsidP="002705E3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En effet, quatre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la moyenne nationale (27356</w:t>
      </w:r>
      <w:r w:rsidRPr="00AC52D2">
        <w:rPr>
          <w:rFonts w:ascii="Book Antiqua" w:hAnsi="Book Antiqua" w:cs="Arial"/>
        </w:rPr>
        <w:t xml:space="preserve"> DH)</w:t>
      </w:r>
      <w:r>
        <w:rPr>
          <w:rFonts w:ascii="Book Antiqua" w:hAnsi="Book Antiqua" w:cs="Arial"/>
        </w:rPr>
        <w:t>.</w:t>
      </w:r>
      <w:r w:rsidRPr="00E9771B">
        <w:rPr>
          <w:rFonts w:ascii="Book Antiqua" w:hAnsi="Book Antiqua" w:cs="Arial"/>
        </w:rPr>
        <w:t xml:space="preserve"> Il s’agit des régions de Casablanca-Settat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45117</w:t>
      </w:r>
      <w:r>
        <w:rPr>
          <w:rFonts w:ascii="Book Antiqua" w:hAnsi="Book Antiqua" w:cs="Arial"/>
        </w:rPr>
        <w:t xml:space="preserve"> DH)</w:t>
      </w:r>
      <w:r w:rsidRPr="00E9771B">
        <w:rPr>
          <w:rFonts w:ascii="Book Antiqua" w:hAnsi="Book Antiqua" w:cs="Arial"/>
        </w:rPr>
        <w:t xml:space="preserve">, d’Ed Dakhla-Oued ed Dahab </w:t>
      </w:r>
      <w:r>
        <w:rPr>
          <w:rFonts w:ascii="Book Antiqua" w:hAnsi="Book Antiqua" w:cs="Arial"/>
        </w:rPr>
        <w:t>(</w:t>
      </w:r>
      <w:r w:rsidRPr="00C45980">
        <w:rPr>
          <w:rFonts w:ascii="Book Antiqua" w:hAnsi="Book Antiqua" w:cs="Arial"/>
        </w:rPr>
        <w:t>4422</w:t>
      </w:r>
      <w:r>
        <w:rPr>
          <w:rFonts w:ascii="Book Antiqua" w:hAnsi="Book Antiqua" w:cs="Arial"/>
        </w:rPr>
        <w:t>1 DH),</w:t>
      </w:r>
      <w:r w:rsidRPr="00E9771B">
        <w:rPr>
          <w:rFonts w:ascii="Book Antiqua" w:hAnsi="Book Antiqua" w:cs="Arial"/>
        </w:rPr>
        <w:t xml:space="preserve"> de Laayoun-Saguia al Hamra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34167</w:t>
      </w:r>
      <w:r>
        <w:rPr>
          <w:rFonts w:ascii="Book Antiqua" w:hAnsi="Book Antiqua" w:cs="Arial"/>
        </w:rPr>
        <w:t>DH) et</w:t>
      </w:r>
      <w:r w:rsidRPr="00C45980"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C45980">
        <w:rPr>
          <w:rFonts w:ascii="Book Antiqua" w:hAnsi="Book Antiqua" w:cs="Arial"/>
        </w:rPr>
        <w:t>3146</w:t>
      </w:r>
      <w:r>
        <w:rPr>
          <w:rFonts w:ascii="Book Antiqua" w:hAnsi="Book Antiqua" w:cs="Arial"/>
        </w:rPr>
        <w:t>2DH).</w:t>
      </w:r>
      <w:r w:rsidRPr="00E9771B">
        <w:rPr>
          <w:rFonts w:ascii="Book Antiqua" w:hAnsi="Book Antiqua" w:cs="Arial"/>
        </w:rPr>
        <w:t xml:space="preserve"> </w:t>
      </w:r>
    </w:p>
    <w:p w:rsidR="00F21D3F" w:rsidRPr="00E9771B" w:rsidRDefault="00892EF2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L</w:t>
      </w:r>
      <w:r w:rsidR="00F21D3F">
        <w:rPr>
          <w:rFonts w:ascii="Book Antiqua" w:hAnsi="Book Antiqua" w:cs="Arial"/>
        </w:rPr>
        <w:t>es autres régions ont</w:t>
      </w:r>
      <w:r>
        <w:rPr>
          <w:rFonts w:ascii="Book Antiqua" w:hAnsi="Book Antiqua" w:cs="Arial"/>
        </w:rPr>
        <w:t>, en revanche,</w:t>
      </w:r>
      <w:r w:rsidR="00F21D3F">
        <w:rPr>
          <w:rFonts w:ascii="Book Antiqua" w:hAnsi="Book Antiqua" w:cs="Arial"/>
        </w:rPr>
        <w:t xml:space="preserve"> un PIB par habitant allant de </w:t>
      </w:r>
      <w:r w:rsidR="007B1642">
        <w:rPr>
          <w:rFonts w:ascii="Book Antiqua" w:hAnsi="Book Antiqua" w:cs="Arial"/>
        </w:rPr>
        <w:t xml:space="preserve">15616 </w:t>
      </w:r>
      <w:r w:rsidR="00F21D3F">
        <w:rPr>
          <w:rFonts w:ascii="Book Antiqua" w:hAnsi="Book Antiqua" w:cs="Arial"/>
        </w:rPr>
        <w:t>DH dans la région de</w:t>
      </w:r>
      <w:r w:rsidR="00F21D3F" w:rsidRPr="001063D0">
        <w:rPr>
          <w:rFonts w:ascii="Book Antiqua" w:hAnsi="Book Antiqua" w:cs="Arial"/>
        </w:rPr>
        <w:t>Drâa-Tafilalet</w:t>
      </w:r>
      <w:r w:rsidR="00F21D3F">
        <w:rPr>
          <w:rFonts w:ascii="Book Antiqua" w:hAnsi="Book Antiqua" w:cs="Arial"/>
        </w:rPr>
        <w:t xml:space="preserve"> à  </w:t>
      </w:r>
      <w:r w:rsidR="00F21D3F" w:rsidRPr="001063D0">
        <w:rPr>
          <w:rFonts w:ascii="Book Antiqua" w:hAnsi="Book Antiqua" w:cs="Arial"/>
        </w:rPr>
        <w:t>2487</w:t>
      </w:r>
      <w:r w:rsidR="008945B1">
        <w:rPr>
          <w:rFonts w:ascii="Book Antiqua" w:hAnsi="Book Antiqua" w:cs="Arial"/>
        </w:rPr>
        <w:t>4</w:t>
      </w:r>
      <w:r w:rsidR="00F21D3F">
        <w:rPr>
          <w:rFonts w:ascii="Book Antiqua" w:hAnsi="Book Antiqua" w:cs="Arial"/>
        </w:rPr>
        <w:t xml:space="preserve"> DH dans la région de </w:t>
      </w:r>
      <w:r w:rsidR="00F21D3F" w:rsidRPr="001063D0">
        <w:rPr>
          <w:rFonts w:ascii="Book Antiqua" w:hAnsi="Book Antiqua" w:cs="Arial"/>
        </w:rPr>
        <w:t>Guelmim-Oued Noun</w:t>
      </w:r>
      <w:r w:rsidR="00F21D3F">
        <w:rPr>
          <w:rFonts w:ascii="Book Antiqua" w:hAnsi="Book Antiqua" w:cs="Arial"/>
        </w:rPr>
        <w:t xml:space="preserve">. </w:t>
      </w:r>
    </w:p>
    <w:p w:rsidR="00F21D3F" w:rsidRDefault="0095160E" w:rsidP="002705E3">
      <w:pPr>
        <w:autoSpaceDE w:val="0"/>
        <w:autoSpaceDN w:val="0"/>
        <w:adjustRightInd w:val="0"/>
        <w:spacing w:before="100" w:before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</w:t>
      </w:r>
      <w:r w:rsidR="00F21D3F" w:rsidRPr="00E9771B">
        <w:rPr>
          <w:rFonts w:ascii="Book Antiqua" w:hAnsi="Book Antiqua" w:cs="Arial"/>
        </w:rPr>
        <w:t xml:space="preserve">, </w:t>
      </w:r>
      <w:r w:rsidR="007D6052">
        <w:rPr>
          <w:rFonts w:ascii="Book Antiqua" w:hAnsi="Book Antiqua" w:cs="Arial"/>
        </w:rPr>
        <w:t xml:space="preserve">la </w:t>
      </w:r>
      <w:r w:rsidR="007D6052" w:rsidRPr="00E9771B">
        <w:rPr>
          <w:rFonts w:ascii="Book Antiqua" w:hAnsi="Book Antiqua" w:cs="Arial"/>
        </w:rPr>
        <w:t xml:space="preserve">dispersion </w:t>
      </w:r>
      <w:r w:rsidR="007D6052">
        <w:rPr>
          <w:rFonts w:ascii="Book Antiqua" w:hAnsi="Book Antiqua" w:cs="Arial"/>
        </w:rPr>
        <w:t xml:space="preserve">du PIB par tête entre les 12 régions est en baisse </w:t>
      </w:r>
      <w:r w:rsidR="007D6052" w:rsidRPr="00E9771B">
        <w:rPr>
          <w:rFonts w:ascii="Book Antiqua" w:hAnsi="Book Antiqua" w:cs="Arial"/>
        </w:rPr>
        <w:t xml:space="preserve">par rapport </w:t>
      </w:r>
      <w:r w:rsidR="007D6052">
        <w:rPr>
          <w:rFonts w:ascii="Book Antiqua" w:hAnsi="Book Antiqua" w:cs="Arial"/>
        </w:rPr>
        <w:t xml:space="preserve">à celle dégagée du </w:t>
      </w:r>
      <w:r w:rsidR="007D6052" w:rsidRPr="00E9771B">
        <w:rPr>
          <w:rFonts w:ascii="Book Antiqua" w:hAnsi="Book Antiqua" w:cs="Arial"/>
        </w:rPr>
        <w:t xml:space="preserve">découpage </w:t>
      </w:r>
      <w:r w:rsidR="007D6052">
        <w:rPr>
          <w:rFonts w:ascii="Book Antiqua" w:hAnsi="Book Antiqua" w:cs="Arial"/>
        </w:rPr>
        <w:t>en</w:t>
      </w:r>
      <w:r w:rsidR="007D6052" w:rsidRPr="00E9771B">
        <w:rPr>
          <w:rFonts w:ascii="Book Antiqua" w:hAnsi="Book Antiqua" w:cs="Arial"/>
        </w:rPr>
        <w:t xml:space="preserve"> 16 régions</w:t>
      </w:r>
      <w:r w:rsidR="007D6052">
        <w:rPr>
          <w:rFonts w:ascii="Book Antiqua" w:hAnsi="Book Antiqua" w:cs="Arial"/>
        </w:rPr>
        <w:t>. L</w:t>
      </w:r>
      <w:r w:rsidR="00F21D3F" w:rsidRPr="00E9771B">
        <w:rPr>
          <w:rFonts w:ascii="Book Antiqua" w:hAnsi="Book Antiqua" w:cs="Arial"/>
        </w:rPr>
        <w:t>’écart absolu moyen entre le PIB par tête des différentes régions et le PIB par tête national</w:t>
      </w:r>
      <w:r w:rsidR="007D6052">
        <w:rPr>
          <w:rFonts w:ascii="Book Antiqua" w:hAnsi="Book Antiqua" w:cs="Arial"/>
        </w:rPr>
        <w:t xml:space="preserve"> </w:t>
      </w:r>
      <w:r w:rsidR="00F21D3F" w:rsidRPr="00E9771B">
        <w:rPr>
          <w:rFonts w:ascii="Book Antiqua" w:hAnsi="Book Antiqua" w:cs="Arial"/>
        </w:rPr>
        <w:t xml:space="preserve">est de </w:t>
      </w:r>
      <w:r w:rsidR="00F21D3F">
        <w:rPr>
          <w:rFonts w:ascii="Book Antiqua" w:hAnsi="Book Antiqua" w:cs="Arial"/>
        </w:rPr>
        <w:t>80</w:t>
      </w:r>
      <w:r w:rsidR="007B1642">
        <w:rPr>
          <w:rFonts w:ascii="Book Antiqua" w:hAnsi="Book Antiqua" w:cs="Arial"/>
        </w:rPr>
        <w:t>7</w:t>
      </w:r>
      <w:r w:rsidR="00F21D3F">
        <w:rPr>
          <w:rFonts w:ascii="Book Antiqua" w:hAnsi="Book Antiqua" w:cs="Arial"/>
        </w:rPr>
        <w:t>9</w:t>
      </w:r>
      <w:r w:rsidR="00F21D3F" w:rsidRPr="00E9771B">
        <w:rPr>
          <w:rFonts w:ascii="Book Antiqua" w:hAnsi="Book Antiqua" w:cs="Arial"/>
        </w:rPr>
        <w:t xml:space="preserve"> DH au lieu de </w:t>
      </w:r>
      <w:r w:rsidR="00F21D3F" w:rsidRPr="00AC52D2">
        <w:rPr>
          <w:rFonts w:ascii="Book Antiqua" w:hAnsi="Book Antiqua" w:cs="Arial"/>
        </w:rPr>
        <w:t>8</w:t>
      </w:r>
      <w:r w:rsidR="00F21D3F">
        <w:rPr>
          <w:rFonts w:ascii="Book Antiqua" w:hAnsi="Book Antiqua" w:cs="Arial"/>
        </w:rPr>
        <w:t>7</w:t>
      </w:r>
      <w:r w:rsidR="008945B1">
        <w:rPr>
          <w:rFonts w:ascii="Book Antiqua" w:hAnsi="Book Antiqua" w:cs="Arial"/>
        </w:rPr>
        <w:t>62</w:t>
      </w:r>
      <w:r w:rsidR="00F21D3F">
        <w:rPr>
          <w:rFonts w:ascii="Book Antiqua" w:hAnsi="Book Antiqua" w:cs="Arial"/>
        </w:rPr>
        <w:t xml:space="preserve"> </w:t>
      </w:r>
      <w:r w:rsidR="00F21D3F" w:rsidRPr="00E9771B">
        <w:rPr>
          <w:rFonts w:ascii="Book Antiqua" w:hAnsi="Book Antiqua" w:cs="Arial"/>
        </w:rPr>
        <w:t xml:space="preserve">DH. </w:t>
      </w:r>
    </w:p>
    <w:p w:rsidR="00D47DB0" w:rsidRPr="002705E3" w:rsidRDefault="00D47DB0" w:rsidP="002705E3">
      <w:pPr>
        <w:autoSpaceDE w:val="0"/>
        <w:autoSpaceDN w:val="0"/>
        <w:adjustRightInd w:val="0"/>
        <w:spacing w:after="100" w:afterAutospacing="1" w:line="360" w:lineRule="exact"/>
        <w:jc w:val="both"/>
        <w:rPr>
          <w:rFonts w:ascii="Book Antiqua" w:hAnsi="Book Antiqua" w:cs="Arial"/>
          <w:b/>
          <w:bCs/>
          <w:color w:val="943634"/>
          <w:sz w:val="28"/>
          <w:szCs w:val="28"/>
        </w:rPr>
      </w:pPr>
    </w:p>
    <w:p w:rsidR="00F50F1B" w:rsidRPr="0095160E" w:rsidRDefault="00F50F1B" w:rsidP="00D63771">
      <w:pPr>
        <w:autoSpaceDE w:val="0"/>
        <w:autoSpaceDN w:val="0"/>
        <w:adjustRightInd w:val="0"/>
        <w:spacing w:before="100" w:beforeAutospacing="1" w:after="100" w:afterAutospacing="1" w:line="360" w:lineRule="exact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D63771">
        <w:rPr>
          <w:rFonts w:ascii="Book Antiqua" w:hAnsi="Book Antiqua" w:cs="Arial"/>
          <w:b/>
          <w:bCs/>
          <w:color w:val="943634"/>
          <w:sz w:val="30"/>
          <w:szCs w:val="30"/>
        </w:rPr>
        <w:t>B-Dépenses de consommation des ménages</w:t>
      </w:r>
      <w:r w:rsidRPr="0095160E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</w:t>
      </w:r>
    </w:p>
    <w:p w:rsidR="00F21D3F" w:rsidRPr="0095160E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95160E">
        <w:rPr>
          <w:rFonts w:ascii="Book Antiqua" w:hAnsi="Book Antiqua" w:cs="Arial"/>
        </w:rPr>
        <w:t xml:space="preserve">La configuration des dépenses de consommation finale des ménages </w:t>
      </w:r>
      <w:r w:rsidR="007D6052" w:rsidRPr="0095160E">
        <w:rPr>
          <w:rFonts w:ascii="Book Antiqua" w:hAnsi="Book Antiqua" w:cs="Arial"/>
        </w:rPr>
        <w:t>(</w:t>
      </w:r>
      <w:r w:rsidR="007A5B60" w:rsidRPr="0095160E">
        <w:rPr>
          <w:rFonts w:ascii="Book Antiqua" w:hAnsi="Book Antiqua" w:cs="Arial"/>
        </w:rPr>
        <w:t>DCFM)</w:t>
      </w:r>
      <w:r w:rsidR="007D6052" w:rsidRPr="0095160E">
        <w:rPr>
          <w:rFonts w:ascii="Book Antiqua" w:hAnsi="Book Antiqua" w:cs="Arial"/>
        </w:rPr>
        <w:t xml:space="preserve"> dégage</w:t>
      </w:r>
      <w:r w:rsidR="007A5B60">
        <w:rPr>
          <w:rFonts w:ascii="Book Antiqua" w:hAnsi="Book Antiqua" w:cs="Arial"/>
        </w:rPr>
        <w:t>,</w:t>
      </w:r>
      <w:r w:rsidRPr="0095160E">
        <w:rPr>
          <w:rFonts w:ascii="Book Antiqua" w:hAnsi="Book Antiqua" w:cs="Arial"/>
        </w:rPr>
        <w:t xml:space="preserve"> </w:t>
      </w:r>
      <w:r w:rsidR="007A5B60">
        <w:rPr>
          <w:rFonts w:ascii="Book Antiqua" w:hAnsi="Book Antiqua" w:cs="Arial"/>
        </w:rPr>
        <w:t>également,</w:t>
      </w:r>
      <w:r w:rsidR="007A5B60" w:rsidRPr="0095160E">
        <w:rPr>
          <w:rFonts w:ascii="Book Antiqua" w:hAnsi="Book Antiqua" w:cs="Arial"/>
        </w:rPr>
        <w:t xml:space="preserve"> </w:t>
      </w:r>
      <w:r w:rsidRPr="0095160E">
        <w:rPr>
          <w:rFonts w:ascii="Book Antiqua" w:hAnsi="Book Antiqua" w:cs="Arial"/>
        </w:rPr>
        <w:t>une forte concentration</w:t>
      </w:r>
      <w:r w:rsidR="007D6052" w:rsidRPr="0095160E">
        <w:rPr>
          <w:rFonts w:ascii="Book Antiqua" w:hAnsi="Book Antiqua" w:cs="Arial"/>
        </w:rPr>
        <w:t>. C</w:t>
      </w:r>
      <w:r w:rsidRPr="0095160E">
        <w:rPr>
          <w:rFonts w:ascii="Book Antiqua" w:hAnsi="Book Antiqua" w:cs="Arial"/>
        </w:rPr>
        <w:t xml:space="preserve">inq régions contribuent pour 70,6% à ces dépenses. Il s’agit de Casablanca-Settat (22,3%), de Rabat-Salé-Kénitra (12,9%), de Tanger-Tétouan-Al Hoceima (11,9%), de Marrakech-Safi (11,8%) et de Fès-Meknès (11,7%). Les autres régions affichent des parts </w:t>
      </w:r>
      <w:r w:rsidR="007D6052" w:rsidRPr="0095160E">
        <w:rPr>
          <w:rFonts w:ascii="Book Antiqua" w:hAnsi="Book Antiqua" w:cs="Arial"/>
        </w:rPr>
        <w:t xml:space="preserve">des </w:t>
      </w:r>
      <w:r w:rsidRPr="0095160E">
        <w:rPr>
          <w:rFonts w:ascii="Book Antiqua" w:hAnsi="Book Antiqua" w:cs="Arial"/>
        </w:rPr>
        <w:t>dépenses de consommation finale des ménages variant entre 1,1% à Laâyoune-Saguia al Hamra et 8% à l’Oriental.</w:t>
      </w:r>
    </w:p>
    <w:p w:rsidR="00F21D3F" w:rsidRPr="00E9771B" w:rsidRDefault="00892EF2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F21D3F" w:rsidRPr="00E9771B">
        <w:rPr>
          <w:rFonts w:ascii="Book Antiqua" w:hAnsi="Book Antiqua" w:cs="Arial"/>
        </w:rPr>
        <w:t xml:space="preserve"> dépenses </w:t>
      </w:r>
      <w:r>
        <w:rPr>
          <w:rFonts w:ascii="Book Antiqua" w:hAnsi="Book Antiqua" w:cs="Arial"/>
        </w:rPr>
        <w:t xml:space="preserve">de consommation </w:t>
      </w:r>
      <w:r w:rsidR="00F21D3F" w:rsidRPr="00E9771B">
        <w:rPr>
          <w:rFonts w:ascii="Book Antiqua" w:hAnsi="Book Antiqua" w:cs="Arial"/>
        </w:rPr>
        <w:t>présentent</w:t>
      </w:r>
      <w:r w:rsidR="00F21D3F">
        <w:rPr>
          <w:rFonts w:ascii="Book Antiqua" w:hAnsi="Book Antiqua" w:cs="Arial"/>
        </w:rPr>
        <w:t>,</w:t>
      </w:r>
      <w:r w:rsidR="00F21D3F" w:rsidRPr="00E9771B">
        <w:rPr>
          <w:rFonts w:ascii="Book Antiqua" w:hAnsi="Book Antiqua" w:cs="Arial"/>
        </w:rPr>
        <w:t xml:space="preserve"> par ailleurs, </w:t>
      </w:r>
      <w:r w:rsidR="007D6052">
        <w:rPr>
          <w:rFonts w:ascii="Book Antiqua" w:hAnsi="Book Antiqua" w:cs="Arial"/>
        </w:rPr>
        <w:t xml:space="preserve">à l’instar du PIB régional, </w:t>
      </w:r>
      <w:r w:rsidR="00F21D3F" w:rsidRPr="00E9771B">
        <w:rPr>
          <w:rFonts w:ascii="Book Antiqua" w:hAnsi="Book Antiqua" w:cs="Arial"/>
        </w:rPr>
        <w:t>une dispersion plus grande</w:t>
      </w:r>
      <w:r w:rsidR="00F21D3F">
        <w:rPr>
          <w:rFonts w:ascii="Book Antiqua" w:hAnsi="Book Antiqua" w:cs="Arial"/>
        </w:rPr>
        <w:t xml:space="preserve"> </w:t>
      </w:r>
      <w:r w:rsidR="007D6052">
        <w:rPr>
          <w:rFonts w:ascii="Book Antiqua" w:hAnsi="Book Antiqua" w:cs="Arial"/>
        </w:rPr>
        <w:t>que</w:t>
      </w:r>
      <w:r w:rsidR="00F21D3F">
        <w:rPr>
          <w:rFonts w:ascii="Book Antiqua" w:hAnsi="Book Antiqua" w:cs="Arial"/>
        </w:rPr>
        <w:t xml:space="preserve"> celle enregistrée dans le découpage en 16 régions. En effet</w:t>
      </w:r>
      <w:r w:rsidR="007D6052">
        <w:rPr>
          <w:rFonts w:ascii="Book Antiqua" w:hAnsi="Book Antiqua" w:cs="Arial"/>
        </w:rPr>
        <w:t>, l</w:t>
      </w:r>
      <w:r w:rsidR="00F21D3F"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 w:rsidR="00F21D3F" w:rsidRPr="00E9771B">
        <w:rPr>
          <w:rFonts w:ascii="Book Antiqua" w:hAnsi="Book Antiqua" w:cs="Arial"/>
        </w:rPr>
        <w:t xml:space="preserve">est de </w:t>
      </w:r>
      <w:r w:rsidR="00F21D3F">
        <w:rPr>
          <w:rFonts w:ascii="Book Antiqua" w:hAnsi="Book Antiqua" w:cs="Arial"/>
        </w:rPr>
        <w:t>22,1</w:t>
      </w:r>
      <w:r w:rsidR="00F21D3F" w:rsidRPr="00E9771B">
        <w:rPr>
          <w:rFonts w:ascii="Book Antiqua" w:hAnsi="Book Antiqua" w:cs="Arial"/>
        </w:rPr>
        <w:t xml:space="preserve"> milliards </w:t>
      </w:r>
      <w:r>
        <w:rPr>
          <w:rFonts w:ascii="Book Antiqua" w:hAnsi="Book Antiqua" w:cs="Arial"/>
        </w:rPr>
        <w:t xml:space="preserve">de dirhams </w:t>
      </w:r>
      <w:r w:rsidR="00F21D3F" w:rsidRPr="00E9771B">
        <w:rPr>
          <w:rFonts w:ascii="Book Antiqua" w:hAnsi="Book Antiqua" w:cs="Arial"/>
        </w:rPr>
        <w:t>dans le</w:t>
      </w:r>
      <w:r>
        <w:rPr>
          <w:rFonts w:ascii="Book Antiqua" w:hAnsi="Book Antiqua" w:cs="Arial"/>
        </w:rPr>
        <w:t xml:space="preserve"> cas des</w:t>
      </w:r>
      <w:r w:rsidR="00F21D3F" w:rsidRPr="00E9771B">
        <w:rPr>
          <w:rFonts w:ascii="Book Antiqua" w:hAnsi="Book Antiqua" w:cs="Arial"/>
        </w:rPr>
        <w:t xml:space="preserve"> 12 régions </w:t>
      </w:r>
      <w:r w:rsidR="007D6052">
        <w:rPr>
          <w:rFonts w:ascii="Book Antiqua" w:hAnsi="Book Antiqua" w:cs="Arial"/>
        </w:rPr>
        <w:t>au lieu de</w:t>
      </w:r>
      <w:r w:rsidR="00F21D3F" w:rsidRPr="00E9771B">
        <w:rPr>
          <w:rFonts w:ascii="Book Antiqua" w:hAnsi="Book Antiqua" w:cs="Arial"/>
        </w:rPr>
        <w:t xml:space="preserve"> </w:t>
      </w:r>
      <w:r w:rsidR="00F21D3F">
        <w:rPr>
          <w:rFonts w:ascii="Book Antiqua" w:hAnsi="Book Antiqua" w:cs="Arial"/>
        </w:rPr>
        <w:t>15,7</w:t>
      </w:r>
      <w:r w:rsidR="00F21D3F" w:rsidRPr="00AC52D2">
        <w:rPr>
          <w:rFonts w:ascii="Book Antiqua" w:hAnsi="Book Antiqua" w:cs="Arial"/>
        </w:rPr>
        <w:t xml:space="preserve"> </w:t>
      </w:r>
      <w:r w:rsidR="00F21D3F" w:rsidRPr="00E9771B">
        <w:rPr>
          <w:rFonts w:ascii="Book Antiqua" w:hAnsi="Book Antiqua" w:cs="Arial"/>
        </w:rPr>
        <w:t>milliards dans</w:t>
      </w:r>
      <w:r>
        <w:rPr>
          <w:rFonts w:ascii="Book Antiqua" w:hAnsi="Book Antiqua" w:cs="Arial"/>
        </w:rPr>
        <w:t xml:space="preserve"> celui d</w:t>
      </w:r>
      <w:r w:rsidR="00F21D3F" w:rsidRPr="00E9771B">
        <w:rPr>
          <w:rFonts w:ascii="Book Antiqua" w:hAnsi="Book Antiqua" w:cs="Arial"/>
        </w:rPr>
        <w:t xml:space="preserve">es 16 régions.    </w:t>
      </w:r>
    </w:p>
    <w:p w:rsidR="002678CB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 dépenses de consommation finale des ménages</w:t>
      </w:r>
      <w:r w:rsidR="002678CB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2678CB">
        <w:rPr>
          <w:rFonts w:ascii="Book Antiqua" w:hAnsi="Book Antiqua" w:cs="Arial"/>
        </w:rPr>
        <w:t>rapportées au total des populations régionales,</w:t>
      </w:r>
      <w:r>
        <w:rPr>
          <w:rFonts w:ascii="Book Antiqua" w:hAnsi="Book Antiqua" w:cs="Arial"/>
        </w:rPr>
        <w:t xml:space="preserve"> présentent </w:t>
      </w:r>
      <w:r w:rsidR="002678CB">
        <w:rPr>
          <w:rFonts w:ascii="Book Antiqua" w:hAnsi="Book Antiqua" w:cs="Arial"/>
        </w:rPr>
        <w:t xml:space="preserve">également une hausse </w:t>
      </w:r>
      <w:r>
        <w:rPr>
          <w:rFonts w:ascii="Book Antiqua" w:hAnsi="Book Antiqua" w:cs="Arial"/>
        </w:rPr>
        <w:t xml:space="preserve">des disparités </w:t>
      </w:r>
      <w:r w:rsidR="002678CB">
        <w:rPr>
          <w:rFonts w:ascii="Book Antiqua" w:hAnsi="Book Antiqua" w:cs="Arial"/>
        </w:rPr>
        <w:t>e</w:t>
      </w:r>
      <w:r>
        <w:rPr>
          <w:rFonts w:ascii="Book Antiqua" w:hAnsi="Book Antiqua" w:cs="Arial"/>
        </w:rPr>
        <w:t xml:space="preserve">ntre les régions. </w:t>
      </w:r>
    </w:p>
    <w:p w:rsidR="00F21D3F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Quatre régions affichent des</w:t>
      </w:r>
      <w:r w:rsidRPr="00981185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 par tête supérieurs à la moyenne nationale (16263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>)</w:t>
      </w:r>
      <w:r w:rsidR="008B5472">
        <w:rPr>
          <w:rFonts w:ascii="Book Antiqua" w:hAnsi="Book Antiqua" w:cs="Arial"/>
        </w:rPr>
        <w:t>. I</w:t>
      </w:r>
      <w:r>
        <w:rPr>
          <w:rFonts w:ascii="Book Antiqua" w:hAnsi="Book Antiqua" w:cs="Arial"/>
        </w:rPr>
        <w:t>l s’agit de la région d’</w:t>
      </w:r>
      <w:r w:rsidRPr="00981185">
        <w:rPr>
          <w:rFonts w:ascii="Book Antiqua" w:hAnsi="Book Antiqua" w:cs="Arial"/>
        </w:rPr>
        <w:t>Ed Dakhla-Oued ed Dahab</w:t>
      </w:r>
      <w:r>
        <w:rPr>
          <w:rFonts w:ascii="Book Antiqua" w:hAnsi="Book Antiqua" w:cs="Arial"/>
        </w:rPr>
        <w:t xml:space="preserve"> largement en tête avec (</w:t>
      </w:r>
      <w:r w:rsidRPr="00981185">
        <w:rPr>
          <w:rFonts w:ascii="Book Antiqua" w:hAnsi="Book Antiqua" w:cs="Arial"/>
        </w:rPr>
        <w:t xml:space="preserve">37641 </w:t>
      </w:r>
      <w:r>
        <w:rPr>
          <w:rFonts w:ascii="Book Antiqua" w:hAnsi="Book Antiqua" w:cs="Arial"/>
        </w:rPr>
        <w:t>DH), de l’Oriental (</w:t>
      </w:r>
      <w:r w:rsidR="005220DC">
        <w:rPr>
          <w:rFonts w:ascii="Book Antiqua" w:hAnsi="Book Antiqua" w:cs="Arial"/>
        </w:rPr>
        <w:t>19255</w:t>
      </w:r>
      <w:r>
        <w:rPr>
          <w:rFonts w:ascii="Book Antiqua" w:hAnsi="Book Antiqua" w:cs="Arial"/>
        </w:rPr>
        <w:t xml:space="preserve"> DH), de</w:t>
      </w:r>
      <w:r w:rsidRPr="00981185">
        <w:rPr>
          <w:rFonts w:ascii="Book Antiqua" w:hAnsi="Book Antiqua" w:cs="Arial"/>
        </w:rPr>
        <w:t xml:space="preserve"> </w:t>
      </w:r>
      <w:r w:rsidRPr="00C83249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(</w:t>
      </w:r>
      <w:r w:rsidRPr="00981185">
        <w:rPr>
          <w:rFonts w:ascii="Book Antiqua" w:hAnsi="Book Antiqua" w:cs="Arial"/>
        </w:rPr>
        <w:t>1863</w:t>
      </w:r>
      <w:r>
        <w:rPr>
          <w:rFonts w:ascii="Book Antiqua" w:hAnsi="Book Antiqua" w:cs="Arial"/>
        </w:rPr>
        <w:t xml:space="preserve">4 DH) et </w:t>
      </w:r>
      <w:r w:rsidRPr="00981185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</w:t>
      </w:r>
      <w:r w:rsidRPr="00C83249">
        <w:rPr>
          <w:rFonts w:ascii="Book Antiqua" w:hAnsi="Book Antiqua" w:cs="Arial"/>
        </w:rPr>
        <w:t xml:space="preserve"> </w:t>
      </w:r>
      <w:r w:rsidRPr="0073084F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(</w:t>
      </w:r>
      <w:r w:rsidRPr="00981185">
        <w:rPr>
          <w:rFonts w:ascii="Book Antiqua" w:hAnsi="Book Antiqua" w:cs="Arial"/>
        </w:rPr>
        <w:t>1820</w:t>
      </w:r>
      <w:r>
        <w:rPr>
          <w:rFonts w:ascii="Book Antiqua" w:hAnsi="Book Antiqua" w:cs="Arial"/>
        </w:rPr>
        <w:t>1 DH).</w:t>
      </w:r>
    </w:p>
    <w:p w:rsidR="00F21D3F" w:rsidRPr="00E9771B" w:rsidRDefault="00F21D3F" w:rsidP="00F8541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restantes ont des </w:t>
      </w:r>
      <w:r w:rsidRPr="00AC52D2">
        <w:rPr>
          <w:rFonts w:ascii="Book Antiqua" w:hAnsi="Book Antiqua" w:cs="Arial"/>
        </w:rPr>
        <w:t>DCFM</w:t>
      </w:r>
      <w:r>
        <w:rPr>
          <w:rFonts w:ascii="Book Antiqua" w:hAnsi="Book Antiqua" w:cs="Arial"/>
        </w:rPr>
        <w:t xml:space="preserve"> par tête </w:t>
      </w:r>
      <w:r w:rsidR="008B5472">
        <w:rPr>
          <w:rFonts w:ascii="Book Antiqua" w:hAnsi="Book Antiqua" w:cs="Arial"/>
        </w:rPr>
        <w:t xml:space="preserve">comprises </w:t>
      </w:r>
      <w:r>
        <w:rPr>
          <w:rFonts w:ascii="Book Antiqua" w:hAnsi="Book Antiqua" w:cs="Arial"/>
        </w:rPr>
        <w:t>entre</w:t>
      </w:r>
      <w:r w:rsidRPr="00981185">
        <w:t xml:space="preserve"> </w:t>
      </w:r>
      <w:r w:rsidRPr="00981185">
        <w:rPr>
          <w:rFonts w:ascii="Book Antiqua" w:hAnsi="Book Antiqua" w:cs="Arial"/>
        </w:rPr>
        <w:t>12204</w:t>
      </w:r>
      <w:r>
        <w:rPr>
          <w:rFonts w:ascii="Book Antiqua" w:hAnsi="Book Antiqua" w:cs="Arial"/>
        </w:rPr>
        <w:t xml:space="preserve"> DH à </w:t>
      </w:r>
      <w:r w:rsidRPr="00981185">
        <w:rPr>
          <w:rFonts w:ascii="Book Antiqua" w:hAnsi="Book Antiqua" w:cs="Arial"/>
        </w:rPr>
        <w:t>Béni Mellal-Khénifra</w:t>
      </w:r>
      <w:r>
        <w:rPr>
          <w:rFonts w:ascii="Book Antiqua" w:hAnsi="Book Antiqua" w:cs="Arial"/>
        </w:rPr>
        <w:t xml:space="preserve"> et </w:t>
      </w:r>
      <w:r w:rsidRPr="00981185">
        <w:rPr>
          <w:rFonts w:ascii="Book Antiqua" w:hAnsi="Book Antiqua" w:cs="Arial"/>
        </w:rPr>
        <w:t>1568</w:t>
      </w:r>
      <w:r>
        <w:rPr>
          <w:rFonts w:ascii="Book Antiqua" w:hAnsi="Book Antiqua" w:cs="Arial"/>
        </w:rPr>
        <w:t xml:space="preserve">8 à </w:t>
      </w:r>
      <w:r w:rsidRPr="00981185">
        <w:rPr>
          <w:rFonts w:ascii="Book Antiqua" w:hAnsi="Book Antiqua" w:cs="Arial"/>
        </w:rPr>
        <w:t>Fès-Meknès</w:t>
      </w:r>
      <w:r>
        <w:rPr>
          <w:rFonts w:ascii="Book Antiqua" w:hAnsi="Book Antiqua" w:cs="Arial"/>
        </w:rPr>
        <w:t>.</w:t>
      </w:r>
    </w:p>
    <w:p w:rsidR="002705E3" w:rsidRDefault="002678CB" w:rsidP="002705E3">
      <w:pPr>
        <w:autoSpaceDE w:val="0"/>
        <w:autoSpaceDN w:val="0"/>
        <w:adjustRightInd w:val="0"/>
        <w:spacing w:before="100" w:before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Globalement, l’écart d</w:t>
      </w:r>
      <w:r w:rsidR="00F21D3F">
        <w:rPr>
          <w:rFonts w:ascii="Book Antiqua" w:hAnsi="Book Antiqua" w:cs="Arial"/>
        </w:rPr>
        <w:t xml:space="preserve">es dépenses de consommation finale des ménages par habitant </w:t>
      </w:r>
      <w:r>
        <w:rPr>
          <w:rFonts w:ascii="Book Antiqua" w:hAnsi="Book Antiqua" w:cs="Arial"/>
        </w:rPr>
        <w:t>par rapport à la moyenne régionale  est de 3</w:t>
      </w:r>
      <w:r w:rsidR="00F07368">
        <w:rPr>
          <w:rFonts w:ascii="Book Antiqua" w:hAnsi="Book Antiqua" w:cs="Arial"/>
        </w:rPr>
        <w:t>609</w:t>
      </w:r>
      <w:r>
        <w:rPr>
          <w:rFonts w:ascii="Book Antiqua" w:hAnsi="Book Antiqua" w:cs="Arial"/>
        </w:rPr>
        <w:t xml:space="preserve"> DH au lieu de </w:t>
      </w:r>
      <w:r w:rsidRPr="00AC52D2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852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dans le </w:t>
      </w:r>
      <w:r w:rsidR="00F21D3F" w:rsidRPr="00E9771B">
        <w:rPr>
          <w:rFonts w:ascii="Book Antiqua" w:hAnsi="Book Antiqua" w:cs="Arial"/>
        </w:rPr>
        <w:t xml:space="preserve">découpage </w:t>
      </w:r>
      <w:r w:rsidR="00F21D3F">
        <w:rPr>
          <w:rFonts w:ascii="Book Antiqua" w:hAnsi="Book Antiqua" w:cs="Arial"/>
        </w:rPr>
        <w:t>en</w:t>
      </w:r>
      <w:r w:rsidR="00F21D3F" w:rsidRPr="00E9771B">
        <w:rPr>
          <w:rFonts w:ascii="Book Antiqua" w:hAnsi="Book Antiqua" w:cs="Arial"/>
        </w:rPr>
        <w:t xml:space="preserve"> 1</w:t>
      </w:r>
      <w:r w:rsidR="00F21D3F">
        <w:rPr>
          <w:rFonts w:ascii="Book Antiqua" w:hAnsi="Book Antiqua" w:cs="Arial"/>
        </w:rPr>
        <w:t>6</w:t>
      </w:r>
      <w:r w:rsidR="00F21D3F" w:rsidRPr="00E9771B">
        <w:rPr>
          <w:rFonts w:ascii="Book Antiqua" w:hAnsi="Book Antiqua" w:cs="Arial"/>
        </w:rPr>
        <w:t xml:space="preserve"> régions</w:t>
      </w:r>
      <w:r w:rsidR="00F21D3F">
        <w:rPr>
          <w:rFonts w:ascii="Book Antiqua" w:hAnsi="Book Antiqua" w:cs="Arial"/>
        </w:rPr>
        <w:t>.</w:t>
      </w:r>
    </w:p>
    <w:p w:rsidR="00CA067A" w:rsidRDefault="00D47DB0" w:rsidP="002705E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br w:type="page"/>
      </w:r>
    </w:p>
    <w:p w:rsidR="00D47DB0" w:rsidRDefault="00D47DB0" w:rsidP="00D47DB0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CA067A" w:rsidRDefault="00CA067A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53667B" w:rsidRDefault="0053667B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CA067A" w:rsidRDefault="00CA067A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940D8A" w:rsidRPr="002705E3" w:rsidRDefault="00940D8A" w:rsidP="008B5472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/>
          <w:b/>
          <w:bCs/>
          <w:color w:val="993265"/>
          <w:w w:val="104"/>
          <w:sz w:val="64"/>
          <w:szCs w:val="64"/>
        </w:rPr>
      </w:pPr>
      <w:r w:rsidRPr="002705E3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>TABLEAUX DES RESULTATS</w:t>
      </w:r>
      <w:r w:rsidRPr="002705E3">
        <w:rPr>
          <w:rFonts w:ascii="Book Antiqua" w:hAnsi="Book Antiqua"/>
          <w:b/>
          <w:bCs/>
          <w:color w:val="993265"/>
          <w:w w:val="104"/>
          <w:sz w:val="64"/>
          <w:szCs w:val="64"/>
        </w:rPr>
        <w:t xml:space="preserve"> </w:t>
      </w:r>
    </w:p>
    <w:p w:rsidR="004D7693" w:rsidRDefault="004D7693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Default="004D7693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4D7693" w:rsidRPr="00AC52D2" w:rsidRDefault="004D7693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78374F" w:rsidRPr="00AC52D2" w:rsidRDefault="0078374F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Pr="00AC52D2" w:rsidRDefault="00F84B2E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84B2E" w:rsidRDefault="00F84B2E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30475" w:rsidRDefault="00F30475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F30475" w:rsidRDefault="00F30475" w:rsidP="008B5472">
      <w:pPr>
        <w:tabs>
          <w:tab w:val="num" w:pos="720"/>
        </w:tabs>
        <w:spacing w:before="100" w:beforeAutospacing="1" w:after="100" w:afterAutospacing="1"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E15A3A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E15A3A" w:rsidRDefault="00E15A3A" w:rsidP="00E15A3A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E15A3A" w:rsidRDefault="00E15A3A" w:rsidP="00E15A3A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E15A3A" w:rsidRDefault="00E15A3A" w:rsidP="00E15A3A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E15A3A" w:rsidRPr="002705E3" w:rsidRDefault="00E15A3A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/>
          <w:b/>
          <w:bCs/>
          <w:color w:val="993265"/>
          <w:w w:val="104"/>
          <w:sz w:val="64"/>
          <w:szCs w:val="64"/>
        </w:rPr>
      </w:pPr>
      <w:r w:rsidRPr="002705E3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 xml:space="preserve">COMPTES RELATIFS AUX 16 REGIONS </w:t>
      </w:r>
    </w:p>
    <w:p w:rsidR="00F30475" w:rsidRDefault="00F30475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8B5472">
      <w:pPr>
        <w:tabs>
          <w:tab w:val="num" w:pos="720"/>
        </w:tabs>
        <w:spacing w:before="100" w:beforeAutospacing="1" w:after="100" w:afterAutospacing="1"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CA067A" w:rsidRDefault="00CA067A" w:rsidP="00E15A3A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CA067A" w:rsidRPr="00AC52D2" w:rsidRDefault="00CA067A" w:rsidP="00E15A3A">
      <w:pPr>
        <w:tabs>
          <w:tab w:val="num" w:pos="720"/>
        </w:tabs>
        <w:spacing w:line="320" w:lineRule="exact"/>
        <w:ind w:firstLine="851"/>
        <w:jc w:val="center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CA067A" w:rsidRPr="00AC52D2" w:rsidSect="00D47DB0">
          <w:headerReference w:type="default" r:id="rId11"/>
          <w:footerReference w:type="default" r:id="rId12"/>
          <w:type w:val="nextColumn"/>
          <w:pgSz w:w="11900" w:h="16840"/>
          <w:pgMar w:top="624" w:right="1134" w:bottom="1247" w:left="1304" w:header="720" w:footer="972" w:gutter="0"/>
          <w:cols w:space="720"/>
          <w:noEndnote/>
        </w:sectPr>
      </w:pPr>
    </w:p>
    <w:tbl>
      <w:tblPr>
        <w:tblW w:w="13577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64"/>
        <w:gridCol w:w="4650"/>
        <w:gridCol w:w="1389"/>
        <w:gridCol w:w="1389"/>
        <w:gridCol w:w="1612"/>
        <w:gridCol w:w="1368"/>
        <w:gridCol w:w="1168"/>
        <w:gridCol w:w="1337"/>
      </w:tblGrid>
      <w:tr w:rsidR="00E15A3A" w:rsidRPr="00996420" w:rsidTr="0053667B">
        <w:trPr>
          <w:trHeight w:val="480"/>
          <w:jc w:val="center"/>
        </w:trPr>
        <w:tc>
          <w:tcPr>
            <w:tcW w:w="13577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D47DB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</w:pPr>
            <w:bookmarkStart w:id="0" w:name="OLE_LINK1"/>
            <w:r w:rsidRPr="00D47DB0"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  <w:lastRenderedPageBreak/>
              <w:t xml:space="preserve">Produit intérieur brut par région 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314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99642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314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99642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9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50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par tête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314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99642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36271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35862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35258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33864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60944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69252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17220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19303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33565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37312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18607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20466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63829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62111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36629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35415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62961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66945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18805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19792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38612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42796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19155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21095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194896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211258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23,0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23,4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49320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52903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108522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104380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40876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38771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50481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59979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24162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28521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22337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24665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14735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16192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47305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48942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21171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21740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34034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35449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19245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19771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46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24461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24401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13058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12966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68299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76643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22534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24905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531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38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6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3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531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847881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901366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26011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27356</w:t>
            </w:r>
          </w:p>
        </w:tc>
      </w:tr>
    </w:tbl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3623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562"/>
        <w:gridCol w:w="4698"/>
        <w:gridCol w:w="1390"/>
        <w:gridCol w:w="1390"/>
        <w:gridCol w:w="1614"/>
        <w:gridCol w:w="1418"/>
        <w:gridCol w:w="1134"/>
        <w:gridCol w:w="1417"/>
      </w:tblGrid>
      <w:tr w:rsidR="00E15A3A" w:rsidRPr="00996420" w:rsidTr="0053667B">
        <w:trPr>
          <w:trHeight w:val="480"/>
          <w:jc w:val="center"/>
        </w:trPr>
        <w:tc>
          <w:tcPr>
            <w:tcW w:w="13623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D47DB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  <w:lastRenderedPageBreak/>
              <w:t xml:space="preserve">Dépenses de consommation finale des ménages par région 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2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7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03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52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18198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19467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3,58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3,63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17690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18382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52129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55088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14729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15355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21249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22388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4,18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4,18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11780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12280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24568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25613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14099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14604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44375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46686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8,73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13254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13803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37612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39820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18659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19628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86347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90924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16,99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16,97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21851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22769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44202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46783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16649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17377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28992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30528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5,71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5,70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13876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14516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16290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16850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10746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11062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31074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32739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6,12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6,11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13907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14543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26116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27773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14768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15490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9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20123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21030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3,96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10742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11175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6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99642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56849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60171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18756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19553</w:t>
            </w:r>
          </w:p>
        </w:tc>
      </w:tr>
      <w:tr w:rsidR="008D6A72" w:rsidRPr="00996420" w:rsidTr="0053667B">
        <w:trPr>
          <w:trHeight w:val="345"/>
          <w:jc w:val="center"/>
        </w:trPr>
        <w:tc>
          <w:tcPr>
            <w:tcW w:w="526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D6A72" w:rsidRPr="00407830" w:rsidRDefault="008D6A72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508124</w:t>
            </w:r>
          </w:p>
        </w:tc>
        <w:tc>
          <w:tcPr>
            <w:tcW w:w="13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535861</w:t>
            </w:r>
          </w:p>
        </w:tc>
        <w:tc>
          <w:tcPr>
            <w:tcW w:w="16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D6A72" w:rsidRDefault="008D6A72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D6A72" w:rsidRPr="00407830" w:rsidRDefault="008D6A72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16 263</w:t>
            </w:r>
          </w:p>
        </w:tc>
      </w:tr>
    </w:tbl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173" w:type="dxa"/>
        <w:jc w:val="center"/>
        <w:tblCellMar>
          <w:left w:w="70" w:type="dxa"/>
          <w:right w:w="70" w:type="dxa"/>
        </w:tblCellMar>
        <w:tblLook w:val="04A0"/>
      </w:tblPr>
      <w:tblGrid>
        <w:gridCol w:w="604"/>
        <w:gridCol w:w="3774"/>
        <w:gridCol w:w="1262"/>
        <w:gridCol w:w="1262"/>
        <w:gridCol w:w="1262"/>
        <w:gridCol w:w="1262"/>
        <w:gridCol w:w="1262"/>
        <w:gridCol w:w="1262"/>
        <w:gridCol w:w="1129"/>
        <w:gridCol w:w="1094"/>
      </w:tblGrid>
      <w:tr w:rsidR="00E15A3A" w:rsidRPr="00996420" w:rsidTr="0053667B">
        <w:trPr>
          <w:trHeight w:val="540"/>
          <w:jc w:val="center"/>
        </w:trPr>
        <w:tc>
          <w:tcPr>
            <w:tcW w:w="14173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D47DB0" w:rsidRDefault="00E15A3A" w:rsidP="00192A9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40"/>
                <w:szCs w:val="40"/>
              </w:rPr>
            </w:pPr>
            <w:r w:rsidRPr="00D47DB0">
              <w:rPr>
                <w:rFonts w:ascii="Calibri" w:hAnsi="Calibri" w:cs="Calibri"/>
                <w:b/>
                <w:bCs/>
                <w:color w:val="FFFFFF"/>
                <w:sz w:val="40"/>
                <w:szCs w:val="40"/>
              </w:rPr>
              <w:t>Produit intérieur brut par secteurs d'activité et par région (en millions de DH)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37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5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22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37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7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5933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4727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7476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6281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22549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23978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876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11565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14044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12015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12924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32558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34822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4806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7462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10229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11605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7027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7200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14042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15274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2267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3233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7823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9818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33760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29972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17804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18154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4441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4166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10512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12223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15558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15629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32107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33038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4784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6055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6002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6981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8060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8541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21618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22020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2933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5255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1947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2560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61820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70480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117347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119794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13783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18424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6764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9733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14081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14261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79622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75250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8055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5135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7876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10043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21194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23525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17753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20463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3658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5948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6484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7842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3435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3864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10371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10604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2047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2355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10480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11111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10587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10523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21769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22685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4469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4623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3802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4718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7390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7396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19078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19384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3765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3950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7459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7574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2642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2358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11804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11822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2557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2646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6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7665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8228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18858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22899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33585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36136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8190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9380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37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26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8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37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4078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104540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121206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223903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235854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453370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464796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66068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79510</w:t>
            </w:r>
          </w:p>
        </w:tc>
      </w:tr>
    </w:tbl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245" w:type="dxa"/>
        <w:jc w:val="center"/>
        <w:tblCellMar>
          <w:left w:w="70" w:type="dxa"/>
          <w:right w:w="70" w:type="dxa"/>
        </w:tblCellMar>
        <w:tblLook w:val="04A0"/>
      </w:tblPr>
      <w:tblGrid>
        <w:gridCol w:w="710"/>
        <w:gridCol w:w="3613"/>
        <w:gridCol w:w="1276"/>
        <w:gridCol w:w="1275"/>
        <w:gridCol w:w="1276"/>
        <w:gridCol w:w="1276"/>
        <w:gridCol w:w="1276"/>
        <w:gridCol w:w="1275"/>
        <w:gridCol w:w="1130"/>
        <w:gridCol w:w="1138"/>
      </w:tblGrid>
      <w:tr w:rsidR="00E15A3A" w:rsidRPr="00996420" w:rsidTr="0053667B">
        <w:trPr>
          <w:trHeight w:val="480"/>
          <w:jc w:val="center"/>
        </w:trPr>
        <w:tc>
          <w:tcPr>
            <w:tcW w:w="14245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D47DB0" w:rsidRDefault="00E15A3A" w:rsidP="00192A9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  <w:t>Structure du PIB par région et par secteurs d'activité  (en %)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32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2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99642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2B50F2" w:rsidRPr="00996420" w:rsidTr="0053667B">
        <w:trPr>
          <w:trHeight w:val="315"/>
          <w:jc w:val="center"/>
        </w:trPr>
        <w:tc>
          <w:tcPr>
            <w:tcW w:w="432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2B50F2" w:rsidRPr="0053667B" w:rsidRDefault="002B50F2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B50F2" w:rsidRPr="00996420" w:rsidRDefault="002B50F2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27,6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29,9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25,8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23,2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17,6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1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1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32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32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53667B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53667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99642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99642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E15A3A" w:rsidRDefault="00E15A3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tbl>
      <w:tblPr>
        <w:tblW w:w="1420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728"/>
        <w:gridCol w:w="3540"/>
        <w:gridCol w:w="1276"/>
        <w:gridCol w:w="1275"/>
        <w:gridCol w:w="1276"/>
        <w:gridCol w:w="1276"/>
        <w:gridCol w:w="1276"/>
        <w:gridCol w:w="1275"/>
        <w:gridCol w:w="1134"/>
        <w:gridCol w:w="1146"/>
      </w:tblGrid>
      <w:tr w:rsidR="00E15A3A" w:rsidRPr="00996420" w:rsidTr="0053667B">
        <w:trPr>
          <w:trHeight w:val="480"/>
          <w:jc w:val="center"/>
        </w:trPr>
        <w:tc>
          <w:tcPr>
            <w:tcW w:w="14202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E15A3A" w:rsidRPr="000F43C8" w:rsidRDefault="00E15A3A" w:rsidP="00192A9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</w:pPr>
            <w:r w:rsidRPr="000F43C8">
              <w:rPr>
                <w:rFonts w:ascii="Calibri" w:hAnsi="Calibri" w:cs="Calibri"/>
                <w:b/>
                <w:bCs/>
                <w:color w:val="FFFFFF"/>
                <w:sz w:val="36"/>
                <w:szCs w:val="36"/>
              </w:rPr>
              <w:t>Structure du PIB par secteur d'activité et par région (en %)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E15A3A" w:rsidRPr="00996420" w:rsidRDefault="00E15A3A" w:rsidP="00192A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642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26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2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E15A3A" w:rsidRPr="00996420" w:rsidTr="0053667B">
        <w:trPr>
          <w:trHeight w:val="315"/>
          <w:jc w:val="center"/>
        </w:trPr>
        <w:tc>
          <w:tcPr>
            <w:tcW w:w="426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2B50F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15A3A" w:rsidRPr="00407830" w:rsidRDefault="00E15A3A" w:rsidP="0053667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</w:t>
            </w:r>
            <w:r w:rsidR="002B50F2"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Sud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62,2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66,9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 - Massa – Daraâ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53,4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Gharb - Chrarda - Béni Hssen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40,9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Chaouia – Ouardigha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52,9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48,3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27,9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 - Tensift - Al Haouz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18,3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24,7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23,3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51,0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49,4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56,0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Grand Casablanca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33,4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60,2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56,7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 - Salé - Zemmour – Zaer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73,4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Doukala – Abda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39,2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35,2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34,1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Tadla -   Azilal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Meknès – Tafilalet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22,2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46,4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 – Boulemane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21,7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56,1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5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Taza - Al Hoceïma – Taounate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48,3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48,4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7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 – Tétouan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27,6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29,9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49,2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47,1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07830">
              <w:rPr>
                <w:rFonts w:ascii="Calibri" w:hAnsi="Calibri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46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E15A3A" w:rsidRPr="00996420" w:rsidTr="0053667B">
        <w:trPr>
          <w:trHeight w:val="345"/>
          <w:jc w:val="center"/>
        </w:trPr>
        <w:tc>
          <w:tcPr>
            <w:tcW w:w="426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15A3A" w:rsidRPr="00407830" w:rsidRDefault="00E15A3A" w:rsidP="00192A9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07830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</w:tr>
      <w:bookmarkEnd w:id="0"/>
    </w:tbl>
    <w:p w:rsidR="002314B5" w:rsidRDefault="002314B5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2314B5" w:rsidSect="00E15A3A">
          <w:pgSz w:w="16840" w:h="11900" w:orient="landscape"/>
          <w:pgMar w:top="1304" w:right="624" w:bottom="680" w:left="1247" w:header="720" w:footer="720" w:gutter="0"/>
          <w:cols w:space="720"/>
          <w:noEndnote/>
          <w:docGrid w:linePitch="326"/>
        </w:sectPr>
      </w:pPr>
    </w:p>
    <w:p w:rsidR="002314B5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2314B5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2314B5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2314B5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color w:val="993265"/>
          <w:w w:val="99"/>
          <w:sz w:val="64"/>
          <w:szCs w:val="64"/>
        </w:rPr>
      </w:pPr>
    </w:p>
    <w:p w:rsidR="002314B5" w:rsidRPr="0053667B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</w:pPr>
    </w:p>
    <w:p w:rsidR="002314B5" w:rsidRPr="0053667B" w:rsidRDefault="002314B5" w:rsidP="002314B5">
      <w:pPr>
        <w:widowControl w:val="0"/>
        <w:autoSpaceDE w:val="0"/>
        <w:autoSpaceDN w:val="0"/>
        <w:adjustRightInd w:val="0"/>
        <w:spacing w:before="100" w:beforeAutospacing="1" w:after="100" w:afterAutospacing="1" w:line="330" w:lineRule="atLeast"/>
        <w:ind w:left="110" w:right="82" w:hanging="1"/>
        <w:jc w:val="center"/>
        <w:rPr>
          <w:rFonts w:ascii="Book Antiqua" w:hAnsi="Book Antiqua"/>
          <w:b/>
          <w:bCs/>
          <w:color w:val="993265"/>
          <w:w w:val="104"/>
          <w:sz w:val="64"/>
          <w:szCs w:val="64"/>
        </w:rPr>
      </w:pPr>
      <w:r w:rsidRPr="0053667B">
        <w:rPr>
          <w:rFonts w:ascii="Book Antiqua" w:hAnsi="Book Antiqua" w:cs="Arial"/>
          <w:b/>
          <w:bCs/>
          <w:color w:val="993265"/>
          <w:w w:val="99"/>
          <w:sz w:val="64"/>
          <w:szCs w:val="64"/>
        </w:rPr>
        <w:t xml:space="preserve">COMPTES RELATIFS AUX 12 REGIONS </w:t>
      </w:r>
    </w:p>
    <w:p w:rsidR="002314B5" w:rsidRDefault="002314B5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2314B5" w:rsidSect="002314B5">
          <w:pgSz w:w="11900" w:h="16840"/>
          <w:pgMar w:top="1247" w:right="1304" w:bottom="624" w:left="680" w:header="720" w:footer="720" w:gutter="0"/>
          <w:cols w:space="720"/>
          <w:noEndnote/>
          <w:docGrid w:linePitch="326"/>
        </w:sectPr>
      </w:pP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333"/>
        <w:gridCol w:w="1545"/>
        <w:gridCol w:w="1560"/>
        <w:gridCol w:w="1605"/>
        <w:gridCol w:w="1605"/>
        <w:gridCol w:w="1623"/>
        <w:gridCol w:w="1559"/>
      </w:tblGrid>
      <w:tr w:rsidR="000F43C8" w:rsidRPr="00FF2B68" w:rsidTr="00D47DB0">
        <w:trPr>
          <w:trHeight w:val="485"/>
          <w:jc w:val="center"/>
        </w:trPr>
        <w:tc>
          <w:tcPr>
            <w:tcW w:w="14190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</w:pPr>
            <w:r w:rsidRPr="000F43C8"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  <w:lastRenderedPageBreak/>
              <w:t>Produit intérieur brut par région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4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0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321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31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par tête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73022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80493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21163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22999</w:t>
            </w:r>
          </w:p>
        </w:tc>
      </w:tr>
      <w:tr w:rsidR="005405A7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39395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44203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17768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19801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79483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81724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20067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20438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142167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142061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16,8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31885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31462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63442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59599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23658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22118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258984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289886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40697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45117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81782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85668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19234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19973</w:t>
            </w:r>
          </w:p>
        </w:tc>
      </w:tr>
      <w:tr w:rsidR="005405A7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24126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24143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15696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15616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51969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58090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19661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21626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10136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11293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22550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24874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14811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13862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37398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34167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7200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8972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38533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44221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54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2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847881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901366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27356</w:t>
            </w:r>
          </w:p>
        </w:tc>
      </w:tr>
    </w:tbl>
    <w:p w:rsidR="000F43C8" w:rsidRDefault="000F43C8">
      <w:r>
        <w:br w:type="page"/>
      </w: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333"/>
        <w:gridCol w:w="1559"/>
        <w:gridCol w:w="1560"/>
        <w:gridCol w:w="1605"/>
        <w:gridCol w:w="1605"/>
        <w:gridCol w:w="1609"/>
        <w:gridCol w:w="1559"/>
      </w:tblGrid>
      <w:tr w:rsidR="000F43C8" w:rsidRPr="00FF2B68" w:rsidTr="00D47DB0">
        <w:trPr>
          <w:trHeight w:val="485"/>
          <w:jc w:val="center"/>
        </w:trPr>
        <w:tc>
          <w:tcPr>
            <w:tcW w:w="14190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D47DB0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ascii="Book Antiqua" w:hAnsi="Book Antiqua" w:cs="Calibri"/>
                <w:b/>
                <w:bCs/>
                <w:color w:val="FFFFFF"/>
                <w:sz w:val="36"/>
                <w:szCs w:val="36"/>
              </w:rPr>
              <w:lastRenderedPageBreak/>
              <w:t>Dépenses de consommation finale des ménages par région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311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321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31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3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60292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63702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17474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18201</w:t>
            </w:r>
          </w:p>
        </w:tc>
      </w:tr>
      <w:tr w:rsidR="005405A7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Oriental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40601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42985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18312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19255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59360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62730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14987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15688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65496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69171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14689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15319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31810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32885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11862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12204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113966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119725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22,3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17909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18634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59660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62996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14032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14687</w:t>
            </w:r>
          </w:p>
        </w:tc>
      </w:tr>
      <w:tr w:rsidR="005405A7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20028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20993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13030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13579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38406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40666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14530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15139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5923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6238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13176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13740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3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5794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6133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14629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15118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6787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7637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36323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37641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693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508124</w:t>
            </w:r>
          </w:p>
        </w:tc>
        <w:tc>
          <w:tcPr>
            <w:tcW w:w="15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535861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15588</w:t>
            </w:r>
          </w:p>
        </w:tc>
        <w:tc>
          <w:tcPr>
            <w:tcW w:w="155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16 263</w:t>
            </w:r>
          </w:p>
        </w:tc>
      </w:tr>
    </w:tbl>
    <w:p w:rsidR="000F43C8" w:rsidRDefault="000F43C8">
      <w:r>
        <w:br w:type="page"/>
      </w: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050"/>
        <w:gridCol w:w="1134"/>
        <w:gridCol w:w="1134"/>
        <w:gridCol w:w="1275"/>
        <w:gridCol w:w="1276"/>
        <w:gridCol w:w="1276"/>
        <w:gridCol w:w="1276"/>
        <w:gridCol w:w="1275"/>
        <w:gridCol w:w="1134"/>
      </w:tblGrid>
      <w:tr w:rsidR="000F43C8" w:rsidRPr="00FF2B68" w:rsidTr="00D47DB0">
        <w:trPr>
          <w:trHeight w:val="545"/>
          <w:jc w:val="center"/>
        </w:trPr>
        <w:tc>
          <w:tcPr>
            <w:tcW w:w="1419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D47DB0" w:rsidRDefault="000F43C8" w:rsidP="000F43C8">
            <w:pPr>
              <w:jc w:val="center"/>
              <w:rPr>
                <w:rFonts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cs="Calibri"/>
                <w:b/>
                <w:bCs/>
                <w:color w:val="FFFFFF"/>
                <w:sz w:val="36"/>
                <w:szCs w:val="36"/>
              </w:rPr>
              <w:lastRenderedPageBreak/>
              <w:t>Produit intérieur brut par secteurs d'activité et par région (en millions de DH)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0F43C8" w:rsidRPr="00FF2B68" w:rsidRDefault="000F43C8" w:rsidP="00DA3FFE">
            <w:pPr>
              <w:rPr>
                <w:rFonts w:cs="Calibri"/>
                <w:color w:val="000000"/>
              </w:rPr>
            </w:pPr>
            <w:r w:rsidRPr="00FF2B68">
              <w:rPr>
                <w:rFonts w:cs="Calibri"/>
                <w:color w:val="000000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0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9086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10071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19334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22072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35839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38562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8763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9789</w:t>
            </w:r>
          </w:p>
        </w:tc>
      </w:tr>
      <w:tr w:rsidR="005405A7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5865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8157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9841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23103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22725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5770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17352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17386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17935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15456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36842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39915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7355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8968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17728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22043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21135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20961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92983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90633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8424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10736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12890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26535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22660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21509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19995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4662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4053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13535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16845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87325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101634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139139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146182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25225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13684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15011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21696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21480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40035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40669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6367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8507</w:t>
            </w:r>
          </w:p>
        </w:tc>
      </w:tr>
      <w:tr w:rsidR="005405A7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05A7" w:rsidRPr="000F43C8" w:rsidRDefault="005405A7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3332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4322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3445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4160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14653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13159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2696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405A7" w:rsidRDefault="005405A7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2504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10591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12853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10975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10117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26833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29412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3570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5708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7838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673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1051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1358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5609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4743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8245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7876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-94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-115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5251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6458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1363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1372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104540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121206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223903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235854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453370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464796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66068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79510</w:t>
            </w:r>
          </w:p>
        </w:tc>
      </w:tr>
    </w:tbl>
    <w:p w:rsidR="000F43C8" w:rsidRDefault="000F43C8">
      <w:r>
        <w:br w:type="page"/>
      </w: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050"/>
        <w:gridCol w:w="1129"/>
        <w:gridCol w:w="1130"/>
        <w:gridCol w:w="1285"/>
        <w:gridCol w:w="1276"/>
        <w:gridCol w:w="1275"/>
        <w:gridCol w:w="1276"/>
        <w:gridCol w:w="1275"/>
        <w:gridCol w:w="1134"/>
      </w:tblGrid>
      <w:tr w:rsidR="000F43C8" w:rsidRPr="00FF2B68" w:rsidTr="00D47DB0">
        <w:trPr>
          <w:trHeight w:val="485"/>
          <w:jc w:val="center"/>
        </w:trPr>
        <w:tc>
          <w:tcPr>
            <w:tcW w:w="1419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D47DB0" w:rsidRDefault="000F43C8" w:rsidP="000F43C8">
            <w:pPr>
              <w:jc w:val="center"/>
              <w:rPr>
                <w:rFonts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cs="Calibri"/>
                <w:b/>
                <w:bCs/>
                <w:color w:val="FFFFFF"/>
                <w:sz w:val="36"/>
                <w:szCs w:val="36"/>
              </w:rPr>
              <w:lastRenderedPageBreak/>
              <w:t>Structure du PIB par région et par secteurs d'activité  (en %)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5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6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0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</w:tr>
      <w:tr w:rsidR="002A0186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186" w:rsidRPr="000F43C8" w:rsidRDefault="002A0186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186" w:rsidRPr="000F43C8" w:rsidRDefault="002A0186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16,6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18,2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39,0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43,1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31,7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</w:tr>
      <w:tr w:rsidR="002A0186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186" w:rsidRPr="000F43C8" w:rsidRDefault="002A0186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0186" w:rsidRPr="000F43C8" w:rsidRDefault="002A0186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A0186" w:rsidRDefault="002A0186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0F43C8" w:rsidRDefault="000F43C8">
      <w:r>
        <w:br w:type="page"/>
      </w:r>
    </w:p>
    <w:tbl>
      <w:tblPr>
        <w:tblW w:w="1419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0"/>
        <w:gridCol w:w="4050"/>
        <w:gridCol w:w="1129"/>
        <w:gridCol w:w="1130"/>
        <w:gridCol w:w="1284"/>
        <w:gridCol w:w="1276"/>
        <w:gridCol w:w="1276"/>
        <w:gridCol w:w="1276"/>
        <w:gridCol w:w="1275"/>
        <w:gridCol w:w="1134"/>
      </w:tblGrid>
      <w:tr w:rsidR="000F43C8" w:rsidRPr="00FF2B68" w:rsidTr="00D47DB0">
        <w:trPr>
          <w:trHeight w:val="485"/>
          <w:jc w:val="center"/>
        </w:trPr>
        <w:tc>
          <w:tcPr>
            <w:tcW w:w="1419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F43C8" w:rsidRPr="00D47DB0" w:rsidRDefault="000F43C8" w:rsidP="000F43C8">
            <w:pPr>
              <w:jc w:val="center"/>
              <w:rPr>
                <w:rFonts w:cs="Calibri"/>
                <w:b/>
                <w:bCs/>
                <w:color w:val="FFFFFF"/>
                <w:sz w:val="36"/>
                <w:szCs w:val="36"/>
              </w:rPr>
            </w:pPr>
            <w:r w:rsidRPr="00D47DB0">
              <w:rPr>
                <w:rFonts w:cs="Calibri"/>
                <w:b/>
                <w:bCs/>
                <w:color w:val="FFFFFF"/>
                <w:sz w:val="36"/>
                <w:szCs w:val="36"/>
              </w:rPr>
              <w:lastRenderedPageBreak/>
              <w:t>Structure du PIB par secteur d'activité et par région (en %)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0F43C8" w:rsidRPr="000F43C8" w:rsidRDefault="000F43C8" w:rsidP="000F43C8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25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5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55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40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0F43C8" w:rsidRPr="00FF2B68" w:rsidTr="00D47DB0">
        <w:trPr>
          <w:trHeight w:val="318"/>
          <w:jc w:val="center"/>
        </w:trPr>
        <w:tc>
          <w:tcPr>
            <w:tcW w:w="441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0F43C8" w:rsidRPr="000F43C8" w:rsidRDefault="000F43C8" w:rsidP="00DA3FFE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27,4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49,1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47,9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</w:tr>
      <w:tr w:rsidR="006121A4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1A4" w:rsidRPr="000F43C8" w:rsidRDefault="006121A4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1A4" w:rsidRPr="000F43C8" w:rsidRDefault="006121A4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22,3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58,6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51,4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21,8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21,3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46,4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48,8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15,5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65,4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63,8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16,9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21,6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38,0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33,9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33,7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35,1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53,7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50,4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25,1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49,0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47,5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</w:tr>
      <w:tr w:rsidR="006121A4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1A4" w:rsidRPr="000F43C8" w:rsidRDefault="006121A4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21A4" w:rsidRPr="000F43C8" w:rsidRDefault="006121A4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60,7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121A4" w:rsidRDefault="006121A4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20,4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22,1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21,1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50,6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74,7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69,4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5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37,9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34,2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55,7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56,8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-0,8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lang w:val="en-US"/>
              </w:rPr>
              <w:t>Ed Dakhla-Oued ed Dahab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20,7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18,9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72,9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72,0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1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27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rPr>
                <w:rFonts w:cs="Calibri"/>
                <w:color w:val="000000"/>
                <w:sz w:val="22"/>
                <w:szCs w:val="22"/>
              </w:rPr>
            </w:pPr>
            <w:r w:rsidRPr="000F43C8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0F43C8" w:rsidRPr="00FF2B68" w:rsidTr="00D47DB0">
        <w:trPr>
          <w:trHeight w:val="348"/>
          <w:jc w:val="center"/>
        </w:trPr>
        <w:tc>
          <w:tcPr>
            <w:tcW w:w="441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F43C8" w:rsidRPr="000F43C8" w:rsidRDefault="000F43C8" w:rsidP="00D47DB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F43C8" w:rsidRPr="000F43C8" w:rsidRDefault="000F43C8" w:rsidP="00DA3FF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0F43C8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</w:tr>
    </w:tbl>
    <w:p w:rsidR="00CA067A" w:rsidRDefault="00CA067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sectPr w:rsidR="00CA067A" w:rsidSect="00E15A3A">
          <w:pgSz w:w="16840" w:h="11900" w:orient="landscape"/>
          <w:pgMar w:top="1304" w:right="624" w:bottom="680" w:left="1247" w:header="720" w:footer="720" w:gutter="0"/>
          <w:cols w:space="720"/>
          <w:noEndnote/>
          <w:docGrid w:linePitch="326"/>
        </w:sectPr>
      </w:pPr>
    </w:p>
    <w:p w:rsidR="002314B5" w:rsidRDefault="002314B5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CA067A" w:rsidRDefault="00CA067A" w:rsidP="00E15A3A">
      <w:pPr>
        <w:tabs>
          <w:tab w:val="num" w:pos="720"/>
        </w:tabs>
        <w:spacing w:line="320" w:lineRule="exact"/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CA067A" w:rsidRPr="00CA067A" w:rsidRDefault="009A290A" w:rsidP="000F6405">
      <w:pPr>
        <w:jc w:val="center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4981575" cy="7042150"/>
            <wp:effectExtent l="19050" t="0" r="9525" b="0"/>
            <wp:docPr id="2" name="Image 1" descr="C:\Users\hind\Desktop\JPEG_2015\planche1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hind\Desktop\JPEG_2015\planche1_f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04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9A290A" w:rsidP="000F6405">
      <w:pPr>
        <w:ind w:firstLine="720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4981575" cy="7014845"/>
            <wp:effectExtent l="19050" t="0" r="9525" b="0"/>
            <wp:docPr id="3" name="Image 2" descr="C:\Users\hind\Desktop\JPEG_2015\planche2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hind\Desktop\JPEG_2015\planche2_f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01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P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sz w:val="28"/>
          <w:szCs w:val="28"/>
        </w:rPr>
        <w:tab/>
      </w:r>
    </w:p>
    <w:p w:rsidR="00CA067A" w:rsidRDefault="009A290A" w:rsidP="000F6405">
      <w:pPr>
        <w:tabs>
          <w:tab w:val="left" w:pos="4303"/>
        </w:tabs>
        <w:jc w:val="center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5063490" cy="7165340"/>
            <wp:effectExtent l="19050" t="0" r="3810" b="0"/>
            <wp:docPr id="4" name="Image 3" descr="C:\Users\hind\Desktop\JPEG_2015\planche3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hind\Desktop\JPEG_2015\planche3_f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716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7A" w:rsidRDefault="00CA067A" w:rsidP="00CA067A">
      <w:pPr>
        <w:tabs>
          <w:tab w:val="left" w:pos="4303"/>
        </w:tabs>
        <w:jc w:val="center"/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9A290A" w:rsidP="000F6405">
      <w:pPr>
        <w:tabs>
          <w:tab w:val="left" w:pos="4303"/>
        </w:tabs>
        <w:jc w:val="center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5022215" cy="7096760"/>
            <wp:effectExtent l="19050" t="0" r="6985" b="0"/>
            <wp:docPr id="5" name="Image 4" descr="C:\Users\hind\Desktop\JPEG_2015\planche4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C:\Users\hind\Desktop\JPEG_2015\planche4_f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15" cy="709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Default="00CA067A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0F6405" w:rsidRDefault="000F6405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0F6405" w:rsidRDefault="000F6405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0F6405" w:rsidRDefault="000F6405" w:rsidP="00CA067A">
      <w:pPr>
        <w:tabs>
          <w:tab w:val="left" w:pos="4303"/>
        </w:tabs>
        <w:rPr>
          <w:rFonts w:ascii="Book Antiqua" w:hAnsi="Book Antiqua" w:cs="Arial"/>
          <w:sz w:val="28"/>
          <w:szCs w:val="28"/>
        </w:rPr>
      </w:pPr>
    </w:p>
    <w:p w:rsidR="00CA067A" w:rsidRPr="0075325C" w:rsidRDefault="009A290A" w:rsidP="0075325C">
      <w:pPr>
        <w:tabs>
          <w:tab w:val="left" w:pos="4303"/>
        </w:tabs>
        <w:jc w:val="center"/>
        <w:rPr>
          <w:rFonts w:ascii="Book Antiqua" w:hAnsi="Book Antiqua" w:cs="Arial"/>
          <w:sz w:val="28"/>
          <w:szCs w:val="28"/>
        </w:rPr>
      </w:pPr>
      <w:r>
        <w:rPr>
          <w:rFonts w:ascii="Book Antiqua" w:hAnsi="Book Antiqua" w:cs="Arial"/>
          <w:noProof/>
          <w:sz w:val="28"/>
          <w:szCs w:val="28"/>
        </w:rPr>
        <w:drawing>
          <wp:inline distT="0" distB="0" distL="0" distR="0">
            <wp:extent cx="5172710" cy="7315200"/>
            <wp:effectExtent l="19050" t="0" r="8890" b="0"/>
            <wp:docPr id="6" name="Image 1" descr="C:\Users\hind\Desktop\JPEG_2015\planche5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hind\Desktop\JPEG_2015\planche5_f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67A" w:rsidRPr="0075325C" w:rsidSect="00CA067A">
      <w:pgSz w:w="11900" w:h="16840"/>
      <w:pgMar w:top="624" w:right="680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ED1" w:rsidRDefault="00F82ED1" w:rsidP="006C1480">
      <w:r>
        <w:separator/>
      </w:r>
    </w:p>
  </w:endnote>
  <w:endnote w:type="continuationSeparator" w:id="1">
    <w:p w:rsidR="00F82ED1" w:rsidRDefault="00F82ED1" w:rsidP="006C1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1D3EF8">
    <w:pPr>
      <w:pStyle w:val="Pieddepage"/>
      <w:jc w:val="center"/>
    </w:pPr>
    <w:fldSimple w:instr=" PAGE   \* MERGEFORMAT ">
      <w:r w:rsidR="00407830">
        <w:rPr>
          <w:noProof/>
        </w:rPr>
        <w:t>2</w:t>
      </w:r>
    </w:fldSimple>
  </w:p>
  <w:p w:rsidR="00DC7D72" w:rsidRDefault="00DC7D7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A3A" w:rsidRDefault="001D3EF8" w:rsidP="00D47DB0">
    <w:pPr>
      <w:pStyle w:val="Pieddepage"/>
      <w:spacing w:before="120"/>
      <w:jc w:val="center"/>
    </w:pPr>
    <w:fldSimple w:instr=" PAGE   \* MERGEFORMAT ">
      <w:r w:rsidR="00697F62">
        <w:rPr>
          <w:noProof/>
        </w:rPr>
        <w:t>26</w:t>
      </w:r>
    </w:fldSimple>
  </w:p>
  <w:p w:rsidR="00E15A3A" w:rsidRDefault="00E15A3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ED1" w:rsidRDefault="00F82ED1" w:rsidP="006C1480">
      <w:r>
        <w:separator/>
      </w:r>
    </w:p>
  </w:footnote>
  <w:footnote w:type="continuationSeparator" w:id="1">
    <w:p w:rsidR="00F82ED1" w:rsidRDefault="00F82ED1" w:rsidP="006C1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D72" w:rsidRDefault="009A290A" w:rsidP="00407830">
    <w:pPr>
      <w:widowControl w:val="0"/>
      <w:pBdr>
        <w:bottom w:val="single" w:sz="4" w:space="1" w:color="auto"/>
      </w:pBdr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395605" cy="395605"/>
          <wp:effectExtent l="19050" t="0" r="4445" b="0"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395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C7D72">
      <w:rPr>
        <w:color w:val="000000"/>
        <w:sz w:val="20"/>
        <w:szCs w:val="20"/>
      </w:rPr>
      <w:t xml:space="preserve">     </w:t>
    </w:r>
    <w:r w:rsidR="00DC7D72">
      <w:rPr>
        <w:i/>
        <w:iCs/>
        <w:color w:val="6F2FA0"/>
        <w:w w:val="99"/>
      </w:rPr>
      <w:t>C</w:t>
    </w:r>
    <w:r w:rsidR="00DC7D72">
      <w:rPr>
        <w:i/>
        <w:iCs/>
        <w:color w:val="6F2FA0"/>
        <w:spacing w:val="-2"/>
        <w:w w:val="99"/>
      </w:rPr>
      <w:t>OMP</w:t>
    </w:r>
    <w:r w:rsidR="00DC7D72">
      <w:rPr>
        <w:i/>
        <w:iCs/>
        <w:color w:val="6F2FA0"/>
        <w:w w:val="99"/>
      </w:rPr>
      <w:t>T</w:t>
    </w:r>
    <w:r w:rsidR="00DC7D72">
      <w:rPr>
        <w:i/>
        <w:iCs/>
        <w:color w:val="6F2FA0"/>
        <w:spacing w:val="-2"/>
        <w:w w:val="99"/>
      </w:rPr>
      <w:t>E</w:t>
    </w:r>
    <w:r w:rsidR="00DC7D72">
      <w:rPr>
        <w:i/>
        <w:iCs/>
        <w:color w:val="6F2FA0"/>
        <w:w w:val="99"/>
      </w:rPr>
      <w:t>S</w:t>
    </w:r>
    <w:r w:rsidR="00DC7D72">
      <w:rPr>
        <w:i/>
        <w:iCs/>
        <w:color w:val="6F2FA0"/>
        <w:spacing w:val="-13"/>
      </w:rPr>
      <w:t xml:space="preserve"> </w:t>
    </w:r>
    <w:r w:rsidR="00DC7D72">
      <w:rPr>
        <w:i/>
        <w:iCs/>
        <w:color w:val="6F2FA0"/>
        <w:spacing w:val="-2"/>
        <w:w w:val="99"/>
      </w:rPr>
      <w:t>REGIO</w:t>
    </w:r>
    <w:r w:rsidR="00DC7D72">
      <w:rPr>
        <w:i/>
        <w:iCs/>
        <w:color w:val="6F2FA0"/>
        <w:w w:val="99"/>
      </w:rPr>
      <w:t>NA</w:t>
    </w:r>
    <w:r w:rsidR="00DC7D72">
      <w:rPr>
        <w:i/>
        <w:iCs/>
        <w:color w:val="6F2FA0"/>
        <w:spacing w:val="-2"/>
        <w:w w:val="99"/>
      </w:rPr>
      <w:t>U</w:t>
    </w:r>
    <w:r w:rsidR="00DC7D72">
      <w:rPr>
        <w:i/>
        <w:iCs/>
        <w:color w:val="6F2FA0"/>
        <w:w w:val="99"/>
      </w:rPr>
      <w:t>X</w:t>
    </w:r>
  </w:p>
  <w:p w:rsidR="00DC7D72" w:rsidRDefault="00DC7D72" w:rsidP="002F10EF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</w:p>
  <w:p w:rsidR="00DC7D72" w:rsidRDefault="00DC7D72" w:rsidP="002F10EF">
    <w:pPr>
      <w:widowControl w:val="0"/>
      <w:autoSpaceDE w:val="0"/>
      <w:autoSpaceDN w:val="0"/>
      <w:adjustRightInd w:val="0"/>
      <w:spacing w:line="200" w:lineRule="exact"/>
      <w:rPr>
        <w:color w:val="000000"/>
        <w:sz w:val="20"/>
        <w:szCs w:val="20"/>
      </w:rPr>
    </w:pPr>
  </w:p>
  <w:p w:rsidR="00DC7D72" w:rsidRDefault="00DC7D72" w:rsidP="002F10EF">
    <w:pPr>
      <w:pStyle w:val="En-tte"/>
    </w:pPr>
  </w:p>
  <w:p w:rsidR="00DC7D72" w:rsidRDefault="00DC7D7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830" w:rsidRDefault="009A290A" w:rsidP="00407830">
    <w:pPr>
      <w:widowControl w:val="0"/>
      <w:pBdr>
        <w:bottom w:val="single" w:sz="4" w:space="1" w:color="auto"/>
      </w:pBdr>
      <w:autoSpaceDE w:val="0"/>
      <w:autoSpaceDN w:val="0"/>
      <w:adjustRightInd w:val="0"/>
      <w:spacing w:before="3" w:line="870" w:lineRule="exact"/>
      <w:ind w:left="111" w:right="-20"/>
      <w:rPr>
        <w:color w:val="000000"/>
      </w:rPr>
    </w:pPr>
    <w:r>
      <w:rPr>
        <w:rFonts w:ascii="Helvetica" w:hAnsi="Helvetica" w:cs="Helvetica"/>
        <w:noProof/>
        <w:color w:val="000000"/>
        <w:sz w:val="26"/>
        <w:szCs w:val="26"/>
      </w:rPr>
      <w:drawing>
        <wp:inline distT="0" distB="0" distL="0" distR="0">
          <wp:extent cx="395605" cy="395605"/>
          <wp:effectExtent l="19050" t="0" r="4445" b="0"/>
          <wp:docPr id="8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605" cy="395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07830">
      <w:rPr>
        <w:color w:val="000000"/>
        <w:sz w:val="20"/>
        <w:szCs w:val="20"/>
      </w:rPr>
      <w:t xml:space="preserve">     </w:t>
    </w:r>
    <w:r w:rsidR="00407830">
      <w:rPr>
        <w:i/>
        <w:iCs/>
        <w:color w:val="6F2FA0"/>
        <w:w w:val="99"/>
      </w:rPr>
      <w:t>C</w:t>
    </w:r>
    <w:r w:rsidR="00407830">
      <w:rPr>
        <w:i/>
        <w:iCs/>
        <w:color w:val="6F2FA0"/>
        <w:spacing w:val="-2"/>
        <w:w w:val="99"/>
      </w:rPr>
      <w:t>OMP</w:t>
    </w:r>
    <w:r w:rsidR="00407830">
      <w:rPr>
        <w:i/>
        <w:iCs/>
        <w:color w:val="6F2FA0"/>
        <w:w w:val="99"/>
      </w:rPr>
      <w:t>T</w:t>
    </w:r>
    <w:r w:rsidR="00407830">
      <w:rPr>
        <w:i/>
        <w:iCs/>
        <w:color w:val="6F2FA0"/>
        <w:spacing w:val="-2"/>
        <w:w w:val="99"/>
      </w:rPr>
      <w:t>E</w:t>
    </w:r>
    <w:r w:rsidR="00407830">
      <w:rPr>
        <w:i/>
        <w:iCs/>
        <w:color w:val="6F2FA0"/>
        <w:w w:val="99"/>
      </w:rPr>
      <w:t>S</w:t>
    </w:r>
    <w:r w:rsidR="00407830">
      <w:rPr>
        <w:i/>
        <w:iCs/>
        <w:color w:val="6F2FA0"/>
        <w:spacing w:val="-13"/>
      </w:rPr>
      <w:t xml:space="preserve"> </w:t>
    </w:r>
    <w:r w:rsidR="00407830">
      <w:rPr>
        <w:i/>
        <w:iCs/>
        <w:color w:val="6F2FA0"/>
        <w:spacing w:val="-2"/>
        <w:w w:val="99"/>
      </w:rPr>
      <w:t>REGIO</w:t>
    </w:r>
    <w:r w:rsidR="00407830">
      <w:rPr>
        <w:i/>
        <w:iCs/>
        <w:color w:val="6F2FA0"/>
        <w:w w:val="99"/>
      </w:rPr>
      <w:t>NA</w:t>
    </w:r>
    <w:r w:rsidR="00407830">
      <w:rPr>
        <w:i/>
        <w:iCs/>
        <w:color w:val="6F2FA0"/>
        <w:spacing w:val="-2"/>
        <w:w w:val="99"/>
      </w:rPr>
      <w:t>U</w:t>
    </w:r>
    <w:r w:rsidR="00407830">
      <w:rPr>
        <w:i/>
        <w:iCs/>
        <w:color w:val="6F2FA0"/>
        <w:w w:val="99"/>
      </w:rPr>
      <w:t>X</w:t>
    </w:r>
  </w:p>
  <w:p w:rsidR="00407830" w:rsidRDefault="00407830" w:rsidP="00407830">
    <w:pPr>
      <w:widowControl w:val="0"/>
      <w:autoSpaceDE w:val="0"/>
      <w:autoSpaceDN w:val="0"/>
      <w:adjustRightInd w:val="0"/>
      <w:spacing w:line="192" w:lineRule="exact"/>
      <w:rPr>
        <w:color w:val="000000"/>
        <w:sz w:val="18"/>
        <w:szCs w:val="18"/>
      </w:rPr>
    </w:pPr>
  </w:p>
  <w:p w:rsidR="00E15A3A" w:rsidRDefault="00E15A3A" w:rsidP="002F10EF">
    <w:pPr>
      <w:pStyle w:val="En-tte"/>
    </w:pPr>
  </w:p>
  <w:p w:rsidR="00E15A3A" w:rsidRDefault="00E15A3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8pt;height:11.8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4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</w:num>
  <w:num w:numId="13">
    <w:abstractNumId w:val="1"/>
  </w:num>
  <w:num w:numId="14">
    <w:abstractNumId w:val="4"/>
  </w:num>
  <w:num w:numId="15">
    <w:abstractNumId w:val="0"/>
  </w:num>
  <w:num w:numId="16">
    <w:abstractNumId w:val="2"/>
  </w:num>
  <w:num w:numId="17">
    <w:abstractNumId w:val="7"/>
  </w:num>
  <w:num w:numId="18">
    <w:abstractNumId w:val="8"/>
  </w:num>
  <w:num w:numId="19">
    <w:abstractNumId w:val="15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575950"/>
    <w:rsid w:val="000010CD"/>
    <w:rsid w:val="00001163"/>
    <w:rsid w:val="00003ECF"/>
    <w:rsid w:val="0001242F"/>
    <w:rsid w:val="0001254F"/>
    <w:rsid w:val="000133D9"/>
    <w:rsid w:val="00015320"/>
    <w:rsid w:val="00054250"/>
    <w:rsid w:val="00055A4F"/>
    <w:rsid w:val="00056086"/>
    <w:rsid w:val="00056B44"/>
    <w:rsid w:val="00060D79"/>
    <w:rsid w:val="00065D4A"/>
    <w:rsid w:val="00070AA5"/>
    <w:rsid w:val="00075DC7"/>
    <w:rsid w:val="000763BE"/>
    <w:rsid w:val="00077A7B"/>
    <w:rsid w:val="0008340C"/>
    <w:rsid w:val="000834FB"/>
    <w:rsid w:val="00084933"/>
    <w:rsid w:val="00087027"/>
    <w:rsid w:val="000901D7"/>
    <w:rsid w:val="00090248"/>
    <w:rsid w:val="00093EF8"/>
    <w:rsid w:val="000A1A37"/>
    <w:rsid w:val="000A1E00"/>
    <w:rsid w:val="000B1BF3"/>
    <w:rsid w:val="000B3349"/>
    <w:rsid w:val="000B7A5A"/>
    <w:rsid w:val="000C7061"/>
    <w:rsid w:val="000D0BA4"/>
    <w:rsid w:val="000D2F1A"/>
    <w:rsid w:val="000D5BED"/>
    <w:rsid w:val="000E1A84"/>
    <w:rsid w:val="000E24B1"/>
    <w:rsid w:val="000E4677"/>
    <w:rsid w:val="000E48A3"/>
    <w:rsid w:val="000F06D5"/>
    <w:rsid w:val="000F37AB"/>
    <w:rsid w:val="000F43C8"/>
    <w:rsid w:val="000F6405"/>
    <w:rsid w:val="000F7103"/>
    <w:rsid w:val="000F7155"/>
    <w:rsid w:val="00100C78"/>
    <w:rsid w:val="00103B95"/>
    <w:rsid w:val="0010473D"/>
    <w:rsid w:val="00105DC5"/>
    <w:rsid w:val="001076DC"/>
    <w:rsid w:val="001120CA"/>
    <w:rsid w:val="00115BE0"/>
    <w:rsid w:val="00123DEE"/>
    <w:rsid w:val="00124B3B"/>
    <w:rsid w:val="001325D5"/>
    <w:rsid w:val="0013385F"/>
    <w:rsid w:val="001371F3"/>
    <w:rsid w:val="00137B6C"/>
    <w:rsid w:val="001603F8"/>
    <w:rsid w:val="001620B7"/>
    <w:rsid w:val="00164CA5"/>
    <w:rsid w:val="001666A3"/>
    <w:rsid w:val="00167046"/>
    <w:rsid w:val="00170F70"/>
    <w:rsid w:val="0017461C"/>
    <w:rsid w:val="0018092B"/>
    <w:rsid w:val="0018378A"/>
    <w:rsid w:val="00184064"/>
    <w:rsid w:val="00185BD6"/>
    <w:rsid w:val="00185D31"/>
    <w:rsid w:val="001920C7"/>
    <w:rsid w:val="00192A47"/>
    <w:rsid w:val="00192A93"/>
    <w:rsid w:val="00194616"/>
    <w:rsid w:val="001A6CC0"/>
    <w:rsid w:val="001B47F8"/>
    <w:rsid w:val="001C3ABA"/>
    <w:rsid w:val="001C4E46"/>
    <w:rsid w:val="001D3EF8"/>
    <w:rsid w:val="001D5824"/>
    <w:rsid w:val="001D71CE"/>
    <w:rsid w:val="001E7C61"/>
    <w:rsid w:val="001F318A"/>
    <w:rsid w:val="0020255F"/>
    <w:rsid w:val="00205D70"/>
    <w:rsid w:val="002100AD"/>
    <w:rsid w:val="00211145"/>
    <w:rsid w:val="002314B5"/>
    <w:rsid w:val="00234BD7"/>
    <w:rsid w:val="00235A1D"/>
    <w:rsid w:val="00244BAB"/>
    <w:rsid w:val="00253F3C"/>
    <w:rsid w:val="002559C7"/>
    <w:rsid w:val="002678CB"/>
    <w:rsid w:val="002705E3"/>
    <w:rsid w:val="00274850"/>
    <w:rsid w:val="00280D74"/>
    <w:rsid w:val="00290197"/>
    <w:rsid w:val="002928CA"/>
    <w:rsid w:val="00293BCE"/>
    <w:rsid w:val="002A0186"/>
    <w:rsid w:val="002A3417"/>
    <w:rsid w:val="002A5433"/>
    <w:rsid w:val="002A5687"/>
    <w:rsid w:val="002B50F2"/>
    <w:rsid w:val="002B6468"/>
    <w:rsid w:val="002B673B"/>
    <w:rsid w:val="002C0C2A"/>
    <w:rsid w:val="002C144E"/>
    <w:rsid w:val="002C4372"/>
    <w:rsid w:val="002C6B95"/>
    <w:rsid w:val="002D33BE"/>
    <w:rsid w:val="002D3422"/>
    <w:rsid w:val="002D481E"/>
    <w:rsid w:val="002D4E33"/>
    <w:rsid w:val="002F10EF"/>
    <w:rsid w:val="00304233"/>
    <w:rsid w:val="00304956"/>
    <w:rsid w:val="003049FC"/>
    <w:rsid w:val="00317459"/>
    <w:rsid w:val="00320ECC"/>
    <w:rsid w:val="003321F9"/>
    <w:rsid w:val="00336A41"/>
    <w:rsid w:val="00342142"/>
    <w:rsid w:val="0035062B"/>
    <w:rsid w:val="0035380B"/>
    <w:rsid w:val="003547BE"/>
    <w:rsid w:val="0036188B"/>
    <w:rsid w:val="00386E5F"/>
    <w:rsid w:val="00387318"/>
    <w:rsid w:val="003A0EE6"/>
    <w:rsid w:val="003A1048"/>
    <w:rsid w:val="003A65B8"/>
    <w:rsid w:val="003A6CC3"/>
    <w:rsid w:val="003B6E99"/>
    <w:rsid w:val="003C0EAC"/>
    <w:rsid w:val="003D3138"/>
    <w:rsid w:val="003D3811"/>
    <w:rsid w:val="003D456D"/>
    <w:rsid w:val="003D7A26"/>
    <w:rsid w:val="003E556B"/>
    <w:rsid w:val="003F0D9F"/>
    <w:rsid w:val="003F7DB1"/>
    <w:rsid w:val="00401CC4"/>
    <w:rsid w:val="00401DC7"/>
    <w:rsid w:val="00403F1C"/>
    <w:rsid w:val="00407830"/>
    <w:rsid w:val="00412C41"/>
    <w:rsid w:val="00426D0C"/>
    <w:rsid w:val="00430C9D"/>
    <w:rsid w:val="00431B35"/>
    <w:rsid w:val="00436AD7"/>
    <w:rsid w:val="00447933"/>
    <w:rsid w:val="00465150"/>
    <w:rsid w:val="004769ED"/>
    <w:rsid w:val="00481674"/>
    <w:rsid w:val="004835C4"/>
    <w:rsid w:val="0048567F"/>
    <w:rsid w:val="00486938"/>
    <w:rsid w:val="00487157"/>
    <w:rsid w:val="00487585"/>
    <w:rsid w:val="00487712"/>
    <w:rsid w:val="004962EC"/>
    <w:rsid w:val="004A03CC"/>
    <w:rsid w:val="004A2E6E"/>
    <w:rsid w:val="004A4ABA"/>
    <w:rsid w:val="004B17DE"/>
    <w:rsid w:val="004B22DF"/>
    <w:rsid w:val="004B3ACE"/>
    <w:rsid w:val="004C1F35"/>
    <w:rsid w:val="004C64E8"/>
    <w:rsid w:val="004D225B"/>
    <w:rsid w:val="004D350F"/>
    <w:rsid w:val="004D58CD"/>
    <w:rsid w:val="004D7693"/>
    <w:rsid w:val="004E2357"/>
    <w:rsid w:val="004E345F"/>
    <w:rsid w:val="004E4032"/>
    <w:rsid w:val="004E486E"/>
    <w:rsid w:val="004F0650"/>
    <w:rsid w:val="004F187F"/>
    <w:rsid w:val="004F352E"/>
    <w:rsid w:val="004F4AEC"/>
    <w:rsid w:val="004F61EB"/>
    <w:rsid w:val="00506508"/>
    <w:rsid w:val="005073AE"/>
    <w:rsid w:val="00512F1A"/>
    <w:rsid w:val="00513B01"/>
    <w:rsid w:val="005220DC"/>
    <w:rsid w:val="005225A3"/>
    <w:rsid w:val="00524BF1"/>
    <w:rsid w:val="00525B98"/>
    <w:rsid w:val="00533BEA"/>
    <w:rsid w:val="0053667B"/>
    <w:rsid w:val="005371E9"/>
    <w:rsid w:val="005405A7"/>
    <w:rsid w:val="00541470"/>
    <w:rsid w:val="0055098A"/>
    <w:rsid w:val="0055338C"/>
    <w:rsid w:val="0055433D"/>
    <w:rsid w:val="00562AE0"/>
    <w:rsid w:val="00575950"/>
    <w:rsid w:val="00582598"/>
    <w:rsid w:val="00590746"/>
    <w:rsid w:val="0059087C"/>
    <w:rsid w:val="00590BFF"/>
    <w:rsid w:val="0059682C"/>
    <w:rsid w:val="00596A6C"/>
    <w:rsid w:val="005973E3"/>
    <w:rsid w:val="005A0840"/>
    <w:rsid w:val="005A1B8A"/>
    <w:rsid w:val="005A617B"/>
    <w:rsid w:val="005A7F79"/>
    <w:rsid w:val="005B0BA8"/>
    <w:rsid w:val="005B0BCB"/>
    <w:rsid w:val="005B39E6"/>
    <w:rsid w:val="005C0FC1"/>
    <w:rsid w:val="005C4D7A"/>
    <w:rsid w:val="005E41C9"/>
    <w:rsid w:val="005E461A"/>
    <w:rsid w:val="005F4D52"/>
    <w:rsid w:val="006003E6"/>
    <w:rsid w:val="00611F54"/>
    <w:rsid w:val="006121A4"/>
    <w:rsid w:val="00624E5F"/>
    <w:rsid w:val="00627BE6"/>
    <w:rsid w:val="00632EF3"/>
    <w:rsid w:val="006334F4"/>
    <w:rsid w:val="006339EF"/>
    <w:rsid w:val="0064461C"/>
    <w:rsid w:val="00650646"/>
    <w:rsid w:val="0066509C"/>
    <w:rsid w:val="00670B0F"/>
    <w:rsid w:val="00672A4D"/>
    <w:rsid w:val="00672A72"/>
    <w:rsid w:val="006745A6"/>
    <w:rsid w:val="00690906"/>
    <w:rsid w:val="00697F62"/>
    <w:rsid w:val="006A3E78"/>
    <w:rsid w:val="006A3F22"/>
    <w:rsid w:val="006A6CEE"/>
    <w:rsid w:val="006B51C3"/>
    <w:rsid w:val="006B6E14"/>
    <w:rsid w:val="006C1480"/>
    <w:rsid w:val="006C79B5"/>
    <w:rsid w:val="006D0082"/>
    <w:rsid w:val="006D0BBD"/>
    <w:rsid w:val="006D23C9"/>
    <w:rsid w:val="006E0616"/>
    <w:rsid w:val="006F06B2"/>
    <w:rsid w:val="00701E32"/>
    <w:rsid w:val="00702AA7"/>
    <w:rsid w:val="00715837"/>
    <w:rsid w:val="0072325E"/>
    <w:rsid w:val="007250DF"/>
    <w:rsid w:val="007253F4"/>
    <w:rsid w:val="00730FDC"/>
    <w:rsid w:val="007350EB"/>
    <w:rsid w:val="007353A7"/>
    <w:rsid w:val="00735FD5"/>
    <w:rsid w:val="007404CC"/>
    <w:rsid w:val="00742039"/>
    <w:rsid w:val="00742237"/>
    <w:rsid w:val="00742316"/>
    <w:rsid w:val="0074744D"/>
    <w:rsid w:val="007476C1"/>
    <w:rsid w:val="0075325C"/>
    <w:rsid w:val="007539B7"/>
    <w:rsid w:val="0075634A"/>
    <w:rsid w:val="007677D0"/>
    <w:rsid w:val="00770FAC"/>
    <w:rsid w:val="00775745"/>
    <w:rsid w:val="007761EA"/>
    <w:rsid w:val="0078152A"/>
    <w:rsid w:val="007829B6"/>
    <w:rsid w:val="00782D69"/>
    <w:rsid w:val="007831FD"/>
    <w:rsid w:val="00783227"/>
    <w:rsid w:val="0078374F"/>
    <w:rsid w:val="0078787A"/>
    <w:rsid w:val="007A5B60"/>
    <w:rsid w:val="007A786E"/>
    <w:rsid w:val="007B0CF3"/>
    <w:rsid w:val="007B1642"/>
    <w:rsid w:val="007B3208"/>
    <w:rsid w:val="007B42DF"/>
    <w:rsid w:val="007B72B6"/>
    <w:rsid w:val="007C1FDA"/>
    <w:rsid w:val="007C268C"/>
    <w:rsid w:val="007C4BE9"/>
    <w:rsid w:val="007C660C"/>
    <w:rsid w:val="007D0377"/>
    <w:rsid w:val="007D33ED"/>
    <w:rsid w:val="007D6052"/>
    <w:rsid w:val="007D783B"/>
    <w:rsid w:val="007E5780"/>
    <w:rsid w:val="007F00FC"/>
    <w:rsid w:val="007F32E6"/>
    <w:rsid w:val="007F79B4"/>
    <w:rsid w:val="00810663"/>
    <w:rsid w:val="008131D9"/>
    <w:rsid w:val="00815D52"/>
    <w:rsid w:val="008241E5"/>
    <w:rsid w:val="00824877"/>
    <w:rsid w:val="00824A36"/>
    <w:rsid w:val="00827F46"/>
    <w:rsid w:val="00827F58"/>
    <w:rsid w:val="00832675"/>
    <w:rsid w:val="008344E8"/>
    <w:rsid w:val="00840992"/>
    <w:rsid w:val="00854C12"/>
    <w:rsid w:val="00857D1C"/>
    <w:rsid w:val="00862B25"/>
    <w:rsid w:val="00862EBA"/>
    <w:rsid w:val="008633E2"/>
    <w:rsid w:val="008645A7"/>
    <w:rsid w:val="008661D4"/>
    <w:rsid w:val="00870352"/>
    <w:rsid w:val="0087772E"/>
    <w:rsid w:val="00883597"/>
    <w:rsid w:val="00887BAF"/>
    <w:rsid w:val="00891BC9"/>
    <w:rsid w:val="00892EF2"/>
    <w:rsid w:val="00892F0F"/>
    <w:rsid w:val="008945B1"/>
    <w:rsid w:val="008948EF"/>
    <w:rsid w:val="00896B89"/>
    <w:rsid w:val="008B5472"/>
    <w:rsid w:val="008B658C"/>
    <w:rsid w:val="008B7CDF"/>
    <w:rsid w:val="008C0351"/>
    <w:rsid w:val="008C1086"/>
    <w:rsid w:val="008C3B00"/>
    <w:rsid w:val="008C5E6D"/>
    <w:rsid w:val="008D09BB"/>
    <w:rsid w:val="008D0B4F"/>
    <w:rsid w:val="008D37B5"/>
    <w:rsid w:val="008D60B7"/>
    <w:rsid w:val="008D6A72"/>
    <w:rsid w:val="008F4126"/>
    <w:rsid w:val="00902189"/>
    <w:rsid w:val="00904D78"/>
    <w:rsid w:val="00906C2D"/>
    <w:rsid w:val="00913959"/>
    <w:rsid w:val="00922356"/>
    <w:rsid w:val="0092463F"/>
    <w:rsid w:val="0092484E"/>
    <w:rsid w:val="00940D8A"/>
    <w:rsid w:val="009435D6"/>
    <w:rsid w:val="009436DD"/>
    <w:rsid w:val="00943E48"/>
    <w:rsid w:val="0094575B"/>
    <w:rsid w:val="0094690C"/>
    <w:rsid w:val="0095160E"/>
    <w:rsid w:val="0095166A"/>
    <w:rsid w:val="00951F50"/>
    <w:rsid w:val="009606CF"/>
    <w:rsid w:val="00964DF4"/>
    <w:rsid w:val="009665F5"/>
    <w:rsid w:val="00967816"/>
    <w:rsid w:val="00967AA8"/>
    <w:rsid w:val="009708EA"/>
    <w:rsid w:val="00973DD9"/>
    <w:rsid w:val="00974133"/>
    <w:rsid w:val="00976D56"/>
    <w:rsid w:val="009773BD"/>
    <w:rsid w:val="00977DFD"/>
    <w:rsid w:val="00981CF7"/>
    <w:rsid w:val="009A290A"/>
    <w:rsid w:val="009A33C5"/>
    <w:rsid w:val="009A4116"/>
    <w:rsid w:val="009A54B7"/>
    <w:rsid w:val="009B1064"/>
    <w:rsid w:val="009B5CD8"/>
    <w:rsid w:val="009C2585"/>
    <w:rsid w:val="009C4BD7"/>
    <w:rsid w:val="009C6AB3"/>
    <w:rsid w:val="009D4DBA"/>
    <w:rsid w:val="009E02EA"/>
    <w:rsid w:val="009E3B8E"/>
    <w:rsid w:val="009E3C70"/>
    <w:rsid w:val="009E627E"/>
    <w:rsid w:val="009F65B4"/>
    <w:rsid w:val="00A02A24"/>
    <w:rsid w:val="00A06D1E"/>
    <w:rsid w:val="00A07FB7"/>
    <w:rsid w:val="00A107A1"/>
    <w:rsid w:val="00A12F4A"/>
    <w:rsid w:val="00A131AC"/>
    <w:rsid w:val="00A14864"/>
    <w:rsid w:val="00A16AD3"/>
    <w:rsid w:val="00A22A00"/>
    <w:rsid w:val="00A22C29"/>
    <w:rsid w:val="00A268B2"/>
    <w:rsid w:val="00A40954"/>
    <w:rsid w:val="00A4150B"/>
    <w:rsid w:val="00A44373"/>
    <w:rsid w:val="00A4638E"/>
    <w:rsid w:val="00A46855"/>
    <w:rsid w:val="00A47D7C"/>
    <w:rsid w:val="00A51A35"/>
    <w:rsid w:val="00A66782"/>
    <w:rsid w:val="00A66938"/>
    <w:rsid w:val="00A803C9"/>
    <w:rsid w:val="00A92DC6"/>
    <w:rsid w:val="00A9569E"/>
    <w:rsid w:val="00A978D1"/>
    <w:rsid w:val="00AA31EB"/>
    <w:rsid w:val="00AA51F4"/>
    <w:rsid w:val="00AA57D9"/>
    <w:rsid w:val="00AA6619"/>
    <w:rsid w:val="00AB0D11"/>
    <w:rsid w:val="00AB1DC6"/>
    <w:rsid w:val="00AC1BE4"/>
    <w:rsid w:val="00AC1DBC"/>
    <w:rsid w:val="00AC2009"/>
    <w:rsid w:val="00AC3D0A"/>
    <w:rsid w:val="00AC52D2"/>
    <w:rsid w:val="00AC6810"/>
    <w:rsid w:val="00AC6B4C"/>
    <w:rsid w:val="00AD181C"/>
    <w:rsid w:val="00AD5214"/>
    <w:rsid w:val="00AD5333"/>
    <w:rsid w:val="00AE0AA8"/>
    <w:rsid w:val="00AE68D2"/>
    <w:rsid w:val="00AF1B7A"/>
    <w:rsid w:val="00AF1D3D"/>
    <w:rsid w:val="00B003BB"/>
    <w:rsid w:val="00B014C6"/>
    <w:rsid w:val="00B016DF"/>
    <w:rsid w:val="00B05D2C"/>
    <w:rsid w:val="00B135A4"/>
    <w:rsid w:val="00B140DA"/>
    <w:rsid w:val="00B14B4E"/>
    <w:rsid w:val="00B2042F"/>
    <w:rsid w:val="00B367D7"/>
    <w:rsid w:val="00B377DB"/>
    <w:rsid w:val="00B4005B"/>
    <w:rsid w:val="00B4035A"/>
    <w:rsid w:val="00B4350B"/>
    <w:rsid w:val="00B43E8A"/>
    <w:rsid w:val="00B50818"/>
    <w:rsid w:val="00B51C02"/>
    <w:rsid w:val="00B60C30"/>
    <w:rsid w:val="00B61F41"/>
    <w:rsid w:val="00B630F7"/>
    <w:rsid w:val="00B63D26"/>
    <w:rsid w:val="00B67808"/>
    <w:rsid w:val="00B71E5D"/>
    <w:rsid w:val="00B71FA6"/>
    <w:rsid w:val="00B73608"/>
    <w:rsid w:val="00B832A6"/>
    <w:rsid w:val="00B84AF8"/>
    <w:rsid w:val="00B861F6"/>
    <w:rsid w:val="00B92A7F"/>
    <w:rsid w:val="00B9483C"/>
    <w:rsid w:val="00BA2D03"/>
    <w:rsid w:val="00BA2E8E"/>
    <w:rsid w:val="00BA3001"/>
    <w:rsid w:val="00BB0A82"/>
    <w:rsid w:val="00BB4156"/>
    <w:rsid w:val="00BB41FB"/>
    <w:rsid w:val="00BC2625"/>
    <w:rsid w:val="00BC3B44"/>
    <w:rsid w:val="00BC5182"/>
    <w:rsid w:val="00BC6AF2"/>
    <w:rsid w:val="00BD02E5"/>
    <w:rsid w:val="00BD16B3"/>
    <w:rsid w:val="00BD50C0"/>
    <w:rsid w:val="00BE641A"/>
    <w:rsid w:val="00BE7B97"/>
    <w:rsid w:val="00BF290A"/>
    <w:rsid w:val="00BF3A3D"/>
    <w:rsid w:val="00BF562A"/>
    <w:rsid w:val="00C01C5D"/>
    <w:rsid w:val="00C01DF0"/>
    <w:rsid w:val="00C04F69"/>
    <w:rsid w:val="00C059A9"/>
    <w:rsid w:val="00C07B92"/>
    <w:rsid w:val="00C07BDC"/>
    <w:rsid w:val="00C14129"/>
    <w:rsid w:val="00C1522A"/>
    <w:rsid w:val="00C20B2B"/>
    <w:rsid w:val="00C20F30"/>
    <w:rsid w:val="00C21F20"/>
    <w:rsid w:val="00C300ED"/>
    <w:rsid w:val="00C336EA"/>
    <w:rsid w:val="00C3624C"/>
    <w:rsid w:val="00C40552"/>
    <w:rsid w:val="00C41438"/>
    <w:rsid w:val="00C46A62"/>
    <w:rsid w:val="00C54EEC"/>
    <w:rsid w:val="00C61875"/>
    <w:rsid w:val="00C702F1"/>
    <w:rsid w:val="00C71898"/>
    <w:rsid w:val="00C81B79"/>
    <w:rsid w:val="00C845E7"/>
    <w:rsid w:val="00C85046"/>
    <w:rsid w:val="00C87936"/>
    <w:rsid w:val="00C91222"/>
    <w:rsid w:val="00C9589A"/>
    <w:rsid w:val="00C9624D"/>
    <w:rsid w:val="00CA067A"/>
    <w:rsid w:val="00CA27FA"/>
    <w:rsid w:val="00CA68BC"/>
    <w:rsid w:val="00CB01D6"/>
    <w:rsid w:val="00CB0A14"/>
    <w:rsid w:val="00CB163F"/>
    <w:rsid w:val="00CB179B"/>
    <w:rsid w:val="00CB3CA3"/>
    <w:rsid w:val="00CB67CF"/>
    <w:rsid w:val="00CB7C9F"/>
    <w:rsid w:val="00CC268B"/>
    <w:rsid w:val="00CC36E4"/>
    <w:rsid w:val="00CC38F8"/>
    <w:rsid w:val="00CD29EF"/>
    <w:rsid w:val="00CD3CB3"/>
    <w:rsid w:val="00CE37A8"/>
    <w:rsid w:val="00CE4DAA"/>
    <w:rsid w:val="00CF0781"/>
    <w:rsid w:val="00CF17EC"/>
    <w:rsid w:val="00CF45AD"/>
    <w:rsid w:val="00D01CCA"/>
    <w:rsid w:val="00D01F02"/>
    <w:rsid w:val="00D03E27"/>
    <w:rsid w:val="00D06855"/>
    <w:rsid w:val="00D210EC"/>
    <w:rsid w:val="00D21C7C"/>
    <w:rsid w:val="00D27505"/>
    <w:rsid w:val="00D31F77"/>
    <w:rsid w:val="00D34330"/>
    <w:rsid w:val="00D417C8"/>
    <w:rsid w:val="00D43B2F"/>
    <w:rsid w:val="00D46F83"/>
    <w:rsid w:val="00D47DB0"/>
    <w:rsid w:val="00D51D56"/>
    <w:rsid w:val="00D56E62"/>
    <w:rsid w:val="00D61C2C"/>
    <w:rsid w:val="00D61CD1"/>
    <w:rsid w:val="00D63771"/>
    <w:rsid w:val="00D66534"/>
    <w:rsid w:val="00D70F51"/>
    <w:rsid w:val="00D71158"/>
    <w:rsid w:val="00D863FB"/>
    <w:rsid w:val="00D875D8"/>
    <w:rsid w:val="00D90572"/>
    <w:rsid w:val="00D91AB4"/>
    <w:rsid w:val="00D93F7C"/>
    <w:rsid w:val="00D95D35"/>
    <w:rsid w:val="00D97E65"/>
    <w:rsid w:val="00DA21B9"/>
    <w:rsid w:val="00DA3FFE"/>
    <w:rsid w:val="00DA517C"/>
    <w:rsid w:val="00DA5638"/>
    <w:rsid w:val="00DA5C18"/>
    <w:rsid w:val="00DB0658"/>
    <w:rsid w:val="00DB4BB0"/>
    <w:rsid w:val="00DC139A"/>
    <w:rsid w:val="00DC478C"/>
    <w:rsid w:val="00DC7145"/>
    <w:rsid w:val="00DC7D72"/>
    <w:rsid w:val="00DD34A3"/>
    <w:rsid w:val="00DE3D22"/>
    <w:rsid w:val="00DE3E69"/>
    <w:rsid w:val="00DE5DB0"/>
    <w:rsid w:val="00DE6684"/>
    <w:rsid w:val="00DF4CAA"/>
    <w:rsid w:val="00DF6EFE"/>
    <w:rsid w:val="00E0156A"/>
    <w:rsid w:val="00E06566"/>
    <w:rsid w:val="00E11F4F"/>
    <w:rsid w:val="00E124FE"/>
    <w:rsid w:val="00E14B14"/>
    <w:rsid w:val="00E15A3A"/>
    <w:rsid w:val="00E15F6A"/>
    <w:rsid w:val="00E1641E"/>
    <w:rsid w:val="00E22987"/>
    <w:rsid w:val="00E24B81"/>
    <w:rsid w:val="00E27A76"/>
    <w:rsid w:val="00E32D7E"/>
    <w:rsid w:val="00E33037"/>
    <w:rsid w:val="00E43F7E"/>
    <w:rsid w:val="00E51BD4"/>
    <w:rsid w:val="00E52379"/>
    <w:rsid w:val="00E56284"/>
    <w:rsid w:val="00E573E8"/>
    <w:rsid w:val="00E80108"/>
    <w:rsid w:val="00E90EEC"/>
    <w:rsid w:val="00E92B3C"/>
    <w:rsid w:val="00E93089"/>
    <w:rsid w:val="00E95FEC"/>
    <w:rsid w:val="00EA3338"/>
    <w:rsid w:val="00EB2CAB"/>
    <w:rsid w:val="00EB2EBC"/>
    <w:rsid w:val="00EB441E"/>
    <w:rsid w:val="00EC43B1"/>
    <w:rsid w:val="00EC5912"/>
    <w:rsid w:val="00ED1280"/>
    <w:rsid w:val="00ED209B"/>
    <w:rsid w:val="00ED58D4"/>
    <w:rsid w:val="00EE0AD8"/>
    <w:rsid w:val="00EE0E44"/>
    <w:rsid w:val="00EE5969"/>
    <w:rsid w:val="00EF2958"/>
    <w:rsid w:val="00EF598A"/>
    <w:rsid w:val="00EF5DFF"/>
    <w:rsid w:val="00F02B27"/>
    <w:rsid w:val="00F04FD1"/>
    <w:rsid w:val="00F07368"/>
    <w:rsid w:val="00F15606"/>
    <w:rsid w:val="00F1616B"/>
    <w:rsid w:val="00F21D3F"/>
    <w:rsid w:val="00F231A7"/>
    <w:rsid w:val="00F30475"/>
    <w:rsid w:val="00F31A49"/>
    <w:rsid w:val="00F41D87"/>
    <w:rsid w:val="00F425D5"/>
    <w:rsid w:val="00F45698"/>
    <w:rsid w:val="00F50F1B"/>
    <w:rsid w:val="00F530A1"/>
    <w:rsid w:val="00F534AD"/>
    <w:rsid w:val="00F5407D"/>
    <w:rsid w:val="00F62736"/>
    <w:rsid w:val="00F65718"/>
    <w:rsid w:val="00F65FF8"/>
    <w:rsid w:val="00F66C94"/>
    <w:rsid w:val="00F818CD"/>
    <w:rsid w:val="00F821C0"/>
    <w:rsid w:val="00F82ED1"/>
    <w:rsid w:val="00F832AC"/>
    <w:rsid w:val="00F84B2E"/>
    <w:rsid w:val="00F8541A"/>
    <w:rsid w:val="00F85E15"/>
    <w:rsid w:val="00F93DE0"/>
    <w:rsid w:val="00F95319"/>
    <w:rsid w:val="00F957AF"/>
    <w:rsid w:val="00FA3B73"/>
    <w:rsid w:val="00FA6DFB"/>
    <w:rsid w:val="00FA6F64"/>
    <w:rsid w:val="00FA78E6"/>
    <w:rsid w:val="00FA7E7C"/>
    <w:rsid w:val="00FB1D21"/>
    <w:rsid w:val="00FB63C8"/>
    <w:rsid w:val="00FC1236"/>
    <w:rsid w:val="00FD0657"/>
    <w:rsid w:val="00FD09D6"/>
    <w:rsid w:val="00FD3D87"/>
    <w:rsid w:val="00FD5733"/>
    <w:rsid w:val="00FD7116"/>
    <w:rsid w:val="00FE0C98"/>
    <w:rsid w:val="00FE196C"/>
    <w:rsid w:val="00FE7228"/>
    <w:rsid w:val="00FE748C"/>
    <w:rsid w:val="00FE7784"/>
    <w:rsid w:val="00FF06C3"/>
    <w:rsid w:val="00FF0EE6"/>
    <w:rsid w:val="00FF593B"/>
    <w:rsid w:val="00FF5B87"/>
    <w:rsid w:val="00FF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CA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2C144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2C144E"/>
    <w:rPr>
      <w:color w:val="800080"/>
      <w:u w:val="single"/>
    </w:rPr>
  </w:style>
  <w:style w:type="paragraph" w:styleId="En-tte">
    <w:name w:val="header"/>
    <w:basedOn w:val="Normal"/>
    <w:link w:val="En-tt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1480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6C14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1480"/>
    <w:rPr>
      <w:sz w:val="24"/>
      <w:szCs w:val="24"/>
    </w:rPr>
  </w:style>
  <w:style w:type="paragraph" w:styleId="Textedebulles">
    <w:name w:val="Balloon Text"/>
    <w:basedOn w:val="Normal"/>
    <w:link w:val="TextedebullesCar"/>
    <w:rsid w:val="002F10E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F10EF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940D8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940D8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Classique2">
    <w:name w:val="Table Classic 2"/>
    <w:basedOn w:val="TableauNormal"/>
    <w:rsid w:val="00B630F7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eclaire-Accent2">
    <w:name w:val="Light List Accent 2"/>
    <w:basedOn w:val="TableauNormal"/>
    <w:uiPriority w:val="61"/>
    <w:rsid w:val="00B630F7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Paragraphedeliste">
    <w:name w:val="List Paragraph"/>
    <w:basedOn w:val="Normal"/>
    <w:uiPriority w:val="34"/>
    <w:qFormat/>
    <w:rsid w:val="00AC52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DF7D0-3571-4408-AD9D-7BA39301A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3366</Words>
  <Characters>18515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21838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DCN</dc:creator>
  <cp:lastModifiedBy>HP</cp:lastModifiedBy>
  <cp:revision>2</cp:revision>
  <cp:lastPrinted>2015-09-07T09:05:00Z</cp:lastPrinted>
  <dcterms:created xsi:type="dcterms:W3CDTF">2017-03-30T13:50:00Z</dcterms:created>
  <dcterms:modified xsi:type="dcterms:W3CDTF">2017-03-30T13:50:00Z</dcterms:modified>
</cp:coreProperties>
</file>