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EA8" w:rsidRDefault="00905EA8" w:rsidP="00905EA8">
      <w:pPr>
        <w:pStyle w:val="Sansinterligne"/>
        <w:jc w:val="center"/>
        <w:rPr>
          <w:rFonts w:asciiTheme="majorBidi" w:hAnsiTheme="majorBidi" w:cstheme="majorBidi"/>
          <w:b/>
          <w:bCs/>
          <w:sz w:val="32"/>
          <w:szCs w:val="32"/>
          <w:lang w:bidi="ar-MA"/>
        </w:rPr>
      </w:pPr>
      <w:r w:rsidRPr="00D5301D">
        <w:rPr>
          <w:rFonts w:asciiTheme="majorBidi" w:hAnsiTheme="majorBidi" w:cstheme="majorBidi"/>
          <w:b/>
          <w:bCs/>
          <w:sz w:val="32"/>
          <w:szCs w:val="32"/>
          <w:lang w:bidi="ar-MA"/>
        </w:rPr>
        <w:t>Royaume du Maroc</w:t>
      </w:r>
    </w:p>
    <w:p w:rsidR="00905EA8" w:rsidRPr="00D5301D" w:rsidRDefault="00905EA8" w:rsidP="00905EA8">
      <w:pPr>
        <w:pStyle w:val="Sansinterligne"/>
        <w:jc w:val="center"/>
        <w:rPr>
          <w:rFonts w:asciiTheme="majorBidi" w:hAnsiTheme="majorBidi" w:cstheme="majorBidi"/>
          <w:b/>
          <w:bCs/>
          <w:sz w:val="32"/>
          <w:szCs w:val="32"/>
          <w:lang w:bidi="ar-MA"/>
        </w:rPr>
      </w:pPr>
      <w:r>
        <w:rPr>
          <w:rFonts w:asciiTheme="majorBidi" w:hAnsiTheme="majorBidi" w:cstheme="majorBidi"/>
          <w:b/>
          <w:bCs/>
          <w:sz w:val="32"/>
          <w:szCs w:val="32"/>
          <w:lang w:bidi="ar-MA"/>
        </w:rPr>
        <w:t>Haut Commissariat Au Plan</w:t>
      </w:r>
    </w:p>
    <w:p w:rsidR="00905EA8" w:rsidRDefault="00905EA8" w:rsidP="00905EA8">
      <w:pPr>
        <w:pStyle w:val="Sansinterligne"/>
        <w:rPr>
          <w:rFonts w:asciiTheme="majorBidi" w:hAnsiTheme="majorBidi" w:cstheme="majorBidi"/>
          <w:b/>
          <w:bCs/>
          <w:sz w:val="32"/>
          <w:szCs w:val="32"/>
          <w:rtl/>
          <w:lang w:bidi="ar-MA"/>
        </w:rPr>
      </w:pPr>
      <w:r>
        <w:rPr>
          <w:lang w:bidi="ar-MA"/>
        </w:rPr>
        <w:t xml:space="preserve">                                          </w:t>
      </w:r>
      <w:r w:rsidRPr="00D5301D">
        <w:rPr>
          <w:rFonts w:asciiTheme="majorBidi" w:hAnsiTheme="majorBidi" w:cstheme="majorBidi"/>
          <w:b/>
          <w:bCs/>
          <w:sz w:val="32"/>
          <w:szCs w:val="32"/>
          <w:lang w:bidi="ar-MA"/>
        </w:rPr>
        <w:t>Direction Régionale de Tanger-Tétouan</w:t>
      </w:r>
    </w:p>
    <w:p w:rsidR="00905EA8" w:rsidRPr="00502E65" w:rsidRDefault="00905EA8" w:rsidP="00905EA8">
      <w:pPr>
        <w:rPr>
          <w:rtl/>
          <w:lang w:bidi="ar-MA"/>
        </w:rPr>
      </w:pPr>
    </w:p>
    <w:p w:rsidR="00905EA8" w:rsidRPr="00502E65" w:rsidRDefault="00905EA8" w:rsidP="00905EA8">
      <w:pPr>
        <w:rPr>
          <w:rtl/>
          <w:lang w:bidi="ar-MA"/>
        </w:rPr>
      </w:pPr>
    </w:p>
    <w:p w:rsidR="00905EA8" w:rsidRPr="00502E65" w:rsidRDefault="00905EA8" w:rsidP="00905EA8">
      <w:pPr>
        <w:rPr>
          <w:rtl/>
          <w:lang w:bidi="ar-MA"/>
        </w:rPr>
      </w:pPr>
    </w:p>
    <w:p w:rsidR="00905EA8" w:rsidRPr="00502E65" w:rsidRDefault="00905EA8" w:rsidP="00905EA8">
      <w:pPr>
        <w:rPr>
          <w:rtl/>
          <w:lang w:bidi="ar-MA"/>
        </w:rPr>
      </w:pPr>
    </w:p>
    <w:p w:rsidR="00905EA8" w:rsidRPr="00502E65" w:rsidRDefault="00905EA8" w:rsidP="00905EA8">
      <w:pPr>
        <w:rPr>
          <w:rtl/>
          <w:lang w:bidi="ar-MA"/>
        </w:rPr>
      </w:pPr>
    </w:p>
    <w:p w:rsidR="00905EA8" w:rsidRPr="00502E65" w:rsidRDefault="00905EA8" w:rsidP="00905EA8">
      <w:pPr>
        <w:rPr>
          <w:rtl/>
          <w:lang w:bidi="ar-MA"/>
        </w:rPr>
      </w:pPr>
    </w:p>
    <w:p w:rsidR="00905EA8" w:rsidRPr="00502E65" w:rsidRDefault="00905EA8" w:rsidP="00905EA8">
      <w:pPr>
        <w:rPr>
          <w:rtl/>
          <w:lang w:bidi="ar-MA"/>
        </w:rPr>
      </w:pPr>
    </w:p>
    <w:p w:rsidR="00905EA8" w:rsidRPr="00502E65" w:rsidRDefault="00905EA8" w:rsidP="00905EA8">
      <w:pPr>
        <w:rPr>
          <w:rtl/>
          <w:lang w:bidi="ar-MA"/>
        </w:rPr>
      </w:pPr>
    </w:p>
    <w:p w:rsidR="00905EA8" w:rsidRPr="00502E65" w:rsidRDefault="00905EA8" w:rsidP="00905EA8">
      <w:pPr>
        <w:rPr>
          <w:rtl/>
          <w:lang w:bidi="ar-MA"/>
        </w:rPr>
      </w:pPr>
    </w:p>
    <w:p w:rsidR="00905EA8" w:rsidRPr="00502E65" w:rsidRDefault="00905EA8" w:rsidP="00905EA8">
      <w:pPr>
        <w:rPr>
          <w:rtl/>
          <w:lang w:bidi="ar-MA"/>
        </w:rPr>
      </w:pPr>
    </w:p>
    <w:p w:rsidR="00905EA8" w:rsidRPr="00502E65" w:rsidRDefault="00905EA8" w:rsidP="00905EA8">
      <w:pPr>
        <w:rPr>
          <w:rtl/>
          <w:lang w:bidi="ar-MA"/>
        </w:rPr>
      </w:pPr>
    </w:p>
    <w:p w:rsidR="00905EA8" w:rsidRPr="00502E65" w:rsidRDefault="00905EA8" w:rsidP="00905EA8">
      <w:pPr>
        <w:rPr>
          <w:rtl/>
          <w:lang w:bidi="ar-MA"/>
        </w:rPr>
      </w:pPr>
    </w:p>
    <w:p w:rsidR="00905EA8" w:rsidRPr="00502E65" w:rsidRDefault="00905EA8" w:rsidP="00905EA8">
      <w:pPr>
        <w:rPr>
          <w:rtl/>
          <w:lang w:bidi="ar-MA"/>
        </w:rPr>
      </w:pPr>
    </w:p>
    <w:p w:rsidR="00905EA8" w:rsidRPr="00502E65" w:rsidRDefault="00905EA8" w:rsidP="00905EA8">
      <w:pPr>
        <w:rPr>
          <w:rtl/>
          <w:lang w:bidi="ar-MA"/>
        </w:rPr>
      </w:pPr>
    </w:p>
    <w:p w:rsidR="00905EA8" w:rsidRPr="00502E65" w:rsidRDefault="00905EA8" w:rsidP="00905EA8">
      <w:pPr>
        <w:rPr>
          <w:rtl/>
          <w:lang w:bidi="ar-MA"/>
        </w:rPr>
      </w:pPr>
    </w:p>
    <w:p w:rsidR="00905EA8" w:rsidRPr="00502E65" w:rsidRDefault="00905EA8" w:rsidP="00905EA8">
      <w:pPr>
        <w:rPr>
          <w:rtl/>
          <w:lang w:bidi="ar-MA"/>
        </w:rPr>
      </w:pPr>
    </w:p>
    <w:p w:rsidR="00905EA8" w:rsidRDefault="00905EA8" w:rsidP="00905EA8">
      <w:pPr>
        <w:rPr>
          <w:lang w:bidi="ar-MA"/>
        </w:rPr>
      </w:pPr>
    </w:p>
    <w:p w:rsidR="00905EA8" w:rsidRDefault="00905EA8" w:rsidP="00905EA8">
      <w:pPr>
        <w:rPr>
          <w:lang w:bidi="ar-MA"/>
        </w:rPr>
      </w:pPr>
    </w:p>
    <w:p w:rsidR="00905EA8" w:rsidRPr="00502E65" w:rsidRDefault="00905EA8" w:rsidP="00905EA8">
      <w:pPr>
        <w:rPr>
          <w:rtl/>
          <w:lang w:bidi="ar-MA"/>
        </w:rPr>
      </w:pPr>
    </w:p>
    <w:p w:rsidR="00905EA8" w:rsidRPr="00502E65" w:rsidRDefault="00905EA8" w:rsidP="00905EA8">
      <w:pPr>
        <w:rPr>
          <w:rtl/>
          <w:lang w:bidi="ar-MA"/>
        </w:rPr>
      </w:pPr>
    </w:p>
    <w:p w:rsidR="00905EA8" w:rsidRPr="00502E65" w:rsidRDefault="00905EA8" w:rsidP="00905EA8">
      <w:pPr>
        <w:rPr>
          <w:rtl/>
          <w:lang w:bidi="ar-MA"/>
        </w:rPr>
      </w:pPr>
    </w:p>
    <w:p w:rsidR="00905EA8" w:rsidRDefault="00905EA8" w:rsidP="00905EA8">
      <w:pPr>
        <w:rPr>
          <w:rtl/>
          <w:lang w:bidi="ar-MA"/>
        </w:rPr>
      </w:pPr>
    </w:p>
    <w:p w:rsidR="00905EA8" w:rsidRDefault="00905EA8" w:rsidP="00905EA8">
      <w:pPr>
        <w:pStyle w:val="Sansinterligne"/>
        <w:rPr>
          <w:rFonts w:asciiTheme="majorBidi" w:hAnsiTheme="majorBidi" w:cstheme="majorBidi"/>
          <w:b/>
          <w:bCs/>
          <w:sz w:val="36"/>
          <w:szCs w:val="36"/>
          <w:rtl/>
          <w:lang w:bidi="ar-MA"/>
        </w:rPr>
      </w:pPr>
      <w:r>
        <w:rPr>
          <w:lang w:bidi="ar-MA"/>
        </w:rPr>
        <w:tab/>
        <w:t xml:space="preserve">     </w:t>
      </w:r>
      <w:r w:rsidRPr="00E7157D">
        <w:rPr>
          <w:lang w:bidi="ar-MA"/>
        </w:rPr>
        <w:t xml:space="preserve">  </w:t>
      </w:r>
      <w:r w:rsidRPr="00E7157D">
        <w:rPr>
          <w:rFonts w:asciiTheme="majorBidi" w:hAnsiTheme="majorBidi" w:cstheme="majorBidi"/>
          <w:b/>
          <w:bCs/>
          <w:sz w:val="36"/>
          <w:szCs w:val="36"/>
          <w:lang w:bidi="ar-MA"/>
        </w:rPr>
        <w:t xml:space="preserve">Les </w:t>
      </w:r>
      <w:r>
        <w:rPr>
          <w:rFonts w:asciiTheme="majorBidi" w:hAnsiTheme="majorBidi" w:cstheme="majorBidi"/>
          <w:b/>
          <w:bCs/>
          <w:sz w:val="36"/>
          <w:szCs w:val="36"/>
          <w:lang w:bidi="ar-MA"/>
        </w:rPr>
        <w:t>C</w:t>
      </w:r>
      <w:r w:rsidRPr="00E7157D">
        <w:rPr>
          <w:rFonts w:asciiTheme="majorBidi" w:hAnsiTheme="majorBidi" w:cstheme="majorBidi"/>
          <w:b/>
          <w:bCs/>
          <w:sz w:val="36"/>
          <w:szCs w:val="36"/>
          <w:lang w:bidi="ar-MA"/>
        </w:rPr>
        <w:t>omptes Régionaux de Tanger-Tétouan</w:t>
      </w:r>
    </w:p>
    <w:p w:rsidR="00905EA8" w:rsidRDefault="00905EA8" w:rsidP="00905EA8">
      <w:pPr>
        <w:rPr>
          <w:rtl/>
          <w:lang w:bidi="ar-MA"/>
        </w:rPr>
      </w:pPr>
    </w:p>
    <w:p w:rsidR="00905EA8" w:rsidRDefault="00905EA8" w:rsidP="00905EA8">
      <w:pPr>
        <w:pStyle w:val="Sansinterligne"/>
        <w:rPr>
          <w:rFonts w:asciiTheme="majorBidi" w:hAnsiTheme="majorBidi" w:cstheme="majorBidi"/>
          <w:b/>
          <w:bCs/>
          <w:sz w:val="36"/>
          <w:szCs w:val="36"/>
          <w:lang w:bidi="ar-MA"/>
        </w:rPr>
      </w:pPr>
      <w:r>
        <w:rPr>
          <w:lang w:bidi="ar-MA"/>
        </w:rPr>
        <w:tab/>
      </w:r>
      <w:r w:rsidRPr="00902B7C">
        <w:rPr>
          <w:rFonts w:asciiTheme="majorBidi" w:hAnsiTheme="majorBidi" w:cstheme="majorBidi"/>
          <w:b/>
          <w:bCs/>
          <w:sz w:val="36"/>
          <w:szCs w:val="36"/>
          <w:lang w:bidi="ar-MA"/>
        </w:rPr>
        <w:t xml:space="preserve">                  </w:t>
      </w:r>
      <w:r>
        <w:rPr>
          <w:rFonts w:asciiTheme="majorBidi" w:hAnsiTheme="majorBidi" w:cstheme="majorBidi"/>
          <w:b/>
          <w:bCs/>
          <w:sz w:val="36"/>
          <w:szCs w:val="36"/>
          <w:lang w:bidi="ar-MA"/>
        </w:rPr>
        <w:t xml:space="preserve">         </w:t>
      </w:r>
    </w:p>
    <w:p w:rsidR="00905EA8" w:rsidRDefault="00905EA8" w:rsidP="00905EA8">
      <w:pPr>
        <w:pStyle w:val="Sansinterligne"/>
        <w:rPr>
          <w:rFonts w:asciiTheme="majorBidi" w:hAnsiTheme="majorBidi" w:cstheme="majorBidi"/>
          <w:b/>
          <w:bCs/>
          <w:sz w:val="36"/>
          <w:szCs w:val="36"/>
          <w:lang w:bidi="ar-MA"/>
        </w:rPr>
      </w:pPr>
    </w:p>
    <w:p w:rsidR="00905EA8" w:rsidRDefault="00905EA8" w:rsidP="00905EA8">
      <w:pPr>
        <w:pStyle w:val="Sansinterligne"/>
        <w:rPr>
          <w:rFonts w:asciiTheme="majorBidi" w:hAnsiTheme="majorBidi" w:cstheme="majorBidi"/>
          <w:b/>
          <w:bCs/>
          <w:sz w:val="36"/>
          <w:szCs w:val="36"/>
          <w:lang w:bidi="ar-MA"/>
        </w:rPr>
      </w:pPr>
    </w:p>
    <w:p w:rsidR="00905EA8" w:rsidRDefault="00905EA8" w:rsidP="00905EA8">
      <w:pPr>
        <w:pStyle w:val="Sansinterligne"/>
        <w:rPr>
          <w:rFonts w:asciiTheme="majorBidi" w:hAnsiTheme="majorBidi" w:cstheme="majorBidi"/>
          <w:b/>
          <w:bCs/>
          <w:sz w:val="36"/>
          <w:szCs w:val="36"/>
          <w:lang w:bidi="ar-MA"/>
        </w:rPr>
      </w:pPr>
    </w:p>
    <w:p w:rsidR="00905EA8" w:rsidRDefault="00905EA8" w:rsidP="00905EA8">
      <w:pPr>
        <w:pStyle w:val="Sansinterligne"/>
        <w:rPr>
          <w:rFonts w:asciiTheme="majorBidi" w:hAnsiTheme="majorBidi" w:cstheme="majorBidi"/>
          <w:b/>
          <w:bCs/>
          <w:sz w:val="36"/>
          <w:szCs w:val="36"/>
          <w:lang w:bidi="ar-MA"/>
        </w:rPr>
      </w:pPr>
    </w:p>
    <w:p w:rsidR="00905EA8" w:rsidRDefault="00905EA8" w:rsidP="00905EA8">
      <w:pPr>
        <w:pStyle w:val="Sansinterligne"/>
        <w:rPr>
          <w:rFonts w:asciiTheme="majorBidi" w:hAnsiTheme="majorBidi" w:cstheme="majorBidi"/>
          <w:b/>
          <w:bCs/>
          <w:sz w:val="36"/>
          <w:szCs w:val="36"/>
          <w:lang w:bidi="ar-MA"/>
        </w:rPr>
      </w:pPr>
      <w:r>
        <w:rPr>
          <w:rFonts w:asciiTheme="majorBidi" w:hAnsiTheme="majorBidi" w:cstheme="majorBidi"/>
          <w:b/>
          <w:bCs/>
          <w:sz w:val="36"/>
          <w:szCs w:val="36"/>
          <w:lang w:bidi="ar-MA"/>
        </w:rPr>
        <w:t xml:space="preserve">                               Produit Intérieur Brut </w:t>
      </w:r>
    </w:p>
    <w:p w:rsidR="00905EA8" w:rsidRDefault="00905EA8" w:rsidP="00905EA8">
      <w:pPr>
        <w:pStyle w:val="Sansinterligne"/>
        <w:rPr>
          <w:rFonts w:asciiTheme="majorBidi" w:hAnsiTheme="majorBidi" w:cstheme="majorBidi"/>
          <w:b/>
          <w:bCs/>
          <w:sz w:val="36"/>
          <w:szCs w:val="36"/>
          <w:lang w:bidi="ar-MA"/>
        </w:rPr>
      </w:pPr>
      <w:r>
        <w:rPr>
          <w:rFonts w:asciiTheme="majorBidi" w:hAnsiTheme="majorBidi" w:cstheme="majorBidi"/>
          <w:b/>
          <w:bCs/>
          <w:sz w:val="36"/>
          <w:szCs w:val="36"/>
          <w:lang w:bidi="ar-MA"/>
        </w:rPr>
        <w:t xml:space="preserve">          et Dépenses de Consommation Finale des Ménages</w:t>
      </w:r>
    </w:p>
    <w:p w:rsidR="00905EA8" w:rsidRDefault="00905EA8" w:rsidP="00905EA8">
      <w:pPr>
        <w:pStyle w:val="Sansinterligne"/>
        <w:tabs>
          <w:tab w:val="left" w:pos="3680"/>
        </w:tabs>
        <w:rPr>
          <w:rFonts w:asciiTheme="majorBidi" w:hAnsiTheme="majorBidi" w:cstheme="majorBidi"/>
          <w:b/>
          <w:bCs/>
          <w:sz w:val="36"/>
          <w:szCs w:val="36"/>
          <w:lang w:bidi="ar-MA"/>
        </w:rPr>
      </w:pPr>
      <w:r>
        <w:rPr>
          <w:rFonts w:asciiTheme="majorBidi" w:hAnsiTheme="majorBidi" w:cstheme="majorBidi"/>
          <w:b/>
          <w:bCs/>
          <w:sz w:val="36"/>
          <w:szCs w:val="36"/>
          <w:lang w:bidi="ar-MA"/>
        </w:rPr>
        <w:t xml:space="preserve">                                              </w:t>
      </w:r>
      <w:r w:rsidRPr="00902B7C">
        <w:rPr>
          <w:rFonts w:asciiTheme="majorBidi" w:hAnsiTheme="majorBidi" w:cstheme="majorBidi"/>
          <w:b/>
          <w:bCs/>
          <w:sz w:val="36"/>
          <w:szCs w:val="36"/>
          <w:lang w:bidi="ar-MA"/>
        </w:rPr>
        <w:t>2012</w:t>
      </w:r>
    </w:p>
    <w:p w:rsidR="00905EA8" w:rsidRDefault="00905EA8" w:rsidP="00905EA8">
      <w:pPr>
        <w:pStyle w:val="Sansinterligne"/>
        <w:rPr>
          <w:rFonts w:asciiTheme="majorBidi" w:hAnsiTheme="majorBidi" w:cstheme="majorBidi"/>
          <w:b/>
          <w:bCs/>
          <w:sz w:val="36"/>
          <w:szCs w:val="36"/>
          <w:lang w:bidi="ar-MA"/>
        </w:rPr>
      </w:pPr>
    </w:p>
    <w:p w:rsidR="00905EA8" w:rsidRDefault="00905EA8" w:rsidP="00905EA8">
      <w:pPr>
        <w:pStyle w:val="Sansinterligne"/>
        <w:rPr>
          <w:rFonts w:asciiTheme="majorBidi" w:hAnsiTheme="majorBidi" w:cstheme="majorBidi"/>
          <w:b/>
          <w:bCs/>
          <w:sz w:val="36"/>
          <w:szCs w:val="36"/>
          <w:lang w:bidi="ar-MA"/>
        </w:rPr>
      </w:pPr>
    </w:p>
    <w:p w:rsidR="00905EA8" w:rsidRDefault="00905EA8" w:rsidP="00905EA8">
      <w:pPr>
        <w:pStyle w:val="Sansinterligne"/>
        <w:rPr>
          <w:rFonts w:asciiTheme="majorBidi" w:hAnsiTheme="majorBidi" w:cstheme="majorBidi"/>
          <w:b/>
          <w:bCs/>
          <w:sz w:val="36"/>
          <w:szCs w:val="36"/>
          <w:lang w:bidi="ar-MA"/>
        </w:rPr>
      </w:pPr>
    </w:p>
    <w:p w:rsidR="00905EA8" w:rsidRDefault="00905EA8" w:rsidP="00905EA8">
      <w:pPr>
        <w:pStyle w:val="Sansinterligne"/>
        <w:rPr>
          <w:rFonts w:asciiTheme="majorBidi" w:hAnsiTheme="majorBidi" w:cstheme="majorBidi"/>
          <w:b/>
          <w:bCs/>
          <w:sz w:val="36"/>
          <w:szCs w:val="36"/>
          <w:lang w:bidi="ar-MA"/>
        </w:rPr>
      </w:pPr>
    </w:p>
    <w:p w:rsidR="00905EA8" w:rsidRDefault="00905EA8" w:rsidP="00905EA8">
      <w:pPr>
        <w:pStyle w:val="Sansinterligne"/>
        <w:rPr>
          <w:rFonts w:asciiTheme="majorBidi" w:hAnsiTheme="majorBidi" w:cstheme="majorBidi"/>
          <w:b/>
          <w:bCs/>
          <w:sz w:val="36"/>
          <w:szCs w:val="36"/>
          <w:lang w:bidi="ar-MA"/>
        </w:rPr>
      </w:pPr>
    </w:p>
    <w:p w:rsidR="00905EA8" w:rsidRDefault="00905EA8" w:rsidP="00905EA8">
      <w:pPr>
        <w:pStyle w:val="Sansinterligne"/>
        <w:rPr>
          <w:rFonts w:asciiTheme="majorBidi" w:hAnsiTheme="majorBidi" w:cstheme="majorBidi"/>
          <w:b/>
          <w:bCs/>
          <w:sz w:val="36"/>
          <w:szCs w:val="36"/>
          <w:lang w:bidi="ar-MA"/>
        </w:rPr>
      </w:pPr>
    </w:p>
    <w:p w:rsidR="00905EA8" w:rsidRDefault="00905EA8" w:rsidP="00905EA8">
      <w:pPr>
        <w:pStyle w:val="Sansinterligne"/>
        <w:rPr>
          <w:rFonts w:asciiTheme="majorBidi" w:hAnsiTheme="majorBidi" w:cstheme="majorBidi"/>
          <w:b/>
          <w:bCs/>
          <w:sz w:val="36"/>
          <w:szCs w:val="36"/>
          <w:lang w:bidi="ar-MA"/>
        </w:rPr>
      </w:pPr>
    </w:p>
    <w:p w:rsidR="00905EA8" w:rsidRDefault="00905EA8" w:rsidP="00905EA8">
      <w:pPr>
        <w:pStyle w:val="Sansinterligne"/>
        <w:rPr>
          <w:rFonts w:asciiTheme="majorBidi" w:hAnsiTheme="majorBidi" w:cstheme="majorBidi"/>
          <w:b/>
          <w:bCs/>
          <w:sz w:val="36"/>
          <w:szCs w:val="36"/>
          <w:lang w:bidi="ar-MA"/>
        </w:rPr>
      </w:pPr>
    </w:p>
    <w:p w:rsidR="00905EA8" w:rsidRDefault="00905EA8" w:rsidP="00905EA8">
      <w:pPr>
        <w:pStyle w:val="Sansinterligne"/>
        <w:rPr>
          <w:rFonts w:asciiTheme="majorBidi" w:hAnsiTheme="majorBidi" w:cstheme="majorBidi"/>
          <w:b/>
          <w:bCs/>
          <w:sz w:val="36"/>
          <w:szCs w:val="36"/>
          <w:lang w:bidi="ar-MA"/>
        </w:rPr>
      </w:pPr>
    </w:p>
    <w:p w:rsidR="00905EA8" w:rsidRDefault="00905EA8" w:rsidP="00905EA8">
      <w:pPr>
        <w:pStyle w:val="Sansinterligne"/>
        <w:rPr>
          <w:rFonts w:asciiTheme="majorBidi" w:hAnsiTheme="majorBidi" w:cstheme="majorBidi"/>
          <w:b/>
          <w:bCs/>
          <w:sz w:val="36"/>
          <w:szCs w:val="36"/>
          <w:lang w:bidi="ar-MA"/>
        </w:rPr>
      </w:pPr>
    </w:p>
    <w:p w:rsidR="00905EA8" w:rsidRDefault="00905EA8" w:rsidP="00905EA8">
      <w:pPr>
        <w:pStyle w:val="Sansinterligne"/>
        <w:rPr>
          <w:rFonts w:asciiTheme="majorBidi" w:hAnsiTheme="majorBidi" w:cstheme="majorBidi"/>
          <w:b/>
          <w:bCs/>
          <w:sz w:val="36"/>
          <w:szCs w:val="36"/>
          <w:lang w:bidi="ar-MA"/>
        </w:rPr>
      </w:pPr>
      <w:r>
        <w:rPr>
          <w:rFonts w:asciiTheme="majorBidi" w:hAnsiTheme="majorBidi" w:cstheme="majorBidi"/>
          <w:b/>
          <w:bCs/>
          <w:sz w:val="36"/>
          <w:szCs w:val="36"/>
          <w:lang w:bidi="ar-MA"/>
        </w:rPr>
        <w:t xml:space="preserve">                                          Février 2015         </w:t>
      </w:r>
    </w:p>
    <w:p w:rsidR="00905EA8" w:rsidRDefault="00905EA8" w:rsidP="00905EA8">
      <w:pPr>
        <w:pStyle w:val="Sansinterligne"/>
        <w:rPr>
          <w:rFonts w:asciiTheme="majorBidi" w:hAnsiTheme="majorBidi" w:cstheme="majorBidi"/>
          <w:b/>
          <w:bCs/>
          <w:sz w:val="28"/>
          <w:szCs w:val="28"/>
          <w:lang w:bidi="ar-MA"/>
        </w:rPr>
      </w:pPr>
    </w:p>
    <w:p w:rsidR="00905EA8" w:rsidRDefault="00905EA8" w:rsidP="00905EA8">
      <w:pPr>
        <w:pStyle w:val="Sansinterligne"/>
        <w:rPr>
          <w:rFonts w:asciiTheme="majorBidi" w:hAnsiTheme="majorBidi" w:cstheme="majorBidi"/>
          <w:b/>
          <w:bCs/>
          <w:sz w:val="28"/>
          <w:szCs w:val="28"/>
          <w:lang w:bidi="ar-MA"/>
        </w:rPr>
      </w:pPr>
    </w:p>
    <w:p w:rsidR="00905EA8" w:rsidRDefault="00905EA8" w:rsidP="00905EA8">
      <w:pPr>
        <w:pStyle w:val="Sansinterligne"/>
        <w:rPr>
          <w:rFonts w:asciiTheme="majorBidi" w:hAnsiTheme="majorBidi" w:cstheme="majorBidi"/>
          <w:b/>
          <w:bCs/>
          <w:sz w:val="28"/>
          <w:szCs w:val="28"/>
          <w:lang w:bidi="ar-MA"/>
        </w:rPr>
        <w:sectPr w:rsidR="00905EA8" w:rsidSect="00090564">
          <w:pgSz w:w="11906" w:h="16838"/>
          <w:pgMar w:top="851" w:right="1134" w:bottom="851" w:left="1134" w:header="709" w:footer="709" w:gutter="0"/>
          <w:pgNumType w:start="2"/>
          <w:cols w:space="708"/>
          <w:docGrid w:linePitch="360"/>
        </w:sectPr>
      </w:pPr>
    </w:p>
    <w:p w:rsidR="00905EA8" w:rsidRDefault="00905EA8" w:rsidP="00905EA8">
      <w:pPr>
        <w:pStyle w:val="Sansinterligne"/>
        <w:rPr>
          <w:rFonts w:asciiTheme="majorBidi" w:hAnsiTheme="majorBidi" w:cstheme="majorBidi"/>
          <w:b/>
          <w:bCs/>
          <w:sz w:val="28"/>
          <w:szCs w:val="28"/>
          <w:lang w:bidi="ar-MA"/>
        </w:rPr>
      </w:pPr>
    </w:p>
    <w:p w:rsidR="00905EA8" w:rsidRPr="00AA7A40" w:rsidRDefault="00905EA8" w:rsidP="00905EA8">
      <w:pPr>
        <w:pStyle w:val="Sansinterligne"/>
        <w:rPr>
          <w:rFonts w:asciiTheme="majorBidi" w:hAnsiTheme="majorBidi" w:cstheme="majorBidi"/>
          <w:b/>
          <w:bCs/>
          <w:sz w:val="28"/>
          <w:szCs w:val="28"/>
          <w:lang w:bidi="ar-MA"/>
        </w:rPr>
      </w:pPr>
      <w:r>
        <w:rPr>
          <w:rFonts w:asciiTheme="majorBidi" w:hAnsiTheme="majorBidi" w:cstheme="majorBidi"/>
          <w:b/>
          <w:bCs/>
          <w:sz w:val="28"/>
          <w:szCs w:val="28"/>
          <w:lang w:bidi="ar-MA"/>
        </w:rPr>
        <w:t xml:space="preserve"> </w:t>
      </w:r>
      <w:r w:rsidRPr="00AA7A40">
        <w:rPr>
          <w:rFonts w:asciiTheme="majorBidi" w:hAnsiTheme="majorBidi" w:cstheme="majorBidi"/>
          <w:b/>
          <w:bCs/>
          <w:sz w:val="28"/>
          <w:szCs w:val="28"/>
          <w:lang w:bidi="ar-MA"/>
        </w:rPr>
        <w:t>Introduction</w:t>
      </w:r>
    </w:p>
    <w:p w:rsidR="00905EA8" w:rsidRDefault="00905EA8" w:rsidP="00905EA8">
      <w:pPr>
        <w:pStyle w:val="Sansinterligne"/>
        <w:rPr>
          <w:rFonts w:asciiTheme="majorBidi" w:hAnsiTheme="majorBidi" w:cstheme="majorBidi"/>
          <w:b/>
          <w:bCs/>
          <w:sz w:val="36"/>
          <w:szCs w:val="36"/>
          <w:lang w:bidi="ar-MA"/>
        </w:rPr>
      </w:pPr>
    </w:p>
    <w:p w:rsidR="00905EA8" w:rsidRDefault="00905EA8" w:rsidP="00905EA8">
      <w:pPr>
        <w:pStyle w:val="Sansinterligne"/>
        <w:spacing w:line="360" w:lineRule="auto"/>
        <w:ind w:firstLine="709"/>
        <w:jc w:val="both"/>
        <w:rPr>
          <w:rFonts w:asciiTheme="majorBidi" w:hAnsiTheme="majorBidi" w:cstheme="majorBidi"/>
          <w:sz w:val="24"/>
          <w:szCs w:val="24"/>
          <w:lang w:bidi="ar-MA"/>
        </w:rPr>
      </w:pPr>
      <w:r w:rsidRPr="00AA7A40">
        <w:rPr>
          <w:rFonts w:asciiTheme="majorBidi" w:hAnsiTheme="majorBidi" w:cstheme="majorBidi"/>
          <w:sz w:val="24"/>
          <w:szCs w:val="24"/>
          <w:lang w:bidi="ar-MA"/>
        </w:rPr>
        <w:t>Dans le cadre de l’accompagnement du proc</w:t>
      </w:r>
      <w:r>
        <w:rPr>
          <w:rFonts w:asciiTheme="majorBidi" w:hAnsiTheme="majorBidi" w:cstheme="majorBidi"/>
          <w:sz w:val="24"/>
          <w:szCs w:val="24"/>
          <w:lang w:bidi="ar-MA"/>
        </w:rPr>
        <w:t xml:space="preserve">essus de régionalisation </w:t>
      </w:r>
      <w:r w:rsidRPr="00AA7A40">
        <w:rPr>
          <w:rFonts w:asciiTheme="majorBidi" w:hAnsiTheme="majorBidi" w:cstheme="majorBidi"/>
          <w:sz w:val="24"/>
          <w:szCs w:val="24"/>
          <w:lang w:bidi="ar-MA"/>
        </w:rPr>
        <w:t xml:space="preserve"> le Haut Commissariat au Plan a mis en place un dispositif de production des comptes régionaux selon les normes de comptabilité nationale de 1993. Ces comptes ont pour objectif principal de fournir des indicateurs et agrégats</w:t>
      </w:r>
      <w:r>
        <w:rPr>
          <w:rFonts w:asciiTheme="majorBidi" w:hAnsiTheme="majorBidi" w:cstheme="majorBidi"/>
          <w:sz w:val="24"/>
          <w:szCs w:val="24"/>
          <w:lang w:bidi="ar-MA"/>
        </w:rPr>
        <w:t xml:space="preserve"> pertinents et significatifs </w:t>
      </w:r>
      <w:r w:rsidRPr="00AA7A40">
        <w:rPr>
          <w:rFonts w:asciiTheme="majorBidi" w:hAnsiTheme="majorBidi" w:cstheme="majorBidi"/>
          <w:sz w:val="24"/>
          <w:szCs w:val="24"/>
          <w:lang w:bidi="ar-MA"/>
        </w:rPr>
        <w:t xml:space="preserve"> pour la région, ils permettent entre autre</w:t>
      </w:r>
      <w:r>
        <w:rPr>
          <w:rFonts w:asciiTheme="majorBidi" w:hAnsiTheme="majorBidi" w:cstheme="majorBidi"/>
          <w:sz w:val="24"/>
          <w:szCs w:val="24"/>
          <w:lang w:bidi="ar-MA"/>
        </w:rPr>
        <w:t xml:space="preserve">s </w:t>
      </w:r>
      <w:r w:rsidRPr="00AA7A40">
        <w:rPr>
          <w:rFonts w:asciiTheme="majorBidi" w:hAnsiTheme="majorBidi" w:cstheme="majorBidi"/>
          <w:sz w:val="24"/>
          <w:szCs w:val="24"/>
          <w:lang w:bidi="ar-MA"/>
        </w:rPr>
        <w:t xml:space="preserve">de décrire son économie et de dégager les disparités régionales. Le présent document </w:t>
      </w:r>
      <w:r>
        <w:rPr>
          <w:rFonts w:asciiTheme="majorBidi" w:hAnsiTheme="majorBidi" w:cstheme="majorBidi"/>
          <w:sz w:val="24"/>
          <w:szCs w:val="24"/>
          <w:lang w:bidi="ar-MA"/>
        </w:rPr>
        <w:t>retrace</w:t>
      </w:r>
      <w:r w:rsidRPr="00AA7A40">
        <w:rPr>
          <w:rFonts w:asciiTheme="majorBidi" w:hAnsiTheme="majorBidi" w:cstheme="majorBidi"/>
          <w:sz w:val="24"/>
          <w:szCs w:val="24"/>
          <w:lang w:bidi="ar-MA"/>
        </w:rPr>
        <w:t xml:space="preserve"> dans ce qui suit le produit intérieur brut (PIB</w:t>
      </w:r>
      <w:r>
        <w:rPr>
          <w:rFonts w:asciiTheme="majorBidi" w:hAnsiTheme="majorBidi" w:cstheme="majorBidi"/>
          <w:sz w:val="24"/>
          <w:szCs w:val="24"/>
          <w:lang w:bidi="ar-MA"/>
        </w:rPr>
        <w:t>R</w:t>
      </w:r>
      <w:r w:rsidRPr="00AA7A40">
        <w:rPr>
          <w:rFonts w:asciiTheme="majorBidi" w:hAnsiTheme="majorBidi" w:cstheme="majorBidi"/>
          <w:sz w:val="24"/>
          <w:szCs w:val="24"/>
          <w:lang w:bidi="ar-MA"/>
        </w:rPr>
        <w:t>) par groupes de branches d’activité ainsi que les dépenses de consommation finale des ménages</w:t>
      </w:r>
      <w:r>
        <w:rPr>
          <w:rFonts w:asciiTheme="majorBidi" w:hAnsiTheme="majorBidi" w:cstheme="majorBidi"/>
          <w:sz w:val="24"/>
          <w:szCs w:val="24"/>
          <w:lang w:bidi="ar-MA"/>
        </w:rPr>
        <w:t xml:space="preserve"> régionaux (DCFMR) </w:t>
      </w:r>
      <w:r w:rsidRPr="00AA7A40">
        <w:rPr>
          <w:rFonts w:asciiTheme="majorBidi" w:hAnsiTheme="majorBidi" w:cstheme="majorBidi"/>
          <w:sz w:val="24"/>
          <w:szCs w:val="24"/>
          <w:lang w:bidi="ar-MA"/>
        </w:rPr>
        <w:t>pour l’année 2012.</w:t>
      </w:r>
    </w:p>
    <w:p w:rsidR="00905EA8" w:rsidRDefault="00905EA8" w:rsidP="00905EA8">
      <w:pPr>
        <w:pStyle w:val="Sansinterligne"/>
        <w:rPr>
          <w:rFonts w:asciiTheme="majorBidi" w:hAnsiTheme="majorBidi" w:cstheme="majorBidi"/>
          <w:b/>
          <w:bCs/>
          <w:sz w:val="24"/>
          <w:szCs w:val="24"/>
          <w:lang w:bidi="ar-MA"/>
        </w:rPr>
      </w:pPr>
    </w:p>
    <w:p w:rsidR="00905EA8" w:rsidRDefault="00905EA8" w:rsidP="00905EA8">
      <w:pPr>
        <w:pStyle w:val="Sansinterligne"/>
        <w:rPr>
          <w:rFonts w:asciiTheme="majorBidi" w:hAnsiTheme="majorBidi" w:cstheme="majorBidi"/>
          <w:b/>
          <w:bCs/>
          <w:sz w:val="28"/>
          <w:szCs w:val="28"/>
          <w:lang w:bidi="ar-MA"/>
        </w:rPr>
      </w:pPr>
      <w:r w:rsidRPr="00672043">
        <w:rPr>
          <w:rFonts w:asciiTheme="majorBidi" w:hAnsiTheme="majorBidi" w:cstheme="majorBidi"/>
          <w:b/>
          <w:bCs/>
          <w:sz w:val="28"/>
          <w:szCs w:val="28"/>
          <w:lang w:bidi="ar-MA"/>
        </w:rPr>
        <w:t>Aspects conceptuels et méthodologiques</w:t>
      </w:r>
    </w:p>
    <w:p w:rsidR="00905EA8" w:rsidRPr="00672043" w:rsidRDefault="00905EA8" w:rsidP="00905EA8">
      <w:pPr>
        <w:pStyle w:val="Sansinterligne"/>
        <w:rPr>
          <w:rFonts w:asciiTheme="majorBidi" w:hAnsiTheme="majorBidi" w:cstheme="majorBidi"/>
          <w:b/>
          <w:bCs/>
          <w:sz w:val="28"/>
          <w:szCs w:val="28"/>
          <w:lang w:bidi="ar-MA"/>
        </w:rPr>
      </w:pPr>
    </w:p>
    <w:p w:rsidR="00905EA8" w:rsidRDefault="00905EA8" w:rsidP="00905EA8">
      <w:pPr>
        <w:pStyle w:val="Sansinterligne"/>
        <w:spacing w:line="360" w:lineRule="auto"/>
        <w:ind w:firstLine="709"/>
        <w:jc w:val="both"/>
        <w:rPr>
          <w:rFonts w:asciiTheme="majorBidi" w:hAnsiTheme="majorBidi" w:cstheme="majorBidi"/>
          <w:sz w:val="24"/>
          <w:szCs w:val="24"/>
          <w:lang w:bidi="ar-MA"/>
        </w:rPr>
      </w:pPr>
      <w:r w:rsidRPr="00672043">
        <w:rPr>
          <w:rFonts w:asciiTheme="majorBidi" w:hAnsiTheme="majorBidi" w:cstheme="majorBidi"/>
          <w:sz w:val="24"/>
          <w:szCs w:val="24"/>
          <w:lang w:bidi="ar-MA"/>
        </w:rPr>
        <w:t xml:space="preserve">Le cadre comptable de la </w:t>
      </w:r>
      <w:r w:rsidR="00D22F81" w:rsidRPr="00672043">
        <w:rPr>
          <w:rFonts w:asciiTheme="majorBidi" w:hAnsiTheme="majorBidi" w:cstheme="majorBidi"/>
          <w:sz w:val="24"/>
          <w:szCs w:val="24"/>
          <w:lang w:bidi="ar-MA"/>
        </w:rPr>
        <w:t>région,</w:t>
      </w:r>
      <w:r w:rsidRPr="00672043">
        <w:rPr>
          <w:rFonts w:asciiTheme="majorBidi" w:hAnsiTheme="majorBidi" w:cstheme="majorBidi"/>
          <w:sz w:val="24"/>
          <w:szCs w:val="24"/>
          <w:lang w:bidi="ar-MA"/>
        </w:rPr>
        <w:t xml:space="preserve"> constitue une référence pour l’élaboration des indicateurs permettant de décrire son économie, de suivre son évolution dans le temps, et de connaitre les disparités régionales. Un tel cadre</w:t>
      </w:r>
      <w:r>
        <w:rPr>
          <w:rFonts w:asciiTheme="majorBidi" w:hAnsiTheme="majorBidi" w:cstheme="majorBidi"/>
          <w:sz w:val="24"/>
          <w:szCs w:val="24"/>
          <w:lang w:bidi="ar-MA"/>
        </w:rPr>
        <w:t>,</w:t>
      </w:r>
      <w:r w:rsidRPr="00672043">
        <w:rPr>
          <w:rFonts w:asciiTheme="majorBidi" w:hAnsiTheme="majorBidi" w:cstheme="majorBidi"/>
          <w:sz w:val="24"/>
          <w:szCs w:val="24"/>
          <w:lang w:bidi="ar-MA"/>
        </w:rPr>
        <w:t xml:space="preserve"> ne pourrait être comparable à celui de la comptabilité national de 1993</w:t>
      </w:r>
      <w:r>
        <w:rPr>
          <w:rFonts w:asciiTheme="majorBidi" w:hAnsiTheme="majorBidi" w:cstheme="majorBidi"/>
          <w:sz w:val="24"/>
          <w:szCs w:val="24"/>
          <w:lang w:bidi="ar-MA"/>
        </w:rPr>
        <w:t>,</w:t>
      </w:r>
      <w:r w:rsidRPr="00672043">
        <w:rPr>
          <w:rFonts w:asciiTheme="majorBidi" w:hAnsiTheme="majorBidi" w:cstheme="majorBidi"/>
          <w:sz w:val="24"/>
          <w:szCs w:val="24"/>
          <w:lang w:bidi="ar-MA"/>
        </w:rPr>
        <w:t xml:space="preserve"> pour des raisons conceptuelles, méthodologiques et informationnelles.</w:t>
      </w:r>
      <w:r>
        <w:rPr>
          <w:rFonts w:asciiTheme="majorBidi" w:hAnsiTheme="majorBidi" w:cstheme="majorBidi"/>
          <w:sz w:val="24"/>
          <w:szCs w:val="24"/>
          <w:lang w:bidi="ar-MA"/>
        </w:rPr>
        <w:t xml:space="preserve"> En effet, des difficultés énormes sont rencontrées lorsqu’il s’agit de localiser et de délimiter les unités économiques régionales pour arrêter  les types d’opérations et les comptes à compiler par région. </w:t>
      </w:r>
      <w:r w:rsidRPr="00672043">
        <w:rPr>
          <w:rFonts w:asciiTheme="majorBidi" w:hAnsiTheme="majorBidi" w:cstheme="majorBidi"/>
          <w:sz w:val="24"/>
          <w:szCs w:val="24"/>
          <w:lang w:bidi="ar-MA"/>
        </w:rPr>
        <w:t xml:space="preserve">  </w:t>
      </w:r>
    </w:p>
    <w:p w:rsidR="00905EA8" w:rsidRDefault="00905EA8" w:rsidP="00905EA8">
      <w:pPr>
        <w:pStyle w:val="Sansinterligne"/>
        <w:spacing w:line="360" w:lineRule="auto"/>
        <w:jc w:val="both"/>
        <w:rPr>
          <w:rFonts w:asciiTheme="majorBidi" w:hAnsiTheme="majorBidi" w:cstheme="majorBidi"/>
          <w:b/>
          <w:bCs/>
          <w:sz w:val="28"/>
          <w:szCs w:val="28"/>
          <w:lang w:bidi="ar-MA"/>
        </w:rPr>
      </w:pPr>
    </w:p>
    <w:p w:rsidR="00905EA8" w:rsidRPr="001E0268" w:rsidRDefault="00905EA8" w:rsidP="00905EA8">
      <w:pPr>
        <w:pStyle w:val="Sansinterligne"/>
        <w:spacing w:line="360" w:lineRule="auto"/>
        <w:jc w:val="both"/>
        <w:rPr>
          <w:rFonts w:asciiTheme="majorBidi" w:hAnsiTheme="majorBidi" w:cstheme="majorBidi"/>
          <w:b/>
          <w:bCs/>
          <w:sz w:val="28"/>
          <w:szCs w:val="28"/>
          <w:lang w:bidi="ar-MA"/>
        </w:rPr>
      </w:pPr>
      <w:r w:rsidRPr="001E0268">
        <w:rPr>
          <w:rFonts w:asciiTheme="majorBidi" w:hAnsiTheme="majorBidi" w:cstheme="majorBidi"/>
          <w:b/>
          <w:bCs/>
          <w:sz w:val="28"/>
          <w:szCs w:val="28"/>
          <w:lang w:bidi="ar-MA"/>
        </w:rPr>
        <w:t>Délimitation de l’économie régionale</w:t>
      </w:r>
    </w:p>
    <w:p w:rsidR="00905EA8" w:rsidRPr="001E0268" w:rsidRDefault="00905EA8" w:rsidP="00905EA8">
      <w:pPr>
        <w:pStyle w:val="Sansinterligne"/>
        <w:spacing w:line="360" w:lineRule="auto"/>
        <w:ind w:firstLine="709"/>
        <w:jc w:val="both"/>
        <w:rPr>
          <w:rFonts w:asciiTheme="majorBidi" w:hAnsiTheme="majorBidi" w:cstheme="majorBidi"/>
          <w:strike/>
          <w:sz w:val="24"/>
          <w:szCs w:val="24"/>
          <w:vertAlign w:val="subscript"/>
          <w:lang w:bidi="ar-MA"/>
        </w:rPr>
      </w:pPr>
      <w:r w:rsidRPr="00011BE9">
        <w:rPr>
          <w:rFonts w:asciiTheme="majorBidi" w:hAnsiTheme="majorBidi" w:cstheme="majorBidi"/>
          <w:sz w:val="24"/>
          <w:szCs w:val="24"/>
          <w:lang w:bidi="ar-MA"/>
        </w:rPr>
        <w:t>Le système de comptabilité national</w:t>
      </w:r>
      <w:r>
        <w:rPr>
          <w:rFonts w:asciiTheme="majorBidi" w:hAnsiTheme="majorBidi" w:cstheme="majorBidi"/>
          <w:sz w:val="24"/>
          <w:szCs w:val="24"/>
          <w:lang w:bidi="ar-MA"/>
        </w:rPr>
        <w:t xml:space="preserve"> de</w:t>
      </w:r>
      <w:r w:rsidRPr="00011BE9">
        <w:rPr>
          <w:rFonts w:asciiTheme="majorBidi" w:hAnsiTheme="majorBidi" w:cstheme="majorBidi"/>
          <w:sz w:val="24"/>
          <w:szCs w:val="24"/>
          <w:lang w:bidi="ar-MA"/>
        </w:rPr>
        <w:t xml:space="preserve"> 1993 repose sur le principe de la délimitation de l’économie nationale, celle-ci est basée sur la notion de la résidence et du territoire économique</w:t>
      </w:r>
      <w:r>
        <w:rPr>
          <w:rFonts w:asciiTheme="majorBidi" w:hAnsiTheme="majorBidi" w:cstheme="majorBidi"/>
          <w:sz w:val="24"/>
          <w:szCs w:val="24"/>
          <w:lang w:bidi="ar-MA"/>
        </w:rPr>
        <w:t>. Ainsi, l’économie nationale est composée des unités résidentes sur le territoire économique, c'est-à-dire toutes celles qui ont un centre d’intérêt sur ce territoire ; celui-ci est composé :</w:t>
      </w:r>
    </w:p>
    <w:p w:rsidR="00905EA8" w:rsidRPr="00A63910" w:rsidRDefault="00905EA8" w:rsidP="00905EA8">
      <w:pPr>
        <w:pStyle w:val="Sansinterligne"/>
        <w:numPr>
          <w:ilvl w:val="0"/>
          <w:numId w:val="3"/>
        </w:numPr>
        <w:spacing w:line="360" w:lineRule="auto"/>
        <w:jc w:val="both"/>
        <w:rPr>
          <w:rFonts w:asciiTheme="majorBidi" w:hAnsiTheme="majorBidi" w:cstheme="majorBidi"/>
          <w:sz w:val="24"/>
          <w:szCs w:val="24"/>
          <w:lang w:bidi="ar-MA"/>
        </w:rPr>
      </w:pPr>
      <w:r w:rsidRPr="00A63910">
        <w:rPr>
          <w:rFonts w:asciiTheme="majorBidi" w:hAnsiTheme="majorBidi" w:cstheme="majorBidi"/>
          <w:sz w:val="24"/>
          <w:szCs w:val="24"/>
          <w:lang w:bidi="ar-MA"/>
        </w:rPr>
        <w:t>du territoire géographique marocain à l’intérieur duquel des biens et services circulent librement ;</w:t>
      </w:r>
    </w:p>
    <w:p w:rsidR="00905EA8" w:rsidRPr="00A63910" w:rsidRDefault="00905EA8" w:rsidP="00905EA8">
      <w:pPr>
        <w:pStyle w:val="Sansinterligne"/>
        <w:numPr>
          <w:ilvl w:val="0"/>
          <w:numId w:val="3"/>
        </w:numPr>
        <w:spacing w:line="360" w:lineRule="auto"/>
        <w:jc w:val="both"/>
        <w:rPr>
          <w:rFonts w:asciiTheme="majorBidi" w:hAnsiTheme="majorBidi" w:cstheme="majorBidi"/>
          <w:sz w:val="24"/>
          <w:szCs w:val="24"/>
          <w:lang w:bidi="ar-MA"/>
        </w:rPr>
      </w:pPr>
      <w:r w:rsidRPr="00A63910">
        <w:rPr>
          <w:rFonts w:asciiTheme="majorBidi" w:hAnsiTheme="majorBidi" w:cstheme="majorBidi"/>
          <w:sz w:val="24"/>
          <w:szCs w:val="24"/>
          <w:lang w:bidi="ar-MA"/>
        </w:rPr>
        <w:t>des enclaves territoriales marocaines situées dans les autres pays (ambassades et consulats) ;</w:t>
      </w:r>
    </w:p>
    <w:p w:rsidR="00905EA8" w:rsidRPr="00A63910" w:rsidRDefault="00905EA8" w:rsidP="00905EA8">
      <w:pPr>
        <w:pStyle w:val="Sansinterligne"/>
        <w:numPr>
          <w:ilvl w:val="0"/>
          <w:numId w:val="3"/>
        </w:numPr>
        <w:spacing w:line="360" w:lineRule="auto"/>
        <w:jc w:val="both"/>
        <w:rPr>
          <w:rFonts w:asciiTheme="majorBidi" w:hAnsiTheme="majorBidi" w:cstheme="majorBidi"/>
          <w:sz w:val="24"/>
          <w:szCs w:val="24"/>
          <w:lang w:bidi="ar-MA"/>
        </w:rPr>
      </w:pPr>
      <w:r w:rsidRPr="00A63910">
        <w:rPr>
          <w:rFonts w:asciiTheme="majorBidi" w:hAnsiTheme="majorBidi" w:cstheme="majorBidi"/>
          <w:sz w:val="24"/>
          <w:szCs w:val="24"/>
          <w:lang w:bidi="ar-MA"/>
        </w:rPr>
        <w:t xml:space="preserve">moins les enclaves étrangères installées au Maroc (ambassades et consulats étrangères, organismes internationaux) ; </w:t>
      </w:r>
    </w:p>
    <w:p w:rsidR="00905EA8" w:rsidRPr="00A63910" w:rsidRDefault="00905EA8" w:rsidP="00905EA8">
      <w:pPr>
        <w:pStyle w:val="Sansinterligne"/>
        <w:numPr>
          <w:ilvl w:val="0"/>
          <w:numId w:val="3"/>
        </w:numPr>
        <w:spacing w:line="360" w:lineRule="auto"/>
        <w:jc w:val="both"/>
        <w:rPr>
          <w:rFonts w:asciiTheme="majorBidi" w:hAnsiTheme="majorBidi" w:cstheme="majorBidi"/>
          <w:sz w:val="24"/>
          <w:szCs w:val="24"/>
          <w:lang w:bidi="ar-MA"/>
        </w:rPr>
      </w:pPr>
      <w:r w:rsidRPr="00A63910">
        <w:rPr>
          <w:rFonts w:asciiTheme="majorBidi" w:hAnsiTheme="majorBidi" w:cstheme="majorBidi"/>
          <w:sz w:val="24"/>
          <w:szCs w:val="24"/>
          <w:lang w:bidi="ar-MA"/>
        </w:rPr>
        <w:t>des enceintes des zones franches, entrepôts et usines sous contrôle douanier ;</w:t>
      </w:r>
    </w:p>
    <w:p w:rsidR="00905EA8" w:rsidRPr="00A63910" w:rsidRDefault="00905EA8" w:rsidP="00905EA8">
      <w:pPr>
        <w:pStyle w:val="Sansinterligne"/>
        <w:numPr>
          <w:ilvl w:val="0"/>
          <w:numId w:val="3"/>
        </w:numPr>
        <w:spacing w:line="360" w:lineRule="auto"/>
        <w:jc w:val="both"/>
        <w:rPr>
          <w:rFonts w:asciiTheme="majorBidi" w:hAnsiTheme="majorBidi" w:cstheme="majorBidi"/>
          <w:sz w:val="24"/>
          <w:szCs w:val="24"/>
          <w:lang w:bidi="ar-MA"/>
        </w:rPr>
      </w:pPr>
      <w:r w:rsidRPr="00A63910">
        <w:rPr>
          <w:rFonts w:asciiTheme="majorBidi" w:hAnsiTheme="majorBidi" w:cstheme="majorBidi"/>
          <w:sz w:val="24"/>
          <w:szCs w:val="24"/>
          <w:lang w:bidi="ar-MA"/>
        </w:rPr>
        <w:t>de l’espace aérien national et des eaux territoriales.</w:t>
      </w:r>
    </w:p>
    <w:p w:rsidR="00905EA8" w:rsidRPr="00A63910" w:rsidRDefault="00905EA8" w:rsidP="00905EA8">
      <w:pPr>
        <w:pStyle w:val="Sansinterligne"/>
        <w:spacing w:line="360" w:lineRule="auto"/>
        <w:ind w:left="1069"/>
        <w:jc w:val="both"/>
        <w:rPr>
          <w:rFonts w:asciiTheme="majorBidi" w:hAnsiTheme="majorBidi" w:cstheme="majorBidi"/>
          <w:sz w:val="24"/>
          <w:szCs w:val="24"/>
          <w:lang w:bidi="ar-MA"/>
        </w:rPr>
      </w:pPr>
    </w:p>
    <w:p w:rsidR="00905EA8" w:rsidRDefault="00905EA8" w:rsidP="00D22F81">
      <w:pPr>
        <w:pStyle w:val="Sansinterligne"/>
        <w:spacing w:line="360" w:lineRule="auto"/>
        <w:ind w:left="1072" w:firstLine="709"/>
        <w:jc w:val="both"/>
        <w:rPr>
          <w:rFonts w:asciiTheme="majorBidi" w:hAnsiTheme="majorBidi" w:cstheme="majorBidi"/>
          <w:sz w:val="24"/>
          <w:szCs w:val="24"/>
          <w:lang w:bidi="ar-MA"/>
        </w:rPr>
      </w:pPr>
      <w:r w:rsidRPr="00A63910">
        <w:rPr>
          <w:rFonts w:asciiTheme="majorBidi" w:hAnsiTheme="majorBidi" w:cstheme="majorBidi"/>
          <w:sz w:val="24"/>
          <w:szCs w:val="24"/>
          <w:lang w:bidi="ar-MA"/>
        </w:rPr>
        <w:t xml:space="preserve">A l’instar du territoire économique national, le territoire économique régional englobera, hormis les enceintes </w:t>
      </w:r>
      <w:r w:rsidR="00D22F81" w:rsidRPr="00A63910">
        <w:rPr>
          <w:rFonts w:asciiTheme="majorBidi" w:hAnsiTheme="majorBidi" w:cstheme="majorBidi"/>
          <w:sz w:val="24"/>
          <w:szCs w:val="24"/>
          <w:lang w:bidi="ar-MA"/>
        </w:rPr>
        <w:t>de</w:t>
      </w:r>
      <w:r w:rsidR="00D22F81">
        <w:rPr>
          <w:rFonts w:asciiTheme="majorBidi" w:hAnsiTheme="majorBidi" w:cstheme="majorBidi"/>
          <w:sz w:val="24"/>
          <w:szCs w:val="24"/>
          <w:lang w:bidi="ar-MA"/>
        </w:rPr>
        <w:t>s</w:t>
      </w:r>
      <w:r w:rsidR="00D22F81" w:rsidRPr="00A63910">
        <w:rPr>
          <w:rFonts w:asciiTheme="majorBidi" w:hAnsiTheme="majorBidi" w:cstheme="majorBidi"/>
          <w:sz w:val="24"/>
          <w:szCs w:val="24"/>
          <w:lang w:bidi="ar-MA"/>
        </w:rPr>
        <w:t xml:space="preserve"> enclaves extraterritoriales installées</w:t>
      </w:r>
      <w:r w:rsidRPr="00A63910">
        <w:rPr>
          <w:rFonts w:asciiTheme="majorBidi" w:hAnsiTheme="majorBidi" w:cstheme="majorBidi"/>
          <w:sz w:val="24"/>
          <w:szCs w:val="24"/>
          <w:lang w:bidi="ar-MA"/>
        </w:rPr>
        <w:t xml:space="preserve"> dans la région :</w:t>
      </w:r>
    </w:p>
    <w:p w:rsidR="00905EA8" w:rsidRDefault="00905EA8" w:rsidP="00905EA8">
      <w:pPr>
        <w:pStyle w:val="Sansinterligne"/>
        <w:numPr>
          <w:ilvl w:val="0"/>
          <w:numId w:val="3"/>
        </w:numPr>
        <w:spacing w:line="360" w:lineRule="auto"/>
        <w:jc w:val="both"/>
        <w:rPr>
          <w:rFonts w:asciiTheme="majorBidi" w:hAnsiTheme="majorBidi" w:cstheme="majorBidi"/>
          <w:sz w:val="24"/>
          <w:szCs w:val="24"/>
          <w:lang w:bidi="ar-MA"/>
        </w:rPr>
      </w:pPr>
      <w:r>
        <w:rPr>
          <w:rFonts w:asciiTheme="majorBidi" w:hAnsiTheme="majorBidi" w:cstheme="majorBidi"/>
          <w:sz w:val="24"/>
          <w:szCs w:val="24"/>
          <w:lang w:bidi="ar-MA"/>
        </w:rPr>
        <w:lastRenderedPageBreak/>
        <w:t>Le territoire régional géographique selon le découpage administratif en vigueur.</w:t>
      </w:r>
    </w:p>
    <w:p w:rsidR="00905EA8" w:rsidRDefault="00905EA8" w:rsidP="00905EA8">
      <w:pPr>
        <w:pStyle w:val="Sansinterligne"/>
        <w:numPr>
          <w:ilvl w:val="0"/>
          <w:numId w:val="3"/>
        </w:numPr>
        <w:spacing w:line="360" w:lineRule="auto"/>
        <w:jc w:val="both"/>
        <w:rPr>
          <w:rFonts w:asciiTheme="majorBidi" w:hAnsiTheme="majorBidi" w:cstheme="majorBidi"/>
          <w:sz w:val="24"/>
          <w:szCs w:val="24"/>
          <w:lang w:bidi="ar-MA"/>
        </w:rPr>
      </w:pPr>
      <w:r>
        <w:rPr>
          <w:rFonts w:asciiTheme="majorBidi" w:hAnsiTheme="majorBidi" w:cstheme="majorBidi"/>
          <w:sz w:val="24"/>
          <w:szCs w:val="24"/>
          <w:lang w:bidi="ar-MA"/>
        </w:rPr>
        <w:t>Les enceintes des zones franches et entrepôts installées dans la région.</w:t>
      </w:r>
    </w:p>
    <w:p w:rsidR="00905EA8" w:rsidRDefault="00905EA8" w:rsidP="00905EA8">
      <w:pPr>
        <w:pStyle w:val="Sansinterligne"/>
        <w:spacing w:line="360" w:lineRule="auto"/>
        <w:ind w:left="1069"/>
        <w:jc w:val="both"/>
        <w:rPr>
          <w:rFonts w:asciiTheme="majorBidi" w:hAnsiTheme="majorBidi" w:cstheme="majorBidi"/>
          <w:sz w:val="24"/>
          <w:szCs w:val="24"/>
          <w:lang w:bidi="ar-MA"/>
        </w:rPr>
      </w:pPr>
    </w:p>
    <w:p w:rsidR="00905EA8" w:rsidRDefault="00905EA8" w:rsidP="00905EA8">
      <w:pPr>
        <w:pStyle w:val="Sansinterligne"/>
        <w:spacing w:line="360" w:lineRule="auto"/>
        <w:jc w:val="both"/>
        <w:rPr>
          <w:rFonts w:asciiTheme="majorBidi" w:hAnsiTheme="majorBidi" w:cstheme="majorBidi"/>
          <w:sz w:val="24"/>
          <w:szCs w:val="24"/>
          <w:lang w:bidi="ar-MA"/>
        </w:rPr>
      </w:pPr>
      <w:r>
        <w:rPr>
          <w:rFonts w:asciiTheme="majorBidi" w:hAnsiTheme="majorBidi" w:cstheme="majorBidi"/>
          <w:sz w:val="24"/>
          <w:szCs w:val="24"/>
          <w:lang w:bidi="ar-MA"/>
        </w:rPr>
        <w:t xml:space="preserve">NB : les ambassades et les consulats du Maroc à l’étranger ainsi que les autres parties rattachées au territoire économique national (l’espace aérien, eaux territoriales) sont à considérer à part. </w:t>
      </w:r>
    </w:p>
    <w:p w:rsidR="00905EA8" w:rsidRPr="00A63910" w:rsidRDefault="00905EA8" w:rsidP="00905EA8">
      <w:pPr>
        <w:pStyle w:val="Sansinterligne"/>
        <w:spacing w:line="360" w:lineRule="auto"/>
        <w:jc w:val="both"/>
        <w:rPr>
          <w:rFonts w:asciiTheme="majorBidi" w:hAnsiTheme="majorBidi" w:cstheme="majorBidi"/>
          <w:sz w:val="24"/>
          <w:szCs w:val="24"/>
          <w:lang w:bidi="ar-MA"/>
        </w:rPr>
      </w:pPr>
    </w:p>
    <w:p w:rsidR="00905EA8" w:rsidRPr="00D34F97" w:rsidRDefault="00905EA8" w:rsidP="00905EA8">
      <w:pPr>
        <w:pStyle w:val="Sansinterligne"/>
        <w:spacing w:line="360" w:lineRule="auto"/>
        <w:jc w:val="both"/>
        <w:rPr>
          <w:rFonts w:asciiTheme="majorBidi" w:hAnsiTheme="majorBidi" w:cstheme="majorBidi"/>
          <w:b/>
          <w:bCs/>
          <w:sz w:val="28"/>
          <w:szCs w:val="28"/>
          <w:lang w:bidi="ar-MA"/>
        </w:rPr>
      </w:pPr>
      <w:r w:rsidRPr="00D34F97">
        <w:rPr>
          <w:rFonts w:asciiTheme="majorBidi" w:hAnsiTheme="majorBidi" w:cstheme="majorBidi"/>
          <w:b/>
          <w:bCs/>
          <w:sz w:val="28"/>
          <w:szCs w:val="28"/>
          <w:lang w:bidi="ar-MA"/>
        </w:rPr>
        <w:t>Unités économiques régionales : classification et localisation</w:t>
      </w:r>
    </w:p>
    <w:p w:rsidR="00905EA8" w:rsidRPr="00CE4663" w:rsidRDefault="00905EA8" w:rsidP="00905EA8">
      <w:pPr>
        <w:pStyle w:val="Sansinterligne"/>
        <w:spacing w:line="360" w:lineRule="auto"/>
        <w:ind w:firstLine="709"/>
        <w:jc w:val="both"/>
        <w:rPr>
          <w:rFonts w:asciiTheme="majorBidi" w:hAnsiTheme="majorBidi" w:cstheme="majorBidi"/>
          <w:sz w:val="24"/>
          <w:szCs w:val="24"/>
          <w:lang w:bidi="ar-MA"/>
        </w:rPr>
      </w:pPr>
      <w:r w:rsidRPr="00CE4663">
        <w:rPr>
          <w:rFonts w:asciiTheme="majorBidi" w:hAnsiTheme="majorBidi" w:cstheme="majorBidi"/>
          <w:sz w:val="24"/>
          <w:szCs w:val="24"/>
          <w:lang w:bidi="ar-MA"/>
        </w:rPr>
        <w:t>Le système de comptabilité national distingue deux types d’unités, dont l’usage diffère selon le type d’analyse. Il s’agit des unités institutionnelles et des établissements.</w:t>
      </w:r>
    </w:p>
    <w:p w:rsidR="00905EA8" w:rsidRDefault="00905EA8" w:rsidP="00905EA8">
      <w:pPr>
        <w:pStyle w:val="Sansinterligne"/>
        <w:spacing w:line="360" w:lineRule="auto"/>
        <w:ind w:firstLine="709"/>
        <w:jc w:val="both"/>
        <w:rPr>
          <w:rFonts w:asciiTheme="majorBidi" w:hAnsiTheme="majorBidi" w:cstheme="majorBidi"/>
          <w:sz w:val="24"/>
          <w:szCs w:val="24"/>
          <w:lang w:bidi="ar-MA"/>
        </w:rPr>
      </w:pPr>
      <w:r>
        <w:rPr>
          <w:rFonts w:asciiTheme="majorBidi" w:hAnsiTheme="majorBidi" w:cstheme="majorBidi"/>
          <w:sz w:val="24"/>
          <w:szCs w:val="24"/>
          <w:lang w:bidi="ar-MA"/>
        </w:rPr>
        <w:t xml:space="preserve">Les unités </w:t>
      </w:r>
      <w:r w:rsidR="00D22F81">
        <w:rPr>
          <w:rFonts w:asciiTheme="majorBidi" w:hAnsiTheme="majorBidi" w:cstheme="majorBidi"/>
          <w:sz w:val="24"/>
          <w:szCs w:val="24"/>
          <w:lang w:bidi="ar-MA"/>
        </w:rPr>
        <w:t>institutionnelles,</w:t>
      </w:r>
      <w:r>
        <w:rPr>
          <w:rFonts w:asciiTheme="majorBidi" w:hAnsiTheme="majorBidi" w:cstheme="majorBidi"/>
          <w:sz w:val="24"/>
          <w:szCs w:val="24"/>
          <w:lang w:bidi="ar-MA"/>
        </w:rPr>
        <w:t xml:space="preserve"> centres de décision économiques, sont utilisées pour l’étude et l’analyse de la répartition du revenu, de l’accumulation et du financement, elles sont regroupées selon le SCN93 en cinq secteurs institutionnels :</w:t>
      </w:r>
    </w:p>
    <w:p w:rsidR="00905EA8" w:rsidRDefault="00905EA8" w:rsidP="00905EA8">
      <w:pPr>
        <w:pStyle w:val="Sansinterligne"/>
        <w:numPr>
          <w:ilvl w:val="0"/>
          <w:numId w:val="3"/>
        </w:numPr>
        <w:spacing w:line="360" w:lineRule="auto"/>
        <w:jc w:val="both"/>
        <w:rPr>
          <w:rFonts w:asciiTheme="majorBidi" w:hAnsiTheme="majorBidi" w:cstheme="majorBidi"/>
          <w:sz w:val="24"/>
          <w:szCs w:val="24"/>
          <w:lang w:bidi="ar-MA"/>
        </w:rPr>
      </w:pPr>
      <w:r>
        <w:rPr>
          <w:rFonts w:asciiTheme="majorBidi" w:hAnsiTheme="majorBidi" w:cstheme="majorBidi"/>
          <w:sz w:val="24"/>
          <w:szCs w:val="24"/>
          <w:lang w:bidi="ar-MA"/>
        </w:rPr>
        <w:t>Les sociétés non financières (SNF) ;</w:t>
      </w:r>
    </w:p>
    <w:p w:rsidR="00905EA8" w:rsidRDefault="00905EA8" w:rsidP="00905EA8">
      <w:pPr>
        <w:pStyle w:val="Sansinterligne"/>
        <w:numPr>
          <w:ilvl w:val="0"/>
          <w:numId w:val="3"/>
        </w:numPr>
        <w:spacing w:line="360" w:lineRule="auto"/>
        <w:jc w:val="both"/>
        <w:rPr>
          <w:rFonts w:asciiTheme="majorBidi" w:hAnsiTheme="majorBidi" w:cstheme="majorBidi"/>
          <w:sz w:val="24"/>
          <w:szCs w:val="24"/>
          <w:lang w:bidi="ar-MA"/>
        </w:rPr>
      </w:pPr>
      <w:r>
        <w:rPr>
          <w:rFonts w:asciiTheme="majorBidi" w:hAnsiTheme="majorBidi" w:cstheme="majorBidi"/>
          <w:sz w:val="24"/>
          <w:szCs w:val="24"/>
          <w:lang w:bidi="ar-MA"/>
        </w:rPr>
        <w:t>Les sociétés financières (SF) ;</w:t>
      </w:r>
    </w:p>
    <w:p w:rsidR="00905EA8" w:rsidRDefault="00905EA8" w:rsidP="00905EA8">
      <w:pPr>
        <w:pStyle w:val="Sansinterligne"/>
        <w:numPr>
          <w:ilvl w:val="0"/>
          <w:numId w:val="3"/>
        </w:numPr>
        <w:spacing w:line="360" w:lineRule="auto"/>
        <w:jc w:val="both"/>
        <w:rPr>
          <w:rFonts w:asciiTheme="majorBidi" w:hAnsiTheme="majorBidi" w:cstheme="majorBidi"/>
          <w:sz w:val="24"/>
          <w:szCs w:val="24"/>
          <w:lang w:bidi="ar-MA"/>
        </w:rPr>
      </w:pPr>
      <w:r>
        <w:rPr>
          <w:rFonts w:asciiTheme="majorBidi" w:hAnsiTheme="majorBidi" w:cstheme="majorBidi"/>
          <w:sz w:val="24"/>
          <w:szCs w:val="24"/>
          <w:lang w:bidi="ar-MA"/>
        </w:rPr>
        <w:t>Les administrations publiques (APU) ;</w:t>
      </w:r>
    </w:p>
    <w:p w:rsidR="00905EA8" w:rsidRDefault="00905EA8" w:rsidP="00905EA8">
      <w:pPr>
        <w:pStyle w:val="Sansinterligne"/>
        <w:numPr>
          <w:ilvl w:val="0"/>
          <w:numId w:val="3"/>
        </w:numPr>
        <w:spacing w:line="360" w:lineRule="auto"/>
        <w:jc w:val="both"/>
        <w:rPr>
          <w:rFonts w:asciiTheme="majorBidi" w:hAnsiTheme="majorBidi" w:cstheme="majorBidi"/>
          <w:sz w:val="24"/>
          <w:szCs w:val="24"/>
          <w:lang w:bidi="ar-MA"/>
        </w:rPr>
      </w:pPr>
      <w:r>
        <w:rPr>
          <w:rFonts w:asciiTheme="majorBidi" w:hAnsiTheme="majorBidi" w:cstheme="majorBidi"/>
          <w:sz w:val="24"/>
          <w:szCs w:val="24"/>
          <w:lang w:bidi="ar-MA"/>
        </w:rPr>
        <w:t>Les institutions sans but lucratif au service des ménages (ISBLSM) ;</w:t>
      </w:r>
    </w:p>
    <w:p w:rsidR="00905EA8" w:rsidRDefault="00905EA8" w:rsidP="00905EA8">
      <w:pPr>
        <w:pStyle w:val="Sansinterligne"/>
        <w:numPr>
          <w:ilvl w:val="0"/>
          <w:numId w:val="3"/>
        </w:numPr>
        <w:spacing w:line="360" w:lineRule="auto"/>
        <w:jc w:val="both"/>
        <w:rPr>
          <w:rFonts w:asciiTheme="majorBidi" w:hAnsiTheme="majorBidi" w:cstheme="majorBidi"/>
          <w:sz w:val="24"/>
          <w:szCs w:val="24"/>
          <w:lang w:bidi="ar-MA"/>
        </w:rPr>
      </w:pPr>
      <w:r>
        <w:rPr>
          <w:rFonts w:asciiTheme="majorBidi" w:hAnsiTheme="majorBidi" w:cstheme="majorBidi"/>
          <w:sz w:val="24"/>
          <w:szCs w:val="24"/>
          <w:lang w:bidi="ar-MA"/>
        </w:rPr>
        <w:t>Les ménages (y compris les entreprises individuelles).</w:t>
      </w:r>
    </w:p>
    <w:p w:rsidR="00905EA8" w:rsidRPr="00CE4663" w:rsidRDefault="00905EA8" w:rsidP="00905EA8">
      <w:pPr>
        <w:pStyle w:val="Sansinterligne"/>
        <w:spacing w:line="360" w:lineRule="auto"/>
        <w:ind w:firstLine="709"/>
        <w:jc w:val="both"/>
        <w:rPr>
          <w:rFonts w:asciiTheme="majorBidi" w:hAnsiTheme="majorBidi" w:cstheme="majorBidi"/>
          <w:sz w:val="24"/>
          <w:szCs w:val="24"/>
          <w:lang w:bidi="ar-MA"/>
        </w:rPr>
      </w:pPr>
      <w:r>
        <w:rPr>
          <w:rFonts w:asciiTheme="majorBidi" w:hAnsiTheme="majorBidi" w:cstheme="majorBidi"/>
          <w:sz w:val="24"/>
          <w:szCs w:val="24"/>
          <w:lang w:bidi="ar-MA"/>
        </w:rPr>
        <w:t>A  ces secteurs, il faut ajouter le secteur fictif du reste du monde pour permettre de décrire les opérations avec l’extérieur.</w:t>
      </w:r>
    </w:p>
    <w:p w:rsidR="00905EA8" w:rsidRDefault="00905EA8" w:rsidP="00905EA8">
      <w:pPr>
        <w:pStyle w:val="Sansinterligne"/>
        <w:spacing w:line="360" w:lineRule="auto"/>
        <w:ind w:firstLine="709"/>
        <w:jc w:val="both"/>
        <w:rPr>
          <w:rFonts w:asciiTheme="majorBidi" w:hAnsiTheme="majorBidi" w:cstheme="majorBidi"/>
          <w:sz w:val="24"/>
          <w:szCs w:val="24"/>
          <w:lang w:bidi="ar-MA"/>
        </w:rPr>
      </w:pPr>
      <w:r w:rsidRPr="00957008">
        <w:rPr>
          <w:rFonts w:asciiTheme="majorBidi" w:hAnsiTheme="majorBidi" w:cstheme="majorBidi"/>
          <w:sz w:val="24"/>
          <w:szCs w:val="24"/>
          <w:lang w:bidi="ar-MA"/>
        </w:rPr>
        <w:t xml:space="preserve">La classification adoptée pour définir les établissements diffère de celle qui a été donnée aux unités institutionnelles. En effet les établissements sont </w:t>
      </w:r>
      <w:r w:rsidR="00D22F81" w:rsidRPr="00957008">
        <w:rPr>
          <w:rFonts w:asciiTheme="majorBidi" w:hAnsiTheme="majorBidi" w:cstheme="majorBidi"/>
          <w:sz w:val="24"/>
          <w:szCs w:val="24"/>
          <w:lang w:bidi="ar-MA"/>
        </w:rPr>
        <w:t>utilisés</w:t>
      </w:r>
      <w:r w:rsidRPr="00957008">
        <w:rPr>
          <w:rFonts w:asciiTheme="majorBidi" w:hAnsiTheme="majorBidi" w:cstheme="majorBidi"/>
          <w:sz w:val="24"/>
          <w:szCs w:val="24"/>
          <w:lang w:bidi="ar-MA"/>
        </w:rPr>
        <w:t xml:space="preserve"> pour l’analyse et l’étude de l’activité de production</w:t>
      </w:r>
      <w:r>
        <w:rPr>
          <w:rFonts w:asciiTheme="majorBidi" w:hAnsiTheme="majorBidi" w:cstheme="majorBidi"/>
          <w:sz w:val="24"/>
          <w:szCs w:val="24"/>
          <w:lang w:bidi="ar-MA"/>
        </w:rPr>
        <w:t xml:space="preserve">, ils sont définis comme étant des unités qui produisent principalement des biens et services homogènes dans un même lieu. Ils sont regroupés en branches de la nomenclature d’activités économiques. L’établissement sert à localiser l’activité de production par région, son centre d’intérêt se trouve focalisé sur le territoire où il est implanté. Les unités institutionnelles, surtout les </w:t>
      </w:r>
      <w:r w:rsidR="00D22F81">
        <w:rPr>
          <w:rFonts w:asciiTheme="majorBidi" w:hAnsiTheme="majorBidi" w:cstheme="majorBidi"/>
          <w:sz w:val="24"/>
          <w:szCs w:val="24"/>
          <w:lang w:bidi="ar-MA"/>
        </w:rPr>
        <w:t>grandes (</w:t>
      </w:r>
      <w:r>
        <w:rPr>
          <w:rFonts w:asciiTheme="majorBidi" w:hAnsiTheme="majorBidi" w:cstheme="majorBidi"/>
          <w:sz w:val="24"/>
          <w:szCs w:val="24"/>
          <w:lang w:bidi="ar-MA"/>
        </w:rPr>
        <w:t xml:space="preserve">excepté les ménages), n’ont pas en revanche un centre d’intérêt focalisé sur le territoire économique d’une seule région. </w:t>
      </w:r>
    </w:p>
    <w:p w:rsidR="00905EA8" w:rsidRDefault="00905EA8" w:rsidP="00905EA8">
      <w:pPr>
        <w:pStyle w:val="Sansinterligne"/>
        <w:spacing w:line="360" w:lineRule="auto"/>
        <w:jc w:val="both"/>
        <w:rPr>
          <w:rFonts w:asciiTheme="majorBidi" w:hAnsiTheme="majorBidi" w:cstheme="majorBidi"/>
          <w:sz w:val="24"/>
          <w:szCs w:val="24"/>
          <w:lang w:bidi="ar-MA"/>
        </w:rPr>
      </w:pPr>
      <w:r>
        <w:rPr>
          <w:rFonts w:asciiTheme="majorBidi" w:hAnsiTheme="majorBidi" w:cstheme="majorBidi"/>
          <w:sz w:val="24"/>
          <w:szCs w:val="24"/>
          <w:lang w:bidi="ar-MA"/>
        </w:rPr>
        <w:t xml:space="preserve">         Ainsi, on distingue trois types d’unités institutionnelles à l’échelon régional :</w:t>
      </w:r>
    </w:p>
    <w:p w:rsidR="00905EA8" w:rsidRDefault="00905EA8" w:rsidP="00905EA8">
      <w:pPr>
        <w:pStyle w:val="Sansinterligne"/>
        <w:numPr>
          <w:ilvl w:val="0"/>
          <w:numId w:val="3"/>
        </w:numPr>
        <w:spacing w:line="360" w:lineRule="auto"/>
        <w:jc w:val="both"/>
        <w:rPr>
          <w:rFonts w:asciiTheme="majorBidi" w:hAnsiTheme="majorBidi" w:cstheme="majorBidi"/>
          <w:sz w:val="24"/>
          <w:szCs w:val="24"/>
          <w:lang w:bidi="ar-MA"/>
        </w:rPr>
      </w:pPr>
      <w:r>
        <w:rPr>
          <w:rFonts w:asciiTheme="majorBidi" w:hAnsiTheme="majorBidi" w:cstheme="majorBidi"/>
          <w:sz w:val="24"/>
          <w:szCs w:val="24"/>
          <w:lang w:bidi="ar-MA"/>
        </w:rPr>
        <w:t>Les unités régionales ;</w:t>
      </w:r>
    </w:p>
    <w:p w:rsidR="00905EA8" w:rsidRDefault="00905EA8" w:rsidP="00905EA8">
      <w:pPr>
        <w:pStyle w:val="Sansinterligne"/>
        <w:numPr>
          <w:ilvl w:val="0"/>
          <w:numId w:val="3"/>
        </w:numPr>
        <w:spacing w:line="360" w:lineRule="auto"/>
        <w:jc w:val="both"/>
        <w:rPr>
          <w:rFonts w:asciiTheme="majorBidi" w:hAnsiTheme="majorBidi" w:cstheme="majorBidi"/>
          <w:sz w:val="24"/>
          <w:szCs w:val="24"/>
          <w:lang w:bidi="ar-MA"/>
        </w:rPr>
      </w:pPr>
      <w:r>
        <w:rPr>
          <w:rFonts w:asciiTheme="majorBidi" w:hAnsiTheme="majorBidi" w:cstheme="majorBidi"/>
          <w:sz w:val="24"/>
          <w:szCs w:val="24"/>
          <w:lang w:bidi="ar-MA"/>
        </w:rPr>
        <w:t>Les  unités plurirégionales ;</w:t>
      </w:r>
    </w:p>
    <w:p w:rsidR="00905EA8" w:rsidRDefault="00905EA8" w:rsidP="00905EA8">
      <w:pPr>
        <w:pStyle w:val="Sansinterligne"/>
        <w:numPr>
          <w:ilvl w:val="0"/>
          <w:numId w:val="3"/>
        </w:numPr>
        <w:spacing w:line="360" w:lineRule="auto"/>
        <w:jc w:val="both"/>
        <w:rPr>
          <w:rFonts w:asciiTheme="majorBidi" w:hAnsiTheme="majorBidi" w:cstheme="majorBidi"/>
          <w:sz w:val="24"/>
          <w:szCs w:val="24"/>
          <w:lang w:bidi="ar-MA"/>
        </w:rPr>
      </w:pPr>
      <w:r>
        <w:rPr>
          <w:rFonts w:asciiTheme="majorBidi" w:hAnsiTheme="majorBidi" w:cstheme="majorBidi"/>
          <w:sz w:val="24"/>
          <w:szCs w:val="24"/>
          <w:lang w:bidi="ar-MA"/>
        </w:rPr>
        <w:t>Les unités à vocation  nationale.</w:t>
      </w:r>
    </w:p>
    <w:p w:rsidR="00905EA8" w:rsidRDefault="00905EA8" w:rsidP="00905EA8">
      <w:pPr>
        <w:pStyle w:val="Sansinterligne"/>
        <w:spacing w:line="360" w:lineRule="auto"/>
        <w:jc w:val="both"/>
        <w:rPr>
          <w:rFonts w:asciiTheme="majorBidi" w:hAnsiTheme="majorBidi" w:cstheme="majorBidi"/>
          <w:sz w:val="24"/>
          <w:szCs w:val="24"/>
          <w:lang w:bidi="ar-MA"/>
        </w:rPr>
      </w:pPr>
      <w:r>
        <w:rPr>
          <w:rFonts w:asciiTheme="majorBidi" w:hAnsiTheme="majorBidi" w:cstheme="majorBidi"/>
          <w:sz w:val="24"/>
          <w:szCs w:val="24"/>
          <w:lang w:bidi="ar-MA"/>
        </w:rPr>
        <w:t xml:space="preserve">         Les unités institutionnelles formant la première catégorie sont : </w:t>
      </w:r>
    </w:p>
    <w:p w:rsidR="00905EA8" w:rsidRDefault="00905EA8" w:rsidP="00905EA8">
      <w:pPr>
        <w:pStyle w:val="Sansinterligne"/>
        <w:numPr>
          <w:ilvl w:val="0"/>
          <w:numId w:val="3"/>
        </w:numPr>
        <w:spacing w:line="360" w:lineRule="auto"/>
        <w:jc w:val="both"/>
        <w:rPr>
          <w:rFonts w:asciiTheme="majorBidi" w:hAnsiTheme="majorBidi" w:cstheme="majorBidi"/>
          <w:sz w:val="24"/>
          <w:szCs w:val="24"/>
          <w:lang w:bidi="ar-MA"/>
        </w:rPr>
      </w:pPr>
      <w:r>
        <w:rPr>
          <w:rFonts w:asciiTheme="majorBidi" w:hAnsiTheme="majorBidi" w:cstheme="majorBidi"/>
          <w:sz w:val="24"/>
          <w:szCs w:val="24"/>
          <w:lang w:bidi="ar-MA"/>
        </w:rPr>
        <w:t>les ménages ;</w:t>
      </w:r>
    </w:p>
    <w:p w:rsidR="00905EA8" w:rsidRDefault="00905EA8" w:rsidP="00905EA8">
      <w:pPr>
        <w:pStyle w:val="Sansinterligne"/>
        <w:numPr>
          <w:ilvl w:val="0"/>
          <w:numId w:val="3"/>
        </w:numPr>
        <w:spacing w:line="360" w:lineRule="auto"/>
        <w:jc w:val="both"/>
        <w:rPr>
          <w:rFonts w:asciiTheme="majorBidi" w:hAnsiTheme="majorBidi" w:cstheme="majorBidi"/>
          <w:sz w:val="24"/>
          <w:szCs w:val="24"/>
          <w:lang w:bidi="ar-MA"/>
        </w:rPr>
      </w:pPr>
      <w:r>
        <w:rPr>
          <w:rFonts w:asciiTheme="majorBidi" w:hAnsiTheme="majorBidi" w:cstheme="majorBidi"/>
          <w:sz w:val="24"/>
          <w:szCs w:val="24"/>
          <w:lang w:bidi="ar-MA"/>
        </w:rPr>
        <w:t>les collectivités locales ;</w:t>
      </w:r>
    </w:p>
    <w:p w:rsidR="00905EA8" w:rsidRDefault="00905EA8" w:rsidP="00905EA8">
      <w:pPr>
        <w:pStyle w:val="Sansinterligne"/>
        <w:numPr>
          <w:ilvl w:val="0"/>
          <w:numId w:val="3"/>
        </w:numPr>
        <w:spacing w:line="360" w:lineRule="auto"/>
        <w:jc w:val="both"/>
        <w:rPr>
          <w:rFonts w:asciiTheme="majorBidi" w:hAnsiTheme="majorBidi" w:cstheme="majorBidi"/>
          <w:sz w:val="24"/>
          <w:szCs w:val="24"/>
          <w:lang w:bidi="ar-MA"/>
        </w:rPr>
      </w:pPr>
      <w:r>
        <w:rPr>
          <w:rFonts w:asciiTheme="majorBidi" w:hAnsiTheme="majorBidi" w:cstheme="majorBidi"/>
          <w:sz w:val="24"/>
          <w:szCs w:val="24"/>
          <w:lang w:bidi="ar-MA"/>
        </w:rPr>
        <w:t>les ISBLSM dont le domaine d’action se limite au plus à  la région concernée ;</w:t>
      </w:r>
    </w:p>
    <w:p w:rsidR="00905EA8" w:rsidRDefault="00905EA8" w:rsidP="00905EA8">
      <w:pPr>
        <w:pStyle w:val="Sansinterligne"/>
        <w:numPr>
          <w:ilvl w:val="0"/>
          <w:numId w:val="3"/>
        </w:numPr>
        <w:spacing w:line="360" w:lineRule="auto"/>
        <w:jc w:val="both"/>
        <w:rPr>
          <w:rFonts w:asciiTheme="majorBidi" w:hAnsiTheme="majorBidi" w:cstheme="majorBidi"/>
          <w:sz w:val="24"/>
          <w:szCs w:val="24"/>
          <w:lang w:bidi="ar-MA"/>
        </w:rPr>
      </w:pPr>
      <w:r>
        <w:rPr>
          <w:rFonts w:asciiTheme="majorBidi" w:hAnsiTheme="majorBidi" w:cstheme="majorBidi"/>
          <w:sz w:val="24"/>
          <w:szCs w:val="24"/>
          <w:lang w:bidi="ar-MA"/>
        </w:rPr>
        <w:lastRenderedPageBreak/>
        <w:t>les sociétés dont les établissements sont tous situés dans la région.</w:t>
      </w:r>
    </w:p>
    <w:p w:rsidR="00905EA8" w:rsidRDefault="00905EA8" w:rsidP="00905EA8">
      <w:pPr>
        <w:pStyle w:val="Sansinterligne"/>
        <w:tabs>
          <w:tab w:val="left" w:pos="709"/>
        </w:tabs>
        <w:spacing w:line="360" w:lineRule="auto"/>
        <w:jc w:val="both"/>
        <w:rPr>
          <w:rFonts w:asciiTheme="majorBidi" w:hAnsiTheme="majorBidi" w:cstheme="majorBidi"/>
          <w:sz w:val="24"/>
          <w:szCs w:val="24"/>
          <w:lang w:bidi="ar-MA"/>
        </w:rPr>
      </w:pPr>
      <w:r>
        <w:rPr>
          <w:rFonts w:asciiTheme="majorBidi" w:hAnsiTheme="majorBidi" w:cstheme="majorBidi"/>
          <w:sz w:val="24"/>
          <w:szCs w:val="24"/>
          <w:lang w:bidi="ar-MA"/>
        </w:rPr>
        <w:t xml:space="preserve">        Les unités faisant partie des unités plurirégionales sont :</w:t>
      </w:r>
    </w:p>
    <w:p w:rsidR="00905EA8" w:rsidRDefault="00905EA8" w:rsidP="00905EA8">
      <w:pPr>
        <w:pStyle w:val="Sansinterligne"/>
        <w:numPr>
          <w:ilvl w:val="0"/>
          <w:numId w:val="3"/>
        </w:numPr>
        <w:tabs>
          <w:tab w:val="left" w:pos="709"/>
        </w:tabs>
        <w:spacing w:line="360" w:lineRule="auto"/>
        <w:jc w:val="both"/>
        <w:rPr>
          <w:rFonts w:asciiTheme="majorBidi" w:hAnsiTheme="majorBidi" w:cstheme="majorBidi"/>
          <w:sz w:val="24"/>
          <w:szCs w:val="24"/>
          <w:lang w:bidi="ar-MA"/>
        </w:rPr>
      </w:pPr>
      <w:r>
        <w:rPr>
          <w:rFonts w:asciiTheme="majorBidi" w:hAnsiTheme="majorBidi" w:cstheme="majorBidi"/>
          <w:sz w:val="24"/>
          <w:szCs w:val="24"/>
          <w:lang w:bidi="ar-MA"/>
        </w:rPr>
        <w:t>Un grand nombre des sociétés (SF et SNF) dont les établissements se trouvent implantés dans plusieurs régions.</w:t>
      </w:r>
    </w:p>
    <w:p w:rsidR="00905EA8" w:rsidRDefault="00905EA8" w:rsidP="00905EA8">
      <w:pPr>
        <w:pStyle w:val="Sansinterligne"/>
        <w:numPr>
          <w:ilvl w:val="0"/>
          <w:numId w:val="3"/>
        </w:numPr>
        <w:tabs>
          <w:tab w:val="left" w:pos="709"/>
        </w:tabs>
        <w:spacing w:line="360" w:lineRule="auto"/>
        <w:jc w:val="both"/>
        <w:rPr>
          <w:rFonts w:asciiTheme="majorBidi" w:hAnsiTheme="majorBidi" w:cstheme="majorBidi"/>
          <w:sz w:val="24"/>
          <w:szCs w:val="24"/>
          <w:lang w:bidi="ar-MA"/>
        </w:rPr>
      </w:pPr>
      <w:r>
        <w:rPr>
          <w:rFonts w:asciiTheme="majorBidi" w:hAnsiTheme="majorBidi" w:cstheme="majorBidi"/>
          <w:sz w:val="24"/>
          <w:szCs w:val="24"/>
          <w:lang w:bidi="ar-MA"/>
        </w:rPr>
        <w:t>Les ISBLSM dont le domaine d’action concerne plusieurs régions.</w:t>
      </w:r>
    </w:p>
    <w:p w:rsidR="00905EA8" w:rsidRDefault="00905EA8" w:rsidP="00905EA8">
      <w:pPr>
        <w:pStyle w:val="Sansinterligne"/>
        <w:tabs>
          <w:tab w:val="left" w:pos="709"/>
        </w:tabs>
        <w:spacing w:line="360" w:lineRule="auto"/>
        <w:ind w:left="709"/>
        <w:jc w:val="both"/>
        <w:rPr>
          <w:rFonts w:asciiTheme="majorBidi" w:hAnsiTheme="majorBidi" w:cstheme="majorBidi"/>
          <w:sz w:val="24"/>
          <w:szCs w:val="24"/>
          <w:lang w:bidi="ar-MA"/>
        </w:rPr>
      </w:pPr>
      <w:r>
        <w:rPr>
          <w:rFonts w:asciiTheme="majorBidi" w:hAnsiTheme="majorBidi" w:cstheme="majorBidi"/>
          <w:sz w:val="24"/>
          <w:szCs w:val="24"/>
          <w:lang w:bidi="ar-MA"/>
        </w:rPr>
        <w:t>Les unités institutionnelles à vocation nationale concernent :</w:t>
      </w:r>
    </w:p>
    <w:p w:rsidR="00905EA8" w:rsidRDefault="00905EA8" w:rsidP="00905EA8">
      <w:pPr>
        <w:pStyle w:val="Sansinterligne"/>
        <w:numPr>
          <w:ilvl w:val="0"/>
          <w:numId w:val="3"/>
        </w:numPr>
        <w:tabs>
          <w:tab w:val="left" w:pos="709"/>
        </w:tabs>
        <w:spacing w:line="360" w:lineRule="auto"/>
        <w:jc w:val="both"/>
        <w:rPr>
          <w:rFonts w:asciiTheme="majorBidi" w:hAnsiTheme="majorBidi" w:cstheme="majorBidi"/>
          <w:sz w:val="24"/>
          <w:szCs w:val="24"/>
          <w:lang w:bidi="ar-MA"/>
        </w:rPr>
      </w:pPr>
      <w:r>
        <w:rPr>
          <w:rFonts w:asciiTheme="majorBidi" w:hAnsiTheme="majorBidi" w:cstheme="majorBidi"/>
          <w:sz w:val="24"/>
          <w:szCs w:val="24"/>
          <w:lang w:bidi="ar-MA"/>
        </w:rPr>
        <w:t xml:space="preserve">L’administration centrale ; </w:t>
      </w:r>
    </w:p>
    <w:p w:rsidR="00905EA8" w:rsidRDefault="00905EA8" w:rsidP="00905EA8">
      <w:pPr>
        <w:pStyle w:val="Sansinterligne"/>
        <w:numPr>
          <w:ilvl w:val="0"/>
          <w:numId w:val="3"/>
        </w:numPr>
        <w:tabs>
          <w:tab w:val="left" w:pos="709"/>
        </w:tabs>
        <w:spacing w:line="360" w:lineRule="auto"/>
        <w:jc w:val="both"/>
        <w:rPr>
          <w:rFonts w:asciiTheme="majorBidi" w:hAnsiTheme="majorBidi" w:cstheme="majorBidi"/>
          <w:sz w:val="24"/>
          <w:szCs w:val="24"/>
          <w:lang w:bidi="ar-MA"/>
        </w:rPr>
      </w:pPr>
      <w:r>
        <w:rPr>
          <w:rFonts w:asciiTheme="majorBidi" w:hAnsiTheme="majorBidi" w:cstheme="majorBidi"/>
          <w:sz w:val="24"/>
          <w:szCs w:val="24"/>
          <w:lang w:bidi="ar-MA"/>
        </w:rPr>
        <w:t xml:space="preserve">Un certain nombre d’entreprises nationales, généralement publiques, ayant souvent le monopole </w:t>
      </w:r>
      <w:r w:rsidR="00D22F81">
        <w:rPr>
          <w:rFonts w:asciiTheme="majorBidi" w:hAnsiTheme="majorBidi" w:cstheme="majorBidi"/>
          <w:sz w:val="24"/>
          <w:szCs w:val="24"/>
          <w:lang w:bidi="ar-MA"/>
        </w:rPr>
        <w:t>(c’est</w:t>
      </w:r>
      <w:r>
        <w:rPr>
          <w:rFonts w:asciiTheme="majorBidi" w:hAnsiTheme="majorBidi" w:cstheme="majorBidi"/>
          <w:sz w:val="24"/>
          <w:szCs w:val="24"/>
          <w:lang w:bidi="ar-MA"/>
        </w:rPr>
        <w:t xml:space="preserve"> le cas de : ONE, ONEP, MAROC TELECOM, ONCF …).</w:t>
      </w:r>
    </w:p>
    <w:p w:rsidR="00905EA8" w:rsidRDefault="00905EA8" w:rsidP="00905EA8">
      <w:pPr>
        <w:pStyle w:val="Sansinterligne"/>
        <w:tabs>
          <w:tab w:val="left" w:pos="709"/>
        </w:tabs>
        <w:spacing w:line="360" w:lineRule="auto"/>
        <w:ind w:firstLine="709"/>
        <w:jc w:val="both"/>
        <w:rPr>
          <w:rFonts w:asciiTheme="majorBidi" w:hAnsiTheme="majorBidi" w:cstheme="majorBidi"/>
          <w:sz w:val="24"/>
          <w:szCs w:val="24"/>
          <w:lang w:bidi="ar-MA"/>
        </w:rPr>
      </w:pPr>
      <w:r>
        <w:rPr>
          <w:rFonts w:asciiTheme="majorBidi" w:hAnsiTheme="majorBidi" w:cstheme="majorBidi"/>
          <w:sz w:val="24"/>
          <w:szCs w:val="24"/>
          <w:lang w:bidi="ar-MA"/>
        </w:rPr>
        <w:t>La localisation des opérations économiques des établissement</w:t>
      </w:r>
      <w:r w:rsidR="00D22F81">
        <w:rPr>
          <w:rFonts w:asciiTheme="majorBidi" w:hAnsiTheme="majorBidi" w:cstheme="majorBidi"/>
          <w:sz w:val="24"/>
          <w:szCs w:val="24"/>
          <w:lang w:bidi="ar-MA"/>
        </w:rPr>
        <w:t>s</w:t>
      </w:r>
      <w:r>
        <w:rPr>
          <w:rFonts w:asciiTheme="majorBidi" w:hAnsiTheme="majorBidi" w:cstheme="majorBidi"/>
          <w:sz w:val="24"/>
          <w:szCs w:val="24"/>
          <w:lang w:bidi="ar-MA"/>
        </w:rPr>
        <w:t xml:space="preserve"> et des UR ne pose aucun problème conceptuel. La répartition régionale des opérations économiques des UPR ou des UVN pose par contre de grandes difficultés conceptuellement et pratiques ; une grande partie d’opérations ne pouvant conceptuellement être régionalisées pour ce dernier type d’unités, notamment les opérations de distribution de revenus, les instruments financiers, les soldes comptables …</w:t>
      </w:r>
    </w:p>
    <w:p w:rsidR="00905EA8" w:rsidRDefault="00905EA8" w:rsidP="00905EA8">
      <w:pPr>
        <w:pStyle w:val="Sansinterligne"/>
        <w:tabs>
          <w:tab w:val="left" w:pos="709"/>
        </w:tabs>
        <w:spacing w:line="360" w:lineRule="auto"/>
        <w:ind w:firstLine="709"/>
        <w:jc w:val="both"/>
        <w:rPr>
          <w:rFonts w:asciiTheme="majorBidi" w:hAnsiTheme="majorBidi" w:cstheme="majorBidi"/>
          <w:sz w:val="24"/>
          <w:szCs w:val="24"/>
          <w:lang w:bidi="ar-MA"/>
        </w:rPr>
      </w:pPr>
      <w:r>
        <w:rPr>
          <w:rFonts w:asciiTheme="majorBidi" w:hAnsiTheme="majorBidi" w:cstheme="majorBidi"/>
          <w:sz w:val="24"/>
          <w:szCs w:val="24"/>
          <w:lang w:bidi="ar-MA"/>
        </w:rPr>
        <w:t>Parmi les comptes et agrégats susceptibles d’être produits par régions, le compte production par branche (dégagent les valeurs ajoutées par branche et le PIB par région) et la dépense de consommation finale des ménages par région ont été compilés dans une première étape pour les exercices 2004 et 2007.</w:t>
      </w:r>
    </w:p>
    <w:p w:rsidR="00905EA8" w:rsidRDefault="00905EA8" w:rsidP="00905EA8">
      <w:pPr>
        <w:pStyle w:val="Sansinterligne"/>
        <w:tabs>
          <w:tab w:val="left" w:pos="709"/>
        </w:tabs>
        <w:spacing w:line="360" w:lineRule="auto"/>
        <w:ind w:firstLine="709"/>
        <w:jc w:val="both"/>
        <w:rPr>
          <w:rFonts w:asciiTheme="majorBidi" w:hAnsiTheme="majorBidi" w:cstheme="majorBidi"/>
          <w:sz w:val="24"/>
          <w:szCs w:val="24"/>
          <w:lang w:bidi="ar-MA"/>
        </w:rPr>
      </w:pPr>
      <w:r>
        <w:rPr>
          <w:rFonts w:asciiTheme="majorBidi" w:hAnsiTheme="majorBidi" w:cstheme="majorBidi"/>
          <w:sz w:val="24"/>
          <w:szCs w:val="24"/>
          <w:lang w:bidi="ar-MA"/>
        </w:rPr>
        <w:t>C’est ainsi que le produit intérieur brut régional (PIBR) réparti par groupes de branches et les dépenses de consommation finale des ménages par région ( DCFMR) ont été établis par référence aux comptes nationaux des années 2004 et 2007, conformément aux principes de base du système de comptabilité nationale de 1993 selon la délimitation de l’économie régionale (découpage administratif en vigueur).</w:t>
      </w:r>
    </w:p>
    <w:p w:rsidR="00905EA8" w:rsidRDefault="00905EA8" w:rsidP="00D22F81">
      <w:pPr>
        <w:pStyle w:val="Sansinterligne"/>
        <w:tabs>
          <w:tab w:val="left" w:pos="709"/>
        </w:tabs>
        <w:spacing w:line="360" w:lineRule="auto"/>
        <w:ind w:firstLine="709"/>
        <w:jc w:val="both"/>
        <w:rPr>
          <w:rFonts w:asciiTheme="majorBidi" w:hAnsiTheme="majorBidi" w:cstheme="majorBidi"/>
          <w:sz w:val="24"/>
          <w:szCs w:val="24"/>
          <w:lang w:bidi="ar-MA"/>
        </w:rPr>
      </w:pPr>
      <w:r>
        <w:rPr>
          <w:rFonts w:asciiTheme="majorBidi" w:hAnsiTheme="majorBidi" w:cstheme="majorBidi"/>
          <w:sz w:val="24"/>
          <w:szCs w:val="24"/>
          <w:lang w:bidi="ar-MA"/>
        </w:rPr>
        <w:t xml:space="preserve">Le </w:t>
      </w:r>
      <w:r w:rsidR="00D22F81">
        <w:rPr>
          <w:rFonts w:asciiTheme="majorBidi" w:hAnsiTheme="majorBidi" w:cstheme="majorBidi"/>
          <w:sz w:val="24"/>
          <w:szCs w:val="24"/>
          <w:lang w:bidi="ar-MA"/>
        </w:rPr>
        <w:t>résultat</w:t>
      </w:r>
      <w:r>
        <w:rPr>
          <w:rFonts w:asciiTheme="majorBidi" w:hAnsiTheme="majorBidi" w:cstheme="majorBidi"/>
          <w:sz w:val="24"/>
          <w:szCs w:val="24"/>
          <w:lang w:bidi="ar-MA"/>
        </w:rPr>
        <w:t xml:space="preserve"> des comptes de production par groupe de branches pour chaque région </w:t>
      </w:r>
      <w:r w:rsidR="00D22F81">
        <w:rPr>
          <w:rFonts w:asciiTheme="majorBidi" w:hAnsiTheme="majorBidi" w:cstheme="majorBidi"/>
          <w:sz w:val="24"/>
          <w:szCs w:val="24"/>
          <w:lang w:bidi="ar-MA"/>
        </w:rPr>
        <w:t xml:space="preserve"> a abouti  </w:t>
      </w:r>
      <w:r>
        <w:rPr>
          <w:rFonts w:asciiTheme="majorBidi" w:hAnsiTheme="majorBidi" w:cstheme="majorBidi"/>
          <w:sz w:val="24"/>
          <w:szCs w:val="24"/>
          <w:lang w:bidi="ar-MA"/>
        </w:rPr>
        <w:t>au calcul de PIB répartit par groupe de branches selon l’optique production.</w:t>
      </w:r>
    </w:p>
    <w:p w:rsidR="00905EA8" w:rsidRDefault="00905EA8" w:rsidP="00905EA8">
      <w:pPr>
        <w:pStyle w:val="Sansinterligne"/>
        <w:tabs>
          <w:tab w:val="left" w:pos="709"/>
        </w:tabs>
        <w:spacing w:line="360" w:lineRule="auto"/>
        <w:ind w:firstLine="709"/>
        <w:jc w:val="both"/>
        <w:rPr>
          <w:rFonts w:asciiTheme="majorBidi" w:hAnsiTheme="majorBidi" w:cstheme="majorBidi"/>
          <w:sz w:val="24"/>
          <w:szCs w:val="24"/>
          <w:lang w:bidi="ar-MA"/>
        </w:rPr>
      </w:pPr>
      <w:r>
        <w:rPr>
          <w:rFonts w:asciiTheme="majorBidi" w:hAnsiTheme="majorBidi" w:cstheme="majorBidi"/>
          <w:sz w:val="24"/>
          <w:szCs w:val="24"/>
          <w:lang w:bidi="ar-MA"/>
        </w:rPr>
        <w:t>Le compte de production a permis de calculer pour chaque région et branche et groupe de branches, la production aux prix de base et la consommation intermédiaire globale aux prix d’acquisition dont la différence dégage la valeur ajoutée aux prix de base.</w:t>
      </w:r>
    </w:p>
    <w:p w:rsidR="00905EA8" w:rsidRDefault="00905EA8" w:rsidP="00905EA8">
      <w:pPr>
        <w:pStyle w:val="Sansinterligne"/>
        <w:tabs>
          <w:tab w:val="left" w:pos="709"/>
        </w:tabs>
        <w:spacing w:line="360" w:lineRule="auto"/>
        <w:ind w:firstLine="709"/>
        <w:jc w:val="both"/>
        <w:rPr>
          <w:rFonts w:asciiTheme="majorBidi" w:hAnsiTheme="majorBidi" w:cstheme="majorBidi"/>
          <w:sz w:val="24"/>
          <w:szCs w:val="24"/>
          <w:lang w:bidi="ar-MA"/>
        </w:rPr>
      </w:pPr>
      <w:r>
        <w:rPr>
          <w:rFonts w:asciiTheme="majorBidi" w:hAnsiTheme="majorBidi" w:cstheme="majorBidi"/>
          <w:sz w:val="24"/>
          <w:szCs w:val="24"/>
          <w:lang w:bidi="ar-MA"/>
        </w:rPr>
        <w:t xml:space="preserve">Le passage au PIBR nécessite en outre, le calcul du total des impôts affectant les produits nets des subventions sur les produits. </w:t>
      </w:r>
    </w:p>
    <w:p w:rsidR="00905EA8" w:rsidRPr="001B0C15" w:rsidRDefault="00905EA8" w:rsidP="00905EA8">
      <w:pPr>
        <w:pStyle w:val="Sansinterligne"/>
        <w:tabs>
          <w:tab w:val="left" w:pos="709"/>
        </w:tabs>
        <w:spacing w:line="360" w:lineRule="auto"/>
        <w:ind w:firstLine="709"/>
        <w:jc w:val="both"/>
        <w:rPr>
          <w:rFonts w:asciiTheme="majorBidi" w:hAnsiTheme="majorBidi" w:cstheme="majorBidi"/>
          <w:sz w:val="24"/>
          <w:szCs w:val="24"/>
          <w:lang w:bidi="ar-MA"/>
        </w:rPr>
      </w:pPr>
      <w:r>
        <w:rPr>
          <w:rFonts w:asciiTheme="majorBidi" w:hAnsiTheme="majorBidi" w:cstheme="majorBidi"/>
          <w:sz w:val="24"/>
          <w:szCs w:val="24"/>
          <w:lang w:bidi="ar-MA"/>
        </w:rPr>
        <w:t xml:space="preserve">PIBR= Somme des valeurs ajoutées des branches produites dans la région + </w:t>
      </w:r>
      <w:r w:rsidR="00D22F81">
        <w:rPr>
          <w:rFonts w:asciiTheme="majorBidi" w:hAnsiTheme="majorBidi" w:cstheme="majorBidi"/>
          <w:sz w:val="24"/>
          <w:szCs w:val="24"/>
          <w:lang w:bidi="ar-MA"/>
        </w:rPr>
        <w:t>impôts</w:t>
      </w:r>
      <w:r>
        <w:rPr>
          <w:rFonts w:asciiTheme="majorBidi" w:hAnsiTheme="majorBidi" w:cstheme="majorBidi"/>
          <w:sz w:val="24"/>
          <w:szCs w:val="24"/>
          <w:lang w:bidi="ar-MA"/>
        </w:rPr>
        <w:t xml:space="preserve"> sur les produits (utilisés dans la région) – subventions sur les produits (utilisés dans la région).</w:t>
      </w:r>
    </w:p>
    <w:p w:rsidR="00905EA8" w:rsidRDefault="00905EA8" w:rsidP="00905EA8">
      <w:pPr>
        <w:pStyle w:val="Sansinterligne"/>
        <w:tabs>
          <w:tab w:val="left" w:pos="709"/>
        </w:tabs>
        <w:spacing w:line="360" w:lineRule="auto"/>
        <w:jc w:val="both"/>
        <w:rPr>
          <w:rFonts w:asciiTheme="majorBidi" w:hAnsiTheme="majorBidi" w:cstheme="majorBidi"/>
          <w:sz w:val="24"/>
          <w:szCs w:val="24"/>
          <w:lang w:bidi="ar-MA"/>
        </w:rPr>
      </w:pPr>
      <w:r>
        <w:rPr>
          <w:rFonts w:asciiTheme="majorBidi" w:hAnsiTheme="majorBidi" w:cstheme="majorBidi"/>
          <w:sz w:val="24"/>
          <w:szCs w:val="24"/>
          <w:lang w:bidi="ar-MA"/>
        </w:rPr>
        <w:t xml:space="preserve"> </w:t>
      </w:r>
    </w:p>
    <w:p w:rsidR="00905EA8" w:rsidRDefault="00905EA8" w:rsidP="00905EA8">
      <w:pPr>
        <w:pStyle w:val="Sansinterligne"/>
        <w:spacing w:line="360" w:lineRule="auto"/>
        <w:jc w:val="both"/>
        <w:rPr>
          <w:rFonts w:asciiTheme="majorBidi" w:hAnsiTheme="majorBidi" w:cstheme="majorBidi"/>
          <w:sz w:val="24"/>
          <w:szCs w:val="24"/>
          <w:lang w:bidi="ar-MA"/>
        </w:rPr>
      </w:pPr>
    </w:p>
    <w:p w:rsidR="00905EA8" w:rsidRPr="009245AA" w:rsidRDefault="00905EA8" w:rsidP="00905EA8">
      <w:pPr>
        <w:pStyle w:val="Sansinterligne"/>
        <w:spacing w:line="360" w:lineRule="auto"/>
        <w:ind w:firstLine="709"/>
        <w:jc w:val="both"/>
        <w:rPr>
          <w:rFonts w:asciiTheme="majorBidi" w:hAnsiTheme="majorBidi" w:cstheme="majorBidi"/>
          <w:b/>
          <w:bCs/>
          <w:sz w:val="28"/>
          <w:szCs w:val="28"/>
          <w:lang w:bidi="ar-MA"/>
        </w:rPr>
      </w:pPr>
      <w:r w:rsidRPr="009245AA">
        <w:rPr>
          <w:rFonts w:asciiTheme="majorBidi" w:hAnsiTheme="majorBidi" w:cstheme="majorBidi"/>
          <w:b/>
          <w:bCs/>
          <w:sz w:val="28"/>
          <w:szCs w:val="28"/>
          <w:lang w:bidi="ar-MA"/>
        </w:rPr>
        <w:lastRenderedPageBreak/>
        <w:t>Résultats : niveau, structure et évolution</w:t>
      </w:r>
    </w:p>
    <w:p w:rsidR="00905EA8" w:rsidRPr="00957008" w:rsidRDefault="00905EA8" w:rsidP="00905EA8">
      <w:pPr>
        <w:pStyle w:val="Sansinterligne"/>
        <w:spacing w:line="360" w:lineRule="auto"/>
        <w:ind w:firstLine="709"/>
        <w:jc w:val="both"/>
        <w:rPr>
          <w:rFonts w:asciiTheme="majorBidi" w:hAnsiTheme="majorBidi" w:cstheme="majorBidi"/>
          <w:sz w:val="24"/>
          <w:szCs w:val="24"/>
          <w:lang w:bidi="ar-MA"/>
        </w:rPr>
      </w:pPr>
    </w:p>
    <w:p w:rsidR="00905EA8" w:rsidRPr="009245AA" w:rsidRDefault="00905EA8" w:rsidP="00905EA8">
      <w:pPr>
        <w:pStyle w:val="Sansinterligne"/>
        <w:numPr>
          <w:ilvl w:val="0"/>
          <w:numId w:val="1"/>
        </w:numPr>
        <w:spacing w:line="360" w:lineRule="auto"/>
        <w:rPr>
          <w:rFonts w:asciiTheme="majorBidi" w:hAnsiTheme="majorBidi" w:cstheme="majorBidi"/>
          <w:b/>
          <w:bCs/>
          <w:sz w:val="24"/>
          <w:szCs w:val="24"/>
          <w:lang w:bidi="ar-MA"/>
        </w:rPr>
      </w:pPr>
      <w:r w:rsidRPr="009245AA">
        <w:rPr>
          <w:rFonts w:asciiTheme="majorBidi" w:hAnsiTheme="majorBidi" w:cstheme="majorBidi"/>
          <w:b/>
          <w:bCs/>
          <w:sz w:val="24"/>
          <w:szCs w:val="24"/>
          <w:lang w:bidi="ar-MA"/>
        </w:rPr>
        <w:t>PIB de la région de Tanger-Tétouan</w:t>
      </w:r>
    </w:p>
    <w:p w:rsidR="00905EA8" w:rsidRPr="00AA7A40" w:rsidRDefault="00905EA8" w:rsidP="00905EA8">
      <w:pPr>
        <w:pStyle w:val="Sansinterligne"/>
        <w:spacing w:line="360" w:lineRule="auto"/>
        <w:ind w:left="720"/>
        <w:rPr>
          <w:rFonts w:asciiTheme="majorBidi" w:hAnsiTheme="majorBidi" w:cstheme="majorBidi"/>
          <w:b/>
          <w:bCs/>
          <w:sz w:val="28"/>
          <w:szCs w:val="28"/>
          <w:lang w:bidi="ar-MA"/>
        </w:rPr>
      </w:pPr>
    </w:p>
    <w:p w:rsidR="00905EA8" w:rsidRDefault="00905EA8" w:rsidP="00905EA8">
      <w:pPr>
        <w:pStyle w:val="Sansinterligne"/>
        <w:spacing w:line="360" w:lineRule="auto"/>
        <w:ind w:firstLine="709"/>
        <w:jc w:val="both"/>
        <w:rPr>
          <w:rFonts w:asciiTheme="majorBidi" w:hAnsiTheme="majorBidi" w:cstheme="majorBidi"/>
          <w:sz w:val="24"/>
          <w:szCs w:val="24"/>
          <w:lang w:bidi="ar-MA"/>
        </w:rPr>
      </w:pPr>
      <w:r w:rsidRPr="00AA7A40">
        <w:rPr>
          <w:rFonts w:asciiTheme="majorBidi" w:hAnsiTheme="majorBidi" w:cstheme="majorBidi"/>
          <w:sz w:val="24"/>
          <w:szCs w:val="24"/>
          <w:lang w:bidi="ar-MA"/>
        </w:rPr>
        <w:t xml:space="preserve">En 2012, la région de Tanger-Tétouan  a réalisé un PIB de l’ordre de  65718 millions de Dh, soit près de </w:t>
      </w:r>
      <w:r>
        <w:rPr>
          <w:rFonts w:asciiTheme="majorBidi" w:hAnsiTheme="majorBidi" w:cstheme="majorBidi"/>
          <w:sz w:val="24"/>
          <w:szCs w:val="24"/>
          <w:lang w:bidi="ar-MA"/>
        </w:rPr>
        <w:t>7,9</w:t>
      </w:r>
      <w:r w:rsidRPr="00AA7A40">
        <w:rPr>
          <w:rFonts w:asciiTheme="majorBidi" w:hAnsiTheme="majorBidi" w:cstheme="majorBidi"/>
          <w:sz w:val="24"/>
          <w:szCs w:val="24"/>
          <w:lang w:bidi="ar-MA"/>
        </w:rPr>
        <w:t xml:space="preserve"> % de la richesse nationale, en enregistrant  ainsi un taux d’accroissement par rapport à l’année 2011 de 4,1 %</w:t>
      </w:r>
      <w:r>
        <w:rPr>
          <w:rFonts w:asciiTheme="majorBidi" w:hAnsiTheme="majorBidi" w:cstheme="majorBidi"/>
          <w:sz w:val="24"/>
          <w:szCs w:val="24"/>
          <w:lang w:bidi="ar-MA"/>
        </w:rPr>
        <w:t>,</w:t>
      </w:r>
      <w:r w:rsidRPr="00AA7A40">
        <w:rPr>
          <w:rFonts w:asciiTheme="majorBidi" w:hAnsiTheme="majorBidi" w:cstheme="majorBidi"/>
          <w:sz w:val="24"/>
          <w:szCs w:val="24"/>
          <w:lang w:bidi="ar-MA"/>
        </w:rPr>
        <w:t xml:space="preserve"> contre 3,1% au niveau national. Ce taux reste</w:t>
      </w:r>
      <w:r>
        <w:rPr>
          <w:rFonts w:asciiTheme="majorBidi" w:hAnsiTheme="majorBidi" w:cstheme="majorBidi"/>
          <w:sz w:val="24"/>
          <w:szCs w:val="24"/>
          <w:lang w:bidi="ar-MA"/>
        </w:rPr>
        <w:t>,</w:t>
      </w:r>
      <w:r w:rsidRPr="00AA7A40">
        <w:rPr>
          <w:rFonts w:asciiTheme="majorBidi" w:hAnsiTheme="majorBidi" w:cstheme="majorBidi"/>
          <w:sz w:val="24"/>
          <w:szCs w:val="24"/>
          <w:lang w:bidi="ar-MA"/>
        </w:rPr>
        <w:t xml:space="preserve"> néanmoins</w:t>
      </w:r>
      <w:r>
        <w:rPr>
          <w:rFonts w:asciiTheme="majorBidi" w:hAnsiTheme="majorBidi" w:cstheme="majorBidi"/>
          <w:sz w:val="24"/>
          <w:szCs w:val="24"/>
          <w:lang w:bidi="ar-MA"/>
        </w:rPr>
        <w:t>,</w:t>
      </w:r>
      <w:r w:rsidRPr="00AA7A40">
        <w:rPr>
          <w:rFonts w:asciiTheme="majorBidi" w:hAnsiTheme="majorBidi" w:cstheme="majorBidi"/>
          <w:sz w:val="24"/>
          <w:szCs w:val="24"/>
          <w:lang w:bidi="ar-MA"/>
        </w:rPr>
        <w:t xml:space="preserve"> inférieur  à ceux enregistrés dans  les régions de : Grand Casa et TazaAl Hoeima (7%), de Fès-Boulmane (6,6%) et de Rabat-Salé-Zemmour-Zaer (5,3%).</w:t>
      </w:r>
    </w:p>
    <w:p w:rsidR="00905EA8" w:rsidRPr="00AA7A40" w:rsidRDefault="00905EA8" w:rsidP="00905EA8">
      <w:pPr>
        <w:pStyle w:val="Sansinterligne"/>
        <w:spacing w:line="360" w:lineRule="auto"/>
        <w:jc w:val="both"/>
        <w:rPr>
          <w:rFonts w:asciiTheme="majorBidi" w:hAnsiTheme="majorBidi" w:cstheme="majorBidi"/>
          <w:sz w:val="24"/>
          <w:szCs w:val="24"/>
          <w:lang w:bidi="ar-MA"/>
        </w:rPr>
      </w:pPr>
    </w:p>
    <w:p w:rsidR="00905EA8" w:rsidRPr="00AA7A40" w:rsidRDefault="00905EA8" w:rsidP="00905EA8">
      <w:pPr>
        <w:pStyle w:val="Sansinterligne"/>
        <w:spacing w:line="360" w:lineRule="auto"/>
        <w:ind w:firstLine="709"/>
        <w:jc w:val="both"/>
        <w:rPr>
          <w:rFonts w:asciiTheme="majorBidi" w:hAnsiTheme="majorBidi" w:cstheme="majorBidi"/>
          <w:sz w:val="24"/>
          <w:szCs w:val="24"/>
          <w:lang w:bidi="ar-MA"/>
        </w:rPr>
      </w:pPr>
      <w:r w:rsidRPr="00AA7A40">
        <w:rPr>
          <w:rFonts w:asciiTheme="majorBidi" w:hAnsiTheme="majorBidi" w:cstheme="majorBidi"/>
          <w:sz w:val="24"/>
          <w:szCs w:val="24"/>
          <w:lang w:bidi="ar-MA"/>
        </w:rPr>
        <w:t>L’analyse de l’évolution du PIB de la région entre 2007 et 2012 relève un léger recul de la contribution de la région à la formation du PIB national passant ainsi de 8,8% à 7,9%.</w:t>
      </w:r>
    </w:p>
    <w:p w:rsidR="00905EA8" w:rsidRDefault="00905EA8" w:rsidP="00905EA8">
      <w:pPr>
        <w:pStyle w:val="Sansinterligne"/>
        <w:jc w:val="both"/>
        <w:rPr>
          <w:rFonts w:asciiTheme="majorBidi" w:hAnsiTheme="majorBidi" w:cstheme="majorBidi"/>
          <w:sz w:val="28"/>
          <w:szCs w:val="28"/>
          <w:lang w:bidi="ar-MA"/>
        </w:rPr>
      </w:pPr>
    </w:p>
    <w:p w:rsidR="00905EA8" w:rsidRPr="003427E7" w:rsidRDefault="00905EA8" w:rsidP="00905EA8">
      <w:pPr>
        <w:pStyle w:val="Sansinterligne"/>
        <w:ind w:firstLine="709"/>
        <w:jc w:val="both"/>
        <w:rPr>
          <w:rFonts w:asciiTheme="majorBidi" w:hAnsiTheme="majorBidi" w:cstheme="majorBidi"/>
          <w:sz w:val="28"/>
          <w:szCs w:val="28"/>
          <w:lang w:bidi="ar-MA"/>
        </w:rPr>
      </w:pPr>
      <w:r>
        <w:rPr>
          <w:rFonts w:asciiTheme="majorBidi" w:hAnsiTheme="majorBidi" w:cstheme="majorBidi"/>
          <w:noProof/>
          <w:sz w:val="28"/>
          <w:szCs w:val="28"/>
          <w:lang w:eastAsia="fr-FR"/>
        </w:rPr>
        <w:drawing>
          <wp:inline distT="0" distB="0" distL="0" distR="0">
            <wp:extent cx="5143500" cy="2603500"/>
            <wp:effectExtent l="0" t="0" r="0" b="0"/>
            <wp:docPr id="12"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05EA8" w:rsidRDefault="00905EA8" w:rsidP="00905EA8">
      <w:pPr>
        <w:pStyle w:val="Sansinterligne"/>
        <w:spacing w:line="360" w:lineRule="auto"/>
        <w:ind w:firstLine="709"/>
        <w:jc w:val="both"/>
        <w:rPr>
          <w:rFonts w:asciiTheme="majorBidi" w:hAnsiTheme="majorBidi" w:cstheme="majorBidi"/>
          <w:sz w:val="24"/>
          <w:szCs w:val="24"/>
          <w:lang w:bidi="ar-MA"/>
        </w:rPr>
      </w:pPr>
    </w:p>
    <w:p w:rsidR="00905EA8" w:rsidRDefault="00905EA8" w:rsidP="00905EA8">
      <w:pPr>
        <w:pStyle w:val="Sansinterligne"/>
        <w:spacing w:line="360" w:lineRule="auto"/>
        <w:ind w:firstLine="709"/>
        <w:jc w:val="both"/>
        <w:rPr>
          <w:rFonts w:asciiTheme="majorBidi" w:hAnsiTheme="majorBidi" w:cstheme="majorBidi"/>
          <w:sz w:val="24"/>
          <w:szCs w:val="24"/>
          <w:lang w:bidi="ar-MA"/>
        </w:rPr>
      </w:pPr>
    </w:p>
    <w:p w:rsidR="00905EA8" w:rsidRPr="00AA7A40" w:rsidRDefault="00905EA8" w:rsidP="00905EA8">
      <w:pPr>
        <w:pStyle w:val="Sansinterligne"/>
        <w:spacing w:line="360" w:lineRule="auto"/>
        <w:ind w:firstLine="709"/>
        <w:jc w:val="both"/>
        <w:rPr>
          <w:rFonts w:asciiTheme="majorBidi" w:hAnsiTheme="majorBidi" w:cstheme="majorBidi"/>
          <w:sz w:val="24"/>
          <w:szCs w:val="24"/>
          <w:lang w:bidi="ar-MA"/>
        </w:rPr>
      </w:pPr>
      <w:r>
        <w:rPr>
          <w:rFonts w:asciiTheme="majorBidi" w:hAnsiTheme="majorBidi" w:cstheme="majorBidi"/>
          <w:sz w:val="24"/>
          <w:szCs w:val="24"/>
          <w:lang w:bidi="ar-MA"/>
        </w:rPr>
        <w:t>Par ailleurs, le PIB régional qui était supérieur à la moyenne nationale en 2007, a connu une tendance à la baisse à partir de 2008 jusqu’au l’an 2010 pour reprendre sa hausse à partir de 2011.</w:t>
      </w:r>
    </w:p>
    <w:p w:rsidR="00905EA8" w:rsidRDefault="00905EA8" w:rsidP="00905EA8">
      <w:pPr>
        <w:pStyle w:val="Sansinterligne"/>
        <w:spacing w:line="360" w:lineRule="auto"/>
        <w:ind w:firstLine="709"/>
        <w:jc w:val="both"/>
        <w:rPr>
          <w:rFonts w:asciiTheme="majorBidi" w:hAnsiTheme="majorBidi" w:cstheme="majorBidi"/>
          <w:sz w:val="24"/>
          <w:szCs w:val="24"/>
          <w:lang w:bidi="ar-MA"/>
        </w:rPr>
      </w:pPr>
    </w:p>
    <w:p w:rsidR="00905EA8" w:rsidRDefault="00905EA8" w:rsidP="00905EA8">
      <w:pPr>
        <w:pStyle w:val="Sansinterligne"/>
        <w:spacing w:line="360" w:lineRule="auto"/>
        <w:ind w:firstLine="709"/>
        <w:jc w:val="both"/>
        <w:rPr>
          <w:rFonts w:asciiTheme="majorBidi" w:hAnsiTheme="majorBidi" w:cstheme="majorBidi"/>
          <w:sz w:val="24"/>
          <w:szCs w:val="24"/>
          <w:lang w:bidi="ar-MA"/>
        </w:rPr>
      </w:pPr>
    </w:p>
    <w:p w:rsidR="00905EA8" w:rsidRPr="00AA7A40" w:rsidRDefault="00905EA8" w:rsidP="00905EA8">
      <w:pPr>
        <w:pStyle w:val="Sansinterligne"/>
        <w:spacing w:line="360" w:lineRule="auto"/>
        <w:ind w:firstLine="709"/>
        <w:jc w:val="both"/>
        <w:rPr>
          <w:rFonts w:asciiTheme="majorBidi" w:hAnsiTheme="majorBidi" w:cstheme="majorBidi"/>
          <w:sz w:val="24"/>
          <w:szCs w:val="24"/>
          <w:lang w:bidi="ar-MA"/>
        </w:rPr>
      </w:pPr>
      <w:r w:rsidRPr="00045159">
        <w:rPr>
          <w:rFonts w:asciiTheme="majorBidi" w:hAnsiTheme="majorBidi" w:cstheme="majorBidi"/>
          <w:noProof/>
          <w:sz w:val="24"/>
          <w:szCs w:val="24"/>
          <w:lang w:eastAsia="fr-FR"/>
        </w:rPr>
        <w:lastRenderedPageBreak/>
        <w:drawing>
          <wp:inline distT="0" distB="0" distL="0" distR="0">
            <wp:extent cx="5346700" cy="2705100"/>
            <wp:effectExtent l="0" t="0" r="6350" b="0"/>
            <wp:docPr id="13"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05EA8" w:rsidRDefault="00905EA8" w:rsidP="00905EA8">
      <w:pPr>
        <w:pStyle w:val="Sansinterligne"/>
        <w:spacing w:line="360" w:lineRule="auto"/>
        <w:ind w:firstLine="709"/>
        <w:jc w:val="both"/>
        <w:rPr>
          <w:rFonts w:asciiTheme="majorBidi" w:hAnsiTheme="majorBidi" w:cstheme="majorBidi"/>
          <w:sz w:val="24"/>
          <w:szCs w:val="24"/>
          <w:lang w:bidi="ar-MA"/>
        </w:rPr>
      </w:pPr>
    </w:p>
    <w:p w:rsidR="00905EA8" w:rsidRDefault="00905EA8" w:rsidP="00905EA8">
      <w:pPr>
        <w:pStyle w:val="Sansinterligne"/>
        <w:spacing w:line="360" w:lineRule="auto"/>
        <w:ind w:firstLine="709"/>
        <w:jc w:val="both"/>
        <w:rPr>
          <w:rFonts w:asciiTheme="majorBidi" w:hAnsiTheme="majorBidi" w:cstheme="majorBidi"/>
          <w:sz w:val="24"/>
          <w:szCs w:val="24"/>
          <w:lang w:bidi="ar-MA"/>
        </w:rPr>
      </w:pPr>
      <w:r>
        <w:rPr>
          <w:rFonts w:asciiTheme="majorBidi" w:hAnsiTheme="majorBidi" w:cstheme="majorBidi"/>
          <w:sz w:val="24"/>
          <w:szCs w:val="24"/>
          <w:lang w:bidi="ar-MA"/>
        </w:rPr>
        <w:t>En outre,</w:t>
      </w:r>
      <w:r w:rsidRPr="00AA7A40">
        <w:rPr>
          <w:rFonts w:asciiTheme="majorBidi" w:hAnsiTheme="majorBidi" w:cstheme="majorBidi"/>
          <w:sz w:val="24"/>
          <w:szCs w:val="24"/>
          <w:lang w:bidi="ar-MA"/>
        </w:rPr>
        <w:t xml:space="preserve"> le PIB</w:t>
      </w:r>
      <w:r>
        <w:rPr>
          <w:rFonts w:asciiTheme="majorBidi" w:hAnsiTheme="majorBidi" w:cstheme="majorBidi"/>
          <w:sz w:val="24"/>
          <w:szCs w:val="24"/>
          <w:lang w:bidi="ar-MA"/>
        </w:rPr>
        <w:t xml:space="preserve"> régional</w:t>
      </w:r>
      <w:r w:rsidRPr="00AA7A40">
        <w:rPr>
          <w:rFonts w:asciiTheme="majorBidi" w:hAnsiTheme="majorBidi" w:cstheme="majorBidi"/>
          <w:sz w:val="24"/>
          <w:szCs w:val="24"/>
          <w:lang w:bidi="ar-MA"/>
        </w:rPr>
        <w:t xml:space="preserve"> par tête </w:t>
      </w:r>
      <w:r>
        <w:rPr>
          <w:rFonts w:asciiTheme="majorBidi" w:hAnsiTheme="majorBidi" w:cstheme="majorBidi"/>
          <w:sz w:val="24"/>
          <w:szCs w:val="24"/>
          <w:lang w:bidi="ar-MA"/>
        </w:rPr>
        <w:t>qui s’est établi à 21682 Dh en 2012,</w:t>
      </w:r>
      <w:r w:rsidRPr="00AA7A40">
        <w:rPr>
          <w:rFonts w:asciiTheme="majorBidi" w:hAnsiTheme="majorBidi" w:cstheme="majorBidi"/>
          <w:sz w:val="24"/>
          <w:szCs w:val="24"/>
          <w:lang w:bidi="ar-MA"/>
        </w:rPr>
        <w:t xml:space="preserve"> reste en deçà de la moyenne </w:t>
      </w:r>
      <w:r>
        <w:rPr>
          <w:rFonts w:asciiTheme="majorBidi" w:hAnsiTheme="majorBidi" w:cstheme="majorBidi"/>
          <w:sz w:val="24"/>
          <w:szCs w:val="24"/>
          <w:lang w:bidi="ar-MA"/>
        </w:rPr>
        <w:t>n</w:t>
      </w:r>
      <w:r w:rsidRPr="00AA7A40">
        <w:rPr>
          <w:rFonts w:asciiTheme="majorBidi" w:hAnsiTheme="majorBidi" w:cstheme="majorBidi"/>
          <w:sz w:val="24"/>
          <w:szCs w:val="24"/>
          <w:lang w:bidi="ar-MA"/>
        </w:rPr>
        <w:t>ationale qui se situe à 25386 Dh</w:t>
      </w:r>
      <w:r>
        <w:rPr>
          <w:rFonts w:asciiTheme="majorBidi" w:hAnsiTheme="majorBidi" w:cstheme="majorBidi"/>
          <w:sz w:val="24"/>
          <w:szCs w:val="24"/>
          <w:lang w:bidi="ar-MA"/>
        </w:rPr>
        <w:t>, mais</w:t>
      </w:r>
      <w:r w:rsidRPr="00AA7A40">
        <w:rPr>
          <w:rFonts w:asciiTheme="majorBidi" w:hAnsiTheme="majorBidi" w:cstheme="majorBidi"/>
          <w:sz w:val="24"/>
          <w:szCs w:val="24"/>
          <w:lang w:bidi="ar-MA"/>
        </w:rPr>
        <w:t xml:space="preserve"> s’est amélioré de 2,5% entre 2011 et 2012, en passant de 21149 Dh à 21682 Dh, contre</w:t>
      </w:r>
      <w:r>
        <w:rPr>
          <w:rFonts w:asciiTheme="majorBidi" w:hAnsiTheme="majorBidi" w:cstheme="majorBidi"/>
          <w:sz w:val="24"/>
          <w:szCs w:val="24"/>
          <w:lang w:bidi="ar-MA"/>
        </w:rPr>
        <w:t xml:space="preserve"> 2%</w:t>
      </w:r>
      <w:r w:rsidRPr="001A7672">
        <w:rPr>
          <w:rFonts w:asciiTheme="majorBidi" w:hAnsiTheme="majorBidi" w:cstheme="majorBidi"/>
          <w:sz w:val="24"/>
          <w:szCs w:val="24"/>
          <w:lang w:bidi="ar-MA"/>
        </w:rPr>
        <w:t xml:space="preserve"> </w:t>
      </w:r>
      <w:r w:rsidRPr="00AA7A40">
        <w:rPr>
          <w:rFonts w:asciiTheme="majorBidi" w:hAnsiTheme="majorBidi" w:cstheme="majorBidi"/>
          <w:sz w:val="24"/>
          <w:szCs w:val="24"/>
          <w:lang w:bidi="ar-MA"/>
        </w:rPr>
        <w:t xml:space="preserve">au niveau national </w:t>
      </w:r>
      <w:r>
        <w:rPr>
          <w:rFonts w:asciiTheme="majorBidi" w:hAnsiTheme="majorBidi" w:cstheme="majorBidi"/>
          <w:sz w:val="24"/>
          <w:szCs w:val="24"/>
          <w:lang w:bidi="ar-MA"/>
        </w:rPr>
        <w:t xml:space="preserve">(passant de </w:t>
      </w:r>
      <w:r w:rsidRPr="00AA7A40">
        <w:rPr>
          <w:rFonts w:asciiTheme="majorBidi" w:hAnsiTheme="majorBidi" w:cstheme="majorBidi"/>
          <w:sz w:val="24"/>
          <w:szCs w:val="24"/>
          <w:lang w:bidi="ar-MA"/>
        </w:rPr>
        <w:t xml:space="preserve">24891 Dh </w:t>
      </w:r>
      <w:r>
        <w:rPr>
          <w:rFonts w:asciiTheme="majorBidi" w:hAnsiTheme="majorBidi" w:cstheme="majorBidi"/>
          <w:sz w:val="24"/>
          <w:szCs w:val="24"/>
          <w:lang w:bidi="ar-MA"/>
        </w:rPr>
        <w:t xml:space="preserve">à </w:t>
      </w:r>
      <w:r w:rsidRPr="00AA7A40">
        <w:rPr>
          <w:rFonts w:asciiTheme="majorBidi" w:hAnsiTheme="majorBidi" w:cstheme="majorBidi"/>
          <w:sz w:val="24"/>
          <w:szCs w:val="24"/>
          <w:lang w:bidi="ar-MA"/>
        </w:rPr>
        <w:t xml:space="preserve"> 25386 Dh</w:t>
      </w:r>
      <w:r>
        <w:rPr>
          <w:rFonts w:asciiTheme="majorBidi" w:hAnsiTheme="majorBidi" w:cstheme="majorBidi"/>
          <w:sz w:val="24"/>
          <w:szCs w:val="24"/>
          <w:lang w:bidi="ar-MA"/>
        </w:rPr>
        <w:t>)</w:t>
      </w:r>
      <w:r w:rsidRPr="00AA7A40">
        <w:rPr>
          <w:rFonts w:asciiTheme="majorBidi" w:hAnsiTheme="majorBidi" w:cstheme="majorBidi"/>
          <w:sz w:val="24"/>
          <w:szCs w:val="24"/>
          <w:lang w:bidi="ar-MA"/>
        </w:rPr>
        <w:t>.</w:t>
      </w:r>
    </w:p>
    <w:p w:rsidR="00905EA8" w:rsidRDefault="00905EA8" w:rsidP="00905EA8">
      <w:pPr>
        <w:pStyle w:val="Sansinterligne"/>
        <w:spacing w:line="360" w:lineRule="auto"/>
        <w:ind w:firstLine="709"/>
        <w:jc w:val="both"/>
        <w:rPr>
          <w:rFonts w:asciiTheme="majorBidi" w:hAnsiTheme="majorBidi" w:cstheme="majorBidi"/>
          <w:sz w:val="24"/>
          <w:szCs w:val="24"/>
          <w:lang w:bidi="ar-MA"/>
        </w:rPr>
      </w:pPr>
    </w:p>
    <w:p w:rsidR="00905EA8" w:rsidRPr="00AA7A40" w:rsidRDefault="00905EA8" w:rsidP="00905EA8">
      <w:pPr>
        <w:pStyle w:val="Sansinterligne"/>
        <w:rPr>
          <w:rFonts w:asciiTheme="majorBidi" w:hAnsiTheme="majorBidi" w:cstheme="majorBidi"/>
          <w:b/>
          <w:bCs/>
          <w:sz w:val="28"/>
          <w:szCs w:val="28"/>
          <w:lang w:bidi="ar-MA"/>
        </w:rPr>
      </w:pPr>
      <w:r w:rsidRPr="00AA7A40">
        <w:rPr>
          <w:rFonts w:asciiTheme="majorBidi" w:hAnsiTheme="majorBidi" w:cstheme="majorBidi"/>
          <w:b/>
          <w:bCs/>
          <w:sz w:val="28"/>
          <w:szCs w:val="28"/>
          <w:lang w:bidi="ar-MA"/>
        </w:rPr>
        <w:t>2-Structure du PIB par secteurs d’activité économique</w:t>
      </w:r>
    </w:p>
    <w:p w:rsidR="00905EA8" w:rsidRPr="00AA7A40" w:rsidRDefault="00905EA8" w:rsidP="00905EA8">
      <w:pPr>
        <w:pStyle w:val="Sansinterligne"/>
        <w:rPr>
          <w:rFonts w:asciiTheme="majorBidi" w:hAnsiTheme="majorBidi" w:cstheme="majorBidi"/>
          <w:b/>
          <w:bCs/>
          <w:sz w:val="24"/>
          <w:szCs w:val="24"/>
          <w:lang w:bidi="ar-MA"/>
        </w:rPr>
      </w:pPr>
    </w:p>
    <w:p w:rsidR="00905EA8" w:rsidRDefault="00905EA8" w:rsidP="00905EA8">
      <w:pPr>
        <w:pStyle w:val="Sansinterligne"/>
        <w:spacing w:line="360" w:lineRule="auto"/>
        <w:ind w:firstLine="709"/>
        <w:jc w:val="both"/>
        <w:rPr>
          <w:rFonts w:asciiTheme="majorBidi" w:hAnsiTheme="majorBidi" w:cstheme="majorBidi"/>
          <w:sz w:val="24"/>
          <w:szCs w:val="24"/>
          <w:lang w:bidi="ar-MA"/>
        </w:rPr>
      </w:pPr>
      <w:r w:rsidRPr="00AA7A40">
        <w:rPr>
          <w:rFonts w:asciiTheme="majorBidi" w:hAnsiTheme="majorBidi" w:cstheme="majorBidi"/>
          <w:sz w:val="24"/>
          <w:szCs w:val="24"/>
          <w:lang w:bidi="ar-MA"/>
        </w:rPr>
        <w:t xml:space="preserve">Avec une </w:t>
      </w:r>
      <w:r>
        <w:rPr>
          <w:rFonts w:asciiTheme="majorBidi" w:hAnsiTheme="majorBidi" w:cstheme="majorBidi"/>
          <w:sz w:val="24"/>
          <w:szCs w:val="24"/>
          <w:lang w:bidi="ar-MA"/>
        </w:rPr>
        <w:t>valeur du PIB de 65718 millions de Dh en 2012</w:t>
      </w:r>
      <w:r w:rsidRPr="00AA7A40">
        <w:rPr>
          <w:rFonts w:asciiTheme="majorBidi" w:hAnsiTheme="majorBidi" w:cstheme="majorBidi"/>
          <w:sz w:val="24"/>
          <w:szCs w:val="24"/>
          <w:lang w:bidi="ar-MA"/>
        </w:rPr>
        <w:t xml:space="preserve">, la région se </w:t>
      </w:r>
      <w:r>
        <w:rPr>
          <w:rFonts w:asciiTheme="majorBidi" w:hAnsiTheme="majorBidi" w:cstheme="majorBidi"/>
          <w:sz w:val="24"/>
          <w:szCs w:val="24"/>
          <w:lang w:bidi="ar-MA"/>
        </w:rPr>
        <w:t>classe,</w:t>
      </w:r>
      <w:r w:rsidRPr="00AA7A40">
        <w:rPr>
          <w:rFonts w:asciiTheme="majorBidi" w:hAnsiTheme="majorBidi" w:cstheme="majorBidi"/>
          <w:sz w:val="24"/>
          <w:szCs w:val="24"/>
          <w:lang w:bidi="ar-MA"/>
        </w:rPr>
        <w:t xml:space="preserve"> ainsi</w:t>
      </w:r>
      <w:r>
        <w:rPr>
          <w:rFonts w:asciiTheme="majorBidi" w:hAnsiTheme="majorBidi" w:cstheme="majorBidi"/>
          <w:sz w:val="24"/>
          <w:szCs w:val="24"/>
          <w:lang w:bidi="ar-MA"/>
        </w:rPr>
        <w:t xml:space="preserve">, </w:t>
      </w:r>
      <w:r w:rsidRPr="00AA7A40">
        <w:rPr>
          <w:rFonts w:asciiTheme="majorBidi" w:hAnsiTheme="majorBidi" w:cstheme="majorBidi"/>
          <w:sz w:val="24"/>
          <w:szCs w:val="24"/>
          <w:lang w:bidi="ar-MA"/>
        </w:rPr>
        <w:t xml:space="preserve"> parmi le</w:t>
      </w:r>
      <w:r>
        <w:rPr>
          <w:rFonts w:asciiTheme="majorBidi" w:hAnsiTheme="majorBidi" w:cstheme="majorBidi"/>
          <w:sz w:val="24"/>
          <w:szCs w:val="24"/>
          <w:lang w:bidi="ar-MA"/>
        </w:rPr>
        <w:t>s 5</w:t>
      </w:r>
      <w:r w:rsidRPr="00AA7A40">
        <w:rPr>
          <w:rFonts w:asciiTheme="majorBidi" w:hAnsiTheme="majorBidi" w:cstheme="majorBidi"/>
          <w:sz w:val="24"/>
          <w:szCs w:val="24"/>
          <w:lang w:bidi="ar-MA"/>
        </w:rPr>
        <w:t xml:space="preserve"> </w:t>
      </w:r>
      <w:r>
        <w:rPr>
          <w:rFonts w:asciiTheme="majorBidi" w:hAnsiTheme="majorBidi" w:cstheme="majorBidi"/>
          <w:sz w:val="24"/>
          <w:szCs w:val="24"/>
          <w:lang w:bidi="ar-MA"/>
        </w:rPr>
        <w:t>premières</w:t>
      </w:r>
      <w:r w:rsidRPr="00AA7A40">
        <w:rPr>
          <w:rFonts w:asciiTheme="majorBidi" w:hAnsiTheme="majorBidi" w:cstheme="majorBidi"/>
          <w:sz w:val="24"/>
          <w:szCs w:val="24"/>
          <w:lang w:bidi="ar-MA"/>
        </w:rPr>
        <w:t xml:space="preserve"> régions du Maroc qui participent </w:t>
      </w:r>
      <w:r>
        <w:rPr>
          <w:rFonts w:asciiTheme="majorBidi" w:hAnsiTheme="majorBidi" w:cstheme="majorBidi"/>
          <w:sz w:val="24"/>
          <w:szCs w:val="24"/>
          <w:lang w:bidi="ar-MA"/>
        </w:rPr>
        <w:t xml:space="preserve">près de </w:t>
      </w:r>
      <w:r w:rsidRPr="00AA7A40">
        <w:rPr>
          <w:rFonts w:asciiTheme="majorBidi" w:hAnsiTheme="majorBidi" w:cstheme="majorBidi"/>
          <w:sz w:val="24"/>
          <w:szCs w:val="24"/>
          <w:lang w:bidi="ar-MA"/>
        </w:rPr>
        <w:t xml:space="preserve"> </w:t>
      </w:r>
      <w:r>
        <w:rPr>
          <w:rFonts w:asciiTheme="majorBidi" w:hAnsiTheme="majorBidi" w:cstheme="majorBidi"/>
          <w:sz w:val="24"/>
          <w:szCs w:val="24"/>
          <w:lang w:bidi="ar-MA"/>
        </w:rPr>
        <w:t>57%</w:t>
      </w:r>
      <w:r w:rsidRPr="00AA7A40">
        <w:rPr>
          <w:rFonts w:asciiTheme="majorBidi" w:hAnsiTheme="majorBidi" w:cstheme="majorBidi"/>
          <w:sz w:val="24"/>
          <w:szCs w:val="24"/>
          <w:lang w:bidi="ar-MA"/>
        </w:rPr>
        <w:t xml:space="preserve"> du PIB</w:t>
      </w:r>
      <w:r>
        <w:rPr>
          <w:rFonts w:asciiTheme="majorBidi" w:hAnsiTheme="majorBidi" w:cstheme="majorBidi"/>
          <w:sz w:val="24"/>
          <w:szCs w:val="24"/>
          <w:lang w:bidi="ar-MA"/>
        </w:rPr>
        <w:t xml:space="preserve"> national</w:t>
      </w:r>
      <w:r w:rsidRPr="00AA7A40">
        <w:rPr>
          <w:rFonts w:asciiTheme="majorBidi" w:hAnsiTheme="majorBidi" w:cstheme="majorBidi"/>
          <w:sz w:val="24"/>
          <w:szCs w:val="24"/>
          <w:lang w:bidi="ar-MA"/>
        </w:rPr>
        <w:t xml:space="preserve">. Il s’agit de </w:t>
      </w:r>
      <w:r>
        <w:rPr>
          <w:rFonts w:asciiTheme="majorBidi" w:hAnsiTheme="majorBidi" w:cstheme="majorBidi"/>
          <w:sz w:val="24"/>
          <w:szCs w:val="24"/>
          <w:lang w:bidi="ar-MA"/>
        </w:rPr>
        <w:t>Grand Casablanca (19,8%) suivi de :</w:t>
      </w:r>
      <w:r w:rsidRPr="00AA7A40">
        <w:rPr>
          <w:rFonts w:asciiTheme="majorBidi" w:hAnsiTheme="majorBidi" w:cstheme="majorBidi"/>
          <w:sz w:val="24"/>
          <w:szCs w:val="24"/>
          <w:lang w:bidi="ar-MA"/>
        </w:rPr>
        <w:t xml:space="preserve"> </w:t>
      </w:r>
      <w:r>
        <w:rPr>
          <w:rFonts w:asciiTheme="majorBidi" w:hAnsiTheme="majorBidi" w:cstheme="majorBidi"/>
          <w:sz w:val="24"/>
          <w:szCs w:val="24"/>
          <w:lang w:bidi="ar-MA"/>
        </w:rPr>
        <w:t>Rabat-Salé-Zemmour-Zaer (12,0%), Chaouia-Ouardigha (8,8%), Marrakech-Tensift-Al Haouz</w:t>
      </w:r>
      <w:r w:rsidRPr="00AA7A40">
        <w:rPr>
          <w:rFonts w:asciiTheme="majorBidi" w:hAnsiTheme="majorBidi" w:cstheme="majorBidi"/>
          <w:sz w:val="24"/>
          <w:szCs w:val="24"/>
          <w:lang w:bidi="ar-MA"/>
        </w:rPr>
        <w:t xml:space="preserve"> (</w:t>
      </w:r>
      <w:r>
        <w:rPr>
          <w:rFonts w:asciiTheme="majorBidi" w:hAnsiTheme="majorBidi" w:cstheme="majorBidi"/>
          <w:sz w:val="24"/>
          <w:szCs w:val="24"/>
          <w:lang w:bidi="ar-MA"/>
        </w:rPr>
        <w:t>8</w:t>
      </w:r>
      <w:r w:rsidRPr="00AA7A40">
        <w:rPr>
          <w:rFonts w:asciiTheme="majorBidi" w:hAnsiTheme="majorBidi" w:cstheme="majorBidi"/>
          <w:sz w:val="24"/>
          <w:szCs w:val="24"/>
          <w:lang w:bidi="ar-MA"/>
        </w:rPr>
        <w:t>,</w:t>
      </w:r>
      <w:r>
        <w:rPr>
          <w:rFonts w:asciiTheme="majorBidi" w:hAnsiTheme="majorBidi" w:cstheme="majorBidi"/>
          <w:sz w:val="24"/>
          <w:szCs w:val="24"/>
          <w:lang w:bidi="ar-MA"/>
        </w:rPr>
        <w:t xml:space="preserve">3%), </w:t>
      </w:r>
      <w:r w:rsidRPr="00AA7A40">
        <w:rPr>
          <w:rFonts w:asciiTheme="majorBidi" w:hAnsiTheme="majorBidi" w:cstheme="majorBidi"/>
          <w:sz w:val="24"/>
          <w:szCs w:val="24"/>
          <w:lang w:bidi="ar-MA"/>
        </w:rPr>
        <w:t xml:space="preserve">et </w:t>
      </w:r>
      <w:r>
        <w:rPr>
          <w:rFonts w:asciiTheme="majorBidi" w:hAnsiTheme="majorBidi" w:cstheme="majorBidi"/>
          <w:sz w:val="24"/>
          <w:szCs w:val="24"/>
          <w:lang w:bidi="ar-MA"/>
        </w:rPr>
        <w:t>Tanger-Tétouan (7,9%).</w:t>
      </w:r>
      <w:r w:rsidRPr="00AA7A40">
        <w:rPr>
          <w:rFonts w:asciiTheme="majorBidi" w:hAnsiTheme="majorBidi" w:cstheme="majorBidi"/>
          <w:sz w:val="24"/>
          <w:szCs w:val="24"/>
          <w:lang w:bidi="ar-MA"/>
        </w:rPr>
        <w:t xml:space="preserve"> </w:t>
      </w:r>
      <w:r>
        <w:rPr>
          <w:rFonts w:asciiTheme="majorBidi" w:hAnsiTheme="majorBidi" w:cstheme="majorBidi"/>
          <w:sz w:val="24"/>
          <w:szCs w:val="24"/>
          <w:lang w:bidi="ar-MA"/>
        </w:rPr>
        <w:t xml:space="preserve"> </w:t>
      </w:r>
    </w:p>
    <w:p w:rsidR="00905EA8" w:rsidRPr="00AA7A40" w:rsidRDefault="00905EA8" w:rsidP="00905EA8">
      <w:pPr>
        <w:pStyle w:val="Sansinterligne"/>
        <w:spacing w:line="360" w:lineRule="auto"/>
        <w:ind w:firstLine="709"/>
        <w:jc w:val="both"/>
        <w:rPr>
          <w:rFonts w:asciiTheme="majorBidi" w:hAnsiTheme="majorBidi" w:cstheme="majorBidi"/>
          <w:sz w:val="24"/>
          <w:szCs w:val="24"/>
          <w:lang w:bidi="ar-MA"/>
        </w:rPr>
      </w:pPr>
    </w:p>
    <w:p w:rsidR="00905EA8" w:rsidRDefault="00905EA8" w:rsidP="00905EA8">
      <w:pPr>
        <w:pStyle w:val="Sansinterligne"/>
        <w:spacing w:line="360" w:lineRule="auto"/>
        <w:ind w:firstLine="709"/>
        <w:jc w:val="both"/>
        <w:rPr>
          <w:rFonts w:asciiTheme="majorBidi" w:hAnsiTheme="majorBidi" w:cstheme="majorBidi"/>
          <w:sz w:val="24"/>
          <w:szCs w:val="24"/>
          <w:lang w:bidi="ar-MA"/>
        </w:rPr>
      </w:pPr>
      <w:r w:rsidRPr="00AA7A40">
        <w:rPr>
          <w:rFonts w:asciiTheme="majorBidi" w:hAnsiTheme="majorBidi" w:cstheme="majorBidi"/>
          <w:sz w:val="24"/>
          <w:szCs w:val="24"/>
          <w:lang w:bidi="ar-MA"/>
        </w:rPr>
        <w:t xml:space="preserve">Les comptes établis en 2012 montrent que les activités tertiaires (services marchands et non marchands) sont bien représentées dans la région de </w:t>
      </w:r>
      <w:r>
        <w:rPr>
          <w:rFonts w:asciiTheme="majorBidi" w:hAnsiTheme="majorBidi" w:cstheme="majorBidi"/>
          <w:sz w:val="24"/>
          <w:szCs w:val="24"/>
          <w:lang w:bidi="ar-MA"/>
        </w:rPr>
        <w:t>Tanger-Tétouan puisque celles-ci</w:t>
      </w:r>
      <w:r w:rsidRPr="00AA7A40">
        <w:rPr>
          <w:rFonts w:asciiTheme="majorBidi" w:hAnsiTheme="majorBidi" w:cstheme="majorBidi"/>
          <w:sz w:val="24"/>
          <w:szCs w:val="24"/>
          <w:lang w:bidi="ar-MA"/>
        </w:rPr>
        <w:t xml:space="preserve"> ont réalisé plus de la moitié du PIB régional (51,2%), valeur qui reste proche de celle qui a été enregistré</w:t>
      </w:r>
      <w:r>
        <w:rPr>
          <w:rFonts w:asciiTheme="majorBidi" w:hAnsiTheme="majorBidi" w:cstheme="majorBidi"/>
          <w:sz w:val="24"/>
          <w:szCs w:val="24"/>
          <w:lang w:bidi="ar-MA"/>
        </w:rPr>
        <w:t>e</w:t>
      </w:r>
      <w:r w:rsidRPr="00AA7A40">
        <w:rPr>
          <w:rFonts w:asciiTheme="majorBidi" w:hAnsiTheme="majorBidi" w:cstheme="majorBidi"/>
          <w:sz w:val="24"/>
          <w:szCs w:val="24"/>
          <w:lang w:bidi="ar-MA"/>
        </w:rPr>
        <w:t xml:space="preserve"> dans la région de Fes-Boulmane (54,5%) et la région du Grand-Casa (55,4%).</w:t>
      </w:r>
    </w:p>
    <w:p w:rsidR="00905EA8" w:rsidRPr="00AA7A40" w:rsidRDefault="00905EA8" w:rsidP="00905EA8">
      <w:pPr>
        <w:pStyle w:val="Sansinterligne"/>
        <w:spacing w:line="360" w:lineRule="auto"/>
        <w:ind w:firstLine="709"/>
        <w:jc w:val="both"/>
        <w:rPr>
          <w:rFonts w:asciiTheme="majorBidi" w:hAnsiTheme="majorBidi" w:cstheme="majorBidi"/>
          <w:sz w:val="24"/>
          <w:szCs w:val="24"/>
          <w:lang w:bidi="ar-MA"/>
        </w:rPr>
      </w:pPr>
    </w:p>
    <w:p w:rsidR="00905EA8" w:rsidRPr="00AA7A40" w:rsidRDefault="00905EA8" w:rsidP="00905EA8">
      <w:pPr>
        <w:pStyle w:val="Sansinterligne"/>
        <w:spacing w:line="360" w:lineRule="auto"/>
        <w:ind w:firstLine="709"/>
        <w:jc w:val="both"/>
        <w:rPr>
          <w:rFonts w:asciiTheme="majorBidi" w:hAnsiTheme="majorBidi" w:cstheme="majorBidi"/>
          <w:sz w:val="24"/>
          <w:szCs w:val="24"/>
          <w:lang w:bidi="ar-MA"/>
        </w:rPr>
      </w:pPr>
      <w:r w:rsidRPr="00AA7A40">
        <w:rPr>
          <w:rFonts w:asciiTheme="majorBidi" w:hAnsiTheme="majorBidi" w:cstheme="majorBidi"/>
          <w:sz w:val="24"/>
          <w:szCs w:val="24"/>
          <w:lang w:bidi="ar-MA"/>
        </w:rPr>
        <w:t>Par ailleurs, le secteur des activités tertiaires de la région</w:t>
      </w:r>
      <w:r>
        <w:rPr>
          <w:rFonts w:asciiTheme="majorBidi" w:hAnsiTheme="majorBidi" w:cstheme="majorBidi"/>
          <w:sz w:val="24"/>
          <w:szCs w:val="24"/>
          <w:lang w:bidi="ar-MA"/>
        </w:rPr>
        <w:t xml:space="preserve"> a</w:t>
      </w:r>
      <w:r w:rsidRPr="00AA7A40">
        <w:rPr>
          <w:rFonts w:asciiTheme="majorBidi" w:hAnsiTheme="majorBidi" w:cstheme="majorBidi"/>
          <w:sz w:val="24"/>
          <w:szCs w:val="24"/>
          <w:lang w:bidi="ar-MA"/>
        </w:rPr>
        <w:t xml:space="preserve"> réalis</w:t>
      </w:r>
      <w:r>
        <w:rPr>
          <w:rFonts w:asciiTheme="majorBidi" w:hAnsiTheme="majorBidi" w:cstheme="majorBidi"/>
          <w:sz w:val="24"/>
          <w:szCs w:val="24"/>
          <w:lang w:bidi="ar-MA"/>
        </w:rPr>
        <w:t xml:space="preserve">é </w:t>
      </w:r>
      <w:r w:rsidRPr="00AA7A40">
        <w:rPr>
          <w:rFonts w:asciiTheme="majorBidi" w:hAnsiTheme="majorBidi" w:cstheme="majorBidi"/>
          <w:sz w:val="24"/>
          <w:szCs w:val="24"/>
          <w:lang w:bidi="ar-MA"/>
        </w:rPr>
        <w:t>7,9% du PIB total relatif à ce secteur, ce qui le positionne en troisième place après la région du Grand-Casa et la région de Rabat-Salé-Zemmour-Zaer qui pa</w:t>
      </w:r>
      <w:r>
        <w:rPr>
          <w:rFonts w:asciiTheme="majorBidi" w:hAnsiTheme="majorBidi" w:cstheme="majorBidi"/>
          <w:sz w:val="24"/>
          <w:szCs w:val="24"/>
          <w:lang w:bidi="ar-MA"/>
        </w:rPr>
        <w:t xml:space="preserve">rticipent </w:t>
      </w:r>
      <w:r w:rsidRPr="00AA7A40">
        <w:rPr>
          <w:rFonts w:asciiTheme="majorBidi" w:hAnsiTheme="majorBidi" w:cstheme="majorBidi"/>
          <w:sz w:val="24"/>
          <w:szCs w:val="24"/>
          <w:lang w:bidi="ar-MA"/>
        </w:rPr>
        <w:t>respecti</w:t>
      </w:r>
      <w:r>
        <w:rPr>
          <w:rFonts w:asciiTheme="majorBidi" w:hAnsiTheme="majorBidi" w:cstheme="majorBidi"/>
          <w:sz w:val="24"/>
          <w:szCs w:val="24"/>
          <w:lang w:bidi="ar-MA"/>
        </w:rPr>
        <w:t xml:space="preserve">vement avec 22,3% et 17% du PIB du </w:t>
      </w:r>
      <w:r w:rsidRPr="00AA7A40">
        <w:rPr>
          <w:rFonts w:asciiTheme="majorBidi" w:hAnsiTheme="majorBidi" w:cstheme="majorBidi"/>
          <w:sz w:val="24"/>
          <w:szCs w:val="24"/>
          <w:lang w:bidi="ar-MA"/>
        </w:rPr>
        <w:t>secteur en question</w:t>
      </w:r>
      <w:r>
        <w:rPr>
          <w:rFonts w:asciiTheme="majorBidi" w:hAnsiTheme="majorBidi" w:cstheme="majorBidi"/>
          <w:sz w:val="24"/>
          <w:szCs w:val="24"/>
          <w:lang w:bidi="ar-MA"/>
        </w:rPr>
        <w:t>.</w:t>
      </w:r>
    </w:p>
    <w:tbl>
      <w:tblPr>
        <w:tblStyle w:val="Grilledutableau"/>
        <w:tblW w:w="0" w:type="auto"/>
        <w:tblLook w:val="04A0"/>
      </w:tblPr>
      <w:tblGrid>
        <w:gridCol w:w="9712"/>
      </w:tblGrid>
      <w:tr w:rsidR="00905EA8" w:rsidRPr="00AA7A40" w:rsidTr="00BF5B2D">
        <w:tc>
          <w:tcPr>
            <w:tcW w:w="7656" w:type="dxa"/>
            <w:tcBorders>
              <w:top w:val="nil"/>
              <w:left w:val="nil"/>
              <w:bottom w:val="nil"/>
              <w:right w:val="nil"/>
            </w:tcBorders>
          </w:tcPr>
          <w:p w:rsidR="00905EA8" w:rsidRPr="00AA7A40" w:rsidRDefault="00905EA8" w:rsidP="00BF5B2D">
            <w:pPr>
              <w:rPr>
                <w:sz w:val="24"/>
                <w:szCs w:val="24"/>
                <w:lang w:bidi="ar-MA"/>
              </w:rPr>
            </w:pPr>
            <w:r w:rsidRPr="00F85A78">
              <w:rPr>
                <w:noProof/>
                <w:sz w:val="24"/>
                <w:szCs w:val="24"/>
                <w:lang w:eastAsia="fr-FR"/>
              </w:rPr>
              <w:drawing>
                <wp:inline distT="0" distB="0" distL="0" distR="0">
                  <wp:extent cx="6102350" cy="3314700"/>
                  <wp:effectExtent l="19050" t="0" r="0" b="0"/>
                  <wp:docPr id="14"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rsidR="00905EA8" w:rsidRPr="00AA7A40" w:rsidRDefault="00905EA8" w:rsidP="00905EA8">
      <w:pPr>
        <w:ind w:firstLine="708"/>
        <w:rPr>
          <w:sz w:val="24"/>
          <w:szCs w:val="24"/>
          <w:lang w:bidi="ar-MA"/>
        </w:rPr>
      </w:pPr>
    </w:p>
    <w:p w:rsidR="00905EA8" w:rsidRPr="00AA7A40" w:rsidRDefault="00905EA8" w:rsidP="00905EA8">
      <w:pPr>
        <w:ind w:firstLine="708"/>
        <w:rPr>
          <w:sz w:val="24"/>
          <w:szCs w:val="24"/>
          <w:lang w:bidi="ar-MA"/>
        </w:rPr>
      </w:pPr>
    </w:p>
    <w:p w:rsidR="00905EA8" w:rsidRDefault="00905EA8" w:rsidP="00905EA8">
      <w:pPr>
        <w:spacing w:line="360" w:lineRule="auto"/>
        <w:ind w:firstLine="709"/>
        <w:jc w:val="both"/>
        <w:rPr>
          <w:rFonts w:asciiTheme="majorBidi" w:hAnsiTheme="majorBidi" w:cstheme="majorBidi"/>
          <w:sz w:val="24"/>
          <w:szCs w:val="24"/>
          <w:lang w:bidi="ar-MA"/>
        </w:rPr>
      </w:pPr>
      <w:r w:rsidRPr="00AA7A40">
        <w:rPr>
          <w:rFonts w:asciiTheme="majorBidi" w:hAnsiTheme="majorBidi" w:cstheme="majorBidi"/>
          <w:sz w:val="24"/>
          <w:szCs w:val="24"/>
          <w:lang w:bidi="ar-MA"/>
        </w:rPr>
        <w:t>Le secteur des activités secondaires (industrie, mines, énergie et BTP) vient en deuxième position avec un taux de 25</w:t>
      </w:r>
      <w:r>
        <w:rPr>
          <w:rFonts w:asciiTheme="majorBidi" w:hAnsiTheme="majorBidi" w:cstheme="majorBidi"/>
          <w:sz w:val="24"/>
          <w:szCs w:val="24"/>
          <w:lang w:bidi="ar-MA"/>
        </w:rPr>
        <w:t>,1</w:t>
      </w:r>
      <w:r w:rsidRPr="00AA7A40">
        <w:rPr>
          <w:rFonts w:asciiTheme="majorBidi" w:hAnsiTheme="majorBidi" w:cstheme="majorBidi"/>
          <w:sz w:val="24"/>
          <w:szCs w:val="24"/>
          <w:lang w:bidi="ar-MA"/>
        </w:rPr>
        <w:t>% du PIB de la région suivi du secteur primaire avec 1</w:t>
      </w:r>
      <w:r>
        <w:rPr>
          <w:rFonts w:asciiTheme="majorBidi" w:hAnsiTheme="majorBidi" w:cstheme="majorBidi"/>
          <w:sz w:val="24"/>
          <w:szCs w:val="24"/>
          <w:lang w:bidi="ar-MA"/>
        </w:rPr>
        <w:t>2,4</w:t>
      </w:r>
      <w:r w:rsidRPr="00AA7A40">
        <w:rPr>
          <w:rFonts w:asciiTheme="majorBidi" w:hAnsiTheme="majorBidi" w:cstheme="majorBidi"/>
          <w:sz w:val="24"/>
          <w:szCs w:val="24"/>
          <w:lang w:bidi="ar-MA"/>
        </w:rPr>
        <w:t>%.</w:t>
      </w:r>
    </w:p>
    <w:p w:rsidR="00905EA8" w:rsidRPr="00AA7A40" w:rsidRDefault="00905EA8" w:rsidP="00905EA8">
      <w:pPr>
        <w:spacing w:line="360" w:lineRule="auto"/>
        <w:ind w:firstLine="709"/>
        <w:jc w:val="both"/>
        <w:rPr>
          <w:rFonts w:asciiTheme="majorBidi" w:hAnsiTheme="majorBidi" w:cstheme="majorBidi"/>
          <w:sz w:val="24"/>
          <w:szCs w:val="24"/>
          <w:lang w:bidi="ar-MA"/>
        </w:rPr>
      </w:pPr>
    </w:p>
    <w:p w:rsidR="00905EA8" w:rsidRPr="00AA7A40" w:rsidRDefault="00905EA8" w:rsidP="00905EA8">
      <w:pPr>
        <w:spacing w:line="360" w:lineRule="auto"/>
        <w:ind w:firstLine="709"/>
        <w:jc w:val="both"/>
        <w:rPr>
          <w:rFonts w:asciiTheme="majorBidi" w:hAnsiTheme="majorBidi" w:cstheme="majorBidi"/>
          <w:sz w:val="24"/>
          <w:szCs w:val="24"/>
          <w:lang w:bidi="ar-MA"/>
        </w:rPr>
      </w:pPr>
      <w:r w:rsidRPr="00AA7A40">
        <w:rPr>
          <w:rFonts w:asciiTheme="majorBidi" w:hAnsiTheme="majorBidi" w:cstheme="majorBidi"/>
          <w:sz w:val="24"/>
          <w:szCs w:val="24"/>
          <w:lang w:bidi="ar-MA"/>
        </w:rPr>
        <w:t xml:space="preserve">Par ailleurs, il est à signaler qu’une partie du revenu du PIB régional  en 2012 est sous forme des impôts nets des subventions </w:t>
      </w:r>
      <w:r>
        <w:rPr>
          <w:rFonts w:asciiTheme="majorBidi" w:hAnsiTheme="majorBidi" w:cstheme="majorBidi"/>
          <w:sz w:val="24"/>
          <w:szCs w:val="24"/>
          <w:lang w:bidi="ar-MA"/>
        </w:rPr>
        <w:t>affectant</w:t>
      </w:r>
      <w:r w:rsidRPr="00AA7A40">
        <w:rPr>
          <w:rFonts w:asciiTheme="majorBidi" w:hAnsiTheme="majorBidi" w:cstheme="majorBidi"/>
          <w:sz w:val="24"/>
          <w:szCs w:val="24"/>
          <w:lang w:bidi="ar-MA"/>
        </w:rPr>
        <w:t xml:space="preserve"> les produits, Celle-ci est estimée à 11% du PIB de la région</w:t>
      </w:r>
      <w:r>
        <w:rPr>
          <w:rFonts w:asciiTheme="majorBidi" w:hAnsiTheme="majorBidi" w:cstheme="majorBidi"/>
          <w:sz w:val="24"/>
          <w:szCs w:val="24"/>
          <w:lang w:bidi="ar-MA"/>
        </w:rPr>
        <w:t>.</w:t>
      </w:r>
    </w:p>
    <w:p w:rsidR="00905EA8" w:rsidRPr="00AA7A40" w:rsidRDefault="00905EA8" w:rsidP="00905EA8">
      <w:pPr>
        <w:rPr>
          <w:sz w:val="24"/>
          <w:szCs w:val="24"/>
          <w:lang w:bidi="ar-MA"/>
        </w:rPr>
      </w:pPr>
    </w:p>
    <w:p w:rsidR="00905EA8" w:rsidRPr="00AA7A40" w:rsidRDefault="00905EA8" w:rsidP="00905EA8">
      <w:pPr>
        <w:ind w:firstLine="708"/>
        <w:rPr>
          <w:sz w:val="24"/>
          <w:szCs w:val="24"/>
          <w:lang w:bidi="ar-MA"/>
        </w:rPr>
      </w:pPr>
    </w:p>
    <w:p w:rsidR="00905EA8" w:rsidRDefault="00905EA8" w:rsidP="00905EA8">
      <w:pPr>
        <w:pStyle w:val="Sansinterligne"/>
        <w:spacing w:line="360" w:lineRule="auto"/>
        <w:ind w:left="284"/>
        <w:rPr>
          <w:rFonts w:asciiTheme="majorBidi" w:hAnsiTheme="majorBidi" w:cstheme="majorBidi"/>
          <w:b/>
          <w:bCs/>
          <w:sz w:val="28"/>
          <w:szCs w:val="28"/>
          <w:lang w:bidi="ar-MA"/>
        </w:rPr>
      </w:pPr>
    </w:p>
    <w:p w:rsidR="00905EA8" w:rsidRPr="00AA7A40" w:rsidRDefault="00905EA8" w:rsidP="00905EA8">
      <w:pPr>
        <w:pStyle w:val="Sansinterligne"/>
        <w:spacing w:line="360" w:lineRule="auto"/>
        <w:ind w:left="284"/>
        <w:rPr>
          <w:rFonts w:asciiTheme="majorBidi" w:hAnsiTheme="majorBidi" w:cstheme="majorBidi"/>
          <w:b/>
          <w:bCs/>
          <w:sz w:val="28"/>
          <w:szCs w:val="28"/>
          <w:lang w:bidi="ar-MA"/>
        </w:rPr>
      </w:pPr>
      <w:r w:rsidRPr="00AA7A40">
        <w:rPr>
          <w:rFonts w:asciiTheme="majorBidi" w:hAnsiTheme="majorBidi" w:cstheme="majorBidi"/>
          <w:b/>
          <w:bCs/>
          <w:sz w:val="28"/>
          <w:szCs w:val="28"/>
          <w:lang w:bidi="ar-MA"/>
        </w:rPr>
        <w:t>3-Dépense de consommation finale des ménages (DCFM)</w:t>
      </w:r>
    </w:p>
    <w:p w:rsidR="00905EA8" w:rsidRPr="00AA7A40" w:rsidRDefault="00905EA8" w:rsidP="00905EA8">
      <w:pPr>
        <w:ind w:firstLine="708"/>
        <w:rPr>
          <w:sz w:val="24"/>
          <w:szCs w:val="24"/>
          <w:lang w:bidi="ar-MA"/>
        </w:rPr>
      </w:pPr>
    </w:p>
    <w:p w:rsidR="00905EA8" w:rsidRDefault="00905EA8" w:rsidP="00905EA8">
      <w:pPr>
        <w:spacing w:line="360" w:lineRule="auto"/>
        <w:ind w:firstLine="709"/>
        <w:jc w:val="both"/>
        <w:rPr>
          <w:rFonts w:asciiTheme="majorBidi" w:hAnsiTheme="majorBidi" w:cstheme="majorBidi"/>
          <w:sz w:val="24"/>
          <w:szCs w:val="24"/>
          <w:lang w:bidi="ar-MA"/>
        </w:rPr>
      </w:pPr>
      <w:r w:rsidRPr="00AA7A40">
        <w:rPr>
          <w:rFonts w:asciiTheme="majorBidi" w:hAnsiTheme="majorBidi" w:cstheme="majorBidi"/>
          <w:sz w:val="24"/>
          <w:szCs w:val="24"/>
          <w:lang w:bidi="ar-MA"/>
        </w:rPr>
        <w:t>En 2012, la dépense de consommation finale des ménages a affiché une valeur de l’ordre de 58480 millions de Dh, soit 11,8% de la dépense  effectuée au niveau national.</w:t>
      </w:r>
    </w:p>
    <w:p w:rsidR="00905EA8" w:rsidRPr="00AA7A40" w:rsidRDefault="00905EA8" w:rsidP="00905EA8">
      <w:pPr>
        <w:spacing w:line="360" w:lineRule="auto"/>
        <w:ind w:firstLine="709"/>
        <w:jc w:val="both"/>
        <w:rPr>
          <w:rFonts w:asciiTheme="majorBidi" w:hAnsiTheme="majorBidi" w:cstheme="majorBidi"/>
          <w:sz w:val="24"/>
          <w:szCs w:val="24"/>
          <w:lang w:bidi="ar-MA"/>
        </w:rPr>
      </w:pPr>
    </w:p>
    <w:p w:rsidR="00905EA8" w:rsidRDefault="00905EA8" w:rsidP="00905EA8">
      <w:pPr>
        <w:spacing w:line="360" w:lineRule="auto"/>
        <w:ind w:firstLine="709"/>
        <w:jc w:val="both"/>
        <w:rPr>
          <w:rFonts w:asciiTheme="majorBidi" w:hAnsiTheme="majorBidi" w:cstheme="majorBidi"/>
          <w:sz w:val="24"/>
          <w:szCs w:val="24"/>
          <w:lang w:bidi="ar-MA"/>
        </w:rPr>
      </w:pPr>
      <w:r w:rsidRPr="00AA7A40">
        <w:rPr>
          <w:rFonts w:asciiTheme="majorBidi" w:hAnsiTheme="majorBidi" w:cstheme="majorBidi"/>
          <w:sz w:val="24"/>
          <w:szCs w:val="24"/>
          <w:lang w:bidi="ar-MA"/>
        </w:rPr>
        <w:t>En termes d’évolution, la DCFM s’est accrue de 7,7 %, en passant de 41299 millions de Dh en 2007 à 58480 millions de Dh en 2012, contre 6,6 % à l’échelle nationale.</w:t>
      </w:r>
    </w:p>
    <w:p w:rsidR="00905EA8" w:rsidRPr="00AA7A40" w:rsidRDefault="00905EA8" w:rsidP="00905EA8">
      <w:pPr>
        <w:spacing w:line="360" w:lineRule="auto"/>
        <w:ind w:firstLine="709"/>
        <w:jc w:val="both"/>
        <w:rPr>
          <w:rFonts w:asciiTheme="majorBidi" w:hAnsiTheme="majorBidi" w:cstheme="majorBidi"/>
          <w:sz w:val="24"/>
          <w:szCs w:val="24"/>
          <w:lang w:bidi="ar-MA"/>
        </w:rPr>
      </w:pPr>
    </w:p>
    <w:p w:rsidR="00905EA8" w:rsidRPr="00AA7A40" w:rsidRDefault="00905EA8" w:rsidP="00905EA8">
      <w:pPr>
        <w:spacing w:line="360" w:lineRule="auto"/>
        <w:ind w:firstLine="709"/>
        <w:jc w:val="both"/>
        <w:rPr>
          <w:rFonts w:asciiTheme="majorBidi" w:hAnsiTheme="majorBidi" w:cstheme="majorBidi"/>
          <w:sz w:val="24"/>
          <w:szCs w:val="24"/>
          <w:lang w:bidi="ar-MA"/>
        </w:rPr>
      </w:pPr>
      <w:r w:rsidRPr="00AA7A40">
        <w:rPr>
          <w:rFonts w:asciiTheme="majorBidi" w:hAnsiTheme="majorBidi" w:cstheme="majorBidi"/>
          <w:sz w:val="24"/>
          <w:szCs w:val="24"/>
          <w:lang w:bidi="ar-MA"/>
        </w:rPr>
        <w:t>D’un autre côté, la structure de la DCFM est proche de celle qui a été constaté</w:t>
      </w:r>
      <w:r>
        <w:rPr>
          <w:rFonts w:asciiTheme="majorBidi" w:hAnsiTheme="majorBidi" w:cstheme="majorBidi"/>
          <w:sz w:val="24"/>
          <w:szCs w:val="24"/>
          <w:lang w:bidi="ar-MA"/>
        </w:rPr>
        <w:t>e</w:t>
      </w:r>
      <w:r w:rsidRPr="00AA7A40">
        <w:rPr>
          <w:rFonts w:asciiTheme="majorBidi" w:hAnsiTheme="majorBidi" w:cstheme="majorBidi"/>
          <w:sz w:val="24"/>
          <w:szCs w:val="24"/>
          <w:lang w:bidi="ar-MA"/>
        </w:rPr>
        <w:t xml:space="preserve"> quant à la création de la richesse nationale, en effet, les quatre régions qui créent ensemble 49,2% du PIB,  participent à raison de 47,2% aux DCFM ; il s’agit du grand-Casa (14,3%)</w:t>
      </w:r>
      <w:r>
        <w:rPr>
          <w:rFonts w:asciiTheme="majorBidi" w:hAnsiTheme="majorBidi" w:cstheme="majorBidi"/>
          <w:sz w:val="24"/>
          <w:szCs w:val="24"/>
          <w:lang w:bidi="ar-MA"/>
        </w:rPr>
        <w:t>,</w:t>
      </w:r>
      <w:r w:rsidRPr="00AA7A40">
        <w:rPr>
          <w:rFonts w:asciiTheme="majorBidi" w:hAnsiTheme="majorBidi" w:cstheme="majorBidi"/>
          <w:sz w:val="24"/>
          <w:szCs w:val="24"/>
          <w:lang w:bidi="ar-MA"/>
        </w:rPr>
        <w:t xml:space="preserve"> suivi de Tanger-Tétouan (11,8%), de Rabat-Salé-Zemmour-Zaer (11%) et de Marrakech-Tensift-Al haouz (10,3%).</w:t>
      </w:r>
    </w:p>
    <w:p w:rsidR="00905EA8" w:rsidRPr="00AA7A40" w:rsidRDefault="00905EA8" w:rsidP="00905EA8">
      <w:pPr>
        <w:ind w:firstLine="708"/>
        <w:rPr>
          <w:rFonts w:asciiTheme="majorBidi" w:hAnsiTheme="majorBidi" w:cstheme="majorBidi"/>
          <w:sz w:val="24"/>
          <w:szCs w:val="24"/>
          <w:lang w:bidi="ar-MA"/>
        </w:rPr>
      </w:pPr>
    </w:p>
    <w:p w:rsidR="00905EA8" w:rsidRPr="00AA7A40" w:rsidRDefault="00905EA8" w:rsidP="00905EA8">
      <w:pPr>
        <w:tabs>
          <w:tab w:val="left" w:pos="1180"/>
        </w:tabs>
        <w:rPr>
          <w:sz w:val="24"/>
          <w:szCs w:val="24"/>
          <w:lang w:bidi="ar-MA"/>
        </w:rPr>
      </w:pPr>
    </w:p>
    <w:tbl>
      <w:tblPr>
        <w:tblStyle w:val="Grilledutableau"/>
        <w:tblW w:w="988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9916"/>
        <w:gridCol w:w="222"/>
        <w:gridCol w:w="222"/>
        <w:gridCol w:w="222"/>
        <w:gridCol w:w="222"/>
        <w:gridCol w:w="222"/>
      </w:tblGrid>
      <w:tr w:rsidR="00905EA8" w:rsidRPr="00AA7A40" w:rsidTr="00BF5B2D">
        <w:tc>
          <w:tcPr>
            <w:tcW w:w="8749" w:type="dxa"/>
            <w:tcBorders>
              <w:top w:val="nil"/>
              <w:left w:val="nil"/>
              <w:bottom w:val="nil"/>
              <w:right w:val="nil"/>
            </w:tcBorders>
            <w:shd w:val="clear" w:color="auto" w:fill="auto"/>
          </w:tcPr>
          <w:p w:rsidR="00905EA8" w:rsidRPr="00AA7A40" w:rsidRDefault="00905EA8" w:rsidP="00BF5B2D">
            <w:pPr>
              <w:pStyle w:val="Sansinterligne"/>
              <w:rPr>
                <w:sz w:val="24"/>
                <w:szCs w:val="24"/>
                <w:lang w:bidi="ar-MA"/>
              </w:rPr>
            </w:pPr>
            <w:r w:rsidRPr="00AA7A40">
              <w:rPr>
                <w:noProof/>
                <w:sz w:val="24"/>
                <w:szCs w:val="24"/>
                <w:lang w:eastAsia="fr-FR"/>
              </w:rPr>
              <w:lastRenderedPageBreak/>
              <w:drawing>
                <wp:inline distT="0" distB="0" distL="0" distR="0">
                  <wp:extent cx="6159500" cy="4559300"/>
                  <wp:effectExtent l="0" t="0" r="0" b="0"/>
                  <wp:docPr id="15"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221" w:type="dxa"/>
            <w:tcBorders>
              <w:top w:val="nil"/>
              <w:left w:val="nil"/>
              <w:bottom w:val="nil"/>
              <w:right w:val="nil"/>
            </w:tcBorders>
            <w:shd w:val="clear" w:color="auto" w:fill="auto"/>
          </w:tcPr>
          <w:p w:rsidR="00905EA8" w:rsidRPr="00AA7A40" w:rsidRDefault="00905EA8" w:rsidP="00BF5B2D">
            <w:pPr>
              <w:pStyle w:val="Sansinterligne"/>
              <w:rPr>
                <w:sz w:val="24"/>
                <w:szCs w:val="24"/>
                <w:lang w:bidi="ar-MA"/>
              </w:rPr>
            </w:pPr>
          </w:p>
        </w:tc>
        <w:tc>
          <w:tcPr>
            <w:tcW w:w="236" w:type="dxa"/>
            <w:tcBorders>
              <w:top w:val="nil"/>
              <w:left w:val="nil"/>
              <w:bottom w:val="nil"/>
              <w:right w:val="single" w:sz="4" w:space="0" w:color="FFFFFF" w:themeColor="background1"/>
            </w:tcBorders>
            <w:shd w:val="clear" w:color="auto" w:fill="auto"/>
          </w:tcPr>
          <w:p w:rsidR="00905EA8" w:rsidRPr="00AA7A40" w:rsidRDefault="00905EA8" w:rsidP="00BF5B2D">
            <w:pPr>
              <w:pStyle w:val="Sansinterligne"/>
              <w:rPr>
                <w:sz w:val="24"/>
                <w:szCs w:val="24"/>
                <w:lang w:bidi="ar-MA"/>
              </w:rPr>
            </w:pPr>
          </w:p>
        </w:tc>
        <w:tc>
          <w:tcPr>
            <w:tcW w:w="236" w:type="dxa"/>
            <w:tcBorders>
              <w:top w:val="single" w:sz="4" w:space="0" w:color="FFFFFF" w:themeColor="background1"/>
              <w:left w:val="nil"/>
              <w:bottom w:val="single" w:sz="4" w:space="0" w:color="FFFFFF" w:themeColor="background1"/>
              <w:right w:val="single" w:sz="4" w:space="0" w:color="FFFFFF" w:themeColor="background1"/>
            </w:tcBorders>
            <w:shd w:val="clear" w:color="auto" w:fill="auto"/>
          </w:tcPr>
          <w:p w:rsidR="00905EA8" w:rsidRPr="00AA7A40" w:rsidRDefault="00905EA8" w:rsidP="00BF5B2D">
            <w:pPr>
              <w:pStyle w:val="Sansinterligne"/>
              <w:rPr>
                <w:sz w:val="24"/>
                <w:szCs w:val="24"/>
                <w:lang w:bidi="ar-MA"/>
              </w:rPr>
            </w:pPr>
          </w:p>
        </w:tc>
        <w:tc>
          <w:tcPr>
            <w:tcW w:w="221" w:type="dxa"/>
            <w:tcBorders>
              <w:top w:val="single" w:sz="4" w:space="0" w:color="FFFFFF" w:themeColor="background1"/>
              <w:left w:val="nil"/>
              <w:bottom w:val="single" w:sz="4" w:space="0" w:color="FFFFFF" w:themeColor="background1"/>
              <w:right w:val="single" w:sz="4" w:space="0" w:color="FFFFFF" w:themeColor="background1"/>
            </w:tcBorders>
            <w:shd w:val="clear" w:color="auto" w:fill="auto"/>
          </w:tcPr>
          <w:p w:rsidR="00905EA8" w:rsidRPr="00AA7A40" w:rsidRDefault="00905EA8" w:rsidP="00BF5B2D">
            <w:pPr>
              <w:pStyle w:val="Sansinterligne"/>
              <w:rPr>
                <w:sz w:val="24"/>
                <w:szCs w:val="24"/>
                <w:lang w:bidi="ar-MA"/>
              </w:rPr>
            </w:pPr>
          </w:p>
        </w:tc>
        <w:tc>
          <w:tcPr>
            <w:tcW w:w="221" w:type="dxa"/>
            <w:tcBorders>
              <w:top w:val="single" w:sz="4" w:space="0" w:color="FFFFFF" w:themeColor="background1"/>
              <w:left w:val="single" w:sz="4" w:space="0" w:color="FFFFFF" w:themeColor="background1"/>
              <w:bottom w:val="nil"/>
              <w:right w:val="nil"/>
            </w:tcBorders>
            <w:shd w:val="clear" w:color="auto" w:fill="auto"/>
          </w:tcPr>
          <w:p w:rsidR="00905EA8" w:rsidRPr="00AA7A40" w:rsidRDefault="00905EA8" w:rsidP="00BF5B2D">
            <w:pPr>
              <w:pStyle w:val="Sansinterligne"/>
              <w:rPr>
                <w:sz w:val="24"/>
                <w:szCs w:val="24"/>
                <w:lang w:bidi="ar-MA"/>
              </w:rPr>
            </w:pPr>
          </w:p>
        </w:tc>
      </w:tr>
    </w:tbl>
    <w:p w:rsidR="00905EA8" w:rsidRPr="00AA7A40" w:rsidRDefault="00905EA8" w:rsidP="00905EA8">
      <w:pPr>
        <w:tabs>
          <w:tab w:val="left" w:pos="1180"/>
        </w:tabs>
        <w:rPr>
          <w:sz w:val="24"/>
          <w:szCs w:val="24"/>
          <w:lang w:bidi="ar-MA"/>
        </w:rPr>
      </w:pPr>
    </w:p>
    <w:p w:rsidR="00905EA8" w:rsidRPr="00AA7A40" w:rsidRDefault="00905EA8" w:rsidP="00905EA8">
      <w:pPr>
        <w:tabs>
          <w:tab w:val="left" w:pos="1180"/>
        </w:tabs>
        <w:rPr>
          <w:sz w:val="24"/>
          <w:szCs w:val="24"/>
          <w:lang w:bidi="ar-MA"/>
        </w:rPr>
      </w:pPr>
    </w:p>
    <w:p w:rsidR="00905EA8" w:rsidRDefault="00905EA8" w:rsidP="00905EA8">
      <w:pPr>
        <w:spacing w:line="360" w:lineRule="auto"/>
        <w:ind w:firstLine="709"/>
        <w:jc w:val="both"/>
        <w:rPr>
          <w:rFonts w:asciiTheme="majorBidi" w:hAnsiTheme="majorBidi" w:cstheme="majorBidi"/>
          <w:sz w:val="24"/>
          <w:szCs w:val="24"/>
          <w:lang w:bidi="ar-MA"/>
        </w:rPr>
      </w:pPr>
      <w:r w:rsidRPr="00AA7A40">
        <w:rPr>
          <w:rFonts w:asciiTheme="majorBidi" w:hAnsiTheme="majorBidi" w:cstheme="majorBidi"/>
          <w:sz w:val="24"/>
          <w:szCs w:val="24"/>
          <w:lang w:bidi="ar-MA"/>
        </w:rPr>
        <w:t>Concernant la DCFM par tête, la région a affiché en 2012  une valeur de 19294 DH</w:t>
      </w:r>
      <w:r>
        <w:rPr>
          <w:rFonts w:asciiTheme="majorBidi" w:hAnsiTheme="majorBidi" w:cstheme="majorBidi"/>
          <w:sz w:val="24"/>
          <w:szCs w:val="24"/>
          <w:lang w:bidi="ar-MA"/>
        </w:rPr>
        <w:t>,</w:t>
      </w:r>
      <w:r w:rsidRPr="00AA7A40">
        <w:rPr>
          <w:rFonts w:asciiTheme="majorBidi" w:hAnsiTheme="majorBidi" w:cstheme="majorBidi"/>
          <w:sz w:val="24"/>
          <w:szCs w:val="24"/>
          <w:lang w:bidi="ar-MA"/>
        </w:rPr>
        <w:t xml:space="preserve"> supérieure à la moyenne nationale (15206 Dh) et en deuxième position après celle de la région de Rabat-Salé-Zemmour-Zaer</w:t>
      </w:r>
      <w:r>
        <w:rPr>
          <w:rFonts w:asciiTheme="majorBidi" w:hAnsiTheme="majorBidi" w:cstheme="majorBidi"/>
          <w:sz w:val="24"/>
          <w:szCs w:val="24"/>
          <w:lang w:bidi="ar-MA"/>
        </w:rPr>
        <w:t xml:space="preserve"> </w:t>
      </w:r>
      <w:r w:rsidRPr="00AA7A40">
        <w:rPr>
          <w:rFonts w:asciiTheme="majorBidi" w:hAnsiTheme="majorBidi" w:cstheme="majorBidi"/>
          <w:sz w:val="24"/>
          <w:szCs w:val="24"/>
          <w:lang w:bidi="ar-MA"/>
        </w:rPr>
        <w:t>(20469 Dh).</w:t>
      </w:r>
    </w:p>
    <w:p w:rsidR="00905EA8" w:rsidRPr="00AA7A40" w:rsidRDefault="00905EA8" w:rsidP="00905EA8">
      <w:pPr>
        <w:spacing w:line="360" w:lineRule="auto"/>
        <w:ind w:firstLine="709"/>
        <w:jc w:val="both"/>
        <w:rPr>
          <w:rFonts w:asciiTheme="majorBidi" w:hAnsiTheme="majorBidi" w:cstheme="majorBidi"/>
          <w:sz w:val="24"/>
          <w:szCs w:val="24"/>
          <w:lang w:bidi="ar-MA"/>
        </w:rPr>
      </w:pPr>
    </w:p>
    <w:p w:rsidR="00905EA8" w:rsidRPr="006E26CD" w:rsidRDefault="00905EA8" w:rsidP="00905EA8">
      <w:pPr>
        <w:spacing w:line="360" w:lineRule="auto"/>
        <w:ind w:firstLine="709"/>
        <w:jc w:val="both"/>
        <w:rPr>
          <w:rFonts w:asciiTheme="majorBidi" w:hAnsiTheme="majorBidi" w:cstheme="majorBidi"/>
          <w:sz w:val="24"/>
          <w:szCs w:val="24"/>
          <w:lang w:bidi="ar-MA"/>
        </w:rPr>
      </w:pPr>
      <w:r w:rsidRPr="00AA7A40">
        <w:rPr>
          <w:rFonts w:asciiTheme="majorBidi" w:hAnsiTheme="majorBidi" w:cstheme="majorBidi"/>
          <w:sz w:val="24"/>
          <w:szCs w:val="24"/>
          <w:lang w:bidi="ar-MA"/>
        </w:rPr>
        <w:t>Enfin, le rapport de la DCFM sur le PIB permet de dégager la propension moyenne à consommer pour la région  ou en d’autres termes la capacité d’épargne pour chaque région. Cette capacité d’épargne est inversement proportionnelle à ce rapport. Pour la région de Tanger-Tétouan ce ratio est évalué en 2012 à 8</w:t>
      </w:r>
      <w:r>
        <w:rPr>
          <w:rFonts w:asciiTheme="majorBidi" w:hAnsiTheme="majorBidi" w:cstheme="majorBidi"/>
          <w:sz w:val="24"/>
          <w:szCs w:val="24"/>
          <w:lang w:bidi="ar-MA"/>
        </w:rPr>
        <w:t>4</w:t>
      </w:r>
      <w:r w:rsidRPr="00AA7A40">
        <w:rPr>
          <w:rFonts w:asciiTheme="majorBidi" w:hAnsiTheme="majorBidi" w:cstheme="majorBidi"/>
          <w:sz w:val="24"/>
          <w:szCs w:val="24"/>
          <w:lang w:bidi="ar-MA"/>
        </w:rPr>
        <w:t>,</w:t>
      </w:r>
      <w:r>
        <w:rPr>
          <w:rFonts w:asciiTheme="majorBidi" w:hAnsiTheme="majorBidi" w:cstheme="majorBidi"/>
          <w:sz w:val="24"/>
          <w:szCs w:val="24"/>
          <w:lang w:bidi="ar-MA"/>
        </w:rPr>
        <w:t>4</w:t>
      </w:r>
      <w:r w:rsidRPr="00AA7A40">
        <w:rPr>
          <w:rFonts w:asciiTheme="majorBidi" w:hAnsiTheme="majorBidi" w:cstheme="majorBidi"/>
          <w:sz w:val="24"/>
          <w:szCs w:val="24"/>
          <w:lang w:bidi="ar-MA"/>
        </w:rPr>
        <w:t>%, contre 45,5</w:t>
      </w:r>
      <w:r>
        <w:rPr>
          <w:rFonts w:asciiTheme="majorBidi" w:hAnsiTheme="majorBidi" w:cstheme="majorBidi"/>
          <w:sz w:val="24"/>
          <w:szCs w:val="24"/>
          <w:lang w:bidi="ar-MA"/>
        </w:rPr>
        <w:t>%</w:t>
      </w:r>
      <w:r w:rsidRPr="00AA7A40">
        <w:rPr>
          <w:rFonts w:asciiTheme="majorBidi" w:hAnsiTheme="majorBidi" w:cstheme="majorBidi"/>
          <w:sz w:val="24"/>
          <w:szCs w:val="24"/>
          <w:lang w:bidi="ar-MA"/>
        </w:rPr>
        <w:t xml:space="preserve"> au niveau national, c'est-à-dire qu’au niveau de la région, </w:t>
      </w:r>
      <w:r>
        <w:rPr>
          <w:rFonts w:asciiTheme="majorBidi" w:hAnsiTheme="majorBidi" w:cstheme="majorBidi"/>
          <w:sz w:val="24"/>
          <w:szCs w:val="24"/>
          <w:lang w:bidi="ar-MA"/>
        </w:rPr>
        <w:t>84</w:t>
      </w:r>
      <w:r w:rsidRPr="00AA7A40">
        <w:rPr>
          <w:rFonts w:asciiTheme="majorBidi" w:hAnsiTheme="majorBidi" w:cstheme="majorBidi"/>
          <w:sz w:val="24"/>
          <w:szCs w:val="24"/>
          <w:lang w:bidi="ar-MA"/>
        </w:rPr>
        <w:t>,</w:t>
      </w:r>
      <w:r>
        <w:rPr>
          <w:rFonts w:asciiTheme="majorBidi" w:hAnsiTheme="majorBidi" w:cstheme="majorBidi"/>
          <w:sz w:val="24"/>
          <w:szCs w:val="24"/>
          <w:lang w:bidi="ar-MA"/>
        </w:rPr>
        <w:t>4</w:t>
      </w:r>
      <w:r w:rsidRPr="00AA7A40">
        <w:rPr>
          <w:rFonts w:asciiTheme="majorBidi" w:hAnsiTheme="majorBidi" w:cstheme="majorBidi"/>
          <w:sz w:val="24"/>
          <w:szCs w:val="24"/>
          <w:lang w:bidi="ar-MA"/>
        </w:rPr>
        <w:t>% du PIB est consacré à la consommation finale des</w:t>
      </w:r>
      <w:r>
        <w:rPr>
          <w:rFonts w:asciiTheme="majorBidi" w:hAnsiTheme="majorBidi" w:cstheme="majorBidi"/>
          <w:sz w:val="28"/>
          <w:szCs w:val="28"/>
          <w:lang w:bidi="ar-MA"/>
        </w:rPr>
        <w:t xml:space="preserve"> </w:t>
      </w:r>
      <w:r w:rsidRPr="006E26CD">
        <w:rPr>
          <w:rFonts w:asciiTheme="majorBidi" w:hAnsiTheme="majorBidi" w:cstheme="majorBidi"/>
          <w:sz w:val="24"/>
          <w:szCs w:val="24"/>
          <w:lang w:bidi="ar-MA"/>
        </w:rPr>
        <w:t>ménages,  alors que le potentiel d’épargne et par la suite d’investissement ne constitue que 1</w:t>
      </w:r>
      <w:r>
        <w:rPr>
          <w:rFonts w:asciiTheme="majorBidi" w:hAnsiTheme="majorBidi" w:cstheme="majorBidi"/>
          <w:sz w:val="24"/>
          <w:szCs w:val="24"/>
          <w:lang w:bidi="ar-MA"/>
        </w:rPr>
        <w:t>5</w:t>
      </w:r>
      <w:r w:rsidRPr="006E26CD">
        <w:rPr>
          <w:rFonts w:asciiTheme="majorBidi" w:hAnsiTheme="majorBidi" w:cstheme="majorBidi"/>
          <w:sz w:val="24"/>
          <w:szCs w:val="24"/>
          <w:lang w:bidi="ar-MA"/>
        </w:rPr>
        <w:t>,</w:t>
      </w:r>
      <w:r>
        <w:rPr>
          <w:rFonts w:asciiTheme="majorBidi" w:hAnsiTheme="majorBidi" w:cstheme="majorBidi"/>
          <w:sz w:val="24"/>
          <w:szCs w:val="24"/>
          <w:lang w:bidi="ar-MA"/>
        </w:rPr>
        <w:t>6</w:t>
      </w:r>
      <w:r w:rsidRPr="006E26CD">
        <w:rPr>
          <w:rFonts w:asciiTheme="majorBidi" w:hAnsiTheme="majorBidi" w:cstheme="majorBidi"/>
          <w:sz w:val="24"/>
          <w:szCs w:val="24"/>
          <w:lang w:bidi="ar-MA"/>
        </w:rPr>
        <w:t>%</w:t>
      </w:r>
      <w:r>
        <w:rPr>
          <w:rFonts w:asciiTheme="majorBidi" w:hAnsiTheme="majorBidi" w:cstheme="majorBidi"/>
          <w:sz w:val="24"/>
          <w:szCs w:val="24"/>
          <w:lang w:bidi="ar-MA"/>
        </w:rPr>
        <w:t xml:space="preserve"> du PIB</w:t>
      </w:r>
      <w:r w:rsidRPr="006E26CD">
        <w:rPr>
          <w:rFonts w:asciiTheme="majorBidi" w:hAnsiTheme="majorBidi" w:cstheme="majorBidi"/>
          <w:sz w:val="24"/>
          <w:szCs w:val="24"/>
          <w:lang w:bidi="ar-MA"/>
        </w:rPr>
        <w:t>.</w:t>
      </w:r>
    </w:p>
    <w:p w:rsidR="00905EA8" w:rsidRDefault="00905EA8" w:rsidP="00905EA8">
      <w:pPr>
        <w:tabs>
          <w:tab w:val="left" w:pos="1180"/>
        </w:tabs>
        <w:rPr>
          <w:lang w:bidi="ar-MA"/>
        </w:rPr>
      </w:pPr>
    </w:p>
    <w:p w:rsidR="00905EA8" w:rsidRDefault="00905EA8" w:rsidP="00905EA8">
      <w:pPr>
        <w:tabs>
          <w:tab w:val="left" w:pos="1180"/>
        </w:tabs>
        <w:rPr>
          <w:lang w:bidi="ar-MA"/>
        </w:rPr>
      </w:pPr>
    </w:p>
    <w:p w:rsidR="00905EA8" w:rsidRDefault="00905EA8" w:rsidP="00905EA8">
      <w:pPr>
        <w:tabs>
          <w:tab w:val="left" w:pos="1180"/>
        </w:tabs>
        <w:rPr>
          <w:lang w:bidi="ar-MA"/>
        </w:rPr>
      </w:pPr>
    </w:p>
    <w:p w:rsidR="00905EA8" w:rsidRDefault="00905EA8" w:rsidP="00905EA8">
      <w:pPr>
        <w:tabs>
          <w:tab w:val="left" w:pos="1180"/>
        </w:tabs>
        <w:rPr>
          <w:lang w:bidi="ar-MA"/>
        </w:rPr>
      </w:pPr>
    </w:p>
    <w:p w:rsidR="00905EA8" w:rsidRDefault="00905EA8" w:rsidP="00905EA8">
      <w:pPr>
        <w:tabs>
          <w:tab w:val="left" w:pos="1180"/>
        </w:tabs>
        <w:rPr>
          <w:lang w:bidi="ar-MA"/>
        </w:rPr>
      </w:pPr>
    </w:p>
    <w:p w:rsidR="00905EA8" w:rsidRDefault="00905EA8" w:rsidP="00905EA8">
      <w:pPr>
        <w:tabs>
          <w:tab w:val="left" w:pos="1180"/>
        </w:tabs>
        <w:rPr>
          <w:lang w:bidi="ar-MA"/>
        </w:rPr>
      </w:pPr>
    </w:p>
    <w:p w:rsidR="00905EA8" w:rsidRDefault="00905EA8" w:rsidP="00905EA8">
      <w:pPr>
        <w:tabs>
          <w:tab w:val="left" w:pos="1180"/>
        </w:tabs>
        <w:rPr>
          <w:lang w:bidi="ar-MA"/>
        </w:rPr>
      </w:pPr>
    </w:p>
    <w:p w:rsidR="00905EA8" w:rsidRDefault="00905EA8" w:rsidP="00905EA8">
      <w:pPr>
        <w:tabs>
          <w:tab w:val="left" w:pos="1180"/>
        </w:tabs>
        <w:rPr>
          <w:lang w:bidi="ar-MA"/>
        </w:rPr>
      </w:pPr>
    </w:p>
    <w:p w:rsidR="00905EA8" w:rsidRDefault="00905EA8" w:rsidP="00905EA8">
      <w:pPr>
        <w:tabs>
          <w:tab w:val="left" w:pos="1180"/>
        </w:tabs>
        <w:rPr>
          <w:lang w:bidi="ar-MA"/>
        </w:rPr>
      </w:pPr>
    </w:p>
    <w:p w:rsidR="00905EA8" w:rsidRDefault="00905EA8" w:rsidP="00905EA8">
      <w:pPr>
        <w:tabs>
          <w:tab w:val="left" w:pos="1180"/>
        </w:tabs>
        <w:rPr>
          <w:lang w:bidi="ar-MA"/>
        </w:rPr>
      </w:pPr>
    </w:p>
    <w:p w:rsidR="00905EA8" w:rsidRDefault="00905EA8" w:rsidP="00905EA8">
      <w:pPr>
        <w:tabs>
          <w:tab w:val="left" w:pos="1180"/>
        </w:tabs>
        <w:rPr>
          <w:lang w:bidi="ar-MA"/>
        </w:rPr>
      </w:pPr>
    </w:p>
    <w:p w:rsidR="00905EA8" w:rsidRDefault="00905EA8" w:rsidP="00905EA8">
      <w:pPr>
        <w:tabs>
          <w:tab w:val="left" w:pos="1180"/>
        </w:tabs>
        <w:rPr>
          <w:lang w:bidi="ar-MA"/>
        </w:rPr>
      </w:pPr>
    </w:p>
    <w:p w:rsidR="00905EA8" w:rsidRDefault="00905EA8" w:rsidP="00905EA8">
      <w:pPr>
        <w:tabs>
          <w:tab w:val="left" w:pos="1180"/>
        </w:tabs>
        <w:rPr>
          <w:lang w:bidi="ar-MA"/>
        </w:rPr>
      </w:pPr>
    </w:p>
    <w:tbl>
      <w:tblPr>
        <w:tblW w:w="5016" w:type="pct"/>
        <w:tblCellMar>
          <w:left w:w="70" w:type="dxa"/>
          <w:right w:w="70" w:type="dxa"/>
        </w:tblCellMar>
        <w:tblLook w:val="04A0"/>
      </w:tblPr>
      <w:tblGrid>
        <w:gridCol w:w="10366"/>
        <w:gridCol w:w="146"/>
        <w:gridCol w:w="146"/>
        <w:gridCol w:w="146"/>
        <w:gridCol w:w="146"/>
        <w:gridCol w:w="146"/>
        <w:gridCol w:w="525"/>
        <w:gridCol w:w="525"/>
      </w:tblGrid>
      <w:tr w:rsidR="00905EA8" w:rsidRPr="00C82585" w:rsidTr="00BF5B2D">
        <w:trPr>
          <w:trHeight w:val="338"/>
        </w:trPr>
        <w:tc>
          <w:tcPr>
            <w:tcW w:w="4213" w:type="pct"/>
            <w:tcBorders>
              <w:top w:val="nil"/>
              <w:left w:val="nil"/>
              <w:bottom w:val="nil"/>
              <w:right w:val="nil"/>
            </w:tcBorders>
            <w:shd w:val="clear" w:color="auto" w:fill="auto"/>
            <w:noWrap/>
            <w:vAlign w:val="bottom"/>
            <w:hideMark/>
          </w:tcPr>
          <w:p w:rsidR="00905EA8" w:rsidRPr="00934FEB" w:rsidRDefault="00905EA8" w:rsidP="00BF5B2D">
            <w:pPr>
              <w:pStyle w:val="Sansinterligne"/>
              <w:rPr>
                <w:rFonts w:asciiTheme="majorBidi" w:hAnsiTheme="majorBidi" w:cstheme="majorBidi"/>
                <w:b/>
                <w:bCs/>
                <w:sz w:val="32"/>
                <w:szCs w:val="32"/>
                <w:lang w:bidi="ar-MA"/>
              </w:rPr>
            </w:pPr>
            <w:r>
              <w:rPr>
                <w:rFonts w:asciiTheme="majorBidi" w:hAnsiTheme="majorBidi" w:cstheme="majorBidi"/>
                <w:b/>
                <w:bCs/>
                <w:lang w:bidi="ar-MA"/>
              </w:rPr>
              <w:lastRenderedPageBreak/>
              <w:t xml:space="preserve">                                                                </w:t>
            </w:r>
            <w:r w:rsidRPr="00934FEB">
              <w:rPr>
                <w:rFonts w:asciiTheme="majorBidi" w:hAnsiTheme="majorBidi" w:cstheme="majorBidi"/>
                <w:b/>
                <w:bCs/>
                <w:sz w:val="32"/>
                <w:szCs w:val="32"/>
                <w:lang w:bidi="ar-MA"/>
              </w:rPr>
              <w:t>Tableaux annexes</w:t>
            </w:r>
          </w:p>
          <w:p w:rsidR="00905EA8" w:rsidRPr="00C82585" w:rsidRDefault="00905EA8" w:rsidP="00BF5B2D">
            <w:pPr>
              <w:pStyle w:val="Sansinterligne"/>
              <w:rPr>
                <w:rFonts w:asciiTheme="majorBidi" w:hAnsiTheme="majorBidi" w:cstheme="majorBidi"/>
                <w:b/>
                <w:bCs/>
                <w:lang w:bidi="ar-MA"/>
              </w:rPr>
            </w:pPr>
          </w:p>
          <w:p w:rsidR="00905EA8" w:rsidRPr="00C82585" w:rsidRDefault="00905EA8" w:rsidP="00BF5B2D">
            <w:pPr>
              <w:pStyle w:val="Sansinterligne"/>
              <w:tabs>
                <w:tab w:val="left" w:pos="2000"/>
              </w:tabs>
              <w:rPr>
                <w:rFonts w:asciiTheme="majorBidi" w:hAnsiTheme="majorBidi" w:cstheme="majorBidi"/>
                <w:b/>
                <w:bCs/>
                <w:lang w:bidi="ar-MA"/>
              </w:rPr>
            </w:pPr>
            <w:r w:rsidRPr="00C82585">
              <w:rPr>
                <w:rFonts w:asciiTheme="majorBidi" w:hAnsiTheme="majorBidi" w:cstheme="majorBidi"/>
                <w:b/>
                <w:bCs/>
                <w:lang w:bidi="ar-MA"/>
              </w:rPr>
              <w:t xml:space="preserve">    </w:t>
            </w:r>
          </w:p>
          <w:p w:rsidR="00905EA8" w:rsidRDefault="00905EA8" w:rsidP="00BF5B2D">
            <w:pPr>
              <w:pStyle w:val="Sansinterligne"/>
              <w:tabs>
                <w:tab w:val="left" w:pos="2000"/>
              </w:tabs>
              <w:rPr>
                <w:rFonts w:asciiTheme="majorBidi" w:hAnsiTheme="majorBidi" w:cstheme="majorBidi"/>
                <w:b/>
                <w:bCs/>
                <w:sz w:val="24"/>
                <w:szCs w:val="24"/>
                <w:lang w:bidi="ar-MA"/>
              </w:rPr>
            </w:pPr>
            <w:r w:rsidRPr="00C82585">
              <w:rPr>
                <w:rFonts w:asciiTheme="majorBidi" w:hAnsiTheme="majorBidi" w:cstheme="majorBidi"/>
                <w:b/>
                <w:bCs/>
                <w:lang w:bidi="ar-MA"/>
              </w:rPr>
              <w:t xml:space="preserve">      </w:t>
            </w:r>
            <w:r w:rsidRPr="00C82585">
              <w:rPr>
                <w:rFonts w:asciiTheme="majorBidi" w:hAnsiTheme="majorBidi" w:cstheme="majorBidi"/>
                <w:b/>
                <w:bCs/>
                <w:sz w:val="24"/>
                <w:szCs w:val="24"/>
                <w:lang w:bidi="ar-MA"/>
              </w:rPr>
              <w:t>Evolution des grandeurs économiques entre 2007 et 2012 au niveau régional et national</w:t>
            </w:r>
          </w:p>
          <w:p w:rsidR="00905EA8" w:rsidRPr="00C82585" w:rsidRDefault="00905EA8" w:rsidP="00BF5B2D">
            <w:pPr>
              <w:pStyle w:val="Sansinterligne"/>
              <w:tabs>
                <w:tab w:val="left" w:pos="2000"/>
              </w:tabs>
              <w:rPr>
                <w:rFonts w:asciiTheme="majorBidi" w:hAnsiTheme="majorBidi" w:cstheme="majorBidi"/>
                <w:b/>
                <w:bCs/>
                <w:sz w:val="24"/>
                <w:szCs w:val="24"/>
                <w:lang w:bidi="ar-MA"/>
              </w:rPr>
            </w:pPr>
          </w:p>
          <w:tbl>
            <w:tblPr>
              <w:tblStyle w:val="Listemoyenne2-Accent1"/>
              <w:tblW w:w="10206" w:type="dxa"/>
              <w:tblLook w:val="04A0"/>
            </w:tblPr>
            <w:tblGrid>
              <w:gridCol w:w="3915"/>
              <w:gridCol w:w="1470"/>
              <w:gridCol w:w="1098"/>
              <w:gridCol w:w="1100"/>
              <w:gridCol w:w="1102"/>
              <w:gridCol w:w="1521"/>
            </w:tblGrid>
            <w:tr w:rsidR="00905EA8" w:rsidRPr="00C82585" w:rsidTr="00BF5B2D">
              <w:trPr>
                <w:cnfStyle w:val="100000000000"/>
              </w:trPr>
              <w:tc>
                <w:tcPr>
                  <w:cnfStyle w:val="001000000100"/>
                  <w:tcW w:w="1918" w:type="pct"/>
                  <w:noWrap/>
                </w:tcPr>
                <w:p w:rsidR="00905EA8" w:rsidRPr="00C82585" w:rsidRDefault="00905EA8" w:rsidP="00BF5B2D">
                  <w:pPr>
                    <w:rPr>
                      <w:rFonts w:asciiTheme="majorBidi" w:eastAsiaTheme="minorEastAsia" w:hAnsiTheme="majorBidi"/>
                      <w:color w:val="auto"/>
                      <w:sz w:val="20"/>
                      <w:szCs w:val="20"/>
                    </w:rPr>
                  </w:pPr>
                </w:p>
                <w:p w:rsidR="00905EA8" w:rsidRPr="00C82585" w:rsidRDefault="00905EA8" w:rsidP="00BF5B2D">
                  <w:pPr>
                    <w:rPr>
                      <w:rFonts w:asciiTheme="majorBidi" w:eastAsiaTheme="minorEastAsia" w:hAnsiTheme="majorBidi"/>
                      <w:sz w:val="20"/>
                      <w:szCs w:val="20"/>
                    </w:rPr>
                  </w:pPr>
                  <w:r w:rsidRPr="00C82585">
                    <w:rPr>
                      <w:rFonts w:asciiTheme="majorBidi" w:eastAsiaTheme="minorEastAsia" w:hAnsiTheme="majorBidi"/>
                      <w:b/>
                      <w:bCs/>
                      <w:sz w:val="20"/>
                      <w:szCs w:val="20"/>
                    </w:rPr>
                    <w:t>Produit intérieur brut (PIB</w:t>
                  </w:r>
                  <w:r w:rsidRPr="00C82585">
                    <w:rPr>
                      <w:rFonts w:asciiTheme="majorBidi" w:eastAsiaTheme="minorEastAsia" w:hAnsiTheme="majorBidi"/>
                      <w:sz w:val="20"/>
                      <w:szCs w:val="20"/>
                    </w:rPr>
                    <w:t>)</w:t>
                  </w:r>
                </w:p>
              </w:tc>
              <w:tc>
                <w:tcPr>
                  <w:tcW w:w="720" w:type="pct"/>
                </w:tcPr>
                <w:p w:rsidR="00905EA8" w:rsidRPr="00C82585" w:rsidRDefault="00905EA8" w:rsidP="00BF5B2D">
                  <w:pPr>
                    <w:cnfStyle w:val="100000000000"/>
                    <w:rPr>
                      <w:rFonts w:asciiTheme="majorBidi" w:eastAsiaTheme="minorEastAsia" w:hAnsiTheme="majorBidi"/>
                      <w:b/>
                      <w:bCs/>
                      <w:color w:val="auto"/>
                      <w:sz w:val="20"/>
                      <w:szCs w:val="20"/>
                    </w:rPr>
                  </w:pPr>
                </w:p>
                <w:p w:rsidR="00905EA8" w:rsidRPr="00C82585" w:rsidRDefault="00905EA8" w:rsidP="00BF5B2D">
                  <w:pPr>
                    <w:jc w:val="center"/>
                    <w:cnfStyle w:val="100000000000"/>
                    <w:rPr>
                      <w:rFonts w:asciiTheme="majorBidi" w:eastAsiaTheme="minorEastAsia" w:hAnsiTheme="majorBidi"/>
                      <w:b/>
                      <w:bCs/>
                      <w:color w:val="auto"/>
                      <w:sz w:val="20"/>
                      <w:szCs w:val="20"/>
                    </w:rPr>
                  </w:pPr>
                  <w:r w:rsidRPr="00C82585">
                    <w:rPr>
                      <w:rFonts w:asciiTheme="majorBidi" w:eastAsiaTheme="minorEastAsia" w:hAnsiTheme="majorBidi"/>
                      <w:b/>
                      <w:bCs/>
                      <w:color w:val="auto"/>
                      <w:sz w:val="20"/>
                      <w:szCs w:val="20"/>
                    </w:rPr>
                    <w:t>2007</w:t>
                  </w:r>
                </w:p>
              </w:tc>
              <w:tc>
                <w:tcPr>
                  <w:tcW w:w="538" w:type="pct"/>
                </w:tcPr>
                <w:p w:rsidR="00905EA8" w:rsidRPr="00C82585" w:rsidRDefault="00905EA8" w:rsidP="00BF5B2D">
                  <w:pPr>
                    <w:jc w:val="center"/>
                    <w:cnfStyle w:val="100000000000"/>
                    <w:rPr>
                      <w:rFonts w:asciiTheme="majorBidi" w:eastAsiaTheme="minorEastAsia" w:hAnsiTheme="majorBidi"/>
                      <w:b/>
                      <w:bCs/>
                      <w:color w:val="auto"/>
                      <w:sz w:val="20"/>
                      <w:szCs w:val="20"/>
                    </w:rPr>
                  </w:pPr>
                </w:p>
                <w:p w:rsidR="00905EA8" w:rsidRPr="00C82585" w:rsidRDefault="00905EA8" w:rsidP="00BF5B2D">
                  <w:pPr>
                    <w:jc w:val="center"/>
                    <w:cnfStyle w:val="100000000000"/>
                    <w:rPr>
                      <w:rFonts w:asciiTheme="majorBidi" w:eastAsiaTheme="minorEastAsia" w:hAnsiTheme="majorBidi"/>
                      <w:b/>
                      <w:bCs/>
                      <w:color w:val="auto"/>
                      <w:sz w:val="20"/>
                      <w:szCs w:val="20"/>
                    </w:rPr>
                  </w:pPr>
                  <w:r w:rsidRPr="00C82585">
                    <w:rPr>
                      <w:rFonts w:asciiTheme="majorBidi" w:eastAsiaTheme="minorEastAsia" w:hAnsiTheme="majorBidi"/>
                      <w:b/>
                      <w:bCs/>
                      <w:color w:val="auto"/>
                      <w:sz w:val="20"/>
                      <w:szCs w:val="20"/>
                    </w:rPr>
                    <w:t>2009</w:t>
                  </w:r>
                </w:p>
              </w:tc>
              <w:tc>
                <w:tcPr>
                  <w:tcW w:w="539" w:type="pct"/>
                </w:tcPr>
                <w:p w:rsidR="00905EA8" w:rsidRPr="00C82585" w:rsidRDefault="00905EA8" w:rsidP="00BF5B2D">
                  <w:pPr>
                    <w:jc w:val="center"/>
                    <w:cnfStyle w:val="100000000000"/>
                    <w:rPr>
                      <w:rFonts w:asciiTheme="majorBidi" w:eastAsiaTheme="minorEastAsia" w:hAnsiTheme="majorBidi"/>
                      <w:b/>
                      <w:bCs/>
                      <w:color w:val="auto"/>
                      <w:sz w:val="20"/>
                      <w:szCs w:val="20"/>
                    </w:rPr>
                  </w:pPr>
                </w:p>
                <w:p w:rsidR="00905EA8" w:rsidRPr="00C82585" w:rsidRDefault="00905EA8" w:rsidP="00BF5B2D">
                  <w:pPr>
                    <w:jc w:val="center"/>
                    <w:cnfStyle w:val="100000000000"/>
                    <w:rPr>
                      <w:rFonts w:asciiTheme="majorBidi" w:eastAsiaTheme="minorEastAsia" w:hAnsiTheme="majorBidi"/>
                      <w:b/>
                      <w:bCs/>
                      <w:color w:val="auto"/>
                      <w:sz w:val="20"/>
                      <w:szCs w:val="20"/>
                    </w:rPr>
                  </w:pPr>
                  <w:r w:rsidRPr="00C82585">
                    <w:rPr>
                      <w:rFonts w:asciiTheme="majorBidi" w:eastAsiaTheme="minorEastAsia" w:hAnsiTheme="majorBidi"/>
                      <w:b/>
                      <w:bCs/>
                      <w:color w:val="auto"/>
                      <w:sz w:val="20"/>
                      <w:szCs w:val="20"/>
                    </w:rPr>
                    <w:t>2010</w:t>
                  </w:r>
                </w:p>
              </w:tc>
              <w:tc>
                <w:tcPr>
                  <w:tcW w:w="540" w:type="pct"/>
                </w:tcPr>
                <w:p w:rsidR="00905EA8" w:rsidRPr="00C82585" w:rsidRDefault="00905EA8" w:rsidP="00BF5B2D">
                  <w:pPr>
                    <w:jc w:val="center"/>
                    <w:cnfStyle w:val="100000000000"/>
                    <w:rPr>
                      <w:rFonts w:asciiTheme="majorBidi" w:eastAsiaTheme="minorEastAsia" w:hAnsiTheme="majorBidi"/>
                      <w:b/>
                      <w:bCs/>
                      <w:color w:val="auto"/>
                      <w:sz w:val="20"/>
                      <w:szCs w:val="20"/>
                    </w:rPr>
                  </w:pPr>
                </w:p>
                <w:p w:rsidR="00905EA8" w:rsidRPr="00C82585" w:rsidRDefault="00905EA8" w:rsidP="00BF5B2D">
                  <w:pPr>
                    <w:jc w:val="center"/>
                    <w:cnfStyle w:val="100000000000"/>
                    <w:rPr>
                      <w:rFonts w:asciiTheme="majorBidi" w:eastAsiaTheme="minorEastAsia" w:hAnsiTheme="majorBidi"/>
                      <w:b/>
                      <w:bCs/>
                      <w:color w:val="auto"/>
                      <w:sz w:val="20"/>
                      <w:szCs w:val="20"/>
                    </w:rPr>
                  </w:pPr>
                  <w:r w:rsidRPr="00C82585">
                    <w:rPr>
                      <w:rFonts w:asciiTheme="majorBidi" w:eastAsiaTheme="minorEastAsia" w:hAnsiTheme="majorBidi"/>
                      <w:b/>
                      <w:bCs/>
                      <w:color w:val="auto"/>
                      <w:sz w:val="20"/>
                      <w:szCs w:val="20"/>
                    </w:rPr>
                    <w:t xml:space="preserve">     2011</w:t>
                  </w:r>
                </w:p>
              </w:tc>
              <w:tc>
                <w:tcPr>
                  <w:tcW w:w="745" w:type="pct"/>
                </w:tcPr>
                <w:p w:rsidR="00905EA8" w:rsidRPr="00C82585" w:rsidRDefault="00905EA8" w:rsidP="00BF5B2D">
                  <w:pPr>
                    <w:jc w:val="center"/>
                    <w:cnfStyle w:val="100000000000"/>
                    <w:rPr>
                      <w:rFonts w:asciiTheme="majorBidi" w:eastAsiaTheme="minorEastAsia" w:hAnsiTheme="majorBidi"/>
                      <w:b/>
                      <w:bCs/>
                      <w:color w:val="auto"/>
                      <w:sz w:val="20"/>
                      <w:szCs w:val="20"/>
                    </w:rPr>
                  </w:pPr>
                </w:p>
                <w:p w:rsidR="00905EA8" w:rsidRPr="00C82585" w:rsidRDefault="00905EA8" w:rsidP="00BF5B2D">
                  <w:pPr>
                    <w:cnfStyle w:val="100000000000"/>
                    <w:rPr>
                      <w:rFonts w:asciiTheme="majorBidi" w:eastAsiaTheme="minorEastAsia" w:hAnsiTheme="majorBidi"/>
                      <w:b/>
                      <w:bCs/>
                      <w:color w:val="auto"/>
                      <w:sz w:val="20"/>
                      <w:szCs w:val="20"/>
                    </w:rPr>
                  </w:pPr>
                  <w:r w:rsidRPr="00C82585">
                    <w:rPr>
                      <w:rFonts w:asciiTheme="majorBidi" w:eastAsiaTheme="minorEastAsia" w:hAnsiTheme="majorBidi"/>
                      <w:b/>
                      <w:bCs/>
                      <w:color w:val="auto"/>
                      <w:sz w:val="20"/>
                      <w:szCs w:val="20"/>
                    </w:rPr>
                    <w:t xml:space="preserve">     2012</w:t>
                  </w:r>
                </w:p>
              </w:tc>
            </w:tr>
            <w:tr w:rsidR="00905EA8" w:rsidRPr="00C82585" w:rsidTr="00BF5B2D">
              <w:trPr>
                <w:cnfStyle w:val="000000100000"/>
              </w:trPr>
              <w:tc>
                <w:tcPr>
                  <w:cnfStyle w:val="001000000000"/>
                  <w:tcW w:w="1918" w:type="pct"/>
                  <w:noWrap/>
                </w:tcPr>
                <w:p w:rsidR="00905EA8" w:rsidRPr="00C82585" w:rsidRDefault="00905EA8" w:rsidP="00BF5B2D">
                  <w:pPr>
                    <w:rPr>
                      <w:rFonts w:asciiTheme="majorBidi" w:eastAsiaTheme="minorEastAsia" w:hAnsiTheme="majorBidi"/>
                      <w:b/>
                      <w:bCs/>
                      <w:color w:val="auto"/>
                      <w:sz w:val="20"/>
                      <w:szCs w:val="20"/>
                    </w:rPr>
                  </w:pPr>
                </w:p>
                <w:p w:rsidR="00905EA8" w:rsidRPr="00C82585" w:rsidRDefault="00905EA8" w:rsidP="00BF5B2D">
                  <w:pPr>
                    <w:rPr>
                      <w:rFonts w:asciiTheme="majorBidi" w:eastAsiaTheme="minorEastAsia" w:hAnsiTheme="majorBidi"/>
                      <w:b/>
                      <w:bCs/>
                      <w:color w:val="auto"/>
                      <w:sz w:val="20"/>
                      <w:szCs w:val="20"/>
                    </w:rPr>
                  </w:pPr>
                  <w:r w:rsidRPr="00C82585">
                    <w:rPr>
                      <w:rFonts w:asciiTheme="majorBidi" w:eastAsiaTheme="minorEastAsia" w:hAnsiTheme="majorBidi"/>
                      <w:b/>
                      <w:bCs/>
                      <w:color w:val="auto"/>
                      <w:sz w:val="20"/>
                      <w:szCs w:val="20"/>
                    </w:rPr>
                    <w:t>Région de Tanger-Tétouan</w:t>
                  </w:r>
                </w:p>
              </w:tc>
              <w:tc>
                <w:tcPr>
                  <w:tcW w:w="720" w:type="pct"/>
                  <w:tcBorders>
                    <w:top w:val="single" w:sz="24" w:space="0" w:color="4F81BD" w:themeColor="accent1"/>
                  </w:tcBorders>
                  <w:shd w:val="clear" w:color="auto" w:fill="FFFFFF" w:themeFill="background1"/>
                </w:tcPr>
                <w:p w:rsidR="00905EA8" w:rsidRPr="00C82585" w:rsidRDefault="00905EA8" w:rsidP="00BF5B2D">
                  <w:pPr>
                    <w:jc w:val="center"/>
                    <w:cnfStyle w:val="000000100000"/>
                    <w:rPr>
                      <w:rFonts w:asciiTheme="majorBidi" w:eastAsiaTheme="minorEastAsia" w:hAnsiTheme="majorBidi"/>
                      <w:color w:val="auto"/>
                      <w:sz w:val="20"/>
                      <w:szCs w:val="20"/>
                    </w:rPr>
                  </w:pPr>
                </w:p>
              </w:tc>
              <w:tc>
                <w:tcPr>
                  <w:tcW w:w="538" w:type="pct"/>
                  <w:tcBorders>
                    <w:top w:val="single" w:sz="24" w:space="0" w:color="4F81BD" w:themeColor="accent1"/>
                  </w:tcBorders>
                  <w:shd w:val="clear" w:color="auto" w:fill="FFFFFF" w:themeFill="background1"/>
                </w:tcPr>
                <w:p w:rsidR="00905EA8" w:rsidRPr="00C82585" w:rsidRDefault="00905EA8" w:rsidP="00BF5B2D">
                  <w:pPr>
                    <w:jc w:val="center"/>
                    <w:cnfStyle w:val="000000100000"/>
                    <w:rPr>
                      <w:rFonts w:asciiTheme="majorBidi" w:eastAsiaTheme="minorEastAsia" w:hAnsiTheme="majorBidi"/>
                      <w:color w:val="auto"/>
                      <w:sz w:val="20"/>
                      <w:szCs w:val="20"/>
                    </w:rPr>
                  </w:pPr>
                </w:p>
              </w:tc>
              <w:tc>
                <w:tcPr>
                  <w:tcW w:w="539" w:type="pct"/>
                  <w:tcBorders>
                    <w:top w:val="single" w:sz="24" w:space="0" w:color="4F81BD" w:themeColor="accent1"/>
                  </w:tcBorders>
                  <w:shd w:val="clear" w:color="auto" w:fill="FFFFFF" w:themeFill="background1"/>
                </w:tcPr>
                <w:p w:rsidR="00905EA8" w:rsidRPr="00C82585" w:rsidRDefault="00905EA8" w:rsidP="00BF5B2D">
                  <w:pPr>
                    <w:jc w:val="center"/>
                    <w:cnfStyle w:val="000000100000"/>
                    <w:rPr>
                      <w:rFonts w:asciiTheme="majorBidi" w:eastAsiaTheme="minorEastAsia" w:hAnsiTheme="majorBidi"/>
                      <w:color w:val="auto"/>
                      <w:sz w:val="20"/>
                      <w:szCs w:val="20"/>
                    </w:rPr>
                  </w:pPr>
                </w:p>
              </w:tc>
              <w:tc>
                <w:tcPr>
                  <w:tcW w:w="540" w:type="pct"/>
                  <w:tcBorders>
                    <w:top w:val="single" w:sz="24" w:space="0" w:color="4F81BD" w:themeColor="accent1"/>
                  </w:tcBorders>
                  <w:shd w:val="clear" w:color="auto" w:fill="FFFFFF" w:themeFill="background1"/>
                </w:tcPr>
                <w:p w:rsidR="00905EA8" w:rsidRPr="00C82585" w:rsidRDefault="00905EA8" w:rsidP="00BF5B2D">
                  <w:pPr>
                    <w:jc w:val="center"/>
                    <w:cnfStyle w:val="000000100000"/>
                    <w:rPr>
                      <w:rFonts w:asciiTheme="majorBidi" w:eastAsiaTheme="minorEastAsia" w:hAnsiTheme="majorBidi"/>
                      <w:color w:val="auto"/>
                      <w:sz w:val="20"/>
                      <w:szCs w:val="20"/>
                    </w:rPr>
                  </w:pPr>
                </w:p>
              </w:tc>
              <w:tc>
                <w:tcPr>
                  <w:tcW w:w="745" w:type="pct"/>
                  <w:tcBorders>
                    <w:top w:val="single" w:sz="24" w:space="0" w:color="4F81BD" w:themeColor="accent1"/>
                  </w:tcBorders>
                  <w:shd w:val="clear" w:color="auto" w:fill="FFFFFF" w:themeFill="background1"/>
                </w:tcPr>
                <w:p w:rsidR="00905EA8" w:rsidRPr="00C82585" w:rsidRDefault="00905EA8" w:rsidP="00BF5B2D">
                  <w:pPr>
                    <w:jc w:val="center"/>
                    <w:cnfStyle w:val="000000100000"/>
                    <w:rPr>
                      <w:rFonts w:asciiTheme="majorBidi" w:eastAsiaTheme="minorEastAsia" w:hAnsiTheme="majorBidi"/>
                      <w:color w:val="auto"/>
                      <w:sz w:val="20"/>
                      <w:szCs w:val="20"/>
                    </w:rPr>
                  </w:pPr>
                </w:p>
              </w:tc>
            </w:tr>
            <w:tr w:rsidR="00905EA8" w:rsidRPr="00C82585" w:rsidTr="00BF5B2D">
              <w:tc>
                <w:tcPr>
                  <w:cnfStyle w:val="001000000000"/>
                  <w:tcW w:w="1918" w:type="pct"/>
                  <w:noWrap/>
                </w:tcPr>
                <w:p w:rsidR="00905EA8" w:rsidRPr="00C82585" w:rsidRDefault="00905EA8" w:rsidP="00905EA8">
                  <w:pPr>
                    <w:pStyle w:val="Paragraphedeliste"/>
                    <w:numPr>
                      <w:ilvl w:val="0"/>
                      <w:numId w:val="2"/>
                    </w:numPr>
                    <w:spacing w:line="240" w:lineRule="auto"/>
                    <w:rPr>
                      <w:rFonts w:asciiTheme="majorBidi" w:eastAsiaTheme="minorEastAsia" w:hAnsiTheme="majorBidi"/>
                      <w:b/>
                      <w:bCs/>
                      <w:sz w:val="20"/>
                      <w:szCs w:val="20"/>
                    </w:rPr>
                  </w:pPr>
                  <w:r w:rsidRPr="00C82585">
                    <w:rPr>
                      <w:rFonts w:asciiTheme="majorBidi" w:eastAsiaTheme="minorEastAsia" w:hAnsiTheme="majorBidi"/>
                      <w:b/>
                      <w:bCs/>
                      <w:sz w:val="20"/>
                      <w:szCs w:val="20"/>
                    </w:rPr>
                    <w:t>PIB (millions de Dh)</w:t>
                  </w:r>
                </w:p>
                <w:p w:rsidR="00905EA8" w:rsidRPr="00C82585" w:rsidRDefault="00905EA8" w:rsidP="00905EA8">
                  <w:pPr>
                    <w:pStyle w:val="Paragraphedeliste"/>
                    <w:numPr>
                      <w:ilvl w:val="0"/>
                      <w:numId w:val="2"/>
                    </w:numPr>
                    <w:spacing w:line="240" w:lineRule="auto"/>
                    <w:rPr>
                      <w:rFonts w:asciiTheme="majorBidi" w:eastAsiaTheme="minorEastAsia" w:hAnsiTheme="majorBidi"/>
                      <w:b/>
                      <w:bCs/>
                      <w:sz w:val="20"/>
                      <w:szCs w:val="20"/>
                    </w:rPr>
                  </w:pPr>
                  <w:r w:rsidRPr="00C82585">
                    <w:rPr>
                      <w:rFonts w:asciiTheme="majorBidi" w:eastAsiaTheme="minorEastAsia" w:hAnsiTheme="majorBidi"/>
                      <w:b/>
                      <w:bCs/>
                      <w:sz w:val="20"/>
                      <w:szCs w:val="20"/>
                    </w:rPr>
                    <w:t>Accroissement annuel (%)</w:t>
                  </w:r>
                </w:p>
              </w:tc>
              <w:tc>
                <w:tcPr>
                  <w:tcW w:w="720" w:type="pct"/>
                  <w:tcBorders>
                    <w:bottom w:val="nil"/>
                  </w:tcBorders>
                </w:tcPr>
                <w:p w:rsidR="00905EA8" w:rsidRPr="00C82585" w:rsidRDefault="00905EA8" w:rsidP="00BF5B2D">
                  <w:pPr>
                    <w:cnfStyle w:val="000000000000"/>
                    <w:rPr>
                      <w:rFonts w:asciiTheme="majorBidi" w:eastAsiaTheme="minorEastAsia" w:hAnsiTheme="majorBidi"/>
                      <w:b/>
                      <w:bCs/>
                      <w:color w:val="auto"/>
                      <w:sz w:val="20"/>
                      <w:szCs w:val="20"/>
                    </w:rPr>
                  </w:pPr>
                  <w:r w:rsidRPr="00C82585">
                    <w:rPr>
                      <w:rFonts w:asciiTheme="majorBidi" w:eastAsiaTheme="minorEastAsia" w:hAnsiTheme="majorBidi"/>
                      <w:b/>
                      <w:bCs/>
                      <w:color w:val="auto"/>
                      <w:sz w:val="20"/>
                      <w:szCs w:val="20"/>
                    </w:rPr>
                    <w:t xml:space="preserve">     54137</w:t>
                  </w:r>
                </w:p>
                <w:p w:rsidR="00905EA8" w:rsidRPr="00C82585" w:rsidRDefault="00905EA8" w:rsidP="00BF5B2D">
                  <w:pPr>
                    <w:cnfStyle w:val="000000000000"/>
                    <w:rPr>
                      <w:rFonts w:asciiTheme="majorBidi" w:eastAsiaTheme="minorEastAsia" w:hAnsiTheme="majorBidi"/>
                      <w:b/>
                      <w:bCs/>
                      <w:sz w:val="20"/>
                      <w:szCs w:val="20"/>
                    </w:rPr>
                  </w:pPr>
                  <w:r w:rsidRPr="00C82585">
                    <w:rPr>
                      <w:rFonts w:asciiTheme="majorBidi" w:eastAsiaTheme="minorEastAsia" w:hAnsiTheme="majorBidi"/>
                      <w:b/>
                      <w:bCs/>
                      <w:sz w:val="20"/>
                      <w:szCs w:val="20"/>
                    </w:rPr>
                    <w:t xml:space="preserve">     </w:t>
                  </w:r>
                  <w:r>
                    <w:rPr>
                      <w:rFonts w:asciiTheme="majorBidi" w:eastAsiaTheme="minorEastAsia" w:hAnsiTheme="majorBidi"/>
                      <w:b/>
                      <w:bCs/>
                      <w:sz w:val="20"/>
                      <w:szCs w:val="20"/>
                    </w:rPr>
                    <w:t xml:space="preserve">   </w:t>
                  </w:r>
                  <w:r w:rsidRPr="00C82585">
                    <w:rPr>
                      <w:rFonts w:asciiTheme="majorBidi" w:eastAsiaTheme="minorEastAsia" w:hAnsiTheme="majorBidi"/>
                      <w:b/>
                      <w:bCs/>
                      <w:sz w:val="20"/>
                      <w:szCs w:val="20"/>
                    </w:rPr>
                    <w:t>-</w:t>
                  </w:r>
                </w:p>
              </w:tc>
              <w:tc>
                <w:tcPr>
                  <w:tcW w:w="538" w:type="pct"/>
                  <w:tcBorders>
                    <w:bottom w:val="nil"/>
                  </w:tcBorders>
                </w:tcPr>
                <w:p w:rsidR="00905EA8" w:rsidRPr="00C82585" w:rsidRDefault="00905EA8" w:rsidP="00BF5B2D">
                  <w:pPr>
                    <w:cnfStyle w:val="000000000000"/>
                    <w:rPr>
                      <w:rFonts w:asciiTheme="majorBidi" w:eastAsiaTheme="minorEastAsia" w:hAnsiTheme="majorBidi"/>
                      <w:b/>
                      <w:bCs/>
                      <w:color w:val="auto"/>
                      <w:sz w:val="20"/>
                      <w:szCs w:val="20"/>
                    </w:rPr>
                  </w:pPr>
                  <w:r w:rsidRPr="00C82585">
                    <w:rPr>
                      <w:rFonts w:asciiTheme="majorBidi" w:eastAsiaTheme="minorEastAsia" w:hAnsiTheme="majorBidi"/>
                      <w:b/>
                      <w:bCs/>
                      <w:color w:val="auto"/>
                      <w:sz w:val="20"/>
                      <w:szCs w:val="20"/>
                    </w:rPr>
                    <w:t>60519</w:t>
                  </w:r>
                </w:p>
                <w:p w:rsidR="00905EA8" w:rsidRPr="00C82585" w:rsidRDefault="00905EA8" w:rsidP="00BF5B2D">
                  <w:pPr>
                    <w:cnfStyle w:val="000000000000"/>
                    <w:rPr>
                      <w:rFonts w:asciiTheme="majorBidi" w:eastAsiaTheme="minorEastAsia" w:hAnsiTheme="majorBidi"/>
                      <w:b/>
                      <w:bCs/>
                      <w:sz w:val="20"/>
                      <w:szCs w:val="20"/>
                    </w:rPr>
                  </w:pPr>
                  <w:r>
                    <w:rPr>
                      <w:rFonts w:asciiTheme="majorBidi" w:eastAsiaTheme="minorEastAsia" w:hAnsiTheme="majorBidi"/>
                      <w:b/>
                      <w:bCs/>
                      <w:sz w:val="20"/>
                      <w:szCs w:val="20"/>
                    </w:rPr>
                    <w:t xml:space="preserve">  </w:t>
                  </w:r>
                  <w:r w:rsidRPr="00C82585">
                    <w:rPr>
                      <w:rFonts w:asciiTheme="majorBidi" w:eastAsiaTheme="minorEastAsia" w:hAnsiTheme="majorBidi"/>
                      <w:b/>
                      <w:bCs/>
                      <w:sz w:val="20"/>
                      <w:szCs w:val="20"/>
                    </w:rPr>
                    <w:t xml:space="preserve"> 5,7</w:t>
                  </w:r>
                </w:p>
              </w:tc>
              <w:tc>
                <w:tcPr>
                  <w:tcW w:w="539" w:type="pct"/>
                  <w:tcBorders>
                    <w:bottom w:val="nil"/>
                  </w:tcBorders>
                </w:tcPr>
                <w:p w:rsidR="00905EA8" w:rsidRPr="00C82585" w:rsidRDefault="00905EA8" w:rsidP="00BF5B2D">
                  <w:pPr>
                    <w:jc w:val="center"/>
                    <w:cnfStyle w:val="000000000000"/>
                    <w:rPr>
                      <w:rFonts w:asciiTheme="majorBidi" w:eastAsiaTheme="minorEastAsia" w:hAnsiTheme="majorBidi"/>
                      <w:b/>
                      <w:bCs/>
                      <w:color w:val="auto"/>
                      <w:sz w:val="20"/>
                      <w:szCs w:val="20"/>
                    </w:rPr>
                  </w:pPr>
                  <w:r w:rsidRPr="00C82585">
                    <w:rPr>
                      <w:rFonts w:asciiTheme="majorBidi" w:eastAsiaTheme="minorEastAsia" w:hAnsiTheme="majorBidi"/>
                      <w:b/>
                      <w:bCs/>
                      <w:color w:val="auto"/>
                      <w:sz w:val="20"/>
                      <w:szCs w:val="20"/>
                    </w:rPr>
                    <w:t xml:space="preserve">  60752</w:t>
                  </w:r>
                </w:p>
                <w:p w:rsidR="00905EA8" w:rsidRPr="00C82585" w:rsidRDefault="00905EA8" w:rsidP="00BF5B2D">
                  <w:pPr>
                    <w:cnfStyle w:val="000000000000"/>
                    <w:rPr>
                      <w:rFonts w:asciiTheme="majorBidi" w:eastAsiaTheme="minorEastAsia" w:hAnsiTheme="majorBidi"/>
                      <w:b/>
                      <w:bCs/>
                      <w:sz w:val="20"/>
                      <w:szCs w:val="20"/>
                    </w:rPr>
                  </w:pPr>
                  <w:r w:rsidRPr="00C82585">
                    <w:rPr>
                      <w:rFonts w:asciiTheme="majorBidi" w:eastAsiaTheme="minorEastAsia" w:hAnsiTheme="majorBidi"/>
                      <w:b/>
                      <w:bCs/>
                      <w:sz w:val="20"/>
                      <w:szCs w:val="20"/>
                    </w:rPr>
                    <w:t xml:space="preserve">        0,4</w:t>
                  </w:r>
                </w:p>
              </w:tc>
              <w:tc>
                <w:tcPr>
                  <w:tcW w:w="540" w:type="pct"/>
                  <w:tcBorders>
                    <w:bottom w:val="nil"/>
                  </w:tcBorders>
                </w:tcPr>
                <w:p w:rsidR="00905EA8" w:rsidRPr="00C82585" w:rsidRDefault="00905EA8" w:rsidP="00BF5B2D">
                  <w:pPr>
                    <w:jc w:val="center"/>
                    <w:cnfStyle w:val="000000000000"/>
                    <w:rPr>
                      <w:rFonts w:asciiTheme="majorBidi" w:eastAsiaTheme="minorEastAsia" w:hAnsiTheme="majorBidi"/>
                      <w:b/>
                      <w:bCs/>
                      <w:color w:val="auto"/>
                      <w:sz w:val="20"/>
                      <w:szCs w:val="20"/>
                    </w:rPr>
                  </w:pPr>
                  <w:r w:rsidRPr="00C82585">
                    <w:rPr>
                      <w:rFonts w:asciiTheme="majorBidi" w:eastAsiaTheme="minorEastAsia" w:hAnsiTheme="majorBidi"/>
                      <w:b/>
                      <w:bCs/>
                      <w:color w:val="auto"/>
                      <w:sz w:val="20"/>
                      <w:szCs w:val="20"/>
                    </w:rPr>
                    <w:t xml:space="preserve">    63122</w:t>
                  </w:r>
                </w:p>
                <w:p w:rsidR="00905EA8" w:rsidRPr="00C82585" w:rsidRDefault="00905EA8" w:rsidP="00BF5B2D">
                  <w:pPr>
                    <w:cnfStyle w:val="000000000000"/>
                    <w:rPr>
                      <w:rFonts w:asciiTheme="majorBidi" w:eastAsiaTheme="minorEastAsia" w:hAnsiTheme="majorBidi"/>
                      <w:b/>
                      <w:bCs/>
                      <w:sz w:val="20"/>
                      <w:szCs w:val="20"/>
                    </w:rPr>
                  </w:pPr>
                  <w:r w:rsidRPr="00C82585">
                    <w:rPr>
                      <w:rFonts w:asciiTheme="majorBidi" w:eastAsiaTheme="minorEastAsia" w:hAnsiTheme="majorBidi"/>
                      <w:b/>
                      <w:bCs/>
                      <w:sz w:val="20"/>
                      <w:szCs w:val="20"/>
                    </w:rPr>
                    <w:t xml:space="preserve">       </w:t>
                  </w:r>
                  <w:r>
                    <w:rPr>
                      <w:rFonts w:asciiTheme="majorBidi" w:eastAsiaTheme="minorEastAsia" w:hAnsiTheme="majorBidi"/>
                      <w:b/>
                      <w:bCs/>
                      <w:sz w:val="20"/>
                      <w:szCs w:val="20"/>
                    </w:rPr>
                    <w:t xml:space="preserve"> </w:t>
                  </w:r>
                  <w:r w:rsidRPr="00C82585">
                    <w:rPr>
                      <w:rFonts w:asciiTheme="majorBidi" w:eastAsiaTheme="minorEastAsia" w:hAnsiTheme="majorBidi"/>
                      <w:b/>
                      <w:bCs/>
                      <w:sz w:val="20"/>
                      <w:szCs w:val="20"/>
                    </w:rPr>
                    <w:t xml:space="preserve"> 3,9</w:t>
                  </w:r>
                </w:p>
              </w:tc>
              <w:tc>
                <w:tcPr>
                  <w:tcW w:w="745" w:type="pct"/>
                  <w:tcBorders>
                    <w:bottom w:val="nil"/>
                  </w:tcBorders>
                </w:tcPr>
                <w:p w:rsidR="00905EA8" w:rsidRPr="00C82585" w:rsidRDefault="00905EA8" w:rsidP="00BF5B2D">
                  <w:pPr>
                    <w:cnfStyle w:val="000000000000"/>
                    <w:rPr>
                      <w:rFonts w:asciiTheme="majorBidi" w:eastAsiaTheme="minorEastAsia" w:hAnsiTheme="majorBidi"/>
                      <w:b/>
                      <w:bCs/>
                      <w:color w:val="auto"/>
                      <w:sz w:val="20"/>
                      <w:szCs w:val="20"/>
                    </w:rPr>
                  </w:pPr>
                  <w:r w:rsidRPr="00C82585">
                    <w:rPr>
                      <w:rFonts w:asciiTheme="majorBidi" w:eastAsiaTheme="minorEastAsia" w:hAnsiTheme="majorBidi"/>
                      <w:b/>
                      <w:bCs/>
                      <w:color w:val="auto"/>
                      <w:sz w:val="20"/>
                      <w:szCs w:val="20"/>
                    </w:rPr>
                    <w:t xml:space="preserve">     65718</w:t>
                  </w:r>
                </w:p>
                <w:p w:rsidR="00905EA8" w:rsidRPr="00C82585" w:rsidRDefault="00905EA8" w:rsidP="00BF5B2D">
                  <w:pPr>
                    <w:cnfStyle w:val="000000000000"/>
                    <w:rPr>
                      <w:rFonts w:asciiTheme="majorBidi" w:eastAsiaTheme="minorEastAsia" w:hAnsiTheme="majorBidi"/>
                      <w:b/>
                      <w:bCs/>
                      <w:sz w:val="20"/>
                      <w:szCs w:val="20"/>
                    </w:rPr>
                  </w:pPr>
                  <w:r w:rsidRPr="00C82585">
                    <w:rPr>
                      <w:rFonts w:asciiTheme="majorBidi" w:eastAsiaTheme="minorEastAsia" w:hAnsiTheme="majorBidi"/>
                      <w:b/>
                      <w:bCs/>
                      <w:sz w:val="20"/>
                      <w:szCs w:val="20"/>
                    </w:rPr>
                    <w:t xml:space="preserve">        4,1</w:t>
                  </w:r>
                </w:p>
              </w:tc>
            </w:tr>
            <w:tr w:rsidR="00905EA8" w:rsidRPr="00C82585" w:rsidTr="00BF5B2D">
              <w:trPr>
                <w:cnfStyle w:val="000000100000"/>
                <w:trHeight w:val="322"/>
              </w:trPr>
              <w:tc>
                <w:tcPr>
                  <w:cnfStyle w:val="001000000000"/>
                  <w:tcW w:w="1918" w:type="pct"/>
                  <w:noWrap/>
                </w:tcPr>
                <w:p w:rsidR="00905EA8" w:rsidRPr="00C82585" w:rsidRDefault="00905EA8" w:rsidP="00BF5B2D">
                  <w:pPr>
                    <w:rPr>
                      <w:rFonts w:asciiTheme="majorBidi" w:eastAsiaTheme="minorEastAsia" w:hAnsiTheme="majorBidi"/>
                      <w:b/>
                      <w:bCs/>
                      <w:color w:val="auto"/>
                      <w:sz w:val="20"/>
                      <w:szCs w:val="20"/>
                    </w:rPr>
                  </w:pPr>
                  <w:r w:rsidRPr="00C82585">
                    <w:rPr>
                      <w:rFonts w:asciiTheme="majorBidi" w:eastAsiaTheme="minorEastAsia" w:hAnsiTheme="majorBidi"/>
                      <w:b/>
                      <w:bCs/>
                      <w:color w:val="auto"/>
                      <w:sz w:val="20"/>
                      <w:szCs w:val="20"/>
                    </w:rPr>
                    <w:t xml:space="preserve">  </w:t>
                  </w:r>
                </w:p>
              </w:tc>
              <w:tc>
                <w:tcPr>
                  <w:tcW w:w="720" w:type="pct"/>
                  <w:shd w:val="clear" w:color="auto" w:fill="FFFFFF" w:themeFill="background1"/>
                </w:tcPr>
                <w:p w:rsidR="00905EA8" w:rsidRPr="00C82585" w:rsidRDefault="00905EA8" w:rsidP="00BF5B2D">
                  <w:pPr>
                    <w:jc w:val="center"/>
                    <w:cnfStyle w:val="000000100000"/>
                    <w:rPr>
                      <w:rFonts w:asciiTheme="majorBidi" w:eastAsiaTheme="minorEastAsia" w:hAnsiTheme="majorBidi"/>
                      <w:color w:val="auto"/>
                      <w:sz w:val="20"/>
                      <w:szCs w:val="20"/>
                    </w:rPr>
                  </w:pPr>
                </w:p>
              </w:tc>
              <w:tc>
                <w:tcPr>
                  <w:tcW w:w="538" w:type="pct"/>
                  <w:shd w:val="clear" w:color="auto" w:fill="FFFFFF" w:themeFill="background1"/>
                </w:tcPr>
                <w:p w:rsidR="00905EA8" w:rsidRPr="00C82585" w:rsidRDefault="00905EA8" w:rsidP="00BF5B2D">
                  <w:pPr>
                    <w:jc w:val="center"/>
                    <w:cnfStyle w:val="000000100000"/>
                    <w:rPr>
                      <w:rFonts w:asciiTheme="majorBidi" w:eastAsiaTheme="minorEastAsia" w:hAnsiTheme="majorBidi"/>
                      <w:color w:val="auto"/>
                      <w:sz w:val="20"/>
                      <w:szCs w:val="20"/>
                    </w:rPr>
                  </w:pPr>
                </w:p>
              </w:tc>
              <w:tc>
                <w:tcPr>
                  <w:tcW w:w="539" w:type="pct"/>
                  <w:shd w:val="clear" w:color="auto" w:fill="FFFFFF" w:themeFill="background1"/>
                </w:tcPr>
                <w:p w:rsidR="00905EA8" w:rsidRPr="00C82585" w:rsidRDefault="00905EA8" w:rsidP="00BF5B2D">
                  <w:pPr>
                    <w:jc w:val="center"/>
                    <w:cnfStyle w:val="000000100000"/>
                    <w:rPr>
                      <w:rFonts w:asciiTheme="majorBidi" w:eastAsiaTheme="minorEastAsia" w:hAnsiTheme="majorBidi"/>
                      <w:color w:val="auto"/>
                      <w:sz w:val="20"/>
                      <w:szCs w:val="20"/>
                    </w:rPr>
                  </w:pPr>
                </w:p>
              </w:tc>
              <w:tc>
                <w:tcPr>
                  <w:tcW w:w="540" w:type="pct"/>
                  <w:shd w:val="clear" w:color="auto" w:fill="FFFFFF" w:themeFill="background1"/>
                </w:tcPr>
                <w:p w:rsidR="00905EA8" w:rsidRPr="00C82585" w:rsidRDefault="00905EA8" w:rsidP="00BF5B2D">
                  <w:pPr>
                    <w:jc w:val="center"/>
                    <w:cnfStyle w:val="000000100000"/>
                    <w:rPr>
                      <w:rFonts w:asciiTheme="majorBidi" w:eastAsiaTheme="minorEastAsia" w:hAnsiTheme="majorBidi"/>
                      <w:color w:val="auto"/>
                      <w:sz w:val="20"/>
                      <w:szCs w:val="20"/>
                    </w:rPr>
                  </w:pPr>
                </w:p>
              </w:tc>
              <w:tc>
                <w:tcPr>
                  <w:tcW w:w="745" w:type="pct"/>
                  <w:shd w:val="clear" w:color="auto" w:fill="FFFFFF" w:themeFill="background1"/>
                </w:tcPr>
                <w:p w:rsidR="00905EA8" w:rsidRPr="00C82585" w:rsidRDefault="00905EA8" w:rsidP="00BF5B2D">
                  <w:pPr>
                    <w:jc w:val="center"/>
                    <w:cnfStyle w:val="000000100000"/>
                    <w:rPr>
                      <w:rFonts w:asciiTheme="majorBidi" w:eastAsiaTheme="minorEastAsia" w:hAnsiTheme="majorBidi"/>
                      <w:color w:val="auto"/>
                      <w:sz w:val="20"/>
                      <w:szCs w:val="20"/>
                    </w:rPr>
                  </w:pPr>
                </w:p>
              </w:tc>
            </w:tr>
            <w:tr w:rsidR="00905EA8" w:rsidRPr="00C82585" w:rsidTr="00BF5B2D">
              <w:tc>
                <w:tcPr>
                  <w:cnfStyle w:val="001000000000"/>
                  <w:tcW w:w="1918" w:type="pct"/>
                  <w:noWrap/>
                </w:tcPr>
                <w:p w:rsidR="00905EA8" w:rsidRPr="00C82585" w:rsidRDefault="00905EA8" w:rsidP="00BF5B2D">
                  <w:pPr>
                    <w:rPr>
                      <w:rFonts w:asciiTheme="majorBidi" w:eastAsiaTheme="minorEastAsia" w:hAnsiTheme="majorBidi"/>
                      <w:b/>
                      <w:bCs/>
                      <w:color w:val="auto"/>
                      <w:sz w:val="20"/>
                      <w:szCs w:val="20"/>
                    </w:rPr>
                  </w:pPr>
                  <w:r w:rsidRPr="00C82585">
                    <w:rPr>
                      <w:rFonts w:asciiTheme="majorBidi" w:eastAsiaTheme="minorEastAsia" w:hAnsiTheme="majorBidi"/>
                      <w:b/>
                      <w:bCs/>
                      <w:color w:val="auto"/>
                      <w:sz w:val="20"/>
                      <w:szCs w:val="20"/>
                    </w:rPr>
                    <w:t>Niveau national</w:t>
                  </w:r>
                </w:p>
                <w:p w:rsidR="00905EA8" w:rsidRPr="00C82585" w:rsidRDefault="00905EA8" w:rsidP="00905EA8">
                  <w:pPr>
                    <w:pStyle w:val="Paragraphedeliste"/>
                    <w:numPr>
                      <w:ilvl w:val="0"/>
                      <w:numId w:val="2"/>
                    </w:numPr>
                    <w:spacing w:line="240" w:lineRule="auto"/>
                    <w:rPr>
                      <w:rFonts w:asciiTheme="majorBidi" w:eastAsiaTheme="minorEastAsia" w:hAnsiTheme="majorBidi"/>
                      <w:b/>
                      <w:bCs/>
                      <w:sz w:val="20"/>
                      <w:szCs w:val="20"/>
                    </w:rPr>
                  </w:pPr>
                  <w:r w:rsidRPr="00C82585">
                    <w:rPr>
                      <w:rFonts w:asciiTheme="majorBidi" w:eastAsiaTheme="minorEastAsia" w:hAnsiTheme="majorBidi"/>
                      <w:b/>
                      <w:bCs/>
                      <w:sz w:val="20"/>
                      <w:szCs w:val="20"/>
                    </w:rPr>
                    <w:t>PIB (millions de Dh)</w:t>
                  </w:r>
                </w:p>
                <w:p w:rsidR="00905EA8" w:rsidRPr="00C82585" w:rsidRDefault="00905EA8" w:rsidP="00BF5B2D">
                  <w:pPr>
                    <w:rPr>
                      <w:rFonts w:asciiTheme="majorBidi" w:eastAsiaTheme="minorEastAsia" w:hAnsiTheme="majorBidi"/>
                      <w:b/>
                      <w:bCs/>
                      <w:color w:val="auto"/>
                      <w:sz w:val="20"/>
                      <w:szCs w:val="20"/>
                    </w:rPr>
                  </w:pPr>
                  <w:r w:rsidRPr="00C82585">
                    <w:rPr>
                      <w:rFonts w:asciiTheme="majorBidi" w:eastAsiaTheme="minorEastAsia" w:hAnsiTheme="majorBidi"/>
                      <w:b/>
                      <w:bCs/>
                      <w:sz w:val="20"/>
                      <w:szCs w:val="20"/>
                    </w:rPr>
                    <w:t xml:space="preserve">   -      Accroissement annuel (%)</w:t>
                  </w:r>
                </w:p>
              </w:tc>
              <w:tc>
                <w:tcPr>
                  <w:tcW w:w="720" w:type="pct"/>
                  <w:tcBorders>
                    <w:bottom w:val="nil"/>
                  </w:tcBorders>
                </w:tcPr>
                <w:p w:rsidR="00905EA8" w:rsidRPr="00C82585" w:rsidRDefault="00905EA8" w:rsidP="00BF5B2D">
                  <w:pPr>
                    <w:jc w:val="center"/>
                    <w:cnfStyle w:val="000000000000"/>
                    <w:rPr>
                      <w:rFonts w:asciiTheme="majorBidi" w:eastAsiaTheme="minorEastAsia" w:hAnsiTheme="majorBidi"/>
                      <w:b/>
                      <w:bCs/>
                      <w:color w:val="auto"/>
                      <w:sz w:val="20"/>
                      <w:szCs w:val="20"/>
                    </w:rPr>
                  </w:pPr>
                </w:p>
                <w:p w:rsidR="00905EA8" w:rsidRPr="00C82585" w:rsidRDefault="00905EA8" w:rsidP="00BF5B2D">
                  <w:pPr>
                    <w:cnfStyle w:val="000000000000"/>
                    <w:rPr>
                      <w:rFonts w:asciiTheme="majorBidi" w:eastAsiaTheme="minorEastAsia" w:hAnsiTheme="majorBidi"/>
                      <w:b/>
                      <w:bCs/>
                      <w:sz w:val="20"/>
                      <w:szCs w:val="20"/>
                    </w:rPr>
                  </w:pPr>
                  <w:r w:rsidRPr="00C82585">
                    <w:rPr>
                      <w:rFonts w:asciiTheme="majorBidi" w:eastAsiaTheme="minorEastAsia" w:hAnsiTheme="majorBidi"/>
                      <w:b/>
                      <w:bCs/>
                      <w:sz w:val="20"/>
                      <w:szCs w:val="20"/>
                    </w:rPr>
                    <w:t xml:space="preserve">   616254</w:t>
                  </w:r>
                </w:p>
                <w:p w:rsidR="00905EA8" w:rsidRPr="00C82585" w:rsidRDefault="00905EA8" w:rsidP="00BF5B2D">
                  <w:pPr>
                    <w:cnfStyle w:val="000000000000"/>
                    <w:rPr>
                      <w:rFonts w:asciiTheme="majorBidi" w:eastAsiaTheme="minorEastAsia" w:hAnsiTheme="majorBidi"/>
                      <w:b/>
                      <w:bCs/>
                      <w:sz w:val="20"/>
                      <w:szCs w:val="20"/>
                    </w:rPr>
                  </w:pPr>
                  <w:r w:rsidRPr="00C82585">
                    <w:rPr>
                      <w:rFonts w:asciiTheme="majorBidi" w:eastAsiaTheme="minorEastAsia" w:hAnsiTheme="majorBidi"/>
                      <w:b/>
                      <w:bCs/>
                      <w:sz w:val="20"/>
                      <w:szCs w:val="20"/>
                    </w:rPr>
                    <w:t xml:space="preserve">   </w:t>
                  </w:r>
                  <w:r>
                    <w:rPr>
                      <w:rFonts w:asciiTheme="majorBidi" w:eastAsiaTheme="minorEastAsia" w:hAnsiTheme="majorBidi"/>
                      <w:b/>
                      <w:bCs/>
                      <w:sz w:val="20"/>
                      <w:szCs w:val="20"/>
                    </w:rPr>
                    <w:t xml:space="preserve">  </w:t>
                  </w:r>
                  <w:r w:rsidRPr="00C82585">
                    <w:rPr>
                      <w:rFonts w:asciiTheme="majorBidi" w:eastAsiaTheme="minorEastAsia" w:hAnsiTheme="majorBidi"/>
                      <w:b/>
                      <w:bCs/>
                      <w:sz w:val="20"/>
                      <w:szCs w:val="20"/>
                    </w:rPr>
                    <w:t xml:space="preserve"> </w:t>
                  </w:r>
                  <w:r>
                    <w:rPr>
                      <w:rFonts w:asciiTheme="majorBidi" w:eastAsiaTheme="minorEastAsia" w:hAnsiTheme="majorBidi"/>
                      <w:b/>
                      <w:bCs/>
                      <w:sz w:val="20"/>
                      <w:szCs w:val="20"/>
                    </w:rPr>
                    <w:t xml:space="preserve"> </w:t>
                  </w:r>
                  <w:r w:rsidRPr="00C82585">
                    <w:rPr>
                      <w:rFonts w:asciiTheme="majorBidi" w:eastAsiaTheme="minorEastAsia" w:hAnsiTheme="majorBidi"/>
                      <w:b/>
                      <w:bCs/>
                      <w:sz w:val="20"/>
                      <w:szCs w:val="20"/>
                    </w:rPr>
                    <w:t xml:space="preserve"> -</w:t>
                  </w:r>
                </w:p>
              </w:tc>
              <w:tc>
                <w:tcPr>
                  <w:tcW w:w="538" w:type="pct"/>
                  <w:tcBorders>
                    <w:bottom w:val="nil"/>
                  </w:tcBorders>
                </w:tcPr>
                <w:p w:rsidR="00905EA8" w:rsidRPr="00C82585" w:rsidRDefault="00905EA8" w:rsidP="00BF5B2D">
                  <w:pPr>
                    <w:jc w:val="center"/>
                    <w:cnfStyle w:val="000000000000"/>
                    <w:rPr>
                      <w:rFonts w:asciiTheme="majorBidi" w:eastAsiaTheme="minorEastAsia" w:hAnsiTheme="majorBidi"/>
                      <w:b/>
                      <w:bCs/>
                      <w:color w:val="auto"/>
                      <w:sz w:val="20"/>
                      <w:szCs w:val="20"/>
                    </w:rPr>
                  </w:pPr>
                </w:p>
                <w:p w:rsidR="00905EA8" w:rsidRPr="00C82585" w:rsidRDefault="00905EA8" w:rsidP="00BF5B2D">
                  <w:pPr>
                    <w:cnfStyle w:val="000000000000"/>
                    <w:rPr>
                      <w:rFonts w:asciiTheme="majorBidi" w:eastAsiaTheme="minorEastAsia" w:hAnsiTheme="majorBidi"/>
                      <w:b/>
                      <w:bCs/>
                      <w:sz w:val="20"/>
                      <w:szCs w:val="20"/>
                    </w:rPr>
                  </w:pPr>
                  <w:r w:rsidRPr="00C82585">
                    <w:rPr>
                      <w:rFonts w:asciiTheme="majorBidi" w:eastAsiaTheme="minorEastAsia" w:hAnsiTheme="majorBidi"/>
                      <w:b/>
                      <w:bCs/>
                      <w:sz w:val="20"/>
                      <w:szCs w:val="20"/>
                    </w:rPr>
                    <w:t xml:space="preserve"> 732449</w:t>
                  </w:r>
                </w:p>
                <w:p w:rsidR="00905EA8" w:rsidRPr="00C82585" w:rsidRDefault="00905EA8" w:rsidP="00BF5B2D">
                  <w:pPr>
                    <w:cnfStyle w:val="000000000000"/>
                    <w:rPr>
                      <w:rFonts w:asciiTheme="majorBidi" w:eastAsiaTheme="minorEastAsia" w:hAnsiTheme="majorBidi"/>
                      <w:b/>
                      <w:bCs/>
                      <w:sz w:val="20"/>
                      <w:szCs w:val="20"/>
                    </w:rPr>
                  </w:pPr>
                  <w:r w:rsidRPr="00C82585">
                    <w:rPr>
                      <w:rFonts w:asciiTheme="majorBidi" w:eastAsiaTheme="minorEastAsia" w:hAnsiTheme="majorBidi"/>
                      <w:b/>
                      <w:bCs/>
                      <w:sz w:val="20"/>
                      <w:szCs w:val="20"/>
                    </w:rPr>
                    <w:t xml:space="preserve">    9,0</w:t>
                  </w:r>
                </w:p>
              </w:tc>
              <w:tc>
                <w:tcPr>
                  <w:tcW w:w="539" w:type="pct"/>
                  <w:tcBorders>
                    <w:bottom w:val="nil"/>
                  </w:tcBorders>
                </w:tcPr>
                <w:p w:rsidR="00905EA8" w:rsidRPr="00C82585" w:rsidRDefault="00905EA8" w:rsidP="00BF5B2D">
                  <w:pPr>
                    <w:jc w:val="center"/>
                    <w:cnfStyle w:val="000000000000"/>
                    <w:rPr>
                      <w:rFonts w:asciiTheme="majorBidi" w:eastAsiaTheme="minorEastAsia" w:hAnsiTheme="majorBidi"/>
                      <w:b/>
                      <w:bCs/>
                      <w:color w:val="auto"/>
                      <w:sz w:val="20"/>
                      <w:szCs w:val="20"/>
                    </w:rPr>
                  </w:pPr>
                </w:p>
                <w:p w:rsidR="00905EA8" w:rsidRPr="00C82585" w:rsidRDefault="00905EA8" w:rsidP="00BF5B2D">
                  <w:pPr>
                    <w:cnfStyle w:val="000000000000"/>
                    <w:rPr>
                      <w:rFonts w:asciiTheme="majorBidi" w:eastAsiaTheme="minorEastAsia" w:hAnsiTheme="majorBidi"/>
                      <w:b/>
                      <w:bCs/>
                      <w:sz w:val="20"/>
                      <w:szCs w:val="20"/>
                    </w:rPr>
                  </w:pPr>
                  <w:r w:rsidRPr="00C82585">
                    <w:rPr>
                      <w:rFonts w:asciiTheme="majorBidi" w:eastAsiaTheme="minorEastAsia" w:hAnsiTheme="majorBidi"/>
                      <w:b/>
                      <w:bCs/>
                      <w:sz w:val="20"/>
                      <w:szCs w:val="20"/>
                    </w:rPr>
                    <w:t xml:space="preserve">  764031</w:t>
                  </w:r>
                </w:p>
                <w:p w:rsidR="00905EA8" w:rsidRPr="00C82585" w:rsidRDefault="00905EA8" w:rsidP="00BF5B2D">
                  <w:pPr>
                    <w:cnfStyle w:val="000000000000"/>
                    <w:rPr>
                      <w:rFonts w:asciiTheme="majorBidi" w:eastAsiaTheme="minorEastAsia" w:hAnsiTheme="majorBidi"/>
                      <w:b/>
                      <w:bCs/>
                      <w:sz w:val="20"/>
                      <w:szCs w:val="20"/>
                    </w:rPr>
                  </w:pPr>
                  <w:r w:rsidRPr="00C82585">
                    <w:rPr>
                      <w:rFonts w:asciiTheme="majorBidi" w:eastAsiaTheme="minorEastAsia" w:hAnsiTheme="majorBidi"/>
                      <w:b/>
                      <w:bCs/>
                      <w:sz w:val="20"/>
                      <w:szCs w:val="20"/>
                    </w:rPr>
                    <w:t xml:space="preserve">   </w:t>
                  </w:r>
                  <w:r>
                    <w:rPr>
                      <w:rFonts w:asciiTheme="majorBidi" w:eastAsiaTheme="minorEastAsia" w:hAnsiTheme="majorBidi"/>
                      <w:b/>
                      <w:bCs/>
                      <w:sz w:val="20"/>
                      <w:szCs w:val="20"/>
                    </w:rPr>
                    <w:t xml:space="preserve">  </w:t>
                  </w:r>
                  <w:r w:rsidRPr="00C82585">
                    <w:rPr>
                      <w:rFonts w:asciiTheme="majorBidi" w:eastAsiaTheme="minorEastAsia" w:hAnsiTheme="majorBidi"/>
                      <w:b/>
                      <w:bCs/>
                      <w:sz w:val="20"/>
                      <w:szCs w:val="20"/>
                    </w:rPr>
                    <w:t>4,3</w:t>
                  </w:r>
                </w:p>
              </w:tc>
              <w:tc>
                <w:tcPr>
                  <w:tcW w:w="540" w:type="pct"/>
                  <w:tcBorders>
                    <w:bottom w:val="nil"/>
                  </w:tcBorders>
                </w:tcPr>
                <w:p w:rsidR="00905EA8" w:rsidRPr="00C82585" w:rsidRDefault="00905EA8" w:rsidP="00BF5B2D">
                  <w:pPr>
                    <w:jc w:val="center"/>
                    <w:cnfStyle w:val="000000000000"/>
                    <w:rPr>
                      <w:rFonts w:asciiTheme="majorBidi" w:eastAsiaTheme="minorEastAsia" w:hAnsiTheme="majorBidi"/>
                      <w:b/>
                      <w:bCs/>
                      <w:color w:val="auto"/>
                      <w:sz w:val="20"/>
                      <w:szCs w:val="20"/>
                    </w:rPr>
                  </w:pPr>
                </w:p>
                <w:p w:rsidR="00905EA8" w:rsidRPr="00C82585" w:rsidRDefault="00905EA8" w:rsidP="00BF5B2D">
                  <w:pPr>
                    <w:cnfStyle w:val="000000000000"/>
                    <w:rPr>
                      <w:rFonts w:asciiTheme="majorBidi" w:eastAsiaTheme="minorEastAsia" w:hAnsiTheme="majorBidi"/>
                      <w:b/>
                      <w:bCs/>
                      <w:sz w:val="20"/>
                      <w:szCs w:val="20"/>
                    </w:rPr>
                  </w:pPr>
                  <w:r w:rsidRPr="00C82585">
                    <w:rPr>
                      <w:rFonts w:asciiTheme="majorBidi" w:eastAsiaTheme="minorEastAsia" w:hAnsiTheme="majorBidi"/>
                      <w:b/>
                      <w:bCs/>
                      <w:sz w:val="20"/>
                      <w:szCs w:val="20"/>
                    </w:rPr>
                    <w:t xml:space="preserve">   802607</w:t>
                  </w:r>
                </w:p>
                <w:p w:rsidR="00905EA8" w:rsidRPr="00C82585" w:rsidRDefault="00905EA8" w:rsidP="00BF5B2D">
                  <w:pPr>
                    <w:cnfStyle w:val="000000000000"/>
                    <w:rPr>
                      <w:rFonts w:asciiTheme="majorBidi" w:eastAsiaTheme="minorEastAsia" w:hAnsiTheme="majorBidi"/>
                      <w:b/>
                      <w:bCs/>
                      <w:sz w:val="20"/>
                      <w:szCs w:val="20"/>
                    </w:rPr>
                  </w:pPr>
                  <w:r w:rsidRPr="00C82585">
                    <w:rPr>
                      <w:rFonts w:asciiTheme="majorBidi" w:eastAsiaTheme="minorEastAsia" w:hAnsiTheme="majorBidi"/>
                      <w:b/>
                      <w:bCs/>
                      <w:sz w:val="20"/>
                      <w:szCs w:val="20"/>
                    </w:rPr>
                    <w:t xml:space="preserve">         5</w:t>
                  </w:r>
                </w:p>
              </w:tc>
              <w:tc>
                <w:tcPr>
                  <w:tcW w:w="745" w:type="pct"/>
                  <w:tcBorders>
                    <w:bottom w:val="nil"/>
                  </w:tcBorders>
                </w:tcPr>
                <w:p w:rsidR="00905EA8" w:rsidRPr="00C82585" w:rsidRDefault="00905EA8" w:rsidP="00BF5B2D">
                  <w:pPr>
                    <w:cnfStyle w:val="000000000000"/>
                    <w:rPr>
                      <w:rFonts w:asciiTheme="majorBidi" w:eastAsiaTheme="minorEastAsia" w:hAnsiTheme="majorBidi"/>
                      <w:b/>
                      <w:bCs/>
                      <w:color w:val="auto"/>
                      <w:sz w:val="20"/>
                      <w:szCs w:val="20"/>
                    </w:rPr>
                  </w:pPr>
                </w:p>
                <w:p w:rsidR="00905EA8" w:rsidRPr="00C82585" w:rsidRDefault="00905EA8" w:rsidP="00BF5B2D">
                  <w:pPr>
                    <w:cnfStyle w:val="000000000000"/>
                    <w:rPr>
                      <w:rFonts w:asciiTheme="majorBidi" w:eastAsiaTheme="minorEastAsia" w:hAnsiTheme="majorBidi"/>
                      <w:b/>
                      <w:bCs/>
                      <w:sz w:val="20"/>
                      <w:szCs w:val="20"/>
                    </w:rPr>
                  </w:pPr>
                  <w:r w:rsidRPr="00C82585">
                    <w:rPr>
                      <w:rFonts w:asciiTheme="majorBidi" w:eastAsiaTheme="minorEastAsia" w:hAnsiTheme="majorBidi"/>
                      <w:b/>
                      <w:bCs/>
                      <w:sz w:val="20"/>
                      <w:szCs w:val="20"/>
                    </w:rPr>
                    <w:t xml:space="preserve">     827497</w:t>
                  </w:r>
                </w:p>
                <w:p w:rsidR="00905EA8" w:rsidRPr="00C82585" w:rsidRDefault="00905EA8" w:rsidP="00BF5B2D">
                  <w:pPr>
                    <w:cnfStyle w:val="000000000000"/>
                    <w:rPr>
                      <w:rFonts w:asciiTheme="majorBidi" w:eastAsiaTheme="minorEastAsia" w:hAnsiTheme="majorBidi"/>
                      <w:b/>
                      <w:bCs/>
                      <w:sz w:val="20"/>
                      <w:szCs w:val="20"/>
                    </w:rPr>
                  </w:pPr>
                  <w:r w:rsidRPr="00C82585">
                    <w:rPr>
                      <w:rFonts w:asciiTheme="majorBidi" w:eastAsiaTheme="minorEastAsia" w:hAnsiTheme="majorBidi"/>
                      <w:b/>
                      <w:bCs/>
                      <w:sz w:val="20"/>
                      <w:szCs w:val="20"/>
                    </w:rPr>
                    <w:t xml:space="preserve">         3,1</w:t>
                  </w:r>
                </w:p>
              </w:tc>
            </w:tr>
            <w:tr w:rsidR="00905EA8" w:rsidRPr="00C82585" w:rsidTr="00BF5B2D">
              <w:trPr>
                <w:cnfStyle w:val="000000100000"/>
                <w:trHeight w:val="100"/>
              </w:trPr>
              <w:tc>
                <w:tcPr>
                  <w:cnfStyle w:val="001000000000"/>
                  <w:tcW w:w="1918" w:type="pct"/>
                  <w:noWrap/>
                </w:tcPr>
                <w:p w:rsidR="00905EA8" w:rsidRPr="00C82585" w:rsidRDefault="00905EA8" w:rsidP="00BF5B2D">
                  <w:pPr>
                    <w:rPr>
                      <w:rFonts w:asciiTheme="majorBidi" w:eastAsiaTheme="minorEastAsia" w:hAnsiTheme="majorBidi"/>
                      <w:color w:val="auto"/>
                      <w:sz w:val="20"/>
                      <w:szCs w:val="20"/>
                    </w:rPr>
                  </w:pPr>
                </w:p>
              </w:tc>
              <w:tc>
                <w:tcPr>
                  <w:tcW w:w="720" w:type="pct"/>
                  <w:shd w:val="clear" w:color="auto" w:fill="FFFFFF" w:themeFill="background1"/>
                </w:tcPr>
                <w:p w:rsidR="00905EA8" w:rsidRPr="00C82585" w:rsidRDefault="00905EA8" w:rsidP="00BF5B2D">
                  <w:pPr>
                    <w:cnfStyle w:val="000000100000"/>
                    <w:rPr>
                      <w:rFonts w:asciiTheme="majorBidi" w:eastAsiaTheme="minorEastAsia" w:hAnsiTheme="majorBidi"/>
                      <w:b/>
                      <w:bCs/>
                      <w:color w:val="auto"/>
                      <w:sz w:val="20"/>
                      <w:szCs w:val="20"/>
                    </w:rPr>
                  </w:pPr>
                </w:p>
              </w:tc>
              <w:tc>
                <w:tcPr>
                  <w:tcW w:w="538" w:type="pct"/>
                  <w:shd w:val="clear" w:color="auto" w:fill="FFFFFF" w:themeFill="background1"/>
                </w:tcPr>
                <w:p w:rsidR="00905EA8" w:rsidRPr="00C82585" w:rsidRDefault="00905EA8" w:rsidP="00BF5B2D">
                  <w:pPr>
                    <w:jc w:val="center"/>
                    <w:cnfStyle w:val="000000100000"/>
                    <w:rPr>
                      <w:rFonts w:asciiTheme="majorBidi" w:eastAsiaTheme="minorEastAsia" w:hAnsiTheme="majorBidi"/>
                      <w:b/>
                      <w:bCs/>
                      <w:color w:val="auto"/>
                      <w:sz w:val="20"/>
                      <w:szCs w:val="20"/>
                    </w:rPr>
                  </w:pPr>
                </w:p>
              </w:tc>
              <w:tc>
                <w:tcPr>
                  <w:tcW w:w="539" w:type="pct"/>
                  <w:shd w:val="clear" w:color="auto" w:fill="FFFFFF" w:themeFill="background1"/>
                </w:tcPr>
                <w:p w:rsidR="00905EA8" w:rsidRPr="00C82585" w:rsidRDefault="00905EA8" w:rsidP="00BF5B2D">
                  <w:pPr>
                    <w:jc w:val="center"/>
                    <w:cnfStyle w:val="000000100000"/>
                    <w:rPr>
                      <w:rFonts w:asciiTheme="majorBidi" w:eastAsiaTheme="minorEastAsia" w:hAnsiTheme="majorBidi"/>
                      <w:b/>
                      <w:bCs/>
                      <w:color w:val="auto"/>
                      <w:sz w:val="20"/>
                      <w:szCs w:val="20"/>
                    </w:rPr>
                  </w:pPr>
                </w:p>
              </w:tc>
              <w:tc>
                <w:tcPr>
                  <w:tcW w:w="540" w:type="pct"/>
                  <w:shd w:val="clear" w:color="auto" w:fill="FFFFFF" w:themeFill="background1"/>
                </w:tcPr>
                <w:p w:rsidR="00905EA8" w:rsidRPr="00C82585" w:rsidRDefault="00905EA8" w:rsidP="00BF5B2D">
                  <w:pPr>
                    <w:jc w:val="center"/>
                    <w:cnfStyle w:val="000000100000"/>
                    <w:rPr>
                      <w:rFonts w:asciiTheme="majorBidi" w:eastAsiaTheme="minorEastAsia" w:hAnsiTheme="majorBidi"/>
                      <w:b/>
                      <w:bCs/>
                      <w:color w:val="auto"/>
                      <w:sz w:val="20"/>
                      <w:szCs w:val="20"/>
                    </w:rPr>
                  </w:pPr>
                </w:p>
              </w:tc>
              <w:tc>
                <w:tcPr>
                  <w:tcW w:w="745" w:type="pct"/>
                  <w:shd w:val="clear" w:color="auto" w:fill="FFFFFF" w:themeFill="background1"/>
                </w:tcPr>
                <w:p w:rsidR="00905EA8" w:rsidRPr="00C82585" w:rsidRDefault="00905EA8" w:rsidP="00BF5B2D">
                  <w:pPr>
                    <w:jc w:val="center"/>
                    <w:cnfStyle w:val="000000100000"/>
                    <w:rPr>
                      <w:rFonts w:asciiTheme="majorBidi" w:eastAsiaTheme="minorEastAsia" w:hAnsiTheme="majorBidi"/>
                      <w:b/>
                      <w:bCs/>
                      <w:color w:val="auto"/>
                      <w:sz w:val="20"/>
                      <w:szCs w:val="20"/>
                    </w:rPr>
                  </w:pPr>
                </w:p>
              </w:tc>
            </w:tr>
          </w:tbl>
          <w:p w:rsidR="00905EA8" w:rsidRPr="00C82585" w:rsidRDefault="00905EA8" w:rsidP="00BF5B2D">
            <w:pPr>
              <w:rPr>
                <w:rFonts w:asciiTheme="majorBidi" w:hAnsiTheme="majorBidi" w:cstheme="majorBidi"/>
                <w:color w:val="000000"/>
              </w:rPr>
            </w:pPr>
          </w:p>
          <w:p w:rsidR="00905EA8" w:rsidRPr="00C82585" w:rsidRDefault="00905EA8" w:rsidP="00BF5B2D">
            <w:pPr>
              <w:rPr>
                <w:rFonts w:asciiTheme="majorBidi" w:hAnsiTheme="majorBidi" w:cstheme="majorBidi"/>
                <w:color w:val="000000"/>
              </w:rPr>
            </w:pPr>
          </w:p>
          <w:p w:rsidR="00905EA8" w:rsidRPr="00C82585" w:rsidRDefault="00905EA8" w:rsidP="00BF5B2D">
            <w:pPr>
              <w:rPr>
                <w:rFonts w:asciiTheme="majorBidi" w:hAnsiTheme="majorBidi" w:cstheme="majorBidi"/>
                <w:color w:val="000000"/>
              </w:rPr>
            </w:pPr>
          </w:p>
          <w:tbl>
            <w:tblPr>
              <w:tblStyle w:val="Listemoyenne2-Accent1"/>
              <w:tblW w:w="10206" w:type="dxa"/>
              <w:tblLook w:val="04A0"/>
            </w:tblPr>
            <w:tblGrid>
              <w:gridCol w:w="3915"/>
              <w:gridCol w:w="1470"/>
              <w:gridCol w:w="1098"/>
              <w:gridCol w:w="1100"/>
              <w:gridCol w:w="1102"/>
              <w:gridCol w:w="1521"/>
            </w:tblGrid>
            <w:tr w:rsidR="00905EA8" w:rsidRPr="00C82585" w:rsidTr="00BF5B2D">
              <w:trPr>
                <w:cnfStyle w:val="100000000000"/>
              </w:trPr>
              <w:tc>
                <w:tcPr>
                  <w:cnfStyle w:val="001000000100"/>
                  <w:tcW w:w="1918" w:type="pct"/>
                  <w:noWrap/>
                </w:tcPr>
                <w:p w:rsidR="00905EA8" w:rsidRPr="00C82585" w:rsidRDefault="00905EA8" w:rsidP="00BF5B2D">
                  <w:pPr>
                    <w:rPr>
                      <w:rFonts w:asciiTheme="majorBidi" w:eastAsiaTheme="minorEastAsia" w:hAnsiTheme="majorBidi"/>
                      <w:b/>
                      <w:bCs/>
                      <w:sz w:val="20"/>
                      <w:szCs w:val="20"/>
                    </w:rPr>
                  </w:pPr>
                  <w:r w:rsidRPr="00C82585">
                    <w:rPr>
                      <w:rFonts w:asciiTheme="majorBidi" w:eastAsiaTheme="minorEastAsia" w:hAnsiTheme="majorBidi"/>
                      <w:b/>
                      <w:bCs/>
                      <w:sz w:val="20"/>
                      <w:szCs w:val="20"/>
                    </w:rPr>
                    <w:t>Dépenses de consommation finale</w:t>
                  </w:r>
                </w:p>
                <w:p w:rsidR="00905EA8" w:rsidRPr="00C82585" w:rsidRDefault="00905EA8" w:rsidP="00BF5B2D">
                  <w:pPr>
                    <w:rPr>
                      <w:rFonts w:asciiTheme="majorBidi" w:eastAsiaTheme="minorEastAsia" w:hAnsiTheme="majorBidi"/>
                      <w:sz w:val="20"/>
                      <w:szCs w:val="20"/>
                    </w:rPr>
                  </w:pPr>
                  <w:r w:rsidRPr="00C82585">
                    <w:rPr>
                      <w:rFonts w:asciiTheme="majorBidi" w:eastAsiaTheme="minorEastAsia" w:hAnsiTheme="majorBidi"/>
                      <w:b/>
                      <w:bCs/>
                      <w:sz w:val="20"/>
                      <w:szCs w:val="20"/>
                    </w:rPr>
                    <w:t xml:space="preserve">   des ménages (DCFM)</w:t>
                  </w:r>
                </w:p>
              </w:tc>
              <w:tc>
                <w:tcPr>
                  <w:tcW w:w="720" w:type="pct"/>
                </w:tcPr>
                <w:p w:rsidR="00905EA8" w:rsidRPr="00C82585" w:rsidRDefault="00905EA8" w:rsidP="00BF5B2D">
                  <w:pPr>
                    <w:cnfStyle w:val="100000000000"/>
                    <w:rPr>
                      <w:rFonts w:asciiTheme="majorBidi" w:eastAsiaTheme="minorEastAsia" w:hAnsiTheme="majorBidi"/>
                      <w:b/>
                      <w:bCs/>
                      <w:color w:val="auto"/>
                      <w:sz w:val="20"/>
                      <w:szCs w:val="20"/>
                    </w:rPr>
                  </w:pPr>
                </w:p>
                <w:p w:rsidR="00905EA8" w:rsidRPr="00C82585" w:rsidRDefault="00905EA8" w:rsidP="00BF5B2D">
                  <w:pPr>
                    <w:jc w:val="center"/>
                    <w:cnfStyle w:val="100000000000"/>
                    <w:rPr>
                      <w:rFonts w:asciiTheme="majorBidi" w:eastAsiaTheme="minorEastAsia" w:hAnsiTheme="majorBidi"/>
                      <w:b/>
                      <w:bCs/>
                      <w:color w:val="auto"/>
                      <w:sz w:val="20"/>
                      <w:szCs w:val="20"/>
                    </w:rPr>
                  </w:pPr>
                  <w:r w:rsidRPr="00C82585">
                    <w:rPr>
                      <w:rFonts w:asciiTheme="majorBidi" w:eastAsiaTheme="minorEastAsia" w:hAnsiTheme="majorBidi"/>
                      <w:b/>
                      <w:bCs/>
                      <w:color w:val="auto"/>
                      <w:sz w:val="20"/>
                      <w:szCs w:val="20"/>
                    </w:rPr>
                    <w:t>2007</w:t>
                  </w:r>
                </w:p>
              </w:tc>
              <w:tc>
                <w:tcPr>
                  <w:tcW w:w="538" w:type="pct"/>
                </w:tcPr>
                <w:p w:rsidR="00905EA8" w:rsidRPr="00C82585" w:rsidRDefault="00905EA8" w:rsidP="00BF5B2D">
                  <w:pPr>
                    <w:jc w:val="center"/>
                    <w:cnfStyle w:val="100000000000"/>
                    <w:rPr>
                      <w:rFonts w:asciiTheme="majorBidi" w:eastAsiaTheme="minorEastAsia" w:hAnsiTheme="majorBidi"/>
                      <w:b/>
                      <w:bCs/>
                      <w:color w:val="auto"/>
                      <w:sz w:val="20"/>
                      <w:szCs w:val="20"/>
                    </w:rPr>
                  </w:pPr>
                </w:p>
                <w:p w:rsidR="00905EA8" w:rsidRPr="00C82585" w:rsidRDefault="00905EA8" w:rsidP="00BF5B2D">
                  <w:pPr>
                    <w:cnfStyle w:val="100000000000"/>
                    <w:rPr>
                      <w:rFonts w:asciiTheme="majorBidi" w:eastAsiaTheme="minorEastAsia" w:hAnsiTheme="majorBidi"/>
                      <w:b/>
                      <w:bCs/>
                      <w:color w:val="auto"/>
                      <w:sz w:val="20"/>
                      <w:szCs w:val="20"/>
                    </w:rPr>
                  </w:pPr>
                  <w:r w:rsidRPr="00C82585">
                    <w:rPr>
                      <w:rFonts w:asciiTheme="majorBidi" w:eastAsiaTheme="minorEastAsia" w:hAnsiTheme="majorBidi"/>
                      <w:b/>
                      <w:bCs/>
                      <w:color w:val="auto"/>
                      <w:sz w:val="20"/>
                      <w:szCs w:val="20"/>
                    </w:rPr>
                    <w:t xml:space="preserve"> 2009</w:t>
                  </w:r>
                </w:p>
              </w:tc>
              <w:tc>
                <w:tcPr>
                  <w:tcW w:w="539" w:type="pct"/>
                </w:tcPr>
                <w:p w:rsidR="00905EA8" w:rsidRPr="00C82585" w:rsidRDefault="00905EA8" w:rsidP="00BF5B2D">
                  <w:pPr>
                    <w:jc w:val="center"/>
                    <w:cnfStyle w:val="100000000000"/>
                    <w:rPr>
                      <w:rFonts w:asciiTheme="majorBidi" w:eastAsiaTheme="minorEastAsia" w:hAnsiTheme="majorBidi"/>
                      <w:b/>
                      <w:bCs/>
                      <w:color w:val="auto"/>
                      <w:sz w:val="20"/>
                      <w:szCs w:val="20"/>
                    </w:rPr>
                  </w:pPr>
                </w:p>
                <w:p w:rsidR="00905EA8" w:rsidRPr="00C82585" w:rsidRDefault="00905EA8" w:rsidP="00BF5B2D">
                  <w:pPr>
                    <w:jc w:val="center"/>
                    <w:cnfStyle w:val="100000000000"/>
                    <w:rPr>
                      <w:rFonts w:asciiTheme="majorBidi" w:eastAsiaTheme="minorEastAsia" w:hAnsiTheme="majorBidi"/>
                      <w:b/>
                      <w:bCs/>
                      <w:color w:val="auto"/>
                      <w:sz w:val="20"/>
                      <w:szCs w:val="20"/>
                    </w:rPr>
                  </w:pPr>
                  <w:r w:rsidRPr="00C82585">
                    <w:rPr>
                      <w:rFonts w:asciiTheme="majorBidi" w:eastAsiaTheme="minorEastAsia" w:hAnsiTheme="majorBidi"/>
                      <w:b/>
                      <w:bCs/>
                      <w:color w:val="auto"/>
                      <w:sz w:val="20"/>
                      <w:szCs w:val="20"/>
                    </w:rPr>
                    <w:t>2010</w:t>
                  </w:r>
                </w:p>
              </w:tc>
              <w:tc>
                <w:tcPr>
                  <w:tcW w:w="540" w:type="pct"/>
                </w:tcPr>
                <w:p w:rsidR="00905EA8" w:rsidRPr="00C82585" w:rsidRDefault="00905EA8" w:rsidP="00BF5B2D">
                  <w:pPr>
                    <w:jc w:val="center"/>
                    <w:cnfStyle w:val="100000000000"/>
                    <w:rPr>
                      <w:rFonts w:asciiTheme="majorBidi" w:eastAsiaTheme="minorEastAsia" w:hAnsiTheme="majorBidi"/>
                      <w:b/>
                      <w:bCs/>
                      <w:color w:val="auto"/>
                      <w:sz w:val="20"/>
                      <w:szCs w:val="20"/>
                    </w:rPr>
                  </w:pPr>
                </w:p>
                <w:p w:rsidR="00905EA8" w:rsidRPr="00C82585" w:rsidRDefault="00905EA8" w:rsidP="00BF5B2D">
                  <w:pPr>
                    <w:jc w:val="center"/>
                    <w:cnfStyle w:val="100000000000"/>
                    <w:rPr>
                      <w:rFonts w:asciiTheme="majorBidi" w:eastAsiaTheme="minorEastAsia" w:hAnsiTheme="majorBidi"/>
                      <w:b/>
                      <w:bCs/>
                      <w:color w:val="auto"/>
                      <w:sz w:val="20"/>
                      <w:szCs w:val="20"/>
                    </w:rPr>
                  </w:pPr>
                  <w:r w:rsidRPr="00C82585">
                    <w:rPr>
                      <w:rFonts w:asciiTheme="majorBidi" w:eastAsiaTheme="minorEastAsia" w:hAnsiTheme="majorBidi"/>
                      <w:b/>
                      <w:bCs/>
                      <w:color w:val="auto"/>
                      <w:sz w:val="20"/>
                      <w:szCs w:val="20"/>
                    </w:rPr>
                    <w:t xml:space="preserve">     2011</w:t>
                  </w:r>
                </w:p>
              </w:tc>
              <w:tc>
                <w:tcPr>
                  <w:tcW w:w="745" w:type="pct"/>
                </w:tcPr>
                <w:p w:rsidR="00905EA8" w:rsidRPr="00C82585" w:rsidRDefault="00905EA8" w:rsidP="00BF5B2D">
                  <w:pPr>
                    <w:jc w:val="center"/>
                    <w:cnfStyle w:val="100000000000"/>
                    <w:rPr>
                      <w:rFonts w:asciiTheme="majorBidi" w:eastAsiaTheme="minorEastAsia" w:hAnsiTheme="majorBidi"/>
                      <w:b/>
                      <w:bCs/>
                      <w:color w:val="auto"/>
                      <w:sz w:val="20"/>
                      <w:szCs w:val="20"/>
                    </w:rPr>
                  </w:pPr>
                </w:p>
                <w:p w:rsidR="00905EA8" w:rsidRPr="00C82585" w:rsidRDefault="00905EA8" w:rsidP="00BF5B2D">
                  <w:pPr>
                    <w:cnfStyle w:val="100000000000"/>
                    <w:rPr>
                      <w:rFonts w:asciiTheme="majorBidi" w:eastAsiaTheme="minorEastAsia" w:hAnsiTheme="majorBidi"/>
                      <w:b/>
                      <w:bCs/>
                      <w:color w:val="auto"/>
                      <w:sz w:val="20"/>
                      <w:szCs w:val="20"/>
                    </w:rPr>
                  </w:pPr>
                  <w:r w:rsidRPr="00C82585">
                    <w:rPr>
                      <w:rFonts w:asciiTheme="majorBidi" w:eastAsiaTheme="minorEastAsia" w:hAnsiTheme="majorBidi"/>
                      <w:b/>
                      <w:bCs/>
                      <w:color w:val="auto"/>
                      <w:sz w:val="20"/>
                      <w:szCs w:val="20"/>
                    </w:rPr>
                    <w:t xml:space="preserve">      2012</w:t>
                  </w:r>
                </w:p>
              </w:tc>
            </w:tr>
            <w:tr w:rsidR="00905EA8" w:rsidRPr="00C82585" w:rsidTr="00BF5B2D">
              <w:trPr>
                <w:cnfStyle w:val="000000100000"/>
              </w:trPr>
              <w:tc>
                <w:tcPr>
                  <w:cnfStyle w:val="001000000000"/>
                  <w:tcW w:w="1918" w:type="pct"/>
                  <w:noWrap/>
                </w:tcPr>
                <w:p w:rsidR="00905EA8" w:rsidRPr="00C82585" w:rsidRDefault="00905EA8" w:rsidP="00BF5B2D">
                  <w:pPr>
                    <w:rPr>
                      <w:rFonts w:asciiTheme="majorBidi" w:eastAsiaTheme="minorEastAsia" w:hAnsiTheme="majorBidi"/>
                      <w:b/>
                      <w:bCs/>
                      <w:color w:val="auto"/>
                      <w:sz w:val="20"/>
                      <w:szCs w:val="20"/>
                    </w:rPr>
                  </w:pPr>
                </w:p>
                <w:p w:rsidR="00905EA8" w:rsidRPr="00C82585" w:rsidRDefault="00905EA8" w:rsidP="00BF5B2D">
                  <w:pPr>
                    <w:rPr>
                      <w:rFonts w:asciiTheme="majorBidi" w:eastAsiaTheme="minorEastAsia" w:hAnsiTheme="majorBidi"/>
                      <w:b/>
                      <w:bCs/>
                      <w:color w:val="auto"/>
                      <w:sz w:val="20"/>
                      <w:szCs w:val="20"/>
                    </w:rPr>
                  </w:pPr>
                  <w:r w:rsidRPr="00C82585">
                    <w:rPr>
                      <w:rFonts w:asciiTheme="majorBidi" w:eastAsiaTheme="minorEastAsia" w:hAnsiTheme="majorBidi"/>
                      <w:b/>
                      <w:bCs/>
                      <w:color w:val="auto"/>
                      <w:sz w:val="20"/>
                      <w:szCs w:val="20"/>
                    </w:rPr>
                    <w:t>Région de Tanger-Tétouan</w:t>
                  </w:r>
                </w:p>
              </w:tc>
              <w:tc>
                <w:tcPr>
                  <w:tcW w:w="720" w:type="pct"/>
                  <w:tcBorders>
                    <w:top w:val="single" w:sz="24" w:space="0" w:color="4F81BD" w:themeColor="accent1"/>
                  </w:tcBorders>
                  <w:shd w:val="clear" w:color="auto" w:fill="FFFFFF" w:themeFill="background1"/>
                </w:tcPr>
                <w:p w:rsidR="00905EA8" w:rsidRPr="00C82585" w:rsidRDefault="00905EA8" w:rsidP="00BF5B2D">
                  <w:pPr>
                    <w:jc w:val="center"/>
                    <w:cnfStyle w:val="000000100000"/>
                    <w:rPr>
                      <w:rFonts w:asciiTheme="majorBidi" w:eastAsiaTheme="minorEastAsia" w:hAnsiTheme="majorBidi"/>
                      <w:color w:val="auto"/>
                      <w:sz w:val="20"/>
                      <w:szCs w:val="20"/>
                    </w:rPr>
                  </w:pPr>
                </w:p>
              </w:tc>
              <w:tc>
                <w:tcPr>
                  <w:tcW w:w="538" w:type="pct"/>
                  <w:tcBorders>
                    <w:top w:val="single" w:sz="24" w:space="0" w:color="4F81BD" w:themeColor="accent1"/>
                  </w:tcBorders>
                  <w:shd w:val="clear" w:color="auto" w:fill="FFFFFF" w:themeFill="background1"/>
                </w:tcPr>
                <w:p w:rsidR="00905EA8" w:rsidRPr="00C82585" w:rsidRDefault="00905EA8" w:rsidP="00BF5B2D">
                  <w:pPr>
                    <w:jc w:val="center"/>
                    <w:cnfStyle w:val="000000100000"/>
                    <w:rPr>
                      <w:rFonts w:asciiTheme="majorBidi" w:eastAsiaTheme="minorEastAsia" w:hAnsiTheme="majorBidi"/>
                      <w:color w:val="auto"/>
                      <w:sz w:val="20"/>
                      <w:szCs w:val="20"/>
                    </w:rPr>
                  </w:pPr>
                </w:p>
              </w:tc>
              <w:tc>
                <w:tcPr>
                  <w:tcW w:w="539" w:type="pct"/>
                  <w:tcBorders>
                    <w:top w:val="single" w:sz="24" w:space="0" w:color="4F81BD" w:themeColor="accent1"/>
                  </w:tcBorders>
                  <w:shd w:val="clear" w:color="auto" w:fill="FFFFFF" w:themeFill="background1"/>
                </w:tcPr>
                <w:p w:rsidR="00905EA8" w:rsidRPr="00C82585" w:rsidRDefault="00905EA8" w:rsidP="00BF5B2D">
                  <w:pPr>
                    <w:jc w:val="center"/>
                    <w:cnfStyle w:val="000000100000"/>
                    <w:rPr>
                      <w:rFonts w:asciiTheme="majorBidi" w:eastAsiaTheme="minorEastAsia" w:hAnsiTheme="majorBidi"/>
                      <w:color w:val="auto"/>
                      <w:sz w:val="20"/>
                      <w:szCs w:val="20"/>
                    </w:rPr>
                  </w:pPr>
                </w:p>
              </w:tc>
              <w:tc>
                <w:tcPr>
                  <w:tcW w:w="540" w:type="pct"/>
                  <w:tcBorders>
                    <w:top w:val="single" w:sz="24" w:space="0" w:color="4F81BD" w:themeColor="accent1"/>
                  </w:tcBorders>
                  <w:shd w:val="clear" w:color="auto" w:fill="FFFFFF" w:themeFill="background1"/>
                </w:tcPr>
                <w:p w:rsidR="00905EA8" w:rsidRPr="00C82585" w:rsidRDefault="00905EA8" w:rsidP="00BF5B2D">
                  <w:pPr>
                    <w:jc w:val="center"/>
                    <w:cnfStyle w:val="000000100000"/>
                    <w:rPr>
                      <w:rFonts w:asciiTheme="majorBidi" w:eastAsiaTheme="minorEastAsia" w:hAnsiTheme="majorBidi"/>
                      <w:color w:val="auto"/>
                      <w:sz w:val="20"/>
                      <w:szCs w:val="20"/>
                    </w:rPr>
                  </w:pPr>
                </w:p>
              </w:tc>
              <w:tc>
                <w:tcPr>
                  <w:tcW w:w="745" w:type="pct"/>
                  <w:tcBorders>
                    <w:top w:val="single" w:sz="24" w:space="0" w:color="4F81BD" w:themeColor="accent1"/>
                  </w:tcBorders>
                  <w:shd w:val="clear" w:color="auto" w:fill="FFFFFF" w:themeFill="background1"/>
                </w:tcPr>
                <w:p w:rsidR="00905EA8" w:rsidRPr="00C82585" w:rsidRDefault="00905EA8" w:rsidP="00BF5B2D">
                  <w:pPr>
                    <w:jc w:val="center"/>
                    <w:cnfStyle w:val="000000100000"/>
                    <w:rPr>
                      <w:rFonts w:asciiTheme="majorBidi" w:eastAsiaTheme="minorEastAsia" w:hAnsiTheme="majorBidi"/>
                      <w:color w:val="auto"/>
                      <w:sz w:val="20"/>
                      <w:szCs w:val="20"/>
                    </w:rPr>
                  </w:pPr>
                </w:p>
              </w:tc>
            </w:tr>
            <w:tr w:rsidR="00905EA8" w:rsidRPr="00C82585" w:rsidTr="00BF5B2D">
              <w:tc>
                <w:tcPr>
                  <w:cnfStyle w:val="001000000000"/>
                  <w:tcW w:w="1918" w:type="pct"/>
                  <w:noWrap/>
                </w:tcPr>
                <w:p w:rsidR="00905EA8" w:rsidRPr="00C82585" w:rsidRDefault="00905EA8" w:rsidP="00905EA8">
                  <w:pPr>
                    <w:pStyle w:val="Paragraphedeliste"/>
                    <w:numPr>
                      <w:ilvl w:val="0"/>
                      <w:numId w:val="2"/>
                    </w:numPr>
                    <w:spacing w:line="240" w:lineRule="auto"/>
                    <w:rPr>
                      <w:rFonts w:asciiTheme="majorBidi" w:eastAsiaTheme="minorEastAsia" w:hAnsiTheme="majorBidi"/>
                      <w:b/>
                      <w:bCs/>
                      <w:sz w:val="20"/>
                      <w:szCs w:val="20"/>
                    </w:rPr>
                  </w:pPr>
                  <w:r w:rsidRPr="00C82585">
                    <w:rPr>
                      <w:rFonts w:asciiTheme="majorBidi" w:eastAsiaTheme="minorEastAsia" w:hAnsiTheme="majorBidi"/>
                      <w:b/>
                      <w:bCs/>
                      <w:sz w:val="20"/>
                      <w:szCs w:val="20"/>
                    </w:rPr>
                    <w:t>DCFM (millions de Dh)</w:t>
                  </w:r>
                </w:p>
                <w:p w:rsidR="00905EA8" w:rsidRPr="00C82585" w:rsidRDefault="00905EA8" w:rsidP="00905EA8">
                  <w:pPr>
                    <w:pStyle w:val="Paragraphedeliste"/>
                    <w:numPr>
                      <w:ilvl w:val="0"/>
                      <w:numId w:val="2"/>
                    </w:numPr>
                    <w:spacing w:line="240" w:lineRule="auto"/>
                    <w:rPr>
                      <w:rFonts w:asciiTheme="majorBidi" w:eastAsiaTheme="minorEastAsia" w:hAnsiTheme="majorBidi"/>
                      <w:b/>
                      <w:bCs/>
                      <w:sz w:val="20"/>
                      <w:szCs w:val="20"/>
                    </w:rPr>
                  </w:pPr>
                  <w:r w:rsidRPr="00C82585">
                    <w:rPr>
                      <w:rFonts w:asciiTheme="majorBidi" w:eastAsiaTheme="minorEastAsia" w:hAnsiTheme="majorBidi"/>
                      <w:b/>
                      <w:bCs/>
                      <w:sz w:val="20"/>
                      <w:szCs w:val="20"/>
                    </w:rPr>
                    <w:t>Accroissement annuel (%)</w:t>
                  </w:r>
                </w:p>
              </w:tc>
              <w:tc>
                <w:tcPr>
                  <w:tcW w:w="720" w:type="pct"/>
                  <w:tcBorders>
                    <w:bottom w:val="nil"/>
                  </w:tcBorders>
                </w:tcPr>
                <w:p w:rsidR="00905EA8" w:rsidRPr="00C82585" w:rsidRDefault="00905EA8" w:rsidP="00BF5B2D">
                  <w:pPr>
                    <w:cnfStyle w:val="000000000000"/>
                    <w:rPr>
                      <w:rFonts w:asciiTheme="majorBidi" w:eastAsiaTheme="minorEastAsia" w:hAnsiTheme="majorBidi"/>
                      <w:b/>
                      <w:bCs/>
                      <w:color w:val="auto"/>
                      <w:sz w:val="20"/>
                      <w:szCs w:val="20"/>
                    </w:rPr>
                  </w:pPr>
                  <w:r w:rsidRPr="00C82585">
                    <w:rPr>
                      <w:rFonts w:asciiTheme="majorBidi" w:eastAsiaTheme="minorEastAsia" w:hAnsiTheme="majorBidi"/>
                      <w:b/>
                      <w:bCs/>
                      <w:color w:val="auto"/>
                      <w:sz w:val="20"/>
                      <w:szCs w:val="20"/>
                    </w:rPr>
                    <w:t xml:space="preserve">     41299</w:t>
                  </w:r>
                </w:p>
                <w:p w:rsidR="00905EA8" w:rsidRPr="00C82585" w:rsidRDefault="00905EA8" w:rsidP="00BF5B2D">
                  <w:pPr>
                    <w:cnfStyle w:val="000000000000"/>
                    <w:rPr>
                      <w:rFonts w:asciiTheme="majorBidi" w:eastAsiaTheme="minorEastAsia" w:hAnsiTheme="majorBidi"/>
                      <w:b/>
                      <w:bCs/>
                      <w:sz w:val="20"/>
                      <w:szCs w:val="20"/>
                    </w:rPr>
                  </w:pPr>
                  <w:r w:rsidRPr="00C82585">
                    <w:rPr>
                      <w:rFonts w:asciiTheme="majorBidi" w:eastAsiaTheme="minorEastAsia" w:hAnsiTheme="majorBidi"/>
                      <w:b/>
                      <w:bCs/>
                      <w:sz w:val="20"/>
                      <w:szCs w:val="20"/>
                    </w:rPr>
                    <w:t xml:space="preserve">        </w:t>
                  </w:r>
                  <w:r>
                    <w:rPr>
                      <w:rFonts w:asciiTheme="majorBidi" w:eastAsiaTheme="minorEastAsia" w:hAnsiTheme="majorBidi"/>
                      <w:b/>
                      <w:bCs/>
                      <w:sz w:val="20"/>
                      <w:szCs w:val="20"/>
                    </w:rPr>
                    <w:t xml:space="preserve"> </w:t>
                  </w:r>
                  <w:r w:rsidRPr="00C82585">
                    <w:rPr>
                      <w:rFonts w:asciiTheme="majorBidi" w:eastAsiaTheme="minorEastAsia" w:hAnsiTheme="majorBidi"/>
                      <w:b/>
                      <w:bCs/>
                      <w:sz w:val="20"/>
                      <w:szCs w:val="20"/>
                    </w:rPr>
                    <w:t>-</w:t>
                  </w:r>
                </w:p>
              </w:tc>
              <w:tc>
                <w:tcPr>
                  <w:tcW w:w="538" w:type="pct"/>
                  <w:tcBorders>
                    <w:bottom w:val="nil"/>
                  </w:tcBorders>
                </w:tcPr>
                <w:p w:rsidR="00905EA8" w:rsidRPr="00C82585" w:rsidRDefault="00905EA8" w:rsidP="00BF5B2D">
                  <w:pPr>
                    <w:cnfStyle w:val="000000000000"/>
                    <w:rPr>
                      <w:rFonts w:asciiTheme="majorBidi" w:eastAsiaTheme="minorEastAsia" w:hAnsiTheme="majorBidi"/>
                      <w:b/>
                      <w:bCs/>
                      <w:color w:val="auto"/>
                      <w:sz w:val="20"/>
                      <w:szCs w:val="20"/>
                    </w:rPr>
                  </w:pPr>
                  <w:r w:rsidRPr="00C82585">
                    <w:rPr>
                      <w:rFonts w:asciiTheme="majorBidi" w:eastAsiaTheme="minorEastAsia" w:hAnsiTheme="majorBidi"/>
                      <w:b/>
                      <w:bCs/>
                      <w:color w:val="auto"/>
                      <w:sz w:val="20"/>
                      <w:szCs w:val="20"/>
                    </w:rPr>
                    <w:t xml:space="preserve"> 48407</w:t>
                  </w:r>
                </w:p>
                <w:p w:rsidR="00905EA8" w:rsidRPr="00C82585" w:rsidRDefault="00905EA8" w:rsidP="00BF5B2D">
                  <w:pPr>
                    <w:cnfStyle w:val="000000000000"/>
                    <w:rPr>
                      <w:rFonts w:asciiTheme="majorBidi" w:eastAsiaTheme="minorEastAsia" w:hAnsiTheme="majorBidi"/>
                      <w:b/>
                      <w:bCs/>
                      <w:sz w:val="20"/>
                      <w:szCs w:val="20"/>
                    </w:rPr>
                  </w:pPr>
                  <w:r w:rsidRPr="00C82585">
                    <w:rPr>
                      <w:rFonts w:asciiTheme="majorBidi" w:eastAsiaTheme="minorEastAsia" w:hAnsiTheme="majorBidi"/>
                      <w:b/>
                      <w:bCs/>
                      <w:color w:val="auto"/>
                      <w:sz w:val="20"/>
                      <w:szCs w:val="20"/>
                    </w:rPr>
                    <w:t xml:space="preserve">   8 ,3</w:t>
                  </w:r>
                </w:p>
              </w:tc>
              <w:tc>
                <w:tcPr>
                  <w:tcW w:w="539" w:type="pct"/>
                  <w:tcBorders>
                    <w:bottom w:val="nil"/>
                  </w:tcBorders>
                </w:tcPr>
                <w:p w:rsidR="00905EA8" w:rsidRPr="00C82585" w:rsidRDefault="00905EA8" w:rsidP="00BF5B2D">
                  <w:pPr>
                    <w:jc w:val="center"/>
                    <w:cnfStyle w:val="000000000000"/>
                    <w:rPr>
                      <w:rFonts w:asciiTheme="majorBidi" w:eastAsiaTheme="minorEastAsia" w:hAnsiTheme="majorBidi"/>
                      <w:b/>
                      <w:bCs/>
                      <w:color w:val="auto"/>
                      <w:sz w:val="20"/>
                      <w:szCs w:val="20"/>
                    </w:rPr>
                  </w:pPr>
                  <w:r w:rsidRPr="00C82585">
                    <w:rPr>
                      <w:rFonts w:asciiTheme="majorBidi" w:eastAsiaTheme="minorEastAsia" w:hAnsiTheme="majorBidi"/>
                      <w:b/>
                      <w:bCs/>
                      <w:color w:val="auto"/>
                      <w:sz w:val="20"/>
                      <w:szCs w:val="20"/>
                    </w:rPr>
                    <w:t xml:space="preserve">  49173</w:t>
                  </w:r>
                </w:p>
                <w:p w:rsidR="00905EA8" w:rsidRPr="00C82585" w:rsidRDefault="00905EA8" w:rsidP="00BF5B2D">
                  <w:pPr>
                    <w:cnfStyle w:val="000000000000"/>
                    <w:rPr>
                      <w:rFonts w:asciiTheme="majorBidi" w:eastAsiaTheme="minorEastAsia" w:hAnsiTheme="majorBidi"/>
                      <w:b/>
                      <w:bCs/>
                      <w:sz w:val="20"/>
                      <w:szCs w:val="20"/>
                    </w:rPr>
                  </w:pPr>
                  <w:r w:rsidRPr="00C82585">
                    <w:rPr>
                      <w:rFonts w:asciiTheme="majorBidi" w:eastAsiaTheme="minorEastAsia" w:hAnsiTheme="majorBidi"/>
                      <w:b/>
                      <w:bCs/>
                      <w:sz w:val="20"/>
                      <w:szCs w:val="20"/>
                    </w:rPr>
                    <w:t xml:space="preserve">        1,6</w:t>
                  </w:r>
                </w:p>
              </w:tc>
              <w:tc>
                <w:tcPr>
                  <w:tcW w:w="540" w:type="pct"/>
                  <w:tcBorders>
                    <w:bottom w:val="nil"/>
                  </w:tcBorders>
                </w:tcPr>
                <w:p w:rsidR="00905EA8" w:rsidRPr="00C82585" w:rsidRDefault="00905EA8" w:rsidP="00BF5B2D">
                  <w:pPr>
                    <w:jc w:val="center"/>
                    <w:cnfStyle w:val="000000000000"/>
                    <w:rPr>
                      <w:rFonts w:asciiTheme="majorBidi" w:eastAsiaTheme="minorEastAsia" w:hAnsiTheme="majorBidi"/>
                      <w:b/>
                      <w:bCs/>
                      <w:color w:val="auto"/>
                      <w:sz w:val="20"/>
                      <w:szCs w:val="20"/>
                    </w:rPr>
                  </w:pPr>
                  <w:r w:rsidRPr="00C82585">
                    <w:rPr>
                      <w:rFonts w:asciiTheme="majorBidi" w:eastAsiaTheme="minorEastAsia" w:hAnsiTheme="majorBidi"/>
                      <w:b/>
                      <w:bCs/>
                      <w:color w:val="auto"/>
                      <w:sz w:val="20"/>
                      <w:szCs w:val="20"/>
                    </w:rPr>
                    <w:t xml:space="preserve">    55654</w:t>
                  </w:r>
                </w:p>
                <w:p w:rsidR="00905EA8" w:rsidRPr="00C82585" w:rsidRDefault="00905EA8" w:rsidP="00BF5B2D">
                  <w:pPr>
                    <w:cnfStyle w:val="000000000000"/>
                    <w:rPr>
                      <w:rFonts w:asciiTheme="majorBidi" w:eastAsiaTheme="minorEastAsia" w:hAnsiTheme="majorBidi"/>
                      <w:b/>
                      <w:bCs/>
                      <w:sz w:val="20"/>
                      <w:szCs w:val="20"/>
                    </w:rPr>
                  </w:pPr>
                  <w:r w:rsidRPr="00C82585">
                    <w:rPr>
                      <w:rFonts w:asciiTheme="majorBidi" w:eastAsiaTheme="minorEastAsia" w:hAnsiTheme="majorBidi"/>
                      <w:b/>
                      <w:bCs/>
                      <w:sz w:val="20"/>
                      <w:szCs w:val="20"/>
                    </w:rPr>
                    <w:t xml:space="preserve">        13,2</w:t>
                  </w:r>
                </w:p>
              </w:tc>
              <w:tc>
                <w:tcPr>
                  <w:tcW w:w="745" w:type="pct"/>
                  <w:tcBorders>
                    <w:bottom w:val="nil"/>
                  </w:tcBorders>
                </w:tcPr>
                <w:p w:rsidR="00905EA8" w:rsidRPr="00C82585" w:rsidRDefault="00905EA8" w:rsidP="00BF5B2D">
                  <w:pPr>
                    <w:cnfStyle w:val="000000000000"/>
                    <w:rPr>
                      <w:rFonts w:asciiTheme="majorBidi" w:eastAsiaTheme="minorEastAsia" w:hAnsiTheme="majorBidi"/>
                      <w:b/>
                      <w:bCs/>
                      <w:color w:val="auto"/>
                      <w:sz w:val="20"/>
                      <w:szCs w:val="20"/>
                    </w:rPr>
                  </w:pPr>
                  <w:r w:rsidRPr="00C82585">
                    <w:rPr>
                      <w:rFonts w:asciiTheme="majorBidi" w:eastAsiaTheme="minorEastAsia" w:hAnsiTheme="majorBidi"/>
                      <w:b/>
                      <w:bCs/>
                      <w:color w:val="auto"/>
                      <w:sz w:val="20"/>
                      <w:szCs w:val="20"/>
                    </w:rPr>
                    <w:t xml:space="preserve">      55480</w:t>
                  </w:r>
                </w:p>
                <w:p w:rsidR="00905EA8" w:rsidRPr="00C82585" w:rsidRDefault="00905EA8" w:rsidP="00BF5B2D">
                  <w:pPr>
                    <w:cnfStyle w:val="000000000000"/>
                    <w:rPr>
                      <w:rFonts w:asciiTheme="majorBidi" w:eastAsiaTheme="minorEastAsia" w:hAnsiTheme="majorBidi"/>
                      <w:b/>
                      <w:bCs/>
                      <w:sz w:val="20"/>
                      <w:szCs w:val="20"/>
                    </w:rPr>
                  </w:pPr>
                  <w:r w:rsidRPr="00C82585">
                    <w:rPr>
                      <w:rFonts w:asciiTheme="majorBidi" w:eastAsiaTheme="minorEastAsia" w:hAnsiTheme="majorBidi"/>
                      <w:b/>
                      <w:bCs/>
                      <w:sz w:val="20"/>
                      <w:szCs w:val="20"/>
                    </w:rPr>
                    <w:t xml:space="preserve">          5,1</w:t>
                  </w:r>
                </w:p>
              </w:tc>
            </w:tr>
            <w:tr w:rsidR="00905EA8" w:rsidRPr="00C82585" w:rsidTr="00BF5B2D">
              <w:trPr>
                <w:cnfStyle w:val="000000100000"/>
                <w:trHeight w:val="322"/>
              </w:trPr>
              <w:tc>
                <w:tcPr>
                  <w:cnfStyle w:val="001000000000"/>
                  <w:tcW w:w="1918" w:type="pct"/>
                  <w:noWrap/>
                </w:tcPr>
                <w:p w:rsidR="00905EA8" w:rsidRPr="00C82585" w:rsidRDefault="00905EA8" w:rsidP="00BF5B2D">
                  <w:pPr>
                    <w:rPr>
                      <w:rFonts w:asciiTheme="majorBidi" w:eastAsiaTheme="minorEastAsia" w:hAnsiTheme="majorBidi"/>
                      <w:b/>
                      <w:bCs/>
                      <w:color w:val="auto"/>
                      <w:sz w:val="20"/>
                      <w:szCs w:val="20"/>
                    </w:rPr>
                  </w:pPr>
                  <w:r w:rsidRPr="00C82585">
                    <w:rPr>
                      <w:rFonts w:asciiTheme="majorBidi" w:eastAsiaTheme="minorEastAsia" w:hAnsiTheme="majorBidi"/>
                      <w:b/>
                      <w:bCs/>
                      <w:color w:val="auto"/>
                      <w:sz w:val="20"/>
                      <w:szCs w:val="20"/>
                    </w:rPr>
                    <w:t xml:space="preserve">  </w:t>
                  </w:r>
                </w:p>
              </w:tc>
              <w:tc>
                <w:tcPr>
                  <w:tcW w:w="720" w:type="pct"/>
                  <w:shd w:val="clear" w:color="auto" w:fill="FFFFFF" w:themeFill="background1"/>
                </w:tcPr>
                <w:p w:rsidR="00905EA8" w:rsidRPr="00C82585" w:rsidRDefault="00905EA8" w:rsidP="00BF5B2D">
                  <w:pPr>
                    <w:jc w:val="center"/>
                    <w:cnfStyle w:val="000000100000"/>
                    <w:rPr>
                      <w:rFonts w:asciiTheme="majorBidi" w:eastAsiaTheme="minorEastAsia" w:hAnsiTheme="majorBidi"/>
                      <w:color w:val="auto"/>
                      <w:sz w:val="20"/>
                      <w:szCs w:val="20"/>
                    </w:rPr>
                  </w:pPr>
                </w:p>
              </w:tc>
              <w:tc>
                <w:tcPr>
                  <w:tcW w:w="538" w:type="pct"/>
                  <w:shd w:val="clear" w:color="auto" w:fill="FFFFFF" w:themeFill="background1"/>
                </w:tcPr>
                <w:p w:rsidR="00905EA8" w:rsidRPr="00C82585" w:rsidRDefault="00905EA8" w:rsidP="00BF5B2D">
                  <w:pPr>
                    <w:jc w:val="center"/>
                    <w:cnfStyle w:val="000000100000"/>
                    <w:rPr>
                      <w:rFonts w:asciiTheme="majorBidi" w:eastAsiaTheme="minorEastAsia" w:hAnsiTheme="majorBidi"/>
                      <w:color w:val="auto"/>
                      <w:sz w:val="20"/>
                      <w:szCs w:val="20"/>
                    </w:rPr>
                  </w:pPr>
                </w:p>
              </w:tc>
              <w:tc>
                <w:tcPr>
                  <w:tcW w:w="539" w:type="pct"/>
                  <w:shd w:val="clear" w:color="auto" w:fill="FFFFFF" w:themeFill="background1"/>
                </w:tcPr>
                <w:p w:rsidR="00905EA8" w:rsidRPr="00C82585" w:rsidRDefault="00905EA8" w:rsidP="00BF5B2D">
                  <w:pPr>
                    <w:jc w:val="center"/>
                    <w:cnfStyle w:val="000000100000"/>
                    <w:rPr>
                      <w:rFonts w:asciiTheme="majorBidi" w:eastAsiaTheme="minorEastAsia" w:hAnsiTheme="majorBidi"/>
                      <w:color w:val="auto"/>
                      <w:sz w:val="20"/>
                      <w:szCs w:val="20"/>
                    </w:rPr>
                  </w:pPr>
                </w:p>
              </w:tc>
              <w:tc>
                <w:tcPr>
                  <w:tcW w:w="540" w:type="pct"/>
                  <w:shd w:val="clear" w:color="auto" w:fill="FFFFFF" w:themeFill="background1"/>
                </w:tcPr>
                <w:p w:rsidR="00905EA8" w:rsidRPr="00C82585" w:rsidRDefault="00905EA8" w:rsidP="00BF5B2D">
                  <w:pPr>
                    <w:jc w:val="center"/>
                    <w:cnfStyle w:val="000000100000"/>
                    <w:rPr>
                      <w:rFonts w:asciiTheme="majorBidi" w:eastAsiaTheme="minorEastAsia" w:hAnsiTheme="majorBidi"/>
                      <w:color w:val="auto"/>
                      <w:sz w:val="20"/>
                      <w:szCs w:val="20"/>
                    </w:rPr>
                  </w:pPr>
                </w:p>
              </w:tc>
              <w:tc>
                <w:tcPr>
                  <w:tcW w:w="745" w:type="pct"/>
                  <w:shd w:val="clear" w:color="auto" w:fill="FFFFFF" w:themeFill="background1"/>
                </w:tcPr>
                <w:p w:rsidR="00905EA8" w:rsidRPr="00C82585" w:rsidRDefault="00905EA8" w:rsidP="00BF5B2D">
                  <w:pPr>
                    <w:jc w:val="center"/>
                    <w:cnfStyle w:val="000000100000"/>
                    <w:rPr>
                      <w:rFonts w:asciiTheme="majorBidi" w:eastAsiaTheme="minorEastAsia" w:hAnsiTheme="majorBidi"/>
                      <w:color w:val="auto"/>
                      <w:sz w:val="20"/>
                      <w:szCs w:val="20"/>
                    </w:rPr>
                  </w:pPr>
                </w:p>
              </w:tc>
            </w:tr>
            <w:tr w:rsidR="00905EA8" w:rsidRPr="00C82585" w:rsidTr="00BF5B2D">
              <w:tc>
                <w:tcPr>
                  <w:cnfStyle w:val="001000000000"/>
                  <w:tcW w:w="1918" w:type="pct"/>
                  <w:noWrap/>
                </w:tcPr>
                <w:p w:rsidR="00905EA8" w:rsidRPr="00C82585" w:rsidRDefault="00905EA8" w:rsidP="00BF5B2D">
                  <w:pPr>
                    <w:rPr>
                      <w:rFonts w:asciiTheme="majorBidi" w:eastAsiaTheme="minorEastAsia" w:hAnsiTheme="majorBidi"/>
                      <w:b/>
                      <w:bCs/>
                      <w:color w:val="auto"/>
                      <w:sz w:val="20"/>
                      <w:szCs w:val="20"/>
                    </w:rPr>
                  </w:pPr>
                  <w:r w:rsidRPr="00C82585">
                    <w:rPr>
                      <w:rFonts w:asciiTheme="majorBidi" w:eastAsiaTheme="minorEastAsia" w:hAnsiTheme="majorBidi"/>
                      <w:b/>
                      <w:bCs/>
                      <w:color w:val="auto"/>
                      <w:sz w:val="20"/>
                      <w:szCs w:val="20"/>
                    </w:rPr>
                    <w:t>Niveau national</w:t>
                  </w:r>
                </w:p>
                <w:p w:rsidR="00905EA8" w:rsidRPr="00C82585" w:rsidRDefault="00905EA8" w:rsidP="00905EA8">
                  <w:pPr>
                    <w:pStyle w:val="Paragraphedeliste"/>
                    <w:numPr>
                      <w:ilvl w:val="0"/>
                      <w:numId w:val="2"/>
                    </w:numPr>
                    <w:spacing w:line="240" w:lineRule="auto"/>
                    <w:rPr>
                      <w:rFonts w:asciiTheme="majorBidi" w:eastAsiaTheme="minorEastAsia" w:hAnsiTheme="majorBidi"/>
                      <w:b/>
                      <w:bCs/>
                      <w:sz w:val="20"/>
                      <w:szCs w:val="20"/>
                    </w:rPr>
                  </w:pPr>
                  <w:r w:rsidRPr="00C82585">
                    <w:rPr>
                      <w:rFonts w:asciiTheme="majorBidi" w:eastAsiaTheme="minorEastAsia" w:hAnsiTheme="majorBidi"/>
                      <w:b/>
                      <w:bCs/>
                      <w:sz w:val="20"/>
                      <w:szCs w:val="20"/>
                    </w:rPr>
                    <w:t>DCFM (millions de Dh)</w:t>
                  </w:r>
                </w:p>
                <w:p w:rsidR="00905EA8" w:rsidRPr="00C82585" w:rsidRDefault="00905EA8" w:rsidP="00BF5B2D">
                  <w:pPr>
                    <w:rPr>
                      <w:rFonts w:asciiTheme="majorBidi" w:eastAsiaTheme="minorEastAsia" w:hAnsiTheme="majorBidi"/>
                      <w:b/>
                      <w:bCs/>
                      <w:color w:val="auto"/>
                      <w:sz w:val="20"/>
                      <w:szCs w:val="20"/>
                    </w:rPr>
                  </w:pPr>
                  <w:r w:rsidRPr="00C82585">
                    <w:rPr>
                      <w:rFonts w:asciiTheme="majorBidi" w:eastAsiaTheme="minorEastAsia" w:hAnsiTheme="majorBidi"/>
                      <w:b/>
                      <w:bCs/>
                      <w:sz w:val="20"/>
                      <w:szCs w:val="20"/>
                    </w:rPr>
                    <w:t xml:space="preserve">   -      Accroissement annuel (%)</w:t>
                  </w:r>
                </w:p>
              </w:tc>
              <w:tc>
                <w:tcPr>
                  <w:tcW w:w="720" w:type="pct"/>
                  <w:tcBorders>
                    <w:bottom w:val="nil"/>
                  </w:tcBorders>
                </w:tcPr>
                <w:p w:rsidR="00905EA8" w:rsidRPr="00C82585" w:rsidRDefault="00905EA8" w:rsidP="00BF5B2D">
                  <w:pPr>
                    <w:jc w:val="center"/>
                    <w:cnfStyle w:val="000000000000"/>
                    <w:rPr>
                      <w:rFonts w:asciiTheme="majorBidi" w:eastAsiaTheme="minorEastAsia" w:hAnsiTheme="majorBidi"/>
                      <w:b/>
                      <w:bCs/>
                      <w:color w:val="auto"/>
                      <w:sz w:val="20"/>
                      <w:szCs w:val="20"/>
                    </w:rPr>
                  </w:pPr>
                </w:p>
                <w:p w:rsidR="00905EA8" w:rsidRPr="00C82585" w:rsidRDefault="00905EA8" w:rsidP="00BF5B2D">
                  <w:pPr>
                    <w:cnfStyle w:val="000000000000"/>
                    <w:rPr>
                      <w:rFonts w:asciiTheme="majorBidi" w:eastAsiaTheme="minorEastAsia" w:hAnsiTheme="majorBidi"/>
                      <w:b/>
                      <w:bCs/>
                      <w:sz w:val="20"/>
                      <w:szCs w:val="20"/>
                    </w:rPr>
                  </w:pPr>
                  <w:r w:rsidRPr="00C82585">
                    <w:rPr>
                      <w:rFonts w:asciiTheme="majorBidi" w:eastAsiaTheme="minorEastAsia" w:hAnsiTheme="majorBidi"/>
                      <w:b/>
                      <w:bCs/>
                      <w:sz w:val="20"/>
                      <w:szCs w:val="20"/>
                    </w:rPr>
                    <w:t xml:space="preserve">   360008</w:t>
                  </w:r>
                </w:p>
                <w:p w:rsidR="00905EA8" w:rsidRPr="00C82585" w:rsidRDefault="00905EA8" w:rsidP="00BF5B2D">
                  <w:pPr>
                    <w:cnfStyle w:val="000000000000"/>
                    <w:rPr>
                      <w:rFonts w:asciiTheme="majorBidi" w:eastAsiaTheme="minorEastAsia" w:hAnsiTheme="majorBidi"/>
                      <w:b/>
                      <w:bCs/>
                      <w:sz w:val="20"/>
                      <w:szCs w:val="20"/>
                    </w:rPr>
                  </w:pPr>
                  <w:r w:rsidRPr="00C82585">
                    <w:rPr>
                      <w:rFonts w:asciiTheme="majorBidi" w:eastAsiaTheme="minorEastAsia" w:hAnsiTheme="majorBidi"/>
                      <w:b/>
                      <w:bCs/>
                      <w:sz w:val="20"/>
                      <w:szCs w:val="20"/>
                    </w:rPr>
                    <w:t xml:space="preserve">         -</w:t>
                  </w:r>
                </w:p>
              </w:tc>
              <w:tc>
                <w:tcPr>
                  <w:tcW w:w="538" w:type="pct"/>
                  <w:tcBorders>
                    <w:bottom w:val="nil"/>
                  </w:tcBorders>
                </w:tcPr>
                <w:p w:rsidR="00905EA8" w:rsidRPr="00C82585" w:rsidRDefault="00905EA8" w:rsidP="00BF5B2D">
                  <w:pPr>
                    <w:jc w:val="center"/>
                    <w:cnfStyle w:val="000000000000"/>
                    <w:rPr>
                      <w:rFonts w:asciiTheme="majorBidi" w:eastAsiaTheme="minorEastAsia" w:hAnsiTheme="majorBidi"/>
                      <w:b/>
                      <w:bCs/>
                      <w:color w:val="auto"/>
                      <w:sz w:val="20"/>
                      <w:szCs w:val="20"/>
                    </w:rPr>
                  </w:pPr>
                </w:p>
                <w:p w:rsidR="00905EA8" w:rsidRPr="00C82585" w:rsidRDefault="00905EA8" w:rsidP="00BF5B2D">
                  <w:pPr>
                    <w:cnfStyle w:val="000000000000"/>
                    <w:rPr>
                      <w:rFonts w:asciiTheme="majorBidi" w:eastAsiaTheme="minorEastAsia" w:hAnsiTheme="majorBidi"/>
                      <w:b/>
                      <w:bCs/>
                      <w:sz w:val="20"/>
                      <w:szCs w:val="20"/>
                    </w:rPr>
                  </w:pPr>
                  <w:r w:rsidRPr="00C82585">
                    <w:rPr>
                      <w:rFonts w:asciiTheme="majorBidi" w:eastAsiaTheme="minorEastAsia" w:hAnsiTheme="majorBidi"/>
                      <w:b/>
                      <w:bCs/>
                      <w:sz w:val="20"/>
                      <w:szCs w:val="20"/>
                    </w:rPr>
                    <w:t xml:space="preserve"> 418461</w:t>
                  </w:r>
                </w:p>
                <w:p w:rsidR="00905EA8" w:rsidRPr="00C82585" w:rsidRDefault="00905EA8" w:rsidP="00BF5B2D">
                  <w:pPr>
                    <w:cnfStyle w:val="000000000000"/>
                    <w:rPr>
                      <w:rFonts w:asciiTheme="majorBidi" w:eastAsiaTheme="minorEastAsia" w:hAnsiTheme="majorBidi"/>
                      <w:b/>
                      <w:bCs/>
                      <w:sz w:val="20"/>
                      <w:szCs w:val="20"/>
                    </w:rPr>
                  </w:pPr>
                  <w:r w:rsidRPr="00C82585">
                    <w:rPr>
                      <w:rFonts w:asciiTheme="majorBidi" w:eastAsiaTheme="minorEastAsia" w:hAnsiTheme="majorBidi"/>
                      <w:b/>
                      <w:bCs/>
                      <w:sz w:val="20"/>
                      <w:szCs w:val="20"/>
                    </w:rPr>
                    <w:t xml:space="preserve">   </w:t>
                  </w:r>
                  <w:r>
                    <w:rPr>
                      <w:rFonts w:asciiTheme="majorBidi" w:eastAsiaTheme="minorEastAsia" w:hAnsiTheme="majorBidi"/>
                      <w:b/>
                      <w:bCs/>
                      <w:sz w:val="20"/>
                      <w:szCs w:val="20"/>
                    </w:rPr>
                    <w:t xml:space="preserve"> </w:t>
                  </w:r>
                  <w:r w:rsidRPr="00C82585">
                    <w:rPr>
                      <w:rFonts w:asciiTheme="majorBidi" w:eastAsiaTheme="minorEastAsia" w:hAnsiTheme="majorBidi"/>
                      <w:b/>
                      <w:bCs/>
                      <w:sz w:val="20"/>
                      <w:szCs w:val="20"/>
                    </w:rPr>
                    <w:t xml:space="preserve"> 7,8</w:t>
                  </w:r>
                </w:p>
              </w:tc>
              <w:tc>
                <w:tcPr>
                  <w:tcW w:w="539" w:type="pct"/>
                  <w:tcBorders>
                    <w:bottom w:val="nil"/>
                  </w:tcBorders>
                </w:tcPr>
                <w:p w:rsidR="00905EA8" w:rsidRPr="00C82585" w:rsidRDefault="00905EA8" w:rsidP="00BF5B2D">
                  <w:pPr>
                    <w:jc w:val="center"/>
                    <w:cnfStyle w:val="000000000000"/>
                    <w:rPr>
                      <w:rFonts w:asciiTheme="majorBidi" w:eastAsiaTheme="minorEastAsia" w:hAnsiTheme="majorBidi"/>
                      <w:b/>
                      <w:bCs/>
                      <w:color w:val="auto"/>
                      <w:sz w:val="20"/>
                      <w:szCs w:val="20"/>
                    </w:rPr>
                  </w:pPr>
                </w:p>
                <w:p w:rsidR="00905EA8" w:rsidRPr="00C82585" w:rsidRDefault="00905EA8" w:rsidP="00BF5B2D">
                  <w:pPr>
                    <w:cnfStyle w:val="000000000000"/>
                    <w:rPr>
                      <w:rFonts w:asciiTheme="majorBidi" w:eastAsiaTheme="minorEastAsia" w:hAnsiTheme="majorBidi"/>
                      <w:b/>
                      <w:bCs/>
                      <w:sz w:val="20"/>
                      <w:szCs w:val="20"/>
                    </w:rPr>
                  </w:pPr>
                  <w:r w:rsidRPr="00C82585">
                    <w:rPr>
                      <w:rFonts w:asciiTheme="majorBidi" w:eastAsiaTheme="minorEastAsia" w:hAnsiTheme="majorBidi"/>
                      <w:b/>
                      <w:bCs/>
                      <w:sz w:val="20"/>
                      <w:szCs w:val="20"/>
                    </w:rPr>
                    <w:t xml:space="preserve">  437622</w:t>
                  </w:r>
                </w:p>
                <w:p w:rsidR="00905EA8" w:rsidRPr="00C82585" w:rsidRDefault="00905EA8" w:rsidP="00BF5B2D">
                  <w:pPr>
                    <w:cnfStyle w:val="000000000000"/>
                    <w:rPr>
                      <w:rFonts w:asciiTheme="majorBidi" w:eastAsiaTheme="minorEastAsia" w:hAnsiTheme="majorBidi"/>
                      <w:b/>
                      <w:bCs/>
                      <w:sz w:val="20"/>
                      <w:szCs w:val="20"/>
                    </w:rPr>
                  </w:pPr>
                  <w:r w:rsidRPr="00C82585">
                    <w:rPr>
                      <w:rFonts w:asciiTheme="majorBidi" w:eastAsiaTheme="minorEastAsia" w:hAnsiTheme="majorBidi"/>
                      <w:b/>
                      <w:bCs/>
                      <w:sz w:val="20"/>
                      <w:szCs w:val="20"/>
                    </w:rPr>
                    <w:t xml:space="preserve">      4,6</w:t>
                  </w:r>
                </w:p>
              </w:tc>
              <w:tc>
                <w:tcPr>
                  <w:tcW w:w="540" w:type="pct"/>
                  <w:tcBorders>
                    <w:bottom w:val="nil"/>
                  </w:tcBorders>
                </w:tcPr>
                <w:p w:rsidR="00905EA8" w:rsidRPr="00C82585" w:rsidRDefault="00905EA8" w:rsidP="00BF5B2D">
                  <w:pPr>
                    <w:jc w:val="center"/>
                    <w:cnfStyle w:val="000000000000"/>
                    <w:rPr>
                      <w:rFonts w:asciiTheme="majorBidi" w:eastAsiaTheme="minorEastAsia" w:hAnsiTheme="majorBidi"/>
                      <w:b/>
                      <w:bCs/>
                      <w:color w:val="auto"/>
                      <w:sz w:val="20"/>
                      <w:szCs w:val="20"/>
                    </w:rPr>
                  </w:pPr>
                </w:p>
                <w:p w:rsidR="00905EA8" w:rsidRPr="00C82585" w:rsidRDefault="00905EA8" w:rsidP="00BF5B2D">
                  <w:pPr>
                    <w:cnfStyle w:val="000000000000"/>
                    <w:rPr>
                      <w:rFonts w:asciiTheme="majorBidi" w:eastAsiaTheme="minorEastAsia" w:hAnsiTheme="majorBidi"/>
                      <w:b/>
                      <w:bCs/>
                      <w:sz w:val="20"/>
                      <w:szCs w:val="20"/>
                    </w:rPr>
                  </w:pPr>
                  <w:r w:rsidRPr="00C82585">
                    <w:rPr>
                      <w:rFonts w:asciiTheme="majorBidi" w:eastAsiaTheme="minorEastAsia" w:hAnsiTheme="majorBidi"/>
                      <w:b/>
                      <w:bCs/>
                      <w:sz w:val="20"/>
                      <w:szCs w:val="20"/>
                    </w:rPr>
                    <w:t xml:space="preserve">    472938</w:t>
                  </w:r>
                </w:p>
                <w:p w:rsidR="00905EA8" w:rsidRPr="00C82585" w:rsidRDefault="00905EA8" w:rsidP="00BF5B2D">
                  <w:pPr>
                    <w:cnfStyle w:val="000000000000"/>
                    <w:rPr>
                      <w:rFonts w:asciiTheme="majorBidi" w:eastAsiaTheme="minorEastAsia" w:hAnsiTheme="majorBidi"/>
                      <w:b/>
                      <w:bCs/>
                      <w:sz w:val="20"/>
                      <w:szCs w:val="20"/>
                    </w:rPr>
                  </w:pPr>
                  <w:r w:rsidRPr="00C82585">
                    <w:rPr>
                      <w:rFonts w:asciiTheme="majorBidi" w:eastAsiaTheme="minorEastAsia" w:hAnsiTheme="majorBidi"/>
                      <w:b/>
                      <w:bCs/>
                      <w:sz w:val="20"/>
                      <w:szCs w:val="20"/>
                    </w:rPr>
                    <w:t xml:space="preserve">         8,1</w:t>
                  </w:r>
                </w:p>
              </w:tc>
              <w:tc>
                <w:tcPr>
                  <w:tcW w:w="745" w:type="pct"/>
                  <w:tcBorders>
                    <w:bottom w:val="nil"/>
                  </w:tcBorders>
                </w:tcPr>
                <w:p w:rsidR="00905EA8" w:rsidRPr="00C82585" w:rsidRDefault="00905EA8" w:rsidP="00BF5B2D">
                  <w:pPr>
                    <w:cnfStyle w:val="000000000000"/>
                    <w:rPr>
                      <w:rFonts w:asciiTheme="majorBidi" w:eastAsiaTheme="minorEastAsia" w:hAnsiTheme="majorBidi"/>
                      <w:b/>
                      <w:bCs/>
                      <w:color w:val="auto"/>
                      <w:sz w:val="20"/>
                      <w:szCs w:val="20"/>
                    </w:rPr>
                  </w:pPr>
                </w:p>
                <w:p w:rsidR="00905EA8" w:rsidRPr="00C82585" w:rsidRDefault="00905EA8" w:rsidP="00BF5B2D">
                  <w:pPr>
                    <w:cnfStyle w:val="000000000000"/>
                    <w:rPr>
                      <w:rFonts w:asciiTheme="majorBidi" w:eastAsiaTheme="minorEastAsia" w:hAnsiTheme="majorBidi"/>
                      <w:b/>
                      <w:bCs/>
                      <w:sz w:val="20"/>
                      <w:szCs w:val="20"/>
                    </w:rPr>
                  </w:pPr>
                  <w:r w:rsidRPr="00C82585">
                    <w:rPr>
                      <w:rFonts w:asciiTheme="majorBidi" w:eastAsiaTheme="minorEastAsia" w:hAnsiTheme="majorBidi"/>
                      <w:b/>
                      <w:bCs/>
                      <w:sz w:val="20"/>
                      <w:szCs w:val="20"/>
                    </w:rPr>
                    <w:t xml:space="preserve">     495657</w:t>
                  </w:r>
                </w:p>
                <w:p w:rsidR="00905EA8" w:rsidRPr="00C82585" w:rsidRDefault="00905EA8" w:rsidP="00BF5B2D">
                  <w:pPr>
                    <w:cnfStyle w:val="000000000000"/>
                    <w:rPr>
                      <w:rFonts w:asciiTheme="majorBidi" w:eastAsiaTheme="minorEastAsia" w:hAnsiTheme="majorBidi"/>
                      <w:b/>
                      <w:bCs/>
                      <w:sz w:val="20"/>
                      <w:szCs w:val="20"/>
                    </w:rPr>
                  </w:pPr>
                  <w:r w:rsidRPr="00C82585">
                    <w:rPr>
                      <w:rFonts w:asciiTheme="majorBidi" w:eastAsiaTheme="minorEastAsia" w:hAnsiTheme="majorBidi"/>
                      <w:b/>
                      <w:bCs/>
                      <w:sz w:val="20"/>
                      <w:szCs w:val="20"/>
                    </w:rPr>
                    <w:t xml:space="preserve">         4,8</w:t>
                  </w:r>
                </w:p>
              </w:tc>
            </w:tr>
            <w:tr w:rsidR="00905EA8" w:rsidRPr="00C82585" w:rsidTr="00BF5B2D">
              <w:trPr>
                <w:cnfStyle w:val="000000100000"/>
                <w:trHeight w:val="100"/>
              </w:trPr>
              <w:tc>
                <w:tcPr>
                  <w:cnfStyle w:val="001000000000"/>
                  <w:tcW w:w="1918" w:type="pct"/>
                  <w:noWrap/>
                </w:tcPr>
                <w:p w:rsidR="00905EA8" w:rsidRPr="00C82585" w:rsidRDefault="00905EA8" w:rsidP="00BF5B2D">
                  <w:pPr>
                    <w:rPr>
                      <w:rFonts w:asciiTheme="majorBidi" w:eastAsiaTheme="minorEastAsia" w:hAnsiTheme="majorBidi"/>
                      <w:color w:val="auto"/>
                    </w:rPr>
                  </w:pPr>
                </w:p>
              </w:tc>
              <w:tc>
                <w:tcPr>
                  <w:tcW w:w="720" w:type="pct"/>
                  <w:shd w:val="clear" w:color="auto" w:fill="FFFFFF" w:themeFill="background1"/>
                </w:tcPr>
                <w:p w:rsidR="00905EA8" w:rsidRPr="00C82585" w:rsidRDefault="00905EA8" w:rsidP="00BF5B2D">
                  <w:pPr>
                    <w:cnfStyle w:val="000000100000"/>
                    <w:rPr>
                      <w:rFonts w:asciiTheme="majorBidi" w:eastAsiaTheme="minorEastAsia" w:hAnsiTheme="majorBidi"/>
                      <w:b/>
                      <w:bCs/>
                      <w:color w:val="auto"/>
                    </w:rPr>
                  </w:pPr>
                </w:p>
              </w:tc>
              <w:tc>
                <w:tcPr>
                  <w:tcW w:w="538" w:type="pct"/>
                  <w:shd w:val="clear" w:color="auto" w:fill="FFFFFF" w:themeFill="background1"/>
                </w:tcPr>
                <w:p w:rsidR="00905EA8" w:rsidRPr="00C82585" w:rsidRDefault="00905EA8" w:rsidP="00BF5B2D">
                  <w:pPr>
                    <w:jc w:val="center"/>
                    <w:cnfStyle w:val="000000100000"/>
                    <w:rPr>
                      <w:rFonts w:asciiTheme="majorBidi" w:eastAsiaTheme="minorEastAsia" w:hAnsiTheme="majorBidi"/>
                      <w:b/>
                      <w:bCs/>
                      <w:color w:val="auto"/>
                    </w:rPr>
                  </w:pPr>
                </w:p>
              </w:tc>
              <w:tc>
                <w:tcPr>
                  <w:tcW w:w="539" w:type="pct"/>
                  <w:shd w:val="clear" w:color="auto" w:fill="FFFFFF" w:themeFill="background1"/>
                </w:tcPr>
                <w:p w:rsidR="00905EA8" w:rsidRPr="00C82585" w:rsidRDefault="00905EA8" w:rsidP="00BF5B2D">
                  <w:pPr>
                    <w:jc w:val="center"/>
                    <w:cnfStyle w:val="000000100000"/>
                    <w:rPr>
                      <w:rFonts w:asciiTheme="majorBidi" w:eastAsiaTheme="minorEastAsia" w:hAnsiTheme="majorBidi"/>
                      <w:b/>
                      <w:bCs/>
                      <w:color w:val="auto"/>
                    </w:rPr>
                  </w:pPr>
                </w:p>
              </w:tc>
              <w:tc>
                <w:tcPr>
                  <w:tcW w:w="540" w:type="pct"/>
                  <w:shd w:val="clear" w:color="auto" w:fill="FFFFFF" w:themeFill="background1"/>
                </w:tcPr>
                <w:p w:rsidR="00905EA8" w:rsidRPr="00C82585" w:rsidRDefault="00905EA8" w:rsidP="00BF5B2D">
                  <w:pPr>
                    <w:jc w:val="center"/>
                    <w:cnfStyle w:val="000000100000"/>
                    <w:rPr>
                      <w:rFonts w:asciiTheme="majorBidi" w:eastAsiaTheme="minorEastAsia" w:hAnsiTheme="majorBidi"/>
                      <w:b/>
                      <w:bCs/>
                      <w:color w:val="auto"/>
                    </w:rPr>
                  </w:pPr>
                </w:p>
              </w:tc>
              <w:tc>
                <w:tcPr>
                  <w:tcW w:w="745" w:type="pct"/>
                  <w:shd w:val="clear" w:color="auto" w:fill="FFFFFF" w:themeFill="background1"/>
                </w:tcPr>
                <w:p w:rsidR="00905EA8" w:rsidRPr="00C82585" w:rsidRDefault="00905EA8" w:rsidP="00BF5B2D">
                  <w:pPr>
                    <w:jc w:val="center"/>
                    <w:cnfStyle w:val="000000100000"/>
                    <w:rPr>
                      <w:rFonts w:asciiTheme="majorBidi" w:eastAsiaTheme="minorEastAsia" w:hAnsiTheme="majorBidi"/>
                      <w:b/>
                      <w:bCs/>
                      <w:color w:val="auto"/>
                    </w:rPr>
                  </w:pPr>
                </w:p>
              </w:tc>
            </w:tr>
          </w:tbl>
          <w:p w:rsidR="00905EA8" w:rsidRPr="00C82585" w:rsidRDefault="00905EA8" w:rsidP="00BF5B2D">
            <w:pPr>
              <w:rPr>
                <w:rFonts w:asciiTheme="majorBidi" w:hAnsiTheme="majorBidi" w:cstheme="majorBidi"/>
                <w:color w:val="000000"/>
              </w:rPr>
            </w:pPr>
          </w:p>
          <w:p w:rsidR="00905EA8" w:rsidRPr="00C82585" w:rsidRDefault="00905EA8" w:rsidP="00BF5B2D">
            <w:pPr>
              <w:rPr>
                <w:rFonts w:asciiTheme="majorBidi" w:hAnsiTheme="majorBidi" w:cstheme="majorBidi"/>
                <w:color w:val="000000"/>
              </w:rPr>
            </w:pPr>
          </w:p>
          <w:tbl>
            <w:tblPr>
              <w:tblStyle w:val="Listemoyenne2-Accent1"/>
              <w:tblW w:w="10206" w:type="dxa"/>
              <w:tblLook w:val="04A0"/>
            </w:tblPr>
            <w:tblGrid>
              <w:gridCol w:w="3915"/>
              <w:gridCol w:w="1470"/>
              <w:gridCol w:w="1098"/>
              <w:gridCol w:w="1100"/>
              <w:gridCol w:w="1102"/>
              <w:gridCol w:w="1521"/>
            </w:tblGrid>
            <w:tr w:rsidR="00905EA8" w:rsidRPr="00C82585" w:rsidTr="00BF5B2D">
              <w:trPr>
                <w:cnfStyle w:val="100000000000"/>
              </w:trPr>
              <w:tc>
                <w:tcPr>
                  <w:cnfStyle w:val="001000000100"/>
                  <w:tcW w:w="1918" w:type="pct"/>
                  <w:noWrap/>
                </w:tcPr>
                <w:p w:rsidR="00905EA8" w:rsidRPr="00C82585" w:rsidRDefault="00905EA8" w:rsidP="00BF5B2D">
                  <w:pPr>
                    <w:rPr>
                      <w:rFonts w:asciiTheme="majorBidi" w:eastAsiaTheme="minorEastAsia" w:hAnsiTheme="majorBidi"/>
                      <w:color w:val="auto"/>
                      <w:sz w:val="20"/>
                      <w:szCs w:val="20"/>
                    </w:rPr>
                  </w:pPr>
                </w:p>
                <w:p w:rsidR="00905EA8" w:rsidRPr="00C82585" w:rsidRDefault="00905EA8" w:rsidP="00BF5B2D">
                  <w:pPr>
                    <w:rPr>
                      <w:rFonts w:asciiTheme="majorBidi" w:eastAsiaTheme="minorEastAsia" w:hAnsiTheme="majorBidi"/>
                      <w:sz w:val="20"/>
                      <w:szCs w:val="20"/>
                    </w:rPr>
                  </w:pPr>
                  <w:r w:rsidRPr="00C82585">
                    <w:rPr>
                      <w:rFonts w:asciiTheme="majorBidi" w:eastAsiaTheme="minorEastAsia" w:hAnsiTheme="majorBidi"/>
                      <w:b/>
                      <w:bCs/>
                      <w:sz w:val="20"/>
                      <w:szCs w:val="20"/>
                    </w:rPr>
                    <w:t xml:space="preserve">         PIB par tête</w:t>
                  </w:r>
                </w:p>
              </w:tc>
              <w:tc>
                <w:tcPr>
                  <w:tcW w:w="720" w:type="pct"/>
                </w:tcPr>
                <w:p w:rsidR="00905EA8" w:rsidRPr="00C82585" w:rsidRDefault="00905EA8" w:rsidP="00BF5B2D">
                  <w:pPr>
                    <w:cnfStyle w:val="100000000000"/>
                    <w:rPr>
                      <w:rFonts w:asciiTheme="majorBidi" w:eastAsiaTheme="minorEastAsia" w:hAnsiTheme="majorBidi"/>
                      <w:b/>
                      <w:bCs/>
                      <w:color w:val="auto"/>
                      <w:sz w:val="20"/>
                      <w:szCs w:val="20"/>
                    </w:rPr>
                  </w:pPr>
                </w:p>
                <w:p w:rsidR="00905EA8" w:rsidRPr="00C82585" w:rsidRDefault="00905EA8" w:rsidP="00BF5B2D">
                  <w:pPr>
                    <w:jc w:val="center"/>
                    <w:cnfStyle w:val="100000000000"/>
                    <w:rPr>
                      <w:rFonts w:asciiTheme="majorBidi" w:eastAsiaTheme="minorEastAsia" w:hAnsiTheme="majorBidi"/>
                      <w:b/>
                      <w:bCs/>
                      <w:color w:val="auto"/>
                      <w:sz w:val="20"/>
                      <w:szCs w:val="20"/>
                    </w:rPr>
                  </w:pPr>
                  <w:r w:rsidRPr="00C82585">
                    <w:rPr>
                      <w:rFonts w:asciiTheme="majorBidi" w:eastAsiaTheme="minorEastAsia" w:hAnsiTheme="majorBidi"/>
                      <w:b/>
                      <w:bCs/>
                      <w:color w:val="auto"/>
                      <w:sz w:val="20"/>
                      <w:szCs w:val="20"/>
                    </w:rPr>
                    <w:t>2007</w:t>
                  </w:r>
                </w:p>
              </w:tc>
              <w:tc>
                <w:tcPr>
                  <w:tcW w:w="538" w:type="pct"/>
                </w:tcPr>
                <w:p w:rsidR="00905EA8" w:rsidRPr="00C82585" w:rsidRDefault="00905EA8" w:rsidP="00BF5B2D">
                  <w:pPr>
                    <w:jc w:val="center"/>
                    <w:cnfStyle w:val="100000000000"/>
                    <w:rPr>
                      <w:rFonts w:asciiTheme="majorBidi" w:eastAsiaTheme="minorEastAsia" w:hAnsiTheme="majorBidi"/>
                      <w:b/>
                      <w:bCs/>
                      <w:color w:val="auto"/>
                      <w:sz w:val="20"/>
                      <w:szCs w:val="20"/>
                    </w:rPr>
                  </w:pPr>
                </w:p>
                <w:p w:rsidR="00905EA8" w:rsidRPr="00C82585" w:rsidRDefault="00905EA8" w:rsidP="00BF5B2D">
                  <w:pPr>
                    <w:jc w:val="center"/>
                    <w:cnfStyle w:val="100000000000"/>
                    <w:rPr>
                      <w:rFonts w:asciiTheme="majorBidi" w:eastAsiaTheme="minorEastAsia" w:hAnsiTheme="majorBidi"/>
                      <w:b/>
                      <w:bCs/>
                      <w:color w:val="auto"/>
                      <w:sz w:val="20"/>
                      <w:szCs w:val="20"/>
                    </w:rPr>
                  </w:pPr>
                  <w:r w:rsidRPr="00C82585">
                    <w:rPr>
                      <w:rFonts w:asciiTheme="majorBidi" w:eastAsiaTheme="minorEastAsia" w:hAnsiTheme="majorBidi"/>
                      <w:b/>
                      <w:bCs/>
                      <w:color w:val="auto"/>
                      <w:sz w:val="20"/>
                      <w:szCs w:val="20"/>
                    </w:rPr>
                    <w:t>2009</w:t>
                  </w:r>
                </w:p>
              </w:tc>
              <w:tc>
                <w:tcPr>
                  <w:tcW w:w="539" w:type="pct"/>
                </w:tcPr>
                <w:p w:rsidR="00905EA8" w:rsidRPr="00C82585" w:rsidRDefault="00905EA8" w:rsidP="00BF5B2D">
                  <w:pPr>
                    <w:jc w:val="center"/>
                    <w:cnfStyle w:val="100000000000"/>
                    <w:rPr>
                      <w:rFonts w:asciiTheme="majorBidi" w:eastAsiaTheme="minorEastAsia" w:hAnsiTheme="majorBidi"/>
                      <w:b/>
                      <w:bCs/>
                      <w:color w:val="auto"/>
                      <w:sz w:val="20"/>
                      <w:szCs w:val="20"/>
                    </w:rPr>
                  </w:pPr>
                </w:p>
                <w:p w:rsidR="00905EA8" w:rsidRPr="00C82585" w:rsidRDefault="00905EA8" w:rsidP="00BF5B2D">
                  <w:pPr>
                    <w:jc w:val="center"/>
                    <w:cnfStyle w:val="100000000000"/>
                    <w:rPr>
                      <w:rFonts w:asciiTheme="majorBidi" w:eastAsiaTheme="minorEastAsia" w:hAnsiTheme="majorBidi"/>
                      <w:b/>
                      <w:bCs/>
                      <w:color w:val="auto"/>
                      <w:sz w:val="20"/>
                      <w:szCs w:val="20"/>
                    </w:rPr>
                  </w:pPr>
                  <w:r w:rsidRPr="00C82585">
                    <w:rPr>
                      <w:rFonts w:asciiTheme="majorBidi" w:eastAsiaTheme="minorEastAsia" w:hAnsiTheme="majorBidi"/>
                      <w:b/>
                      <w:bCs/>
                      <w:color w:val="auto"/>
                      <w:sz w:val="20"/>
                      <w:szCs w:val="20"/>
                    </w:rPr>
                    <w:t>2010</w:t>
                  </w:r>
                </w:p>
              </w:tc>
              <w:tc>
                <w:tcPr>
                  <w:tcW w:w="540" w:type="pct"/>
                </w:tcPr>
                <w:p w:rsidR="00905EA8" w:rsidRPr="00C82585" w:rsidRDefault="00905EA8" w:rsidP="00BF5B2D">
                  <w:pPr>
                    <w:jc w:val="center"/>
                    <w:cnfStyle w:val="100000000000"/>
                    <w:rPr>
                      <w:rFonts w:asciiTheme="majorBidi" w:eastAsiaTheme="minorEastAsia" w:hAnsiTheme="majorBidi"/>
                      <w:b/>
                      <w:bCs/>
                      <w:color w:val="auto"/>
                      <w:sz w:val="20"/>
                      <w:szCs w:val="20"/>
                    </w:rPr>
                  </w:pPr>
                </w:p>
                <w:p w:rsidR="00905EA8" w:rsidRPr="00C82585" w:rsidRDefault="00905EA8" w:rsidP="00BF5B2D">
                  <w:pPr>
                    <w:jc w:val="center"/>
                    <w:cnfStyle w:val="100000000000"/>
                    <w:rPr>
                      <w:rFonts w:asciiTheme="majorBidi" w:eastAsiaTheme="minorEastAsia" w:hAnsiTheme="majorBidi"/>
                      <w:b/>
                      <w:bCs/>
                      <w:color w:val="auto"/>
                      <w:sz w:val="20"/>
                      <w:szCs w:val="20"/>
                    </w:rPr>
                  </w:pPr>
                  <w:r w:rsidRPr="00C82585">
                    <w:rPr>
                      <w:rFonts w:asciiTheme="majorBidi" w:eastAsiaTheme="minorEastAsia" w:hAnsiTheme="majorBidi"/>
                      <w:b/>
                      <w:bCs/>
                      <w:color w:val="auto"/>
                      <w:sz w:val="20"/>
                      <w:szCs w:val="20"/>
                    </w:rPr>
                    <w:t xml:space="preserve">     2011</w:t>
                  </w:r>
                </w:p>
              </w:tc>
              <w:tc>
                <w:tcPr>
                  <w:tcW w:w="745" w:type="pct"/>
                </w:tcPr>
                <w:p w:rsidR="00905EA8" w:rsidRPr="00C82585" w:rsidRDefault="00905EA8" w:rsidP="00BF5B2D">
                  <w:pPr>
                    <w:jc w:val="center"/>
                    <w:cnfStyle w:val="100000000000"/>
                    <w:rPr>
                      <w:rFonts w:asciiTheme="majorBidi" w:eastAsiaTheme="minorEastAsia" w:hAnsiTheme="majorBidi"/>
                      <w:b/>
                      <w:bCs/>
                      <w:color w:val="auto"/>
                      <w:sz w:val="20"/>
                      <w:szCs w:val="20"/>
                    </w:rPr>
                  </w:pPr>
                </w:p>
                <w:p w:rsidR="00905EA8" w:rsidRPr="00C82585" w:rsidRDefault="00905EA8" w:rsidP="00BF5B2D">
                  <w:pPr>
                    <w:cnfStyle w:val="100000000000"/>
                    <w:rPr>
                      <w:rFonts w:asciiTheme="majorBidi" w:eastAsiaTheme="minorEastAsia" w:hAnsiTheme="majorBidi"/>
                      <w:b/>
                      <w:bCs/>
                      <w:color w:val="auto"/>
                      <w:sz w:val="20"/>
                      <w:szCs w:val="20"/>
                    </w:rPr>
                  </w:pPr>
                  <w:r w:rsidRPr="00C82585">
                    <w:rPr>
                      <w:rFonts w:asciiTheme="majorBidi" w:eastAsiaTheme="minorEastAsia" w:hAnsiTheme="majorBidi"/>
                      <w:b/>
                      <w:bCs/>
                      <w:color w:val="auto"/>
                      <w:sz w:val="20"/>
                      <w:szCs w:val="20"/>
                    </w:rPr>
                    <w:t xml:space="preserve">   2012</w:t>
                  </w:r>
                </w:p>
              </w:tc>
            </w:tr>
            <w:tr w:rsidR="00905EA8" w:rsidRPr="00C82585" w:rsidTr="00BF5B2D">
              <w:trPr>
                <w:cnfStyle w:val="000000100000"/>
              </w:trPr>
              <w:tc>
                <w:tcPr>
                  <w:cnfStyle w:val="001000000000"/>
                  <w:tcW w:w="1918" w:type="pct"/>
                  <w:noWrap/>
                </w:tcPr>
                <w:p w:rsidR="00905EA8" w:rsidRPr="00C82585" w:rsidRDefault="00905EA8" w:rsidP="00BF5B2D">
                  <w:pPr>
                    <w:rPr>
                      <w:rFonts w:asciiTheme="majorBidi" w:eastAsiaTheme="minorEastAsia" w:hAnsiTheme="majorBidi"/>
                      <w:b/>
                      <w:bCs/>
                      <w:color w:val="auto"/>
                      <w:sz w:val="20"/>
                      <w:szCs w:val="20"/>
                    </w:rPr>
                  </w:pPr>
                </w:p>
                <w:p w:rsidR="00905EA8" w:rsidRPr="00C82585" w:rsidRDefault="00905EA8" w:rsidP="00BF5B2D">
                  <w:pPr>
                    <w:rPr>
                      <w:rFonts w:asciiTheme="majorBidi" w:eastAsiaTheme="minorEastAsia" w:hAnsiTheme="majorBidi"/>
                      <w:b/>
                      <w:bCs/>
                      <w:color w:val="auto"/>
                      <w:sz w:val="20"/>
                      <w:szCs w:val="20"/>
                    </w:rPr>
                  </w:pPr>
                  <w:r w:rsidRPr="00C82585">
                    <w:rPr>
                      <w:rFonts w:asciiTheme="majorBidi" w:eastAsiaTheme="minorEastAsia" w:hAnsiTheme="majorBidi"/>
                      <w:b/>
                      <w:bCs/>
                      <w:color w:val="auto"/>
                      <w:sz w:val="20"/>
                      <w:szCs w:val="20"/>
                    </w:rPr>
                    <w:t>Région de Tanger-Tétouan</w:t>
                  </w:r>
                </w:p>
              </w:tc>
              <w:tc>
                <w:tcPr>
                  <w:tcW w:w="720" w:type="pct"/>
                  <w:tcBorders>
                    <w:top w:val="single" w:sz="24" w:space="0" w:color="4F81BD" w:themeColor="accent1"/>
                  </w:tcBorders>
                  <w:shd w:val="clear" w:color="auto" w:fill="FFFFFF" w:themeFill="background1"/>
                </w:tcPr>
                <w:p w:rsidR="00905EA8" w:rsidRPr="00C82585" w:rsidRDefault="00905EA8" w:rsidP="00BF5B2D">
                  <w:pPr>
                    <w:jc w:val="center"/>
                    <w:cnfStyle w:val="000000100000"/>
                    <w:rPr>
                      <w:rFonts w:asciiTheme="majorBidi" w:eastAsiaTheme="minorEastAsia" w:hAnsiTheme="majorBidi"/>
                      <w:color w:val="auto"/>
                      <w:sz w:val="20"/>
                      <w:szCs w:val="20"/>
                    </w:rPr>
                  </w:pPr>
                </w:p>
              </w:tc>
              <w:tc>
                <w:tcPr>
                  <w:tcW w:w="538" w:type="pct"/>
                  <w:tcBorders>
                    <w:top w:val="single" w:sz="24" w:space="0" w:color="4F81BD" w:themeColor="accent1"/>
                  </w:tcBorders>
                  <w:shd w:val="clear" w:color="auto" w:fill="FFFFFF" w:themeFill="background1"/>
                </w:tcPr>
                <w:p w:rsidR="00905EA8" w:rsidRPr="00C82585" w:rsidRDefault="00905EA8" w:rsidP="00BF5B2D">
                  <w:pPr>
                    <w:jc w:val="center"/>
                    <w:cnfStyle w:val="000000100000"/>
                    <w:rPr>
                      <w:rFonts w:asciiTheme="majorBidi" w:eastAsiaTheme="minorEastAsia" w:hAnsiTheme="majorBidi"/>
                      <w:color w:val="auto"/>
                      <w:sz w:val="20"/>
                      <w:szCs w:val="20"/>
                    </w:rPr>
                  </w:pPr>
                </w:p>
              </w:tc>
              <w:tc>
                <w:tcPr>
                  <w:tcW w:w="539" w:type="pct"/>
                  <w:tcBorders>
                    <w:top w:val="single" w:sz="24" w:space="0" w:color="4F81BD" w:themeColor="accent1"/>
                  </w:tcBorders>
                  <w:shd w:val="clear" w:color="auto" w:fill="FFFFFF" w:themeFill="background1"/>
                </w:tcPr>
                <w:p w:rsidR="00905EA8" w:rsidRPr="00C82585" w:rsidRDefault="00905EA8" w:rsidP="00BF5B2D">
                  <w:pPr>
                    <w:jc w:val="center"/>
                    <w:cnfStyle w:val="000000100000"/>
                    <w:rPr>
                      <w:rFonts w:asciiTheme="majorBidi" w:eastAsiaTheme="minorEastAsia" w:hAnsiTheme="majorBidi"/>
                      <w:color w:val="auto"/>
                      <w:sz w:val="20"/>
                      <w:szCs w:val="20"/>
                    </w:rPr>
                  </w:pPr>
                </w:p>
              </w:tc>
              <w:tc>
                <w:tcPr>
                  <w:tcW w:w="540" w:type="pct"/>
                  <w:tcBorders>
                    <w:top w:val="single" w:sz="24" w:space="0" w:color="4F81BD" w:themeColor="accent1"/>
                  </w:tcBorders>
                  <w:shd w:val="clear" w:color="auto" w:fill="FFFFFF" w:themeFill="background1"/>
                </w:tcPr>
                <w:p w:rsidR="00905EA8" w:rsidRPr="00C82585" w:rsidRDefault="00905EA8" w:rsidP="00BF5B2D">
                  <w:pPr>
                    <w:jc w:val="center"/>
                    <w:cnfStyle w:val="000000100000"/>
                    <w:rPr>
                      <w:rFonts w:asciiTheme="majorBidi" w:eastAsiaTheme="minorEastAsia" w:hAnsiTheme="majorBidi"/>
                      <w:color w:val="auto"/>
                      <w:sz w:val="20"/>
                      <w:szCs w:val="20"/>
                    </w:rPr>
                  </w:pPr>
                </w:p>
              </w:tc>
              <w:tc>
                <w:tcPr>
                  <w:tcW w:w="745" w:type="pct"/>
                  <w:tcBorders>
                    <w:top w:val="single" w:sz="24" w:space="0" w:color="4F81BD" w:themeColor="accent1"/>
                  </w:tcBorders>
                  <w:shd w:val="clear" w:color="auto" w:fill="FFFFFF" w:themeFill="background1"/>
                </w:tcPr>
                <w:p w:rsidR="00905EA8" w:rsidRPr="00C82585" w:rsidRDefault="00905EA8" w:rsidP="00BF5B2D">
                  <w:pPr>
                    <w:jc w:val="center"/>
                    <w:cnfStyle w:val="000000100000"/>
                    <w:rPr>
                      <w:rFonts w:asciiTheme="majorBidi" w:eastAsiaTheme="minorEastAsia" w:hAnsiTheme="majorBidi"/>
                      <w:color w:val="auto"/>
                      <w:sz w:val="20"/>
                      <w:szCs w:val="20"/>
                    </w:rPr>
                  </w:pPr>
                </w:p>
              </w:tc>
            </w:tr>
            <w:tr w:rsidR="00905EA8" w:rsidRPr="00C82585" w:rsidTr="00BF5B2D">
              <w:tc>
                <w:tcPr>
                  <w:cnfStyle w:val="001000000000"/>
                  <w:tcW w:w="1918" w:type="pct"/>
                  <w:noWrap/>
                </w:tcPr>
                <w:p w:rsidR="00905EA8" w:rsidRPr="00C82585" w:rsidRDefault="00905EA8" w:rsidP="00905EA8">
                  <w:pPr>
                    <w:pStyle w:val="Paragraphedeliste"/>
                    <w:numPr>
                      <w:ilvl w:val="0"/>
                      <w:numId w:val="2"/>
                    </w:numPr>
                    <w:spacing w:line="240" w:lineRule="auto"/>
                    <w:rPr>
                      <w:rFonts w:asciiTheme="majorBidi" w:eastAsiaTheme="minorEastAsia" w:hAnsiTheme="majorBidi"/>
                      <w:b/>
                      <w:bCs/>
                      <w:sz w:val="20"/>
                      <w:szCs w:val="20"/>
                    </w:rPr>
                  </w:pPr>
                  <w:r w:rsidRPr="00C82585">
                    <w:rPr>
                      <w:rFonts w:asciiTheme="majorBidi" w:eastAsiaTheme="minorEastAsia" w:hAnsiTheme="majorBidi"/>
                      <w:b/>
                      <w:bCs/>
                      <w:sz w:val="20"/>
                      <w:szCs w:val="20"/>
                    </w:rPr>
                    <w:t>PIB par tête (Dh)</w:t>
                  </w:r>
                </w:p>
                <w:p w:rsidR="00905EA8" w:rsidRPr="00C82585" w:rsidRDefault="00905EA8" w:rsidP="00905EA8">
                  <w:pPr>
                    <w:pStyle w:val="Paragraphedeliste"/>
                    <w:numPr>
                      <w:ilvl w:val="0"/>
                      <w:numId w:val="2"/>
                    </w:numPr>
                    <w:spacing w:line="240" w:lineRule="auto"/>
                    <w:rPr>
                      <w:rFonts w:asciiTheme="majorBidi" w:eastAsiaTheme="minorEastAsia" w:hAnsiTheme="majorBidi"/>
                      <w:b/>
                      <w:bCs/>
                      <w:sz w:val="20"/>
                      <w:szCs w:val="20"/>
                    </w:rPr>
                  </w:pPr>
                  <w:r w:rsidRPr="00C82585">
                    <w:rPr>
                      <w:rFonts w:asciiTheme="majorBidi" w:eastAsiaTheme="minorEastAsia" w:hAnsiTheme="majorBidi"/>
                      <w:b/>
                      <w:bCs/>
                      <w:sz w:val="20"/>
                      <w:szCs w:val="20"/>
                    </w:rPr>
                    <w:t>Accroissement annuel (%)</w:t>
                  </w:r>
                </w:p>
              </w:tc>
              <w:tc>
                <w:tcPr>
                  <w:tcW w:w="720" w:type="pct"/>
                  <w:tcBorders>
                    <w:bottom w:val="nil"/>
                  </w:tcBorders>
                </w:tcPr>
                <w:p w:rsidR="00905EA8" w:rsidRPr="00C82585" w:rsidRDefault="00905EA8" w:rsidP="00BF5B2D">
                  <w:pPr>
                    <w:cnfStyle w:val="000000000000"/>
                    <w:rPr>
                      <w:rFonts w:asciiTheme="majorBidi" w:eastAsiaTheme="minorEastAsia" w:hAnsiTheme="majorBidi"/>
                      <w:b/>
                      <w:bCs/>
                      <w:color w:val="auto"/>
                      <w:sz w:val="20"/>
                      <w:szCs w:val="20"/>
                    </w:rPr>
                  </w:pPr>
                  <w:r w:rsidRPr="00C82585">
                    <w:rPr>
                      <w:rFonts w:asciiTheme="majorBidi" w:eastAsiaTheme="minorEastAsia" w:hAnsiTheme="majorBidi"/>
                      <w:b/>
                      <w:bCs/>
                      <w:color w:val="auto"/>
                      <w:sz w:val="20"/>
                      <w:szCs w:val="20"/>
                    </w:rPr>
                    <w:t xml:space="preserve">    </w:t>
                  </w:r>
                  <w:r>
                    <w:rPr>
                      <w:rFonts w:asciiTheme="majorBidi" w:eastAsiaTheme="minorEastAsia" w:hAnsiTheme="majorBidi"/>
                      <w:b/>
                      <w:bCs/>
                      <w:color w:val="auto"/>
                      <w:sz w:val="20"/>
                      <w:szCs w:val="20"/>
                    </w:rPr>
                    <w:t xml:space="preserve">  </w:t>
                  </w:r>
                  <w:r w:rsidRPr="00C82585">
                    <w:rPr>
                      <w:rFonts w:asciiTheme="majorBidi" w:eastAsiaTheme="minorEastAsia" w:hAnsiTheme="majorBidi"/>
                      <w:b/>
                      <w:bCs/>
                      <w:color w:val="auto"/>
                      <w:sz w:val="20"/>
                      <w:szCs w:val="20"/>
                    </w:rPr>
                    <w:t>20926</w:t>
                  </w:r>
                </w:p>
                <w:p w:rsidR="00905EA8" w:rsidRPr="00C82585" w:rsidRDefault="00905EA8" w:rsidP="00BF5B2D">
                  <w:pPr>
                    <w:cnfStyle w:val="000000000000"/>
                    <w:rPr>
                      <w:rFonts w:asciiTheme="majorBidi" w:eastAsiaTheme="minorEastAsia" w:hAnsiTheme="majorBidi"/>
                      <w:b/>
                      <w:bCs/>
                      <w:sz w:val="20"/>
                      <w:szCs w:val="20"/>
                    </w:rPr>
                  </w:pPr>
                  <w:r w:rsidRPr="00C82585">
                    <w:rPr>
                      <w:rFonts w:asciiTheme="majorBidi" w:eastAsiaTheme="minorEastAsia" w:hAnsiTheme="majorBidi"/>
                      <w:b/>
                      <w:bCs/>
                      <w:sz w:val="20"/>
                      <w:szCs w:val="20"/>
                    </w:rPr>
                    <w:t xml:space="preserve">      </w:t>
                  </w:r>
                  <w:r>
                    <w:rPr>
                      <w:rFonts w:asciiTheme="majorBidi" w:eastAsiaTheme="minorEastAsia" w:hAnsiTheme="majorBidi"/>
                      <w:b/>
                      <w:bCs/>
                      <w:sz w:val="20"/>
                      <w:szCs w:val="20"/>
                    </w:rPr>
                    <w:t xml:space="preserve">  </w:t>
                  </w:r>
                  <w:r w:rsidRPr="00C82585">
                    <w:rPr>
                      <w:rFonts w:asciiTheme="majorBidi" w:eastAsiaTheme="minorEastAsia" w:hAnsiTheme="majorBidi"/>
                      <w:b/>
                      <w:bCs/>
                      <w:sz w:val="20"/>
                      <w:szCs w:val="20"/>
                    </w:rPr>
                    <w:t xml:space="preserve">  -</w:t>
                  </w:r>
                </w:p>
              </w:tc>
              <w:tc>
                <w:tcPr>
                  <w:tcW w:w="538" w:type="pct"/>
                  <w:tcBorders>
                    <w:bottom w:val="nil"/>
                  </w:tcBorders>
                </w:tcPr>
                <w:p w:rsidR="00905EA8" w:rsidRPr="00C82585" w:rsidRDefault="00905EA8" w:rsidP="00BF5B2D">
                  <w:pPr>
                    <w:jc w:val="center"/>
                    <w:cnfStyle w:val="000000000000"/>
                    <w:rPr>
                      <w:rFonts w:asciiTheme="majorBidi" w:eastAsiaTheme="minorEastAsia" w:hAnsiTheme="majorBidi"/>
                      <w:b/>
                      <w:bCs/>
                      <w:color w:val="auto"/>
                      <w:sz w:val="20"/>
                      <w:szCs w:val="20"/>
                    </w:rPr>
                  </w:pPr>
                  <w:r w:rsidRPr="00C82585">
                    <w:rPr>
                      <w:rFonts w:asciiTheme="majorBidi" w:eastAsiaTheme="minorEastAsia" w:hAnsiTheme="majorBidi"/>
                      <w:b/>
                      <w:bCs/>
                      <w:color w:val="auto"/>
                      <w:sz w:val="20"/>
                      <w:szCs w:val="20"/>
                    </w:rPr>
                    <w:t>23435</w:t>
                  </w:r>
                </w:p>
                <w:p w:rsidR="00905EA8" w:rsidRPr="00C82585" w:rsidRDefault="00905EA8" w:rsidP="00BF5B2D">
                  <w:pPr>
                    <w:cnfStyle w:val="000000000000"/>
                    <w:rPr>
                      <w:rFonts w:asciiTheme="majorBidi" w:eastAsiaTheme="minorEastAsia" w:hAnsiTheme="majorBidi"/>
                      <w:b/>
                      <w:bCs/>
                      <w:sz w:val="20"/>
                      <w:szCs w:val="20"/>
                    </w:rPr>
                  </w:pPr>
                  <w:r w:rsidRPr="00C82585">
                    <w:rPr>
                      <w:rFonts w:asciiTheme="majorBidi" w:eastAsiaTheme="minorEastAsia" w:hAnsiTheme="majorBidi"/>
                      <w:b/>
                      <w:bCs/>
                      <w:sz w:val="20"/>
                      <w:szCs w:val="20"/>
                    </w:rPr>
                    <w:t xml:space="preserve">       5,8</w:t>
                  </w:r>
                </w:p>
              </w:tc>
              <w:tc>
                <w:tcPr>
                  <w:tcW w:w="539" w:type="pct"/>
                  <w:tcBorders>
                    <w:bottom w:val="nil"/>
                  </w:tcBorders>
                </w:tcPr>
                <w:p w:rsidR="00905EA8" w:rsidRPr="00C82585" w:rsidRDefault="00905EA8" w:rsidP="00BF5B2D">
                  <w:pPr>
                    <w:jc w:val="center"/>
                    <w:cnfStyle w:val="000000000000"/>
                    <w:rPr>
                      <w:rFonts w:asciiTheme="majorBidi" w:eastAsiaTheme="minorEastAsia" w:hAnsiTheme="majorBidi"/>
                      <w:b/>
                      <w:bCs/>
                      <w:color w:val="auto"/>
                      <w:sz w:val="20"/>
                      <w:szCs w:val="20"/>
                    </w:rPr>
                  </w:pPr>
                  <w:r w:rsidRPr="00C82585">
                    <w:rPr>
                      <w:rFonts w:asciiTheme="majorBidi" w:eastAsiaTheme="minorEastAsia" w:hAnsiTheme="majorBidi"/>
                      <w:b/>
                      <w:bCs/>
                      <w:color w:val="auto"/>
                      <w:sz w:val="20"/>
                      <w:szCs w:val="20"/>
                    </w:rPr>
                    <w:t xml:space="preserve">  23124</w:t>
                  </w:r>
                </w:p>
                <w:p w:rsidR="00905EA8" w:rsidRPr="00C82585" w:rsidRDefault="00905EA8" w:rsidP="00BF5B2D">
                  <w:pPr>
                    <w:cnfStyle w:val="000000000000"/>
                    <w:rPr>
                      <w:rFonts w:asciiTheme="majorBidi" w:eastAsiaTheme="minorEastAsia" w:hAnsiTheme="majorBidi"/>
                      <w:b/>
                      <w:bCs/>
                      <w:sz w:val="20"/>
                      <w:szCs w:val="20"/>
                    </w:rPr>
                  </w:pPr>
                  <w:r w:rsidRPr="00C82585">
                    <w:rPr>
                      <w:rFonts w:asciiTheme="majorBidi" w:eastAsiaTheme="minorEastAsia" w:hAnsiTheme="majorBidi"/>
                      <w:b/>
                      <w:bCs/>
                      <w:sz w:val="20"/>
                      <w:szCs w:val="20"/>
                    </w:rPr>
                    <w:t xml:space="preserve">       -1,3</w:t>
                  </w:r>
                </w:p>
              </w:tc>
              <w:tc>
                <w:tcPr>
                  <w:tcW w:w="540" w:type="pct"/>
                  <w:tcBorders>
                    <w:bottom w:val="nil"/>
                  </w:tcBorders>
                </w:tcPr>
                <w:p w:rsidR="00905EA8" w:rsidRPr="00C82585" w:rsidRDefault="00905EA8" w:rsidP="00BF5B2D">
                  <w:pPr>
                    <w:jc w:val="center"/>
                    <w:cnfStyle w:val="000000000000"/>
                    <w:rPr>
                      <w:rFonts w:asciiTheme="majorBidi" w:eastAsiaTheme="minorEastAsia" w:hAnsiTheme="majorBidi"/>
                      <w:b/>
                      <w:bCs/>
                      <w:color w:val="auto"/>
                      <w:sz w:val="20"/>
                      <w:szCs w:val="20"/>
                    </w:rPr>
                  </w:pPr>
                  <w:r w:rsidRPr="00C82585">
                    <w:rPr>
                      <w:rFonts w:asciiTheme="majorBidi" w:eastAsiaTheme="minorEastAsia" w:hAnsiTheme="majorBidi"/>
                      <w:b/>
                      <w:bCs/>
                      <w:color w:val="auto"/>
                      <w:sz w:val="20"/>
                      <w:szCs w:val="20"/>
                    </w:rPr>
                    <w:t xml:space="preserve">    21149</w:t>
                  </w:r>
                </w:p>
                <w:p w:rsidR="00905EA8" w:rsidRPr="00C82585" w:rsidRDefault="00905EA8" w:rsidP="00BF5B2D">
                  <w:pPr>
                    <w:cnfStyle w:val="000000000000"/>
                    <w:rPr>
                      <w:rFonts w:asciiTheme="majorBidi" w:eastAsiaTheme="minorEastAsia" w:hAnsiTheme="majorBidi"/>
                      <w:b/>
                      <w:bCs/>
                      <w:sz w:val="20"/>
                      <w:szCs w:val="20"/>
                    </w:rPr>
                  </w:pPr>
                  <w:r w:rsidRPr="00C82585">
                    <w:rPr>
                      <w:rFonts w:asciiTheme="majorBidi" w:eastAsiaTheme="minorEastAsia" w:hAnsiTheme="majorBidi"/>
                      <w:b/>
                      <w:bCs/>
                      <w:sz w:val="20"/>
                      <w:szCs w:val="20"/>
                    </w:rPr>
                    <w:t xml:space="preserve">      </w:t>
                  </w:r>
                  <w:r>
                    <w:rPr>
                      <w:rFonts w:asciiTheme="majorBidi" w:eastAsiaTheme="minorEastAsia" w:hAnsiTheme="majorBidi"/>
                      <w:b/>
                      <w:bCs/>
                      <w:sz w:val="20"/>
                      <w:szCs w:val="20"/>
                    </w:rPr>
                    <w:t xml:space="preserve"> </w:t>
                  </w:r>
                  <w:r w:rsidRPr="00C82585">
                    <w:rPr>
                      <w:rFonts w:asciiTheme="majorBidi" w:eastAsiaTheme="minorEastAsia" w:hAnsiTheme="majorBidi"/>
                      <w:b/>
                      <w:bCs/>
                      <w:sz w:val="20"/>
                      <w:szCs w:val="20"/>
                    </w:rPr>
                    <w:t xml:space="preserve"> -8,5</w:t>
                  </w:r>
                </w:p>
              </w:tc>
              <w:tc>
                <w:tcPr>
                  <w:tcW w:w="745" w:type="pct"/>
                  <w:tcBorders>
                    <w:bottom w:val="nil"/>
                  </w:tcBorders>
                </w:tcPr>
                <w:p w:rsidR="00905EA8" w:rsidRPr="00C82585" w:rsidRDefault="00905EA8" w:rsidP="00BF5B2D">
                  <w:pPr>
                    <w:cnfStyle w:val="000000000000"/>
                    <w:rPr>
                      <w:rFonts w:asciiTheme="majorBidi" w:eastAsiaTheme="minorEastAsia" w:hAnsiTheme="majorBidi"/>
                      <w:b/>
                      <w:bCs/>
                      <w:color w:val="auto"/>
                      <w:sz w:val="20"/>
                      <w:szCs w:val="20"/>
                    </w:rPr>
                  </w:pPr>
                  <w:r w:rsidRPr="00C82585">
                    <w:rPr>
                      <w:rFonts w:asciiTheme="majorBidi" w:eastAsiaTheme="minorEastAsia" w:hAnsiTheme="majorBidi"/>
                      <w:b/>
                      <w:bCs/>
                      <w:color w:val="auto"/>
                      <w:sz w:val="20"/>
                      <w:szCs w:val="20"/>
                    </w:rPr>
                    <w:t xml:space="preserve">    21682</w:t>
                  </w:r>
                </w:p>
                <w:p w:rsidR="00905EA8" w:rsidRPr="00C82585" w:rsidRDefault="00905EA8" w:rsidP="00BF5B2D">
                  <w:pPr>
                    <w:cnfStyle w:val="000000000000"/>
                    <w:rPr>
                      <w:rFonts w:asciiTheme="majorBidi" w:eastAsiaTheme="minorEastAsia" w:hAnsiTheme="majorBidi"/>
                      <w:b/>
                      <w:bCs/>
                      <w:sz w:val="20"/>
                      <w:szCs w:val="20"/>
                    </w:rPr>
                  </w:pPr>
                  <w:r w:rsidRPr="00C82585">
                    <w:rPr>
                      <w:rFonts w:asciiTheme="majorBidi" w:eastAsiaTheme="minorEastAsia" w:hAnsiTheme="majorBidi"/>
                      <w:b/>
                      <w:bCs/>
                      <w:sz w:val="20"/>
                      <w:szCs w:val="20"/>
                    </w:rPr>
                    <w:t xml:space="preserve">     </w:t>
                  </w:r>
                  <w:r>
                    <w:rPr>
                      <w:rFonts w:asciiTheme="majorBidi" w:eastAsiaTheme="minorEastAsia" w:hAnsiTheme="majorBidi"/>
                      <w:b/>
                      <w:bCs/>
                      <w:sz w:val="20"/>
                      <w:szCs w:val="20"/>
                    </w:rPr>
                    <w:t xml:space="preserve">  </w:t>
                  </w:r>
                  <w:r w:rsidRPr="00C82585">
                    <w:rPr>
                      <w:rFonts w:asciiTheme="majorBidi" w:eastAsiaTheme="minorEastAsia" w:hAnsiTheme="majorBidi"/>
                      <w:b/>
                      <w:bCs/>
                      <w:sz w:val="20"/>
                      <w:szCs w:val="20"/>
                    </w:rPr>
                    <w:t>2,5</w:t>
                  </w:r>
                </w:p>
              </w:tc>
            </w:tr>
            <w:tr w:rsidR="00905EA8" w:rsidRPr="00C82585" w:rsidTr="00BF5B2D">
              <w:trPr>
                <w:cnfStyle w:val="000000100000"/>
                <w:trHeight w:val="322"/>
              </w:trPr>
              <w:tc>
                <w:tcPr>
                  <w:cnfStyle w:val="001000000000"/>
                  <w:tcW w:w="1918" w:type="pct"/>
                  <w:noWrap/>
                </w:tcPr>
                <w:p w:rsidR="00905EA8" w:rsidRPr="00C82585" w:rsidRDefault="00905EA8" w:rsidP="00BF5B2D">
                  <w:pPr>
                    <w:rPr>
                      <w:rFonts w:asciiTheme="majorBidi" w:eastAsiaTheme="minorEastAsia" w:hAnsiTheme="majorBidi"/>
                      <w:b/>
                      <w:bCs/>
                      <w:color w:val="auto"/>
                      <w:sz w:val="20"/>
                      <w:szCs w:val="20"/>
                    </w:rPr>
                  </w:pPr>
                  <w:r w:rsidRPr="00C82585">
                    <w:rPr>
                      <w:rFonts w:asciiTheme="majorBidi" w:eastAsiaTheme="minorEastAsia" w:hAnsiTheme="majorBidi"/>
                      <w:b/>
                      <w:bCs/>
                      <w:color w:val="auto"/>
                      <w:sz w:val="20"/>
                      <w:szCs w:val="20"/>
                    </w:rPr>
                    <w:t xml:space="preserve">  </w:t>
                  </w:r>
                </w:p>
              </w:tc>
              <w:tc>
                <w:tcPr>
                  <w:tcW w:w="720" w:type="pct"/>
                  <w:shd w:val="clear" w:color="auto" w:fill="FFFFFF" w:themeFill="background1"/>
                </w:tcPr>
                <w:p w:rsidR="00905EA8" w:rsidRPr="00C82585" w:rsidRDefault="00905EA8" w:rsidP="00BF5B2D">
                  <w:pPr>
                    <w:jc w:val="center"/>
                    <w:cnfStyle w:val="000000100000"/>
                    <w:rPr>
                      <w:rFonts w:asciiTheme="majorBidi" w:eastAsiaTheme="minorEastAsia" w:hAnsiTheme="majorBidi"/>
                      <w:color w:val="auto"/>
                      <w:sz w:val="20"/>
                      <w:szCs w:val="20"/>
                    </w:rPr>
                  </w:pPr>
                </w:p>
              </w:tc>
              <w:tc>
                <w:tcPr>
                  <w:tcW w:w="538" w:type="pct"/>
                  <w:shd w:val="clear" w:color="auto" w:fill="FFFFFF" w:themeFill="background1"/>
                </w:tcPr>
                <w:p w:rsidR="00905EA8" w:rsidRPr="00C82585" w:rsidRDefault="00905EA8" w:rsidP="00BF5B2D">
                  <w:pPr>
                    <w:jc w:val="center"/>
                    <w:cnfStyle w:val="000000100000"/>
                    <w:rPr>
                      <w:rFonts w:asciiTheme="majorBidi" w:eastAsiaTheme="minorEastAsia" w:hAnsiTheme="majorBidi"/>
                      <w:color w:val="auto"/>
                      <w:sz w:val="20"/>
                      <w:szCs w:val="20"/>
                    </w:rPr>
                  </w:pPr>
                </w:p>
              </w:tc>
              <w:tc>
                <w:tcPr>
                  <w:tcW w:w="539" w:type="pct"/>
                  <w:shd w:val="clear" w:color="auto" w:fill="FFFFFF" w:themeFill="background1"/>
                </w:tcPr>
                <w:p w:rsidR="00905EA8" w:rsidRPr="00C82585" w:rsidRDefault="00905EA8" w:rsidP="00BF5B2D">
                  <w:pPr>
                    <w:jc w:val="center"/>
                    <w:cnfStyle w:val="000000100000"/>
                    <w:rPr>
                      <w:rFonts w:asciiTheme="majorBidi" w:eastAsiaTheme="minorEastAsia" w:hAnsiTheme="majorBidi"/>
                      <w:color w:val="auto"/>
                      <w:sz w:val="20"/>
                      <w:szCs w:val="20"/>
                    </w:rPr>
                  </w:pPr>
                </w:p>
              </w:tc>
              <w:tc>
                <w:tcPr>
                  <w:tcW w:w="540" w:type="pct"/>
                  <w:shd w:val="clear" w:color="auto" w:fill="FFFFFF" w:themeFill="background1"/>
                </w:tcPr>
                <w:p w:rsidR="00905EA8" w:rsidRPr="00C82585" w:rsidRDefault="00905EA8" w:rsidP="00BF5B2D">
                  <w:pPr>
                    <w:jc w:val="center"/>
                    <w:cnfStyle w:val="000000100000"/>
                    <w:rPr>
                      <w:rFonts w:asciiTheme="majorBidi" w:eastAsiaTheme="minorEastAsia" w:hAnsiTheme="majorBidi"/>
                      <w:color w:val="auto"/>
                      <w:sz w:val="20"/>
                      <w:szCs w:val="20"/>
                    </w:rPr>
                  </w:pPr>
                </w:p>
              </w:tc>
              <w:tc>
                <w:tcPr>
                  <w:tcW w:w="745" w:type="pct"/>
                  <w:shd w:val="clear" w:color="auto" w:fill="FFFFFF" w:themeFill="background1"/>
                </w:tcPr>
                <w:p w:rsidR="00905EA8" w:rsidRPr="00C82585" w:rsidRDefault="00905EA8" w:rsidP="00BF5B2D">
                  <w:pPr>
                    <w:jc w:val="center"/>
                    <w:cnfStyle w:val="000000100000"/>
                    <w:rPr>
                      <w:rFonts w:asciiTheme="majorBidi" w:eastAsiaTheme="minorEastAsia" w:hAnsiTheme="majorBidi"/>
                      <w:color w:val="auto"/>
                      <w:sz w:val="20"/>
                      <w:szCs w:val="20"/>
                    </w:rPr>
                  </w:pPr>
                </w:p>
              </w:tc>
            </w:tr>
            <w:tr w:rsidR="00905EA8" w:rsidRPr="00C82585" w:rsidTr="00BF5B2D">
              <w:tc>
                <w:tcPr>
                  <w:cnfStyle w:val="001000000000"/>
                  <w:tcW w:w="1918" w:type="pct"/>
                  <w:noWrap/>
                </w:tcPr>
                <w:p w:rsidR="00905EA8" w:rsidRPr="00C82585" w:rsidRDefault="00905EA8" w:rsidP="00BF5B2D">
                  <w:pPr>
                    <w:rPr>
                      <w:rFonts w:asciiTheme="majorBidi" w:eastAsiaTheme="minorEastAsia" w:hAnsiTheme="majorBidi"/>
                      <w:b/>
                      <w:bCs/>
                      <w:color w:val="auto"/>
                      <w:sz w:val="20"/>
                      <w:szCs w:val="20"/>
                    </w:rPr>
                  </w:pPr>
                  <w:r w:rsidRPr="00C82585">
                    <w:rPr>
                      <w:rFonts w:asciiTheme="majorBidi" w:eastAsiaTheme="minorEastAsia" w:hAnsiTheme="majorBidi"/>
                      <w:b/>
                      <w:bCs/>
                      <w:color w:val="auto"/>
                      <w:sz w:val="20"/>
                      <w:szCs w:val="20"/>
                    </w:rPr>
                    <w:t>Niveau national</w:t>
                  </w:r>
                </w:p>
                <w:p w:rsidR="00905EA8" w:rsidRPr="00C82585" w:rsidRDefault="00905EA8" w:rsidP="00905EA8">
                  <w:pPr>
                    <w:pStyle w:val="Paragraphedeliste"/>
                    <w:numPr>
                      <w:ilvl w:val="0"/>
                      <w:numId w:val="2"/>
                    </w:numPr>
                    <w:spacing w:line="240" w:lineRule="auto"/>
                    <w:rPr>
                      <w:rFonts w:asciiTheme="majorBidi" w:eastAsiaTheme="minorEastAsia" w:hAnsiTheme="majorBidi"/>
                      <w:b/>
                      <w:bCs/>
                      <w:sz w:val="20"/>
                      <w:szCs w:val="20"/>
                    </w:rPr>
                  </w:pPr>
                  <w:r w:rsidRPr="00C82585">
                    <w:rPr>
                      <w:rFonts w:asciiTheme="majorBidi" w:eastAsiaTheme="minorEastAsia" w:hAnsiTheme="majorBidi"/>
                      <w:b/>
                      <w:bCs/>
                      <w:sz w:val="20"/>
                      <w:szCs w:val="20"/>
                    </w:rPr>
                    <w:t>PIB par tête (Dh)</w:t>
                  </w:r>
                </w:p>
                <w:p w:rsidR="00905EA8" w:rsidRPr="00C82585" w:rsidRDefault="00905EA8" w:rsidP="00BF5B2D">
                  <w:pPr>
                    <w:rPr>
                      <w:rFonts w:asciiTheme="majorBidi" w:eastAsiaTheme="minorEastAsia" w:hAnsiTheme="majorBidi"/>
                      <w:b/>
                      <w:bCs/>
                      <w:color w:val="auto"/>
                      <w:sz w:val="20"/>
                      <w:szCs w:val="20"/>
                    </w:rPr>
                  </w:pPr>
                  <w:r w:rsidRPr="00C82585">
                    <w:rPr>
                      <w:rFonts w:asciiTheme="majorBidi" w:eastAsiaTheme="minorEastAsia" w:hAnsiTheme="majorBidi"/>
                      <w:b/>
                      <w:bCs/>
                      <w:sz w:val="20"/>
                      <w:szCs w:val="20"/>
                    </w:rPr>
                    <w:t xml:space="preserve">   -      Accroissement annuel (%)</w:t>
                  </w:r>
                </w:p>
              </w:tc>
              <w:tc>
                <w:tcPr>
                  <w:tcW w:w="720" w:type="pct"/>
                  <w:tcBorders>
                    <w:bottom w:val="nil"/>
                  </w:tcBorders>
                </w:tcPr>
                <w:p w:rsidR="00905EA8" w:rsidRPr="00C82585" w:rsidRDefault="00905EA8" w:rsidP="00BF5B2D">
                  <w:pPr>
                    <w:jc w:val="center"/>
                    <w:cnfStyle w:val="000000000000"/>
                    <w:rPr>
                      <w:rFonts w:asciiTheme="majorBidi" w:eastAsiaTheme="minorEastAsia" w:hAnsiTheme="majorBidi"/>
                      <w:b/>
                      <w:bCs/>
                      <w:color w:val="auto"/>
                      <w:sz w:val="20"/>
                      <w:szCs w:val="20"/>
                    </w:rPr>
                  </w:pPr>
                </w:p>
                <w:p w:rsidR="00905EA8" w:rsidRPr="00C82585" w:rsidRDefault="00905EA8" w:rsidP="00BF5B2D">
                  <w:pPr>
                    <w:cnfStyle w:val="000000000000"/>
                    <w:rPr>
                      <w:rFonts w:asciiTheme="majorBidi" w:eastAsiaTheme="minorEastAsia" w:hAnsiTheme="majorBidi"/>
                      <w:b/>
                      <w:bCs/>
                      <w:sz w:val="20"/>
                      <w:szCs w:val="20"/>
                    </w:rPr>
                  </w:pPr>
                  <w:r w:rsidRPr="00C82585">
                    <w:rPr>
                      <w:rFonts w:asciiTheme="majorBidi" w:eastAsiaTheme="minorEastAsia" w:hAnsiTheme="majorBidi"/>
                      <w:b/>
                      <w:bCs/>
                      <w:sz w:val="20"/>
                      <w:szCs w:val="20"/>
                    </w:rPr>
                    <w:t xml:space="preserve"> </w:t>
                  </w:r>
                  <w:r>
                    <w:rPr>
                      <w:rFonts w:asciiTheme="majorBidi" w:eastAsiaTheme="minorEastAsia" w:hAnsiTheme="majorBidi"/>
                      <w:b/>
                      <w:bCs/>
                      <w:sz w:val="20"/>
                      <w:szCs w:val="20"/>
                    </w:rPr>
                    <w:t xml:space="preserve">  </w:t>
                  </w:r>
                  <w:r w:rsidRPr="00C82585">
                    <w:rPr>
                      <w:rFonts w:asciiTheme="majorBidi" w:eastAsiaTheme="minorEastAsia" w:hAnsiTheme="majorBidi"/>
                      <w:b/>
                      <w:bCs/>
                      <w:sz w:val="20"/>
                      <w:szCs w:val="20"/>
                    </w:rPr>
                    <w:t xml:space="preserve">   19982</w:t>
                  </w:r>
                </w:p>
                <w:p w:rsidR="00905EA8" w:rsidRPr="00C82585" w:rsidRDefault="00905EA8" w:rsidP="00BF5B2D">
                  <w:pPr>
                    <w:cnfStyle w:val="000000000000"/>
                    <w:rPr>
                      <w:rFonts w:asciiTheme="majorBidi" w:eastAsiaTheme="minorEastAsia" w:hAnsiTheme="majorBidi"/>
                      <w:b/>
                      <w:bCs/>
                      <w:sz w:val="20"/>
                      <w:szCs w:val="20"/>
                    </w:rPr>
                  </w:pPr>
                  <w:r w:rsidRPr="00C82585">
                    <w:rPr>
                      <w:rFonts w:asciiTheme="majorBidi" w:eastAsiaTheme="minorEastAsia" w:hAnsiTheme="majorBidi"/>
                      <w:b/>
                      <w:bCs/>
                      <w:sz w:val="20"/>
                      <w:szCs w:val="20"/>
                    </w:rPr>
                    <w:t xml:space="preserve">        </w:t>
                  </w:r>
                  <w:r>
                    <w:rPr>
                      <w:rFonts w:asciiTheme="majorBidi" w:eastAsiaTheme="minorEastAsia" w:hAnsiTheme="majorBidi"/>
                      <w:b/>
                      <w:bCs/>
                      <w:sz w:val="20"/>
                      <w:szCs w:val="20"/>
                    </w:rPr>
                    <w:t xml:space="preserve"> </w:t>
                  </w:r>
                  <w:r w:rsidRPr="00C82585">
                    <w:rPr>
                      <w:rFonts w:asciiTheme="majorBidi" w:eastAsiaTheme="minorEastAsia" w:hAnsiTheme="majorBidi"/>
                      <w:b/>
                      <w:bCs/>
                      <w:sz w:val="20"/>
                      <w:szCs w:val="20"/>
                    </w:rPr>
                    <w:t xml:space="preserve"> -</w:t>
                  </w:r>
                </w:p>
              </w:tc>
              <w:tc>
                <w:tcPr>
                  <w:tcW w:w="538" w:type="pct"/>
                  <w:tcBorders>
                    <w:bottom w:val="nil"/>
                  </w:tcBorders>
                </w:tcPr>
                <w:p w:rsidR="00905EA8" w:rsidRPr="00C82585" w:rsidRDefault="00905EA8" w:rsidP="00BF5B2D">
                  <w:pPr>
                    <w:jc w:val="center"/>
                    <w:cnfStyle w:val="000000000000"/>
                    <w:rPr>
                      <w:rFonts w:asciiTheme="majorBidi" w:eastAsiaTheme="minorEastAsia" w:hAnsiTheme="majorBidi"/>
                      <w:b/>
                      <w:bCs/>
                      <w:color w:val="auto"/>
                      <w:sz w:val="20"/>
                      <w:szCs w:val="20"/>
                    </w:rPr>
                  </w:pPr>
                </w:p>
                <w:p w:rsidR="00905EA8" w:rsidRPr="00C82585" w:rsidRDefault="00905EA8" w:rsidP="00BF5B2D">
                  <w:pPr>
                    <w:cnfStyle w:val="000000000000"/>
                    <w:rPr>
                      <w:rFonts w:asciiTheme="majorBidi" w:eastAsiaTheme="minorEastAsia" w:hAnsiTheme="majorBidi"/>
                      <w:b/>
                      <w:bCs/>
                      <w:sz w:val="20"/>
                      <w:szCs w:val="20"/>
                    </w:rPr>
                  </w:pPr>
                  <w:r w:rsidRPr="00C82585">
                    <w:rPr>
                      <w:rFonts w:asciiTheme="majorBidi" w:eastAsiaTheme="minorEastAsia" w:hAnsiTheme="majorBidi"/>
                      <w:b/>
                      <w:bCs/>
                      <w:sz w:val="20"/>
                      <w:szCs w:val="20"/>
                    </w:rPr>
                    <w:t xml:space="preserve"> 23242</w:t>
                  </w:r>
                </w:p>
                <w:p w:rsidR="00905EA8" w:rsidRPr="00C82585" w:rsidRDefault="00905EA8" w:rsidP="00BF5B2D">
                  <w:pPr>
                    <w:cnfStyle w:val="000000000000"/>
                    <w:rPr>
                      <w:rFonts w:asciiTheme="majorBidi" w:eastAsiaTheme="minorEastAsia" w:hAnsiTheme="majorBidi"/>
                      <w:b/>
                      <w:bCs/>
                      <w:sz w:val="20"/>
                      <w:szCs w:val="20"/>
                    </w:rPr>
                  </w:pPr>
                  <w:r w:rsidRPr="00C82585">
                    <w:rPr>
                      <w:rFonts w:asciiTheme="majorBidi" w:eastAsiaTheme="minorEastAsia" w:hAnsiTheme="majorBidi"/>
                      <w:b/>
                      <w:bCs/>
                      <w:sz w:val="20"/>
                      <w:szCs w:val="20"/>
                    </w:rPr>
                    <w:t xml:space="preserve">   </w:t>
                  </w:r>
                  <w:r>
                    <w:rPr>
                      <w:rFonts w:asciiTheme="majorBidi" w:eastAsiaTheme="minorEastAsia" w:hAnsiTheme="majorBidi"/>
                      <w:b/>
                      <w:bCs/>
                      <w:sz w:val="20"/>
                      <w:szCs w:val="20"/>
                    </w:rPr>
                    <w:t xml:space="preserve"> </w:t>
                  </w:r>
                  <w:r w:rsidRPr="00C82585">
                    <w:rPr>
                      <w:rFonts w:asciiTheme="majorBidi" w:eastAsiaTheme="minorEastAsia" w:hAnsiTheme="majorBidi"/>
                      <w:b/>
                      <w:bCs/>
                      <w:sz w:val="20"/>
                      <w:szCs w:val="20"/>
                    </w:rPr>
                    <w:t>7,8</w:t>
                  </w:r>
                </w:p>
              </w:tc>
              <w:tc>
                <w:tcPr>
                  <w:tcW w:w="539" w:type="pct"/>
                  <w:tcBorders>
                    <w:bottom w:val="nil"/>
                  </w:tcBorders>
                </w:tcPr>
                <w:p w:rsidR="00905EA8" w:rsidRPr="00C82585" w:rsidRDefault="00905EA8" w:rsidP="00BF5B2D">
                  <w:pPr>
                    <w:jc w:val="center"/>
                    <w:cnfStyle w:val="000000000000"/>
                    <w:rPr>
                      <w:rFonts w:asciiTheme="majorBidi" w:eastAsiaTheme="minorEastAsia" w:hAnsiTheme="majorBidi"/>
                      <w:b/>
                      <w:bCs/>
                      <w:color w:val="auto"/>
                      <w:sz w:val="20"/>
                      <w:szCs w:val="20"/>
                    </w:rPr>
                  </w:pPr>
                </w:p>
                <w:p w:rsidR="00905EA8" w:rsidRPr="00C82585" w:rsidRDefault="00905EA8" w:rsidP="00BF5B2D">
                  <w:pPr>
                    <w:cnfStyle w:val="000000000000"/>
                    <w:rPr>
                      <w:rFonts w:asciiTheme="majorBidi" w:eastAsiaTheme="minorEastAsia" w:hAnsiTheme="majorBidi"/>
                      <w:b/>
                      <w:bCs/>
                      <w:sz w:val="20"/>
                      <w:szCs w:val="20"/>
                    </w:rPr>
                  </w:pPr>
                  <w:r w:rsidRPr="00C82585">
                    <w:rPr>
                      <w:rFonts w:asciiTheme="majorBidi" w:eastAsiaTheme="minorEastAsia" w:hAnsiTheme="majorBidi"/>
                      <w:b/>
                      <w:bCs/>
                      <w:sz w:val="20"/>
                      <w:szCs w:val="20"/>
                    </w:rPr>
                    <w:t xml:space="preserve"> </w:t>
                  </w:r>
                  <w:r>
                    <w:rPr>
                      <w:rFonts w:asciiTheme="majorBidi" w:eastAsiaTheme="minorEastAsia" w:hAnsiTheme="majorBidi"/>
                      <w:b/>
                      <w:bCs/>
                      <w:sz w:val="20"/>
                      <w:szCs w:val="20"/>
                    </w:rPr>
                    <w:t xml:space="preserve">  </w:t>
                  </w:r>
                  <w:r w:rsidRPr="00C82585">
                    <w:rPr>
                      <w:rFonts w:asciiTheme="majorBidi" w:eastAsiaTheme="minorEastAsia" w:hAnsiTheme="majorBidi"/>
                      <w:b/>
                      <w:bCs/>
                      <w:sz w:val="20"/>
                      <w:szCs w:val="20"/>
                    </w:rPr>
                    <w:t xml:space="preserve"> 23955</w:t>
                  </w:r>
                </w:p>
                <w:p w:rsidR="00905EA8" w:rsidRPr="00C82585" w:rsidRDefault="00905EA8" w:rsidP="00BF5B2D">
                  <w:pPr>
                    <w:cnfStyle w:val="000000000000"/>
                    <w:rPr>
                      <w:rFonts w:asciiTheme="majorBidi" w:eastAsiaTheme="minorEastAsia" w:hAnsiTheme="majorBidi"/>
                      <w:b/>
                      <w:bCs/>
                      <w:sz w:val="20"/>
                      <w:szCs w:val="20"/>
                    </w:rPr>
                  </w:pPr>
                  <w:r w:rsidRPr="00C82585">
                    <w:rPr>
                      <w:rFonts w:asciiTheme="majorBidi" w:eastAsiaTheme="minorEastAsia" w:hAnsiTheme="majorBidi"/>
                      <w:b/>
                      <w:bCs/>
                      <w:sz w:val="20"/>
                      <w:szCs w:val="20"/>
                    </w:rPr>
                    <w:t xml:space="preserve">   </w:t>
                  </w:r>
                  <w:r>
                    <w:rPr>
                      <w:rFonts w:asciiTheme="majorBidi" w:eastAsiaTheme="minorEastAsia" w:hAnsiTheme="majorBidi"/>
                      <w:b/>
                      <w:bCs/>
                      <w:sz w:val="20"/>
                      <w:szCs w:val="20"/>
                    </w:rPr>
                    <w:t xml:space="preserve"> </w:t>
                  </w:r>
                  <w:r w:rsidRPr="00C82585">
                    <w:rPr>
                      <w:rFonts w:asciiTheme="majorBidi" w:eastAsiaTheme="minorEastAsia" w:hAnsiTheme="majorBidi"/>
                      <w:b/>
                      <w:bCs/>
                      <w:sz w:val="20"/>
                      <w:szCs w:val="20"/>
                    </w:rPr>
                    <w:t xml:space="preserve"> </w:t>
                  </w:r>
                  <w:r>
                    <w:rPr>
                      <w:rFonts w:asciiTheme="majorBidi" w:eastAsiaTheme="minorEastAsia" w:hAnsiTheme="majorBidi"/>
                      <w:b/>
                      <w:bCs/>
                      <w:sz w:val="20"/>
                      <w:szCs w:val="20"/>
                    </w:rPr>
                    <w:t xml:space="preserve">  </w:t>
                  </w:r>
                  <w:r w:rsidRPr="00C82585">
                    <w:rPr>
                      <w:rFonts w:asciiTheme="majorBidi" w:eastAsiaTheme="minorEastAsia" w:hAnsiTheme="majorBidi"/>
                      <w:b/>
                      <w:bCs/>
                      <w:sz w:val="20"/>
                      <w:szCs w:val="20"/>
                    </w:rPr>
                    <w:t>3,1</w:t>
                  </w:r>
                </w:p>
              </w:tc>
              <w:tc>
                <w:tcPr>
                  <w:tcW w:w="540" w:type="pct"/>
                  <w:tcBorders>
                    <w:bottom w:val="nil"/>
                  </w:tcBorders>
                </w:tcPr>
                <w:p w:rsidR="00905EA8" w:rsidRPr="00C82585" w:rsidRDefault="00905EA8" w:rsidP="00BF5B2D">
                  <w:pPr>
                    <w:jc w:val="center"/>
                    <w:cnfStyle w:val="000000000000"/>
                    <w:rPr>
                      <w:rFonts w:asciiTheme="majorBidi" w:eastAsiaTheme="minorEastAsia" w:hAnsiTheme="majorBidi"/>
                      <w:b/>
                      <w:bCs/>
                      <w:color w:val="auto"/>
                      <w:sz w:val="20"/>
                      <w:szCs w:val="20"/>
                    </w:rPr>
                  </w:pPr>
                </w:p>
                <w:p w:rsidR="00905EA8" w:rsidRPr="00C82585" w:rsidRDefault="00905EA8" w:rsidP="00BF5B2D">
                  <w:pPr>
                    <w:cnfStyle w:val="000000000000"/>
                    <w:rPr>
                      <w:rFonts w:asciiTheme="majorBidi" w:eastAsiaTheme="minorEastAsia" w:hAnsiTheme="majorBidi"/>
                      <w:b/>
                      <w:bCs/>
                      <w:sz w:val="20"/>
                      <w:szCs w:val="20"/>
                    </w:rPr>
                  </w:pPr>
                  <w:r w:rsidRPr="00C82585">
                    <w:rPr>
                      <w:rFonts w:asciiTheme="majorBidi" w:eastAsiaTheme="minorEastAsia" w:hAnsiTheme="majorBidi"/>
                      <w:b/>
                      <w:bCs/>
                      <w:sz w:val="20"/>
                      <w:szCs w:val="20"/>
                    </w:rPr>
                    <w:t xml:space="preserve">    24891</w:t>
                  </w:r>
                </w:p>
                <w:p w:rsidR="00905EA8" w:rsidRPr="00C82585" w:rsidRDefault="00905EA8" w:rsidP="00BF5B2D">
                  <w:pPr>
                    <w:cnfStyle w:val="000000000000"/>
                    <w:rPr>
                      <w:rFonts w:asciiTheme="majorBidi" w:eastAsiaTheme="minorEastAsia" w:hAnsiTheme="majorBidi"/>
                      <w:b/>
                      <w:bCs/>
                      <w:sz w:val="20"/>
                      <w:szCs w:val="20"/>
                    </w:rPr>
                  </w:pPr>
                  <w:r w:rsidRPr="00C82585">
                    <w:rPr>
                      <w:rFonts w:asciiTheme="majorBidi" w:eastAsiaTheme="minorEastAsia" w:hAnsiTheme="majorBidi"/>
                      <w:b/>
                      <w:bCs/>
                      <w:sz w:val="20"/>
                      <w:szCs w:val="20"/>
                    </w:rPr>
                    <w:t xml:space="preserve">   </w:t>
                  </w:r>
                  <w:r>
                    <w:rPr>
                      <w:rFonts w:asciiTheme="majorBidi" w:eastAsiaTheme="minorEastAsia" w:hAnsiTheme="majorBidi"/>
                      <w:b/>
                      <w:bCs/>
                      <w:sz w:val="20"/>
                      <w:szCs w:val="20"/>
                    </w:rPr>
                    <w:t xml:space="preserve">    </w:t>
                  </w:r>
                  <w:r w:rsidRPr="00C82585">
                    <w:rPr>
                      <w:rFonts w:asciiTheme="majorBidi" w:eastAsiaTheme="minorEastAsia" w:hAnsiTheme="majorBidi"/>
                      <w:b/>
                      <w:bCs/>
                      <w:sz w:val="20"/>
                      <w:szCs w:val="20"/>
                    </w:rPr>
                    <w:t>3,9</w:t>
                  </w:r>
                </w:p>
              </w:tc>
              <w:tc>
                <w:tcPr>
                  <w:tcW w:w="745" w:type="pct"/>
                  <w:tcBorders>
                    <w:bottom w:val="nil"/>
                  </w:tcBorders>
                </w:tcPr>
                <w:p w:rsidR="00905EA8" w:rsidRPr="00C82585" w:rsidRDefault="00905EA8" w:rsidP="00BF5B2D">
                  <w:pPr>
                    <w:cnfStyle w:val="000000000000"/>
                    <w:rPr>
                      <w:rFonts w:asciiTheme="majorBidi" w:eastAsiaTheme="minorEastAsia" w:hAnsiTheme="majorBidi"/>
                      <w:b/>
                      <w:bCs/>
                      <w:color w:val="auto"/>
                      <w:sz w:val="20"/>
                      <w:szCs w:val="20"/>
                    </w:rPr>
                  </w:pPr>
                </w:p>
                <w:p w:rsidR="00905EA8" w:rsidRPr="00C82585" w:rsidRDefault="00905EA8" w:rsidP="00BF5B2D">
                  <w:pPr>
                    <w:cnfStyle w:val="000000000000"/>
                    <w:rPr>
                      <w:rFonts w:asciiTheme="majorBidi" w:eastAsiaTheme="minorEastAsia" w:hAnsiTheme="majorBidi"/>
                      <w:b/>
                      <w:bCs/>
                      <w:sz w:val="20"/>
                      <w:szCs w:val="20"/>
                    </w:rPr>
                  </w:pPr>
                  <w:r w:rsidRPr="00C82585">
                    <w:rPr>
                      <w:rFonts w:asciiTheme="majorBidi" w:eastAsiaTheme="minorEastAsia" w:hAnsiTheme="majorBidi"/>
                      <w:b/>
                      <w:bCs/>
                      <w:sz w:val="20"/>
                      <w:szCs w:val="20"/>
                    </w:rPr>
                    <w:t xml:space="preserve">    25386</w:t>
                  </w:r>
                </w:p>
                <w:p w:rsidR="00905EA8" w:rsidRPr="00C82585" w:rsidRDefault="00905EA8" w:rsidP="00BF5B2D">
                  <w:pPr>
                    <w:cnfStyle w:val="000000000000"/>
                    <w:rPr>
                      <w:rFonts w:asciiTheme="majorBidi" w:eastAsiaTheme="minorEastAsia" w:hAnsiTheme="majorBidi"/>
                      <w:b/>
                      <w:bCs/>
                      <w:sz w:val="20"/>
                      <w:szCs w:val="20"/>
                    </w:rPr>
                  </w:pPr>
                  <w:r w:rsidRPr="00C82585">
                    <w:rPr>
                      <w:rFonts w:asciiTheme="majorBidi" w:eastAsiaTheme="minorEastAsia" w:hAnsiTheme="majorBidi"/>
                      <w:b/>
                      <w:bCs/>
                      <w:sz w:val="20"/>
                      <w:szCs w:val="20"/>
                    </w:rPr>
                    <w:t xml:space="preserve">       2,0</w:t>
                  </w:r>
                </w:p>
              </w:tc>
            </w:tr>
          </w:tbl>
          <w:p w:rsidR="00905EA8" w:rsidRPr="00C82585" w:rsidRDefault="00905EA8" w:rsidP="00BF5B2D">
            <w:pPr>
              <w:rPr>
                <w:rFonts w:asciiTheme="majorBidi" w:hAnsiTheme="majorBidi" w:cstheme="majorBidi"/>
                <w:color w:val="000000"/>
              </w:rPr>
            </w:pPr>
          </w:p>
          <w:p w:rsidR="00905EA8" w:rsidRDefault="00905EA8" w:rsidP="00BF5B2D">
            <w:pPr>
              <w:rPr>
                <w:rFonts w:asciiTheme="majorBidi" w:hAnsiTheme="majorBidi" w:cstheme="majorBidi"/>
                <w:color w:val="000000"/>
              </w:rPr>
            </w:pPr>
          </w:p>
          <w:p w:rsidR="00905EA8" w:rsidRPr="00C82585" w:rsidRDefault="00905EA8" w:rsidP="00BF5B2D">
            <w:pPr>
              <w:rPr>
                <w:rFonts w:asciiTheme="majorBidi" w:hAnsiTheme="majorBidi" w:cstheme="majorBidi"/>
                <w:color w:val="000000"/>
              </w:rPr>
            </w:pPr>
          </w:p>
          <w:tbl>
            <w:tblPr>
              <w:tblStyle w:val="Listemoyenne2-Accent1"/>
              <w:tblW w:w="10206" w:type="dxa"/>
              <w:tblLook w:val="04A0"/>
            </w:tblPr>
            <w:tblGrid>
              <w:gridCol w:w="3915"/>
              <w:gridCol w:w="1470"/>
              <w:gridCol w:w="1098"/>
              <w:gridCol w:w="1100"/>
              <w:gridCol w:w="1102"/>
              <w:gridCol w:w="1521"/>
            </w:tblGrid>
            <w:tr w:rsidR="00905EA8" w:rsidRPr="00C82585" w:rsidTr="00BF5B2D">
              <w:trPr>
                <w:cnfStyle w:val="100000000000"/>
              </w:trPr>
              <w:tc>
                <w:tcPr>
                  <w:cnfStyle w:val="001000000100"/>
                  <w:tcW w:w="1918" w:type="pct"/>
                  <w:noWrap/>
                </w:tcPr>
                <w:p w:rsidR="00905EA8" w:rsidRPr="00C82585" w:rsidRDefault="00905EA8" w:rsidP="00BF5B2D">
                  <w:pPr>
                    <w:rPr>
                      <w:rFonts w:asciiTheme="majorBidi" w:eastAsiaTheme="minorEastAsia" w:hAnsiTheme="majorBidi"/>
                      <w:color w:val="auto"/>
                      <w:sz w:val="20"/>
                      <w:szCs w:val="20"/>
                    </w:rPr>
                  </w:pPr>
                </w:p>
                <w:p w:rsidR="00905EA8" w:rsidRPr="00C82585" w:rsidRDefault="00905EA8" w:rsidP="00BF5B2D">
                  <w:pPr>
                    <w:rPr>
                      <w:rFonts w:asciiTheme="majorBidi" w:eastAsiaTheme="minorEastAsia" w:hAnsiTheme="majorBidi"/>
                      <w:sz w:val="20"/>
                      <w:szCs w:val="20"/>
                    </w:rPr>
                  </w:pPr>
                  <w:r w:rsidRPr="00C82585">
                    <w:rPr>
                      <w:rFonts w:asciiTheme="majorBidi" w:eastAsiaTheme="minorEastAsia" w:hAnsiTheme="majorBidi"/>
                      <w:b/>
                      <w:bCs/>
                      <w:sz w:val="20"/>
                      <w:szCs w:val="20"/>
                    </w:rPr>
                    <w:t xml:space="preserve">     DCFM par tête</w:t>
                  </w:r>
                </w:p>
              </w:tc>
              <w:tc>
                <w:tcPr>
                  <w:tcW w:w="720" w:type="pct"/>
                </w:tcPr>
                <w:p w:rsidR="00905EA8" w:rsidRPr="00C82585" w:rsidRDefault="00905EA8" w:rsidP="00BF5B2D">
                  <w:pPr>
                    <w:cnfStyle w:val="100000000000"/>
                    <w:rPr>
                      <w:rFonts w:asciiTheme="majorBidi" w:eastAsiaTheme="minorEastAsia" w:hAnsiTheme="majorBidi"/>
                      <w:b/>
                      <w:bCs/>
                      <w:color w:val="auto"/>
                      <w:sz w:val="20"/>
                      <w:szCs w:val="20"/>
                    </w:rPr>
                  </w:pPr>
                </w:p>
                <w:p w:rsidR="00905EA8" w:rsidRPr="00C82585" w:rsidRDefault="00905EA8" w:rsidP="00BF5B2D">
                  <w:pPr>
                    <w:jc w:val="center"/>
                    <w:cnfStyle w:val="100000000000"/>
                    <w:rPr>
                      <w:rFonts w:asciiTheme="majorBidi" w:eastAsiaTheme="minorEastAsia" w:hAnsiTheme="majorBidi"/>
                      <w:b/>
                      <w:bCs/>
                      <w:color w:val="auto"/>
                      <w:sz w:val="20"/>
                      <w:szCs w:val="20"/>
                    </w:rPr>
                  </w:pPr>
                  <w:r w:rsidRPr="00C82585">
                    <w:rPr>
                      <w:rFonts w:asciiTheme="majorBidi" w:eastAsiaTheme="minorEastAsia" w:hAnsiTheme="majorBidi"/>
                      <w:b/>
                      <w:bCs/>
                      <w:color w:val="auto"/>
                      <w:sz w:val="20"/>
                      <w:szCs w:val="20"/>
                    </w:rPr>
                    <w:t>2007</w:t>
                  </w:r>
                </w:p>
              </w:tc>
              <w:tc>
                <w:tcPr>
                  <w:tcW w:w="538" w:type="pct"/>
                </w:tcPr>
                <w:p w:rsidR="00905EA8" w:rsidRPr="00C82585" w:rsidRDefault="00905EA8" w:rsidP="00BF5B2D">
                  <w:pPr>
                    <w:jc w:val="center"/>
                    <w:cnfStyle w:val="100000000000"/>
                    <w:rPr>
                      <w:rFonts w:asciiTheme="majorBidi" w:eastAsiaTheme="minorEastAsia" w:hAnsiTheme="majorBidi"/>
                      <w:b/>
                      <w:bCs/>
                      <w:color w:val="auto"/>
                      <w:sz w:val="20"/>
                      <w:szCs w:val="20"/>
                    </w:rPr>
                  </w:pPr>
                </w:p>
                <w:p w:rsidR="00905EA8" w:rsidRPr="00C82585" w:rsidRDefault="00905EA8" w:rsidP="00BF5B2D">
                  <w:pPr>
                    <w:jc w:val="center"/>
                    <w:cnfStyle w:val="100000000000"/>
                    <w:rPr>
                      <w:rFonts w:asciiTheme="majorBidi" w:eastAsiaTheme="minorEastAsia" w:hAnsiTheme="majorBidi"/>
                      <w:b/>
                      <w:bCs/>
                      <w:color w:val="auto"/>
                      <w:sz w:val="20"/>
                      <w:szCs w:val="20"/>
                    </w:rPr>
                  </w:pPr>
                  <w:r w:rsidRPr="00C82585">
                    <w:rPr>
                      <w:rFonts w:asciiTheme="majorBidi" w:eastAsiaTheme="minorEastAsia" w:hAnsiTheme="majorBidi"/>
                      <w:b/>
                      <w:bCs/>
                      <w:color w:val="auto"/>
                      <w:sz w:val="20"/>
                      <w:szCs w:val="20"/>
                    </w:rPr>
                    <w:t>2009</w:t>
                  </w:r>
                </w:p>
              </w:tc>
              <w:tc>
                <w:tcPr>
                  <w:tcW w:w="539" w:type="pct"/>
                </w:tcPr>
                <w:p w:rsidR="00905EA8" w:rsidRPr="00C82585" w:rsidRDefault="00905EA8" w:rsidP="00BF5B2D">
                  <w:pPr>
                    <w:jc w:val="center"/>
                    <w:cnfStyle w:val="100000000000"/>
                    <w:rPr>
                      <w:rFonts w:asciiTheme="majorBidi" w:eastAsiaTheme="minorEastAsia" w:hAnsiTheme="majorBidi"/>
                      <w:b/>
                      <w:bCs/>
                      <w:color w:val="auto"/>
                      <w:sz w:val="20"/>
                      <w:szCs w:val="20"/>
                    </w:rPr>
                  </w:pPr>
                </w:p>
                <w:p w:rsidR="00905EA8" w:rsidRPr="00C82585" w:rsidRDefault="00905EA8" w:rsidP="00BF5B2D">
                  <w:pPr>
                    <w:jc w:val="center"/>
                    <w:cnfStyle w:val="100000000000"/>
                    <w:rPr>
                      <w:rFonts w:asciiTheme="majorBidi" w:eastAsiaTheme="minorEastAsia" w:hAnsiTheme="majorBidi"/>
                      <w:b/>
                      <w:bCs/>
                      <w:color w:val="auto"/>
                      <w:sz w:val="20"/>
                      <w:szCs w:val="20"/>
                    </w:rPr>
                  </w:pPr>
                  <w:r w:rsidRPr="00C82585">
                    <w:rPr>
                      <w:rFonts w:asciiTheme="majorBidi" w:eastAsiaTheme="minorEastAsia" w:hAnsiTheme="majorBidi"/>
                      <w:b/>
                      <w:bCs/>
                      <w:color w:val="auto"/>
                      <w:sz w:val="20"/>
                      <w:szCs w:val="20"/>
                    </w:rPr>
                    <w:t>2010</w:t>
                  </w:r>
                </w:p>
              </w:tc>
              <w:tc>
                <w:tcPr>
                  <w:tcW w:w="540" w:type="pct"/>
                </w:tcPr>
                <w:p w:rsidR="00905EA8" w:rsidRPr="00C82585" w:rsidRDefault="00905EA8" w:rsidP="00BF5B2D">
                  <w:pPr>
                    <w:jc w:val="center"/>
                    <w:cnfStyle w:val="100000000000"/>
                    <w:rPr>
                      <w:rFonts w:asciiTheme="majorBidi" w:eastAsiaTheme="minorEastAsia" w:hAnsiTheme="majorBidi"/>
                      <w:b/>
                      <w:bCs/>
                      <w:color w:val="auto"/>
                      <w:sz w:val="20"/>
                      <w:szCs w:val="20"/>
                    </w:rPr>
                  </w:pPr>
                </w:p>
                <w:p w:rsidR="00905EA8" w:rsidRPr="00C82585" w:rsidRDefault="00905EA8" w:rsidP="00BF5B2D">
                  <w:pPr>
                    <w:jc w:val="center"/>
                    <w:cnfStyle w:val="100000000000"/>
                    <w:rPr>
                      <w:rFonts w:asciiTheme="majorBidi" w:eastAsiaTheme="minorEastAsia" w:hAnsiTheme="majorBidi"/>
                      <w:b/>
                      <w:bCs/>
                      <w:color w:val="auto"/>
                      <w:sz w:val="20"/>
                      <w:szCs w:val="20"/>
                    </w:rPr>
                  </w:pPr>
                  <w:r w:rsidRPr="00C82585">
                    <w:rPr>
                      <w:rFonts w:asciiTheme="majorBidi" w:eastAsiaTheme="minorEastAsia" w:hAnsiTheme="majorBidi"/>
                      <w:b/>
                      <w:bCs/>
                      <w:color w:val="auto"/>
                      <w:sz w:val="20"/>
                      <w:szCs w:val="20"/>
                    </w:rPr>
                    <w:t xml:space="preserve">     2011</w:t>
                  </w:r>
                </w:p>
              </w:tc>
              <w:tc>
                <w:tcPr>
                  <w:tcW w:w="745" w:type="pct"/>
                </w:tcPr>
                <w:p w:rsidR="00905EA8" w:rsidRPr="00C82585" w:rsidRDefault="00905EA8" w:rsidP="00BF5B2D">
                  <w:pPr>
                    <w:jc w:val="center"/>
                    <w:cnfStyle w:val="100000000000"/>
                    <w:rPr>
                      <w:rFonts w:asciiTheme="majorBidi" w:eastAsiaTheme="minorEastAsia" w:hAnsiTheme="majorBidi"/>
                      <w:b/>
                      <w:bCs/>
                      <w:color w:val="auto"/>
                      <w:sz w:val="20"/>
                      <w:szCs w:val="20"/>
                    </w:rPr>
                  </w:pPr>
                </w:p>
                <w:p w:rsidR="00905EA8" w:rsidRPr="00C82585" w:rsidRDefault="00905EA8" w:rsidP="00BF5B2D">
                  <w:pPr>
                    <w:cnfStyle w:val="100000000000"/>
                    <w:rPr>
                      <w:rFonts w:asciiTheme="majorBidi" w:eastAsiaTheme="minorEastAsia" w:hAnsiTheme="majorBidi"/>
                      <w:b/>
                      <w:bCs/>
                      <w:color w:val="auto"/>
                      <w:sz w:val="20"/>
                      <w:szCs w:val="20"/>
                    </w:rPr>
                  </w:pPr>
                  <w:r w:rsidRPr="00C82585">
                    <w:rPr>
                      <w:rFonts w:asciiTheme="majorBidi" w:eastAsiaTheme="minorEastAsia" w:hAnsiTheme="majorBidi"/>
                      <w:b/>
                      <w:bCs/>
                      <w:color w:val="auto"/>
                      <w:sz w:val="20"/>
                      <w:szCs w:val="20"/>
                    </w:rPr>
                    <w:t xml:space="preserve">     2012</w:t>
                  </w:r>
                </w:p>
              </w:tc>
            </w:tr>
            <w:tr w:rsidR="00905EA8" w:rsidRPr="00C82585" w:rsidTr="00BF5B2D">
              <w:trPr>
                <w:cnfStyle w:val="000000100000"/>
              </w:trPr>
              <w:tc>
                <w:tcPr>
                  <w:cnfStyle w:val="001000000000"/>
                  <w:tcW w:w="1918" w:type="pct"/>
                  <w:noWrap/>
                </w:tcPr>
                <w:p w:rsidR="00905EA8" w:rsidRPr="00C82585" w:rsidRDefault="00905EA8" w:rsidP="00BF5B2D">
                  <w:pPr>
                    <w:rPr>
                      <w:rFonts w:asciiTheme="majorBidi" w:eastAsiaTheme="minorEastAsia" w:hAnsiTheme="majorBidi"/>
                      <w:b/>
                      <w:bCs/>
                      <w:color w:val="auto"/>
                      <w:sz w:val="20"/>
                      <w:szCs w:val="20"/>
                    </w:rPr>
                  </w:pPr>
                </w:p>
                <w:p w:rsidR="00905EA8" w:rsidRPr="00C82585" w:rsidRDefault="00905EA8" w:rsidP="00BF5B2D">
                  <w:pPr>
                    <w:rPr>
                      <w:rFonts w:asciiTheme="majorBidi" w:eastAsiaTheme="minorEastAsia" w:hAnsiTheme="majorBidi"/>
                      <w:b/>
                      <w:bCs/>
                      <w:color w:val="auto"/>
                      <w:sz w:val="20"/>
                      <w:szCs w:val="20"/>
                    </w:rPr>
                  </w:pPr>
                  <w:r w:rsidRPr="00C82585">
                    <w:rPr>
                      <w:rFonts w:asciiTheme="majorBidi" w:eastAsiaTheme="minorEastAsia" w:hAnsiTheme="majorBidi"/>
                      <w:b/>
                      <w:bCs/>
                      <w:color w:val="auto"/>
                      <w:sz w:val="20"/>
                      <w:szCs w:val="20"/>
                    </w:rPr>
                    <w:t>Région de Tanger-Tétouan</w:t>
                  </w:r>
                </w:p>
              </w:tc>
              <w:tc>
                <w:tcPr>
                  <w:tcW w:w="720" w:type="pct"/>
                  <w:tcBorders>
                    <w:top w:val="single" w:sz="24" w:space="0" w:color="4F81BD" w:themeColor="accent1"/>
                  </w:tcBorders>
                  <w:shd w:val="clear" w:color="auto" w:fill="FFFFFF" w:themeFill="background1"/>
                </w:tcPr>
                <w:p w:rsidR="00905EA8" w:rsidRPr="00C82585" w:rsidRDefault="00905EA8" w:rsidP="00BF5B2D">
                  <w:pPr>
                    <w:jc w:val="center"/>
                    <w:cnfStyle w:val="000000100000"/>
                    <w:rPr>
                      <w:rFonts w:asciiTheme="majorBidi" w:eastAsiaTheme="minorEastAsia" w:hAnsiTheme="majorBidi"/>
                      <w:color w:val="auto"/>
                      <w:sz w:val="20"/>
                      <w:szCs w:val="20"/>
                    </w:rPr>
                  </w:pPr>
                </w:p>
              </w:tc>
              <w:tc>
                <w:tcPr>
                  <w:tcW w:w="538" w:type="pct"/>
                  <w:tcBorders>
                    <w:top w:val="single" w:sz="24" w:space="0" w:color="4F81BD" w:themeColor="accent1"/>
                  </w:tcBorders>
                  <w:shd w:val="clear" w:color="auto" w:fill="FFFFFF" w:themeFill="background1"/>
                </w:tcPr>
                <w:p w:rsidR="00905EA8" w:rsidRPr="00C82585" w:rsidRDefault="00905EA8" w:rsidP="00BF5B2D">
                  <w:pPr>
                    <w:jc w:val="center"/>
                    <w:cnfStyle w:val="000000100000"/>
                    <w:rPr>
                      <w:rFonts w:asciiTheme="majorBidi" w:eastAsiaTheme="minorEastAsia" w:hAnsiTheme="majorBidi"/>
                      <w:color w:val="auto"/>
                      <w:sz w:val="20"/>
                      <w:szCs w:val="20"/>
                    </w:rPr>
                  </w:pPr>
                </w:p>
              </w:tc>
              <w:tc>
                <w:tcPr>
                  <w:tcW w:w="539" w:type="pct"/>
                  <w:tcBorders>
                    <w:top w:val="single" w:sz="24" w:space="0" w:color="4F81BD" w:themeColor="accent1"/>
                  </w:tcBorders>
                  <w:shd w:val="clear" w:color="auto" w:fill="FFFFFF" w:themeFill="background1"/>
                </w:tcPr>
                <w:p w:rsidR="00905EA8" w:rsidRPr="00C82585" w:rsidRDefault="00905EA8" w:rsidP="00BF5B2D">
                  <w:pPr>
                    <w:jc w:val="center"/>
                    <w:cnfStyle w:val="000000100000"/>
                    <w:rPr>
                      <w:rFonts w:asciiTheme="majorBidi" w:eastAsiaTheme="minorEastAsia" w:hAnsiTheme="majorBidi"/>
                      <w:color w:val="auto"/>
                      <w:sz w:val="20"/>
                      <w:szCs w:val="20"/>
                    </w:rPr>
                  </w:pPr>
                </w:p>
              </w:tc>
              <w:tc>
                <w:tcPr>
                  <w:tcW w:w="540" w:type="pct"/>
                  <w:tcBorders>
                    <w:top w:val="single" w:sz="24" w:space="0" w:color="4F81BD" w:themeColor="accent1"/>
                  </w:tcBorders>
                  <w:shd w:val="clear" w:color="auto" w:fill="FFFFFF" w:themeFill="background1"/>
                </w:tcPr>
                <w:p w:rsidR="00905EA8" w:rsidRPr="00C82585" w:rsidRDefault="00905EA8" w:rsidP="00BF5B2D">
                  <w:pPr>
                    <w:jc w:val="center"/>
                    <w:cnfStyle w:val="000000100000"/>
                    <w:rPr>
                      <w:rFonts w:asciiTheme="majorBidi" w:eastAsiaTheme="minorEastAsia" w:hAnsiTheme="majorBidi"/>
                      <w:color w:val="auto"/>
                      <w:sz w:val="20"/>
                      <w:szCs w:val="20"/>
                    </w:rPr>
                  </w:pPr>
                </w:p>
              </w:tc>
              <w:tc>
                <w:tcPr>
                  <w:tcW w:w="745" w:type="pct"/>
                  <w:tcBorders>
                    <w:top w:val="single" w:sz="24" w:space="0" w:color="4F81BD" w:themeColor="accent1"/>
                  </w:tcBorders>
                  <w:shd w:val="clear" w:color="auto" w:fill="FFFFFF" w:themeFill="background1"/>
                </w:tcPr>
                <w:p w:rsidR="00905EA8" w:rsidRPr="00C82585" w:rsidRDefault="00905EA8" w:rsidP="00BF5B2D">
                  <w:pPr>
                    <w:jc w:val="center"/>
                    <w:cnfStyle w:val="000000100000"/>
                    <w:rPr>
                      <w:rFonts w:asciiTheme="majorBidi" w:eastAsiaTheme="minorEastAsia" w:hAnsiTheme="majorBidi"/>
                      <w:color w:val="auto"/>
                      <w:sz w:val="20"/>
                      <w:szCs w:val="20"/>
                    </w:rPr>
                  </w:pPr>
                </w:p>
              </w:tc>
            </w:tr>
            <w:tr w:rsidR="00905EA8" w:rsidRPr="00C82585" w:rsidTr="00BF5B2D">
              <w:tc>
                <w:tcPr>
                  <w:cnfStyle w:val="001000000000"/>
                  <w:tcW w:w="1918" w:type="pct"/>
                  <w:noWrap/>
                </w:tcPr>
                <w:p w:rsidR="00905EA8" w:rsidRPr="00C82585" w:rsidRDefault="00905EA8" w:rsidP="00905EA8">
                  <w:pPr>
                    <w:pStyle w:val="Paragraphedeliste"/>
                    <w:numPr>
                      <w:ilvl w:val="0"/>
                      <w:numId w:val="2"/>
                    </w:numPr>
                    <w:spacing w:line="240" w:lineRule="auto"/>
                    <w:rPr>
                      <w:rFonts w:asciiTheme="majorBidi" w:eastAsiaTheme="minorEastAsia" w:hAnsiTheme="majorBidi"/>
                      <w:b/>
                      <w:bCs/>
                      <w:sz w:val="20"/>
                      <w:szCs w:val="20"/>
                    </w:rPr>
                  </w:pPr>
                  <w:r w:rsidRPr="00C82585">
                    <w:rPr>
                      <w:rFonts w:asciiTheme="majorBidi" w:eastAsiaTheme="minorEastAsia" w:hAnsiTheme="majorBidi"/>
                      <w:b/>
                      <w:bCs/>
                      <w:sz w:val="20"/>
                      <w:szCs w:val="20"/>
                    </w:rPr>
                    <w:t>DCFM par têt</w:t>
                  </w:r>
                  <w:r>
                    <w:rPr>
                      <w:rFonts w:asciiTheme="majorBidi" w:eastAsiaTheme="minorEastAsia" w:hAnsiTheme="majorBidi"/>
                      <w:b/>
                      <w:bCs/>
                      <w:sz w:val="20"/>
                      <w:szCs w:val="20"/>
                    </w:rPr>
                    <w:t>e</w:t>
                  </w:r>
                  <w:r w:rsidRPr="00C82585">
                    <w:rPr>
                      <w:rFonts w:asciiTheme="majorBidi" w:eastAsiaTheme="minorEastAsia" w:hAnsiTheme="majorBidi"/>
                      <w:b/>
                      <w:bCs/>
                      <w:sz w:val="20"/>
                      <w:szCs w:val="20"/>
                    </w:rPr>
                    <w:t>(Dh)</w:t>
                  </w:r>
                </w:p>
                <w:p w:rsidR="00905EA8" w:rsidRPr="00C82585" w:rsidRDefault="00905EA8" w:rsidP="00905EA8">
                  <w:pPr>
                    <w:pStyle w:val="Paragraphedeliste"/>
                    <w:numPr>
                      <w:ilvl w:val="0"/>
                      <w:numId w:val="2"/>
                    </w:numPr>
                    <w:spacing w:line="240" w:lineRule="auto"/>
                    <w:rPr>
                      <w:rFonts w:asciiTheme="majorBidi" w:eastAsiaTheme="minorEastAsia" w:hAnsiTheme="majorBidi"/>
                      <w:b/>
                      <w:bCs/>
                      <w:sz w:val="20"/>
                      <w:szCs w:val="20"/>
                    </w:rPr>
                  </w:pPr>
                  <w:r w:rsidRPr="00C82585">
                    <w:rPr>
                      <w:rFonts w:asciiTheme="majorBidi" w:eastAsiaTheme="minorEastAsia" w:hAnsiTheme="majorBidi"/>
                      <w:b/>
                      <w:bCs/>
                      <w:sz w:val="20"/>
                      <w:szCs w:val="20"/>
                    </w:rPr>
                    <w:t>Accroissement annuel (%)</w:t>
                  </w:r>
                </w:p>
              </w:tc>
              <w:tc>
                <w:tcPr>
                  <w:tcW w:w="720" w:type="pct"/>
                  <w:tcBorders>
                    <w:bottom w:val="nil"/>
                  </w:tcBorders>
                </w:tcPr>
                <w:p w:rsidR="00905EA8" w:rsidRPr="00C82585" w:rsidRDefault="00905EA8" w:rsidP="00BF5B2D">
                  <w:pPr>
                    <w:cnfStyle w:val="000000000000"/>
                    <w:rPr>
                      <w:rFonts w:asciiTheme="majorBidi" w:eastAsiaTheme="minorEastAsia" w:hAnsiTheme="majorBidi"/>
                      <w:b/>
                      <w:bCs/>
                      <w:color w:val="auto"/>
                      <w:sz w:val="20"/>
                      <w:szCs w:val="20"/>
                    </w:rPr>
                  </w:pPr>
                  <w:r w:rsidRPr="00C82585">
                    <w:rPr>
                      <w:rFonts w:asciiTheme="majorBidi" w:eastAsiaTheme="minorEastAsia" w:hAnsiTheme="majorBidi"/>
                      <w:b/>
                      <w:bCs/>
                      <w:color w:val="auto"/>
                      <w:sz w:val="20"/>
                      <w:szCs w:val="20"/>
                    </w:rPr>
                    <w:t xml:space="preserve">     15964</w:t>
                  </w:r>
                </w:p>
                <w:p w:rsidR="00905EA8" w:rsidRPr="00C82585" w:rsidRDefault="00905EA8" w:rsidP="00BF5B2D">
                  <w:pPr>
                    <w:cnfStyle w:val="000000000000"/>
                    <w:rPr>
                      <w:rFonts w:asciiTheme="majorBidi" w:eastAsiaTheme="minorEastAsia" w:hAnsiTheme="majorBidi"/>
                      <w:b/>
                      <w:bCs/>
                      <w:sz w:val="20"/>
                      <w:szCs w:val="20"/>
                    </w:rPr>
                  </w:pPr>
                  <w:r w:rsidRPr="00C82585">
                    <w:rPr>
                      <w:rFonts w:asciiTheme="majorBidi" w:eastAsiaTheme="minorEastAsia" w:hAnsiTheme="majorBidi"/>
                      <w:b/>
                      <w:bCs/>
                      <w:sz w:val="20"/>
                      <w:szCs w:val="20"/>
                    </w:rPr>
                    <w:t xml:space="preserve">          -</w:t>
                  </w:r>
                </w:p>
              </w:tc>
              <w:tc>
                <w:tcPr>
                  <w:tcW w:w="538" w:type="pct"/>
                  <w:tcBorders>
                    <w:bottom w:val="nil"/>
                  </w:tcBorders>
                </w:tcPr>
                <w:p w:rsidR="00905EA8" w:rsidRPr="00C82585" w:rsidRDefault="00905EA8" w:rsidP="00BF5B2D">
                  <w:pPr>
                    <w:jc w:val="center"/>
                    <w:cnfStyle w:val="000000000000"/>
                    <w:rPr>
                      <w:rFonts w:asciiTheme="majorBidi" w:eastAsiaTheme="minorEastAsia" w:hAnsiTheme="majorBidi"/>
                      <w:b/>
                      <w:bCs/>
                      <w:color w:val="auto"/>
                      <w:sz w:val="20"/>
                      <w:szCs w:val="20"/>
                    </w:rPr>
                  </w:pPr>
                  <w:r w:rsidRPr="00C82585">
                    <w:rPr>
                      <w:rFonts w:asciiTheme="majorBidi" w:eastAsiaTheme="minorEastAsia" w:hAnsiTheme="majorBidi"/>
                      <w:b/>
                      <w:bCs/>
                      <w:color w:val="auto"/>
                      <w:sz w:val="20"/>
                      <w:szCs w:val="20"/>
                    </w:rPr>
                    <w:t xml:space="preserve"> 18744</w:t>
                  </w:r>
                </w:p>
                <w:p w:rsidR="00905EA8" w:rsidRPr="00C82585" w:rsidRDefault="00905EA8" w:rsidP="00BF5B2D">
                  <w:pPr>
                    <w:cnfStyle w:val="000000000000"/>
                    <w:rPr>
                      <w:rFonts w:asciiTheme="majorBidi" w:eastAsiaTheme="minorEastAsia" w:hAnsiTheme="majorBidi"/>
                      <w:b/>
                      <w:bCs/>
                      <w:sz w:val="20"/>
                      <w:szCs w:val="20"/>
                    </w:rPr>
                  </w:pPr>
                  <w:r w:rsidRPr="00C82585">
                    <w:rPr>
                      <w:rFonts w:asciiTheme="majorBidi" w:eastAsiaTheme="minorEastAsia" w:hAnsiTheme="majorBidi"/>
                      <w:b/>
                      <w:bCs/>
                      <w:sz w:val="20"/>
                      <w:szCs w:val="20"/>
                    </w:rPr>
                    <w:t xml:space="preserve">       8,4</w:t>
                  </w:r>
                </w:p>
              </w:tc>
              <w:tc>
                <w:tcPr>
                  <w:tcW w:w="539" w:type="pct"/>
                  <w:tcBorders>
                    <w:bottom w:val="nil"/>
                  </w:tcBorders>
                </w:tcPr>
                <w:p w:rsidR="00905EA8" w:rsidRPr="00C82585" w:rsidRDefault="00905EA8" w:rsidP="00BF5B2D">
                  <w:pPr>
                    <w:jc w:val="center"/>
                    <w:cnfStyle w:val="000000000000"/>
                    <w:rPr>
                      <w:rFonts w:asciiTheme="majorBidi" w:eastAsiaTheme="minorEastAsia" w:hAnsiTheme="majorBidi"/>
                      <w:b/>
                      <w:bCs/>
                      <w:color w:val="auto"/>
                      <w:sz w:val="20"/>
                      <w:szCs w:val="20"/>
                    </w:rPr>
                  </w:pPr>
                  <w:r w:rsidRPr="00C82585">
                    <w:rPr>
                      <w:rFonts w:asciiTheme="majorBidi" w:eastAsiaTheme="minorEastAsia" w:hAnsiTheme="majorBidi"/>
                      <w:b/>
                      <w:bCs/>
                      <w:color w:val="auto"/>
                      <w:sz w:val="20"/>
                      <w:szCs w:val="20"/>
                    </w:rPr>
                    <w:t xml:space="preserve">  18716</w:t>
                  </w:r>
                </w:p>
                <w:p w:rsidR="00905EA8" w:rsidRPr="00C82585" w:rsidRDefault="00905EA8" w:rsidP="00BF5B2D">
                  <w:pPr>
                    <w:cnfStyle w:val="000000000000"/>
                    <w:rPr>
                      <w:rFonts w:asciiTheme="majorBidi" w:eastAsiaTheme="minorEastAsia" w:hAnsiTheme="majorBidi"/>
                      <w:b/>
                      <w:bCs/>
                      <w:sz w:val="20"/>
                      <w:szCs w:val="20"/>
                    </w:rPr>
                  </w:pPr>
                  <w:r w:rsidRPr="00C82585">
                    <w:rPr>
                      <w:rFonts w:asciiTheme="majorBidi" w:eastAsiaTheme="minorEastAsia" w:hAnsiTheme="majorBidi"/>
                      <w:b/>
                      <w:bCs/>
                      <w:sz w:val="20"/>
                      <w:szCs w:val="20"/>
                    </w:rPr>
                    <w:t xml:space="preserve">       -0,1</w:t>
                  </w:r>
                </w:p>
              </w:tc>
              <w:tc>
                <w:tcPr>
                  <w:tcW w:w="540" w:type="pct"/>
                  <w:tcBorders>
                    <w:bottom w:val="nil"/>
                  </w:tcBorders>
                </w:tcPr>
                <w:p w:rsidR="00905EA8" w:rsidRPr="00C82585" w:rsidRDefault="00905EA8" w:rsidP="00BF5B2D">
                  <w:pPr>
                    <w:jc w:val="center"/>
                    <w:cnfStyle w:val="000000000000"/>
                    <w:rPr>
                      <w:rFonts w:asciiTheme="majorBidi" w:eastAsiaTheme="minorEastAsia" w:hAnsiTheme="majorBidi"/>
                      <w:b/>
                      <w:bCs/>
                      <w:color w:val="auto"/>
                      <w:sz w:val="20"/>
                      <w:szCs w:val="20"/>
                    </w:rPr>
                  </w:pPr>
                  <w:r w:rsidRPr="00C82585">
                    <w:rPr>
                      <w:rFonts w:asciiTheme="majorBidi" w:eastAsiaTheme="minorEastAsia" w:hAnsiTheme="majorBidi"/>
                      <w:b/>
                      <w:bCs/>
                      <w:color w:val="auto"/>
                      <w:sz w:val="20"/>
                      <w:szCs w:val="20"/>
                    </w:rPr>
                    <w:t xml:space="preserve">    18647</w:t>
                  </w:r>
                </w:p>
                <w:p w:rsidR="00905EA8" w:rsidRPr="00C82585" w:rsidRDefault="00905EA8" w:rsidP="00BF5B2D">
                  <w:pPr>
                    <w:cnfStyle w:val="000000000000"/>
                    <w:rPr>
                      <w:rFonts w:asciiTheme="majorBidi" w:eastAsiaTheme="minorEastAsia" w:hAnsiTheme="majorBidi"/>
                      <w:b/>
                      <w:bCs/>
                      <w:sz w:val="20"/>
                      <w:szCs w:val="20"/>
                    </w:rPr>
                  </w:pPr>
                  <w:r w:rsidRPr="00C82585">
                    <w:rPr>
                      <w:rFonts w:asciiTheme="majorBidi" w:eastAsiaTheme="minorEastAsia" w:hAnsiTheme="majorBidi"/>
                      <w:b/>
                      <w:bCs/>
                      <w:sz w:val="20"/>
                      <w:szCs w:val="20"/>
                    </w:rPr>
                    <w:t xml:space="preserve">        -0,4</w:t>
                  </w:r>
                </w:p>
              </w:tc>
              <w:tc>
                <w:tcPr>
                  <w:tcW w:w="745" w:type="pct"/>
                  <w:tcBorders>
                    <w:bottom w:val="nil"/>
                  </w:tcBorders>
                </w:tcPr>
                <w:p w:rsidR="00905EA8" w:rsidRPr="00C82585" w:rsidRDefault="00905EA8" w:rsidP="00BF5B2D">
                  <w:pPr>
                    <w:cnfStyle w:val="000000000000"/>
                    <w:rPr>
                      <w:rFonts w:asciiTheme="majorBidi" w:eastAsiaTheme="minorEastAsia" w:hAnsiTheme="majorBidi"/>
                      <w:b/>
                      <w:bCs/>
                      <w:color w:val="auto"/>
                      <w:sz w:val="20"/>
                      <w:szCs w:val="20"/>
                    </w:rPr>
                  </w:pPr>
                  <w:r w:rsidRPr="00C82585">
                    <w:rPr>
                      <w:rFonts w:asciiTheme="majorBidi" w:eastAsiaTheme="minorEastAsia" w:hAnsiTheme="majorBidi"/>
                      <w:b/>
                      <w:bCs/>
                      <w:color w:val="auto"/>
                      <w:sz w:val="20"/>
                      <w:szCs w:val="20"/>
                    </w:rPr>
                    <w:t xml:space="preserve">   </w:t>
                  </w:r>
                  <w:r>
                    <w:rPr>
                      <w:rFonts w:asciiTheme="majorBidi" w:eastAsiaTheme="minorEastAsia" w:hAnsiTheme="majorBidi"/>
                      <w:b/>
                      <w:bCs/>
                      <w:color w:val="auto"/>
                      <w:sz w:val="20"/>
                      <w:szCs w:val="20"/>
                    </w:rPr>
                    <w:t xml:space="preserve"> </w:t>
                  </w:r>
                  <w:r w:rsidRPr="00C82585">
                    <w:rPr>
                      <w:rFonts w:asciiTheme="majorBidi" w:eastAsiaTheme="minorEastAsia" w:hAnsiTheme="majorBidi"/>
                      <w:b/>
                      <w:bCs/>
                      <w:color w:val="auto"/>
                      <w:sz w:val="20"/>
                      <w:szCs w:val="20"/>
                    </w:rPr>
                    <w:t xml:space="preserve"> 19294</w:t>
                  </w:r>
                </w:p>
                <w:p w:rsidR="00905EA8" w:rsidRPr="00C82585" w:rsidRDefault="00905EA8" w:rsidP="00BF5B2D">
                  <w:pPr>
                    <w:cnfStyle w:val="000000000000"/>
                    <w:rPr>
                      <w:rFonts w:asciiTheme="majorBidi" w:eastAsiaTheme="minorEastAsia" w:hAnsiTheme="majorBidi"/>
                      <w:b/>
                      <w:bCs/>
                      <w:sz w:val="20"/>
                      <w:szCs w:val="20"/>
                    </w:rPr>
                  </w:pPr>
                  <w:r w:rsidRPr="00C82585">
                    <w:rPr>
                      <w:rFonts w:asciiTheme="majorBidi" w:eastAsiaTheme="minorEastAsia" w:hAnsiTheme="majorBidi"/>
                      <w:b/>
                      <w:bCs/>
                      <w:sz w:val="20"/>
                      <w:szCs w:val="20"/>
                    </w:rPr>
                    <w:t xml:space="preserve">       </w:t>
                  </w:r>
                  <w:r>
                    <w:rPr>
                      <w:rFonts w:asciiTheme="majorBidi" w:eastAsiaTheme="minorEastAsia" w:hAnsiTheme="majorBidi"/>
                      <w:b/>
                      <w:bCs/>
                      <w:sz w:val="20"/>
                      <w:szCs w:val="20"/>
                    </w:rPr>
                    <w:t xml:space="preserve"> </w:t>
                  </w:r>
                  <w:r w:rsidRPr="00C82585">
                    <w:rPr>
                      <w:rFonts w:asciiTheme="majorBidi" w:eastAsiaTheme="minorEastAsia" w:hAnsiTheme="majorBidi"/>
                      <w:b/>
                      <w:bCs/>
                      <w:sz w:val="20"/>
                      <w:szCs w:val="20"/>
                    </w:rPr>
                    <w:t>3,5</w:t>
                  </w:r>
                </w:p>
              </w:tc>
            </w:tr>
            <w:tr w:rsidR="00905EA8" w:rsidRPr="00C82585" w:rsidTr="00BF5B2D">
              <w:trPr>
                <w:cnfStyle w:val="000000100000"/>
                <w:trHeight w:val="322"/>
              </w:trPr>
              <w:tc>
                <w:tcPr>
                  <w:cnfStyle w:val="001000000000"/>
                  <w:tcW w:w="1918" w:type="pct"/>
                  <w:noWrap/>
                </w:tcPr>
                <w:p w:rsidR="00905EA8" w:rsidRPr="00C82585" w:rsidRDefault="00905EA8" w:rsidP="00BF5B2D">
                  <w:pPr>
                    <w:rPr>
                      <w:rFonts w:asciiTheme="majorBidi" w:eastAsiaTheme="minorEastAsia" w:hAnsiTheme="majorBidi"/>
                      <w:b/>
                      <w:bCs/>
                      <w:color w:val="auto"/>
                      <w:sz w:val="20"/>
                      <w:szCs w:val="20"/>
                    </w:rPr>
                  </w:pPr>
                  <w:r w:rsidRPr="00C82585">
                    <w:rPr>
                      <w:rFonts w:asciiTheme="majorBidi" w:eastAsiaTheme="minorEastAsia" w:hAnsiTheme="majorBidi"/>
                      <w:b/>
                      <w:bCs/>
                      <w:color w:val="auto"/>
                      <w:sz w:val="20"/>
                      <w:szCs w:val="20"/>
                    </w:rPr>
                    <w:t xml:space="preserve">  </w:t>
                  </w:r>
                </w:p>
              </w:tc>
              <w:tc>
                <w:tcPr>
                  <w:tcW w:w="720" w:type="pct"/>
                  <w:shd w:val="clear" w:color="auto" w:fill="FFFFFF" w:themeFill="background1"/>
                </w:tcPr>
                <w:p w:rsidR="00905EA8" w:rsidRPr="00C82585" w:rsidRDefault="00905EA8" w:rsidP="00BF5B2D">
                  <w:pPr>
                    <w:jc w:val="center"/>
                    <w:cnfStyle w:val="000000100000"/>
                    <w:rPr>
                      <w:rFonts w:asciiTheme="majorBidi" w:eastAsiaTheme="minorEastAsia" w:hAnsiTheme="majorBidi"/>
                      <w:color w:val="auto"/>
                      <w:sz w:val="20"/>
                      <w:szCs w:val="20"/>
                    </w:rPr>
                  </w:pPr>
                </w:p>
              </w:tc>
              <w:tc>
                <w:tcPr>
                  <w:tcW w:w="538" w:type="pct"/>
                  <w:shd w:val="clear" w:color="auto" w:fill="FFFFFF" w:themeFill="background1"/>
                </w:tcPr>
                <w:p w:rsidR="00905EA8" w:rsidRPr="00C82585" w:rsidRDefault="00905EA8" w:rsidP="00BF5B2D">
                  <w:pPr>
                    <w:jc w:val="center"/>
                    <w:cnfStyle w:val="000000100000"/>
                    <w:rPr>
                      <w:rFonts w:asciiTheme="majorBidi" w:eastAsiaTheme="minorEastAsia" w:hAnsiTheme="majorBidi"/>
                      <w:color w:val="auto"/>
                      <w:sz w:val="20"/>
                      <w:szCs w:val="20"/>
                    </w:rPr>
                  </w:pPr>
                </w:p>
              </w:tc>
              <w:tc>
                <w:tcPr>
                  <w:tcW w:w="539" w:type="pct"/>
                  <w:shd w:val="clear" w:color="auto" w:fill="FFFFFF" w:themeFill="background1"/>
                </w:tcPr>
                <w:p w:rsidR="00905EA8" w:rsidRPr="00C82585" w:rsidRDefault="00905EA8" w:rsidP="00BF5B2D">
                  <w:pPr>
                    <w:jc w:val="center"/>
                    <w:cnfStyle w:val="000000100000"/>
                    <w:rPr>
                      <w:rFonts w:asciiTheme="majorBidi" w:eastAsiaTheme="minorEastAsia" w:hAnsiTheme="majorBidi"/>
                      <w:color w:val="auto"/>
                      <w:sz w:val="20"/>
                      <w:szCs w:val="20"/>
                    </w:rPr>
                  </w:pPr>
                </w:p>
              </w:tc>
              <w:tc>
                <w:tcPr>
                  <w:tcW w:w="540" w:type="pct"/>
                  <w:shd w:val="clear" w:color="auto" w:fill="FFFFFF" w:themeFill="background1"/>
                </w:tcPr>
                <w:p w:rsidR="00905EA8" w:rsidRPr="00C82585" w:rsidRDefault="00905EA8" w:rsidP="00BF5B2D">
                  <w:pPr>
                    <w:jc w:val="center"/>
                    <w:cnfStyle w:val="000000100000"/>
                    <w:rPr>
                      <w:rFonts w:asciiTheme="majorBidi" w:eastAsiaTheme="minorEastAsia" w:hAnsiTheme="majorBidi"/>
                      <w:color w:val="auto"/>
                      <w:sz w:val="20"/>
                      <w:szCs w:val="20"/>
                    </w:rPr>
                  </w:pPr>
                </w:p>
              </w:tc>
              <w:tc>
                <w:tcPr>
                  <w:tcW w:w="745" w:type="pct"/>
                  <w:shd w:val="clear" w:color="auto" w:fill="FFFFFF" w:themeFill="background1"/>
                </w:tcPr>
                <w:p w:rsidR="00905EA8" w:rsidRPr="00C82585" w:rsidRDefault="00905EA8" w:rsidP="00BF5B2D">
                  <w:pPr>
                    <w:jc w:val="center"/>
                    <w:cnfStyle w:val="000000100000"/>
                    <w:rPr>
                      <w:rFonts w:asciiTheme="majorBidi" w:eastAsiaTheme="minorEastAsia" w:hAnsiTheme="majorBidi"/>
                      <w:color w:val="auto"/>
                      <w:sz w:val="20"/>
                      <w:szCs w:val="20"/>
                    </w:rPr>
                  </w:pPr>
                </w:p>
              </w:tc>
            </w:tr>
            <w:tr w:rsidR="00905EA8" w:rsidRPr="00C82585" w:rsidTr="00BF5B2D">
              <w:tc>
                <w:tcPr>
                  <w:cnfStyle w:val="001000000000"/>
                  <w:tcW w:w="1918" w:type="pct"/>
                  <w:noWrap/>
                </w:tcPr>
                <w:p w:rsidR="00905EA8" w:rsidRPr="00C82585" w:rsidRDefault="00905EA8" w:rsidP="00BF5B2D">
                  <w:pPr>
                    <w:rPr>
                      <w:rFonts w:asciiTheme="majorBidi" w:eastAsiaTheme="minorEastAsia" w:hAnsiTheme="majorBidi"/>
                      <w:b/>
                      <w:bCs/>
                      <w:color w:val="auto"/>
                      <w:sz w:val="20"/>
                      <w:szCs w:val="20"/>
                    </w:rPr>
                  </w:pPr>
                  <w:r w:rsidRPr="00C82585">
                    <w:rPr>
                      <w:rFonts w:asciiTheme="majorBidi" w:eastAsiaTheme="minorEastAsia" w:hAnsiTheme="majorBidi"/>
                      <w:b/>
                      <w:bCs/>
                      <w:color w:val="auto"/>
                      <w:sz w:val="20"/>
                      <w:szCs w:val="20"/>
                    </w:rPr>
                    <w:t>Niveau national</w:t>
                  </w:r>
                </w:p>
                <w:p w:rsidR="00905EA8" w:rsidRPr="00C82585" w:rsidRDefault="00905EA8" w:rsidP="00905EA8">
                  <w:pPr>
                    <w:pStyle w:val="Paragraphedeliste"/>
                    <w:numPr>
                      <w:ilvl w:val="0"/>
                      <w:numId w:val="2"/>
                    </w:numPr>
                    <w:spacing w:line="240" w:lineRule="auto"/>
                    <w:rPr>
                      <w:rFonts w:asciiTheme="majorBidi" w:eastAsiaTheme="minorEastAsia" w:hAnsiTheme="majorBidi"/>
                      <w:b/>
                      <w:bCs/>
                      <w:sz w:val="20"/>
                      <w:szCs w:val="20"/>
                    </w:rPr>
                  </w:pPr>
                  <w:r w:rsidRPr="00C82585">
                    <w:rPr>
                      <w:rFonts w:asciiTheme="majorBidi" w:eastAsiaTheme="minorEastAsia" w:hAnsiTheme="majorBidi"/>
                      <w:b/>
                      <w:bCs/>
                      <w:sz w:val="20"/>
                      <w:szCs w:val="20"/>
                    </w:rPr>
                    <w:t>DCFM par tête (Dh)</w:t>
                  </w:r>
                </w:p>
                <w:p w:rsidR="00905EA8" w:rsidRPr="00C82585" w:rsidRDefault="00905EA8" w:rsidP="00BF5B2D">
                  <w:pPr>
                    <w:rPr>
                      <w:rFonts w:asciiTheme="majorBidi" w:eastAsiaTheme="minorEastAsia" w:hAnsiTheme="majorBidi"/>
                      <w:b/>
                      <w:bCs/>
                      <w:color w:val="auto"/>
                      <w:sz w:val="20"/>
                      <w:szCs w:val="20"/>
                    </w:rPr>
                  </w:pPr>
                  <w:r w:rsidRPr="00C82585">
                    <w:rPr>
                      <w:rFonts w:asciiTheme="majorBidi" w:eastAsiaTheme="minorEastAsia" w:hAnsiTheme="majorBidi"/>
                      <w:b/>
                      <w:bCs/>
                      <w:sz w:val="20"/>
                      <w:szCs w:val="20"/>
                    </w:rPr>
                    <w:t xml:space="preserve">   -      Accroissement annuel (%)</w:t>
                  </w:r>
                </w:p>
              </w:tc>
              <w:tc>
                <w:tcPr>
                  <w:tcW w:w="720" w:type="pct"/>
                  <w:tcBorders>
                    <w:bottom w:val="nil"/>
                  </w:tcBorders>
                </w:tcPr>
                <w:p w:rsidR="00905EA8" w:rsidRPr="00C82585" w:rsidRDefault="00905EA8" w:rsidP="00BF5B2D">
                  <w:pPr>
                    <w:jc w:val="center"/>
                    <w:cnfStyle w:val="000000000000"/>
                    <w:rPr>
                      <w:rFonts w:asciiTheme="majorBidi" w:eastAsiaTheme="minorEastAsia" w:hAnsiTheme="majorBidi"/>
                      <w:b/>
                      <w:bCs/>
                      <w:color w:val="auto"/>
                      <w:sz w:val="20"/>
                      <w:szCs w:val="20"/>
                    </w:rPr>
                  </w:pPr>
                </w:p>
                <w:p w:rsidR="00905EA8" w:rsidRPr="00C82585" w:rsidRDefault="00905EA8" w:rsidP="00BF5B2D">
                  <w:pPr>
                    <w:cnfStyle w:val="000000000000"/>
                    <w:rPr>
                      <w:rFonts w:asciiTheme="majorBidi" w:eastAsiaTheme="minorEastAsia" w:hAnsiTheme="majorBidi"/>
                      <w:b/>
                      <w:bCs/>
                      <w:sz w:val="20"/>
                      <w:szCs w:val="20"/>
                    </w:rPr>
                  </w:pPr>
                  <w:r w:rsidRPr="00C82585">
                    <w:rPr>
                      <w:rFonts w:asciiTheme="majorBidi" w:eastAsiaTheme="minorEastAsia" w:hAnsiTheme="majorBidi"/>
                      <w:b/>
                      <w:bCs/>
                      <w:sz w:val="20"/>
                      <w:szCs w:val="20"/>
                    </w:rPr>
                    <w:t xml:space="preserve">    </w:t>
                  </w:r>
                  <w:r>
                    <w:rPr>
                      <w:rFonts w:asciiTheme="majorBidi" w:eastAsiaTheme="minorEastAsia" w:hAnsiTheme="majorBidi"/>
                      <w:b/>
                      <w:bCs/>
                      <w:sz w:val="20"/>
                      <w:szCs w:val="20"/>
                    </w:rPr>
                    <w:t xml:space="preserve"> </w:t>
                  </w:r>
                  <w:r w:rsidRPr="00C82585">
                    <w:rPr>
                      <w:rFonts w:asciiTheme="majorBidi" w:eastAsiaTheme="minorEastAsia" w:hAnsiTheme="majorBidi"/>
                      <w:b/>
                      <w:bCs/>
                      <w:sz w:val="20"/>
                      <w:szCs w:val="20"/>
                    </w:rPr>
                    <w:t xml:space="preserve"> 11673</w:t>
                  </w:r>
                </w:p>
                <w:p w:rsidR="00905EA8" w:rsidRPr="00C82585" w:rsidRDefault="00905EA8" w:rsidP="00BF5B2D">
                  <w:pPr>
                    <w:cnfStyle w:val="000000000000"/>
                    <w:rPr>
                      <w:rFonts w:asciiTheme="majorBidi" w:eastAsiaTheme="minorEastAsia" w:hAnsiTheme="majorBidi"/>
                      <w:b/>
                      <w:bCs/>
                      <w:sz w:val="20"/>
                      <w:szCs w:val="20"/>
                    </w:rPr>
                  </w:pPr>
                  <w:r w:rsidRPr="00C82585">
                    <w:rPr>
                      <w:rFonts w:asciiTheme="majorBidi" w:eastAsiaTheme="minorEastAsia" w:hAnsiTheme="majorBidi"/>
                      <w:b/>
                      <w:bCs/>
                      <w:sz w:val="20"/>
                      <w:szCs w:val="20"/>
                    </w:rPr>
                    <w:t xml:space="preserve">          -</w:t>
                  </w:r>
                </w:p>
              </w:tc>
              <w:tc>
                <w:tcPr>
                  <w:tcW w:w="538" w:type="pct"/>
                  <w:tcBorders>
                    <w:bottom w:val="nil"/>
                  </w:tcBorders>
                </w:tcPr>
                <w:p w:rsidR="00905EA8" w:rsidRPr="00C82585" w:rsidRDefault="00905EA8" w:rsidP="00BF5B2D">
                  <w:pPr>
                    <w:jc w:val="center"/>
                    <w:cnfStyle w:val="000000000000"/>
                    <w:rPr>
                      <w:rFonts w:asciiTheme="majorBidi" w:eastAsiaTheme="minorEastAsia" w:hAnsiTheme="majorBidi"/>
                      <w:b/>
                      <w:bCs/>
                      <w:color w:val="auto"/>
                      <w:sz w:val="20"/>
                      <w:szCs w:val="20"/>
                    </w:rPr>
                  </w:pPr>
                </w:p>
                <w:p w:rsidR="00905EA8" w:rsidRPr="00C82585" w:rsidRDefault="00905EA8" w:rsidP="00BF5B2D">
                  <w:pPr>
                    <w:cnfStyle w:val="000000000000"/>
                    <w:rPr>
                      <w:rFonts w:asciiTheme="majorBidi" w:eastAsiaTheme="minorEastAsia" w:hAnsiTheme="majorBidi"/>
                      <w:b/>
                      <w:bCs/>
                      <w:sz w:val="20"/>
                      <w:szCs w:val="20"/>
                    </w:rPr>
                  </w:pPr>
                  <w:r>
                    <w:rPr>
                      <w:rFonts w:asciiTheme="majorBidi" w:eastAsiaTheme="minorEastAsia" w:hAnsiTheme="majorBidi"/>
                      <w:b/>
                      <w:bCs/>
                      <w:sz w:val="20"/>
                      <w:szCs w:val="20"/>
                    </w:rPr>
                    <w:t xml:space="preserve">  </w:t>
                  </w:r>
                  <w:r w:rsidRPr="00C82585">
                    <w:rPr>
                      <w:rFonts w:asciiTheme="majorBidi" w:eastAsiaTheme="minorEastAsia" w:hAnsiTheme="majorBidi"/>
                      <w:b/>
                      <w:bCs/>
                      <w:sz w:val="20"/>
                      <w:szCs w:val="20"/>
                    </w:rPr>
                    <w:t xml:space="preserve">  13266</w:t>
                  </w:r>
                </w:p>
                <w:p w:rsidR="00905EA8" w:rsidRPr="00C82585" w:rsidRDefault="00905EA8" w:rsidP="00BF5B2D">
                  <w:pPr>
                    <w:cnfStyle w:val="000000000000"/>
                    <w:rPr>
                      <w:rFonts w:asciiTheme="majorBidi" w:eastAsiaTheme="minorEastAsia" w:hAnsiTheme="majorBidi"/>
                      <w:b/>
                      <w:bCs/>
                      <w:sz w:val="20"/>
                      <w:szCs w:val="20"/>
                    </w:rPr>
                  </w:pPr>
                  <w:r w:rsidRPr="00C82585">
                    <w:rPr>
                      <w:rFonts w:asciiTheme="majorBidi" w:eastAsiaTheme="minorEastAsia" w:hAnsiTheme="majorBidi"/>
                      <w:b/>
                      <w:bCs/>
                      <w:sz w:val="20"/>
                      <w:szCs w:val="20"/>
                    </w:rPr>
                    <w:t xml:space="preserve">   </w:t>
                  </w:r>
                  <w:r>
                    <w:rPr>
                      <w:rFonts w:asciiTheme="majorBidi" w:eastAsiaTheme="minorEastAsia" w:hAnsiTheme="majorBidi"/>
                      <w:b/>
                      <w:bCs/>
                      <w:sz w:val="20"/>
                      <w:szCs w:val="20"/>
                    </w:rPr>
                    <w:t xml:space="preserve">    </w:t>
                  </w:r>
                  <w:r w:rsidRPr="00C82585">
                    <w:rPr>
                      <w:rFonts w:asciiTheme="majorBidi" w:eastAsiaTheme="minorEastAsia" w:hAnsiTheme="majorBidi"/>
                      <w:b/>
                      <w:bCs/>
                      <w:sz w:val="20"/>
                      <w:szCs w:val="20"/>
                    </w:rPr>
                    <w:t>6,7</w:t>
                  </w:r>
                </w:p>
              </w:tc>
              <w:tc>
                <w:tcPr>
                  <w:tcW w:w="539" w:type="pct"/>
                  <w:tcBorders>
                    <w:bottom w:val="nil"/>
                  </w:tcBorders>
                </w:tcPr>
                <w:p w:rsidR="00905EA8" w:rsidRPr="00C82585" w:rsidRDefault="00905EA8" w:rsidP="00BF5B2D">
                  <w:pPr>
                    <w:jc w:val="center"/>
                    <w:cnfStyle w:val="000000000000"/>
                    <w:rPr>
                      <w:rFonts w:asciiTheme="majorBidi" w:eastAsiaTheme="minorEastAsia" w:hAnsiTheme="majorBidi"/>
                      <w:b/>
                      <w:bCs/>
                      <w:color w:val="auto"/>
                      <w:sz w:val="20"/>
                      <w:szCs w:val="20"/>
                    </w:rPr>
                  </w:pPr>
                </w:p>
                <w:p w:rsidR="00905EA8" w:rsidRPr="00C82585" w:rsidRDefault="00905EA8" w:rsidP="00BF5B2D">
                  <w:pPr>
                    <w:cnfStyle w:val="000000000000"/>
                    <w:rPr>
                      <w:rFonts w:asciiTheme="majorBidi" w:eastAsiaTheme="minorEastAsia" w:hAnsiTheme="majorBidi"/>
                      <w:b/>
                      <w:bCs/>
                      <w:sz w:val="20"/>
                      <w:szCs w:val="20"/>
                    </w:rPr>
                  </w:pPr>
                  <w:r w:rsidRPr="00C82585">
                    <w:rPr>
                      <w:rFonts w:asciiTheme="majorBidi" w:eastAsiaTheme="minorEastAsia" w:hAnsiTheme="majorBidi"/>
                      <w:b/>
                      <w:bCs/>
                      <w:sz w:val="20"/>
                      <w:szCs w:val="20"/>
                    </w:rPr>
                    <w:t xml:space="preserve">   </w:t>
                  </w:r>
                  <w:r>
                    <w:rPr>
                      <w:rFonts w:asciiTheme="majorBidi" w:eastAsiaTheme="minorEastAsia" w:hAnsiTheme="majorBidi"/>
                      <w:b/>
                      <w:bCs/>
                      <w:sz w:val="20"/>
                      <w:szCs w:val="20"/>
                    </w:rPr>
                    <w:t xml:space="preserve"> </w:t>
                  </w:r>
                  <w:r w:rsidRPr="00C82585">
                    <w:rPr>
                      <w:rFonts w:asciiTheme="majorBidi" w:eastAsiaTheme="minorEastAsia" w:hAnsiTheme="majorBidi"/>
                      <w:b/>
                      <w:bCs/>
                      <w:sz w:val="20"/>
                      <w:szCs w:val="20"/>
                    </w:rPr>
                    <w:t xml:space="preserve"> 13719</w:t>
                  </w:r>
                </w:p>
                <w:p w:rsidR="00905EA8" w:rsidRPr="00C82585" w:rsidRDefault="00905EA8" w:rsidP="00BF5B2D">
                  <w:pPr>
                    <w:cnfStyle w:val="000000000000"/>
                    <w:rPr>
                      <w:rFonts w:asciiTheme="majorBidi" w:eastAsiaTheme="minorEastAsia" w:hAnsiTheme="majorBidi"/>
                      <w:b/>
                      <w:bCs/>
                      <w:sz w:val="20"/>
                      <w:szCs w:val="20"/>
                    </w:rPr>
                  </w:pPr>
                  <w:r w:rsidRPr="00C82585">
                    <w:rPr>
                      <w:rFonts w:asciiTheme="majorBidi" w:eastAsiaTheme="minorEastAsia" w:hAnsiTheme="majorBidi"/>
                      <w:b/>
                      <w:bCs/>
                      <w:sz w:val="20"/>
                      <w:szCs w:val="20"/>
                    </w:rPr>
                    <w:t xml:space="preserve">      </w:t>
                  </w:r>
                  <w:r>
                    <w:rPr>
                      <w:rFonts w:asciiTheme="majorBidi" w:eastAsiaTheme="minorEastAsia" w:hAnsiTheme="majorBidi"/>
                      <w:b/>
                      <w:bCs/>
                      <w:sz w:val="20"/>
                      <w:szCs w:val="20"/>
                    </w:rPr>
                    <w:t xml:space="preserve"> </w:t>
                  </w:r>
                  <w:r w:rsidRPr="00C82585">
                    <w:rPr>
                      <w:rFonts w:asciiTheme="majorBidi" w:eastAsiaTheme="minorEastAsia" w:hAnsiTheme="majorBidi"/>
                      <w:b/>
                      <w:bCs/>
                      <w:sz w:val="20"/>
                      <w:szCs w:val="20"/>
                    </w:rPr>
                    <w:t>3,3</w:t>
                  </w:r>
                </w:p>
              </w:tc>
              <w:tc>
                <w:tcPr>
                  <w:tcW w:w="540" w:type="pct"/>
                  <w:tcBorders>
                    <w:bottom w:val="nil"/>
                  </w:tcBorders>
                </w:tcPr>
                <w:p w:rsidR="00905EA8" w:rsidRPr="00C82585" w:rsidRDefault="00905EA8" w:rsidP="00BF5B2D">
                  <w:pPr>
                    <w:jc w:val="center"/>
                    <w:cnfStyle w:val="000000000000"/>
                    <w:rPr>
                      <w:rFonts w:asciiTheme="majorBidi" w:eastAsiaTheme="minorEastAsia" w:hAnsiTheme="majorBidi"/>
                      <w:b/>
                      <w:bCs/>
                      <w:color w:val="auto"/>
                      <w:sz w:val="20"/>
                      <w:szCs w:val="20"/>
                    </w:rPr>
                  </w:pPr>
                </w:p>
                <w:p w:rsidR="00905EA8" w:rsidRPr="00C82585" w:rsidRDefault="00905EA8" w:rsidP="00BF5B2D">
                  <w:pPr>
                    <w:cnfStyle w:val="000000000000"/>
                    <w:rPr>
                      <w:rFonts w:asciiTheme="majorBidi" w:eastAsiaTheme="minorEastAsia" w:hAnsiTheme="majorBidi"/>
                      <w:b/>
                      <w:bCs/>
                      <w:sz w:val="20"/>
                      <w:szCs w:val="20"/>
                    </w:rPr>
                  </w:pPr>
                  <w:r w:rsidRPr="00C82585">
                    <w:rPr>
                      <w:rFonts w:asciiTheme="majorBidi" w:eastAsiaTheme="minorEastAsia" w:hAnsiTheme="majorBidi"/>
                      <w:b/>
                      <w:bCs/>
                      <w:sz w:val="20"/>
                      <w:szCs w:val="20"/>
                    </w:rPr>
                    <w:t xml:space="preserve">  </w:t>
                  </w:r>
                  <w:r>
                    <w:rPr>
                      <w:rFonts w:asciiTheme="majorBidi" w:eastAsiaTheme="minorEastAsia" w:hAnsiTheme="majorBidi"/>
                      <w:b/>
                      <w:bCs/>
                      <w:sz w:val="20"/>
                      <w:szCs w:val="20"/>
                    </w:rPr>
                    <w:t xml:space="preserve">  </w:t>
                  </w:r>
                  <w:r w:rsidRPr="00C82585">
                    <w:rPr>
                      <w:rFonts w:asciiTheme="majorBidi" w:eastAsiaTheme="minorEastAsia" w:hAnsiTheme="majorBidi"/>
                      <w:b/>
                      <w:bCs/>
                      <w:sz w:val="20"/>
                      <w:szCs w:val="20"/>
                    </w:rPr>
                    <w:t xml:space="preserve">  14667</w:t>
                  </w:r>
                </w:p>
                <w:p w:rsidR="00905EA8" w:rsidRPr="00C82585" w:rsidRDefault="00905EA8" w:rsidP="00BF5B2D">
                  <w:pPr>
                    <w:cnfStyle w:val="000000000000"/>
                    <w:rPr>
                      <w:rFonts w:asciiTheme="majorBidi" w:eastAsiaTheme="minorEastAsia" w:hAnsiTheme="majorBidi"/>
                      <w:b/>
                      <w:bCs/>
                      <w:sz w:val="20"/>
                      <w:szCs w:val="20"/>
                    </w:rPr>
                  </w:pPr>
                  <w:r w:rsidRPr="00C82585">
                    <w:rPr>
                      <w:rFonts w:asciiTheme="majorBidi" w:eastAsiaTheme="minorEastAsia" w:hAnsiTheme="majorBidi"/>
                      <w:b/>
                      <w:bCs/>
                      <w:sz w:val="20"/>
                      <w:szCs w:val="20"/>
                    </w:rPr>
                    <w:t xml:space="preserve">   </w:t>
                  </w:r>
                  <w:r>
                    <w:rPr>
                      <w:rFonts w:asciiTheme="majorBidi" w:eastAsiaTheme="minorEastAsia" w:hAnsiTheme="majorBidi"/>
                      <w:b/>
                      <w:bCs/>
                      <w:sz w:val="20"/>
                      <w:szCs w:val="20"/>
                    </w:rPr>
                    <w:t xml:space="preserve">      </w:t>
                  </w:r>
                  <w:r w:rsidRPr="00C82585">
                    <w:rPr>
                      <w:rFonts w:asciiTheme="majorBidi" w:eastAsiaTheme="minorEastAsia" w:hAnsiTheme="majorBidi"/>
                      <w:b/>
                      <w:bCs/>
                      <w:sz w:val="20"/>
                      <w:szCs w:val="20"/>
                    </w:rPr>
                    <w:t>6,9</w:t>
                  </w:r>
                </w:p>
              </w:tc>
              <w:tc>
                <w:tcPr>
                  <w:tcW w:w="745" w:type="pct"/>
                  <w:tcBorders>
                    <w:bottom w:val="nil"/>
                  </w:tcBorders>
                </w:tcPr>
                <w:p w:rsidR="00905EA8" w:rsidRPr="00C82585" w:rsidRDefault="00905EA8" w:rsidP="00BF5B2D">
                  <w:pPr>
                    <w:cnfStyle w:val="000000000000"/>
                    <w:rPr>
                      <w:rFonts w:asciiTheme="majorBidi" w:eastAsiaTheme="minorEastAsia" w:hAnsiTheme="majorBidi"/>
                      <w:b/>
                      <w:bCs/>
                      <w:color w:val="auto"/>
                      <w:sz w:val="20"/>
                      <w:szCs w:val="20"/>
                    </w:rPr>
                  </w:pPr>
                </w:p>
                <w:p w:rsidR="00905EA8" w:rsidRPr="00C82585" w:rsidRDefault="00905EA8" w:rsidP="00BF5B2D">
                  <w:pPr>
                    <w:cnfStyle w:val="000000000000"/>
                    <w:rPr>
                      <w:rFonts w:asciiTheme="majorBidi" w:eastAsiaTheme="minorEastAsia" w:hAnsiTheme="majorBidi"/>
                      <w:b/>
                      <w:bCs/>
                      <w:sz w:val="20"/>
                      <w:szCs w:val="20"/>
                    </w:rPr>
                  </w:pPr>
                  <w:r w:rsidRPr="00C82585">
                    <w:rPr>
                      <w:rFonts w:asciiTheme="majorBidi" w:eastAsiaTheme="minorEastAsia" w:hAnsiTheme="majorBidi"/>
                      <w:b/>
                      <w:bCs/>
                      <w:sz w:val="20"/>
                      <w:szCs w:val="20"/>
                    </w:rPr>
                    <w:t xml:space="preserve">   </w:t>
                  </w:r>
                  <w:r>
                    <w:rPr>
                      <w:rFonts w:asciiTheme="majorBidi" w:eastAsiaTheme="minorEastAsia" w:hAnsiTheme="majorBidi"/>
                      <w:b/>
                      <w:bCs/>
                      <w:sz w:val="20"/>
                      <w:szCs w:val="20"/>
                    </w:rPr>
                    <w:t xml:space="preserve"> </w:t>
                  </w:r>
                  <w:r w:rsidRPr="00C82585">
                    <w:rPr>
                      <w:rFonts w:asciiTheme="majorBidi" w:eastAsiaTheme="minorEastAsia" w:hAnsiTheme="majorBidi"/>
                      <w:b/>
                      <w:bCs/>
                      <w:sz w:val="20"/>
                      <w:szCs w:val="20"/>
                    </w:rPr>
                    <w:t xml:space="preserve"> 15206</w:t>
                  </w:r>
                </w:p>
                <w:p w:rsidR="00905EA8" w:rsidRPr="00C82585" w:rsidRDefault="00905EA8" w:rsidP="00BF5B2D">
                  <w:pPr>
                    <w:cnfStyle w:val="000000000000"/>
                    <w:rPr>
                      <w:rFonts w:asciiTheme="majorBidi" w:eastAsiaTheme="minorEastAsia" w:hAnsiTheme="majorBidi"/>
                      <w:b/>
                      <w:bCs/>
                      <w:sz w:val="20"/>
                      <w:szCs w:val="20"/>
                    </w:rPr>
                  </w:pPr>
                  <w:r w:rsidRPr="00C82585">
                    <w:rPr>
                      <w:rFonts w:asciiTheme="majorBidi" w:eastAsiaTheme="minorEastAsia" w:hAnsiTheme="majorBidi"/>
                      <w:b/>
                      <w:bCs/>
                      <w:sz w:val="20"/>
                      <w:szCs w:val="20"/>
                    </w:rPr>
                    <w:t xml:space="preserve">   </w:t>
                  </w:r>
                  <w:r>
                    <w:rPr>
                      <w:rFonts w:asciiTheme="majorBidi" w:eastAsiaTheme="minorEastAsia" w:hAnsiTheme="majorBidi"/>
                      <w:b/>
                      <w:bCs/>
                      <w:sz w:val="20"/>
                      <w:szCs w:val="20"/>
                    </w:rPr>
                    <w:t xml:space="preserve">     </w:t>
                  </w:r>
                  <w:r w:rsidRPr="00C82585">
                    <w:rPr>
                      <w:rFonts w:asciiTheme="majorBidi" w:eastAsiaTheme="minorEastAsia" w:hAnsiTheme="majorBidi"/>
                      <w:b/>
                      <w:bCs/>
                      <w:sz w:val="20"/>
                      <w:szCs w:val="20"/>
                    </w:rPr>
                    <w:t>3,7</w:t>
                  </w:r>
                </w:p>
              </w:tc>
            </w:tr>
          </w:tbl>
          <w:p w:rsidR="00905EA8" w:rsidRPr="00C82585" w:rsidRDefault="00905EA8" w:rsidP="00BF5B2D">
            <w:pPr>
              <w:rPr>
                <w:rFonts w:asciiTheme="majorBidi" w:hAnsiTheme="majorBidi" w:cstheme="majorBidi"/>
                <w:color w:val="000000"/>
              </w:rPr>
            </w:pPr>
          </w:p>
          <w:p w:rsidR="00905EA8" w:rsidRPr="00C82585" w:rsidRDefault="00905EA8" w:rsidP="00BF5B2D">
            <w:pPr>
              <w:rPr>
                <w:rFonts w:asciiTheme="majorBidi" w:hAnsiTheme="majorBidi" w:cstheme="majorBidi"/>
                <w:color w:val="000000"/>
              </w:rPr>
            </w:pPr>
          </w:p>
        </w:tc>
        <w:tc>
          <w:tcPr>
            <w:tcW w:w="73" w:type="pct"/>
            <w:tcBorders>
              <w:top w:val="nil"/>
              <w:left w:val="nil"/>
              <w:bottom w:val="nil"/>
              <w:right w:val="nil"/>
            </w:tcBorders>
            <w:shd w:val="clear" w:color="auto" w:fill="auto"/>
            <w:noWrap/>
            <w:vAlign w:val="bottom"/>
            <w:hideMark/>
          </w:tcPr>
          <w:p w:rsidR="00905EA8" w:rsidRPr="00C82585" w:rsidRDefault="00905EA8" w:rsidP="00BF5B2D">
            <w:pPr>
              <w:rPr>
                <w:rFonts w:asciiTheme="majorBidi" w:hAnsiTheme="majorBidi" w:cstheme="majorBidi"/>
                <w:color w:val="000000"/>
              </w:rPr>
            </w:pPr>
          </w:p>
        </w:tc>
        <w:tc>
          <w:tcPr>
            <w:tcW w:w="73" w:type="pct"/>
            <w:tcBorders>
              <w:top w:val="nil"/>
              <w:left w:val="nil"/>
              <w:bottom w:val="nil"/>
              <w:right w:val="nil"/>
            </w:tcBorders>
            <w:shd w:val="clear" w:color="auto" w:fill="auto"/>
            <w:noWrap/>
            <w:vAlign w:val="bottom"/>
            <w:hideMark/>
          </w:tcPr>
          <w:p w:rsidR="00905EA8" w:rsidRPr="00C82585" w:rsidRDefault="00905EA8" w:rsidP="00BF5B2D">
            <w:pPr>
              <w:jc w:val="center"/>
              <w:rPr>
                <w:rFonts w:asciiTheme="majorBidi" w:hAnsiTheme="majorBidi" w:cstheme="majorBidi"/>
                <w:color w:val="000000"/>
              </w:rPr>
            </w:pPr>
          </w:p>
        </w:tc>
        <w:tc>
          <w:tcPr>
            <w:tcW w:w="73" w:type="pct"/>
            <w:tcBorders>
              <w:top w:val="nil"/>
              <w:left w:val="nil"/>
              <w:bottom w:val="nil"/>
              <w:right w:val="nil"/>
            </w:tcBorders>
            <w:shd w:val="clear" w:color="auto" w:fill="auto"/>
            <w:noWrap/>
            <w:vAlign w:val="bottom"/>
            <w:hideMark/>
          </w:tcPr>
          <w:p w:rsidR="00905EA8" w:rsidRPr="00C82585" w:rsidRDefault="00905EA8" w:rsidP="00BF5B2D">
            <w:pPr>
              <w:jc w:val="center"/>
              <w:rPr>
                <w:rFonts w:asciiTheme="majorBidi" w:hAnsiTheme="majorBidi" w:cstheme="majorBidi"/>
                <w:color w:val="000000"/>
              </w:rPr>
            </w:pPr>
          </w:p>
        </w:tc>
        <w:tc>
          <w:tcPr>
            <w:tcW w:w="82" w:type="pct"/>
            <w:tcBorders>
              <w:top w:val="nil"/>
              <w:left w:val="nil"/>
              <w:bottom w:val="nil"/>
              <w:right w:val="nil"/>
            </w:tcBorders>
            <w:shd w:val="clear" w:color="auto" w:fill="auto"/>
            <w:noWrap/>
            <w:vAlign w:val="bottom"/>
            <w:hideMark/>
          </w:tcPr>
          <w:p w:rsidR="00905EA8" w:rsidRPr="00C82585" w:rsidRDefault="00905EA8" w:rsidP="00BF5B2D">
            <w:pPr>
              <w:rPr>
                <w:rFonts w:asciiTheme="majorBidi" w:hAnsiTheme="majorBidi" w:cstheme="majorBidi"/>
                <w:color w:val="000000"/>
              </w:rPr>
            </w:pPr>
          </w:p>
        </w:tc>
        <w:tc>
          <w:tcPr>
            <w:tcW w:w="82" w:type="pct"/>
            <w:tcBorders>
              <w:top w:val="nil"/>
              <w:left w:val="nil"/>
              <w:bottom w:val="nil"/>
              <w:right w:val="nil"/>
            </w:tcBorders>
            <w:shd w:val="clear" w:color="auto" w:fill="auto"/>
            <w:noWrap/>
            <w:vAlign w:val="bottom"/>
            <w:hideMark/>
          </w:tcPr>
          <w:p w:rsidR="00905EA8" w:rsidRPr="00C82585" w:rsidRDefault="00905EA8" w:rsidP="00BF5B2D">
            <w:pPr>
              <w:jc w:val="center"/>
              <w:rPr>
                <w:rFonts w:asciiTheme="majorBidi" w:hAnsiTheme="majorBidi" w:cstheme="majorBidi"/>
                <w:color w:val="000000"/>
              </w:rPr>
            </w:pPr>
          </w:p>
        </w:tc>
        <w:tc>
          <w:tcPr>
            <w:tcW w:w="202" w:type="pct"/>
            <w:tcBorders>
              <w:top w:val="nil"/>
              <w:left w:val="nil"/>
              <w:bottom w:val="nil"/>
              <w:right w:val="nil"/>
            </w:tcBorders>
            <w:shd w:val="clear" w:color="auto" w:fill="auto"/>
            <w:noWrap/>
            <w:vAlign w:val="bottom"/>
            <w:hideMark/>
          </w:tcPr>
          <w:p w:rsidR="00905EA8" w:rsidRPr="00C82585" w:rsidRDefault="00905EA8" w:rsidP="00BF5B2D">
            <w:pPr>
              <w:jc w:val="center"/>
              <w:rPr>
                <w:rFonts w:asciiTheme="majorBidi" w:hAnsiTheme="majorBidi" w:cstheme="majorBidi"/>
                <w:color w:val="000000"/>
              </w:rPr>
            </w:pPr>
            <w:r w:rsidRPr="00C82585">
              <w:rPr>
                <w:rFonts w:asciiTheme="majorBidi" w:hAnsiTheme="majorBidi" w:cstheme="majorBidi"/>
                <w:color w:val="000000"/>
              </w:rPr>
              <w:t>13.0</w:t>
            </w:r>
          </w:p>
        </w:tc>
        <w:tc>
          <w:tcPr>
            <w:tcW w:w="202" w:type="pct"/>
            <w:tcBorders>
              <w:top w:val="nil"/>
              <w:left w:val="nil"/>
              <w:bottom w:val="nil"/>
              <w:right w:val="single" w:sz="8" w:space="0" w:color="C0504D"/>
            </w:tcBorders>
            <w:shd w:val="clear" w:color="auto" w:fill="auto"/>
            <w:noWrap/>
            <w:vAlign w:val="bottom"/>
            <w:hideMark/>
          </w:tcPr>
          <w:p w:rsidR="00905EA8" w:rsidRPr="00C82585" w:rsidRDefault="00905EA8" w:rsidP="00BF5B2D">
            <w:pPr>
              <w:jc w:val="center"/>
              <w:rPr>
                <w:rFonts w:asciiTheme="majorBidi" w:hAnsiTheme="majorBidi" w:cstheme="majorBidi"/>
                <w:color w:val="000000"/>
              </w:rPr>
            </w:pPr>
            <w:r w:rsidRPr="00C82585">
              <w:rPr>
                <w:rFonts w:asciiTheme="majorBidi" w:hAnsiTheme="majorBidi" w:cstheme="majorBidi"/>
                <w:color w:val="000000"/>
              </w:rPr>
              <w:t>12.4</w:t>
            </w:r>
          </w:p>
        </w:tc>
      </w:tr>
    </w:tbl>
    <w:p w:rsidR="00905EA8" w:rsidRPr="00C82585" w:rsidRDefault="00905EA8" w:rsidP="00905EA8">
      <w:pPr>
        <w:pStyle w:val="Sansinterligne"/>
        <w:rPr>
          <w:rFonts w:asciiTheme="majorBidi" w:hAnsiTheme="majorBidi" w:cstheme="majorBidi"/>
          <w:b/>
          <w:bCs/>
          <w:lang w:bidi="ar-MA"/>
        </w:rPr>
      </w:pPr>
      <w:r w:rsidRPr="00C82585">
        <w:rPr>
          <w:rFonts w:asciiTheme="majorBidi" w:hAnsiTheme="majorBidi" w:cstheme="majorBidi"/>
          <w:b/>
          <w:bCs/>
          <w:lang w:bidi="ar-MA"/>
        </w:rPr>
        <w:t xml:space="preserve">        </w:t>
      </w:r>
      <w:r>
        <w:rPr>
          <w:rFonts w:asciiTheme="majorBidi" w:hAnsiTheme="majorBidi" w:cstheme="majorBidi"/>
          <w:b/>
          <w:bCs/>
          <w:lang w:bidi="ar-MA"/>
        </w:rPr>
        <w:t xml:space="preserve">                  </w:t>
      </w:r>
    </w:p>
    <w:p w:rsidR="00740861" w:rsidRDefault="00740861"/>
    <w:sectPr w:rsidR="00740861" w:rsidSect="001E0268">
      <w:headerReference w:type="default" r:id="rId12"/>
      <w:footerReference w:type="default" r:id="rId13"/>
      <w:pgSz w:w="11906" w:h="16838"/>
      <w:pgMar w:top="851" w:right="1134" w:bottom="851" w:left="1276"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0C1F" w:rsidRDefault="00F90C1F" w:rsidP="0015606B">
      <w:pPr>
        <w:spacing w:line="240" w:lineRule="auto"/>
      </w:pPr>
      <w:r>
        <w:separator/>
      </w:r>
    </w:p>
  </w:endnote>
  <w:endnote w:type="continuationSeparator" w:id="1">
    <w:p w:rsidR="00F90C1F" w:rsidRDefault="00F90C1F" w:rsidP="0015606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61460"/>
      <w:docPartObj>
        <w:docPartGallery w:val="Page Numbers (Bottom of Page)"/>
        <w:docPartUnique/>
      </w:docPartObj>
    </w:sdtPr>
    <w:sdtContent>
      <w:p w:rsidR="00FF2000" w:rsidRDefault="00DE0340">
        <w:pPr>
          <w:pStyle w:val="Pieddepage"/>
          <w:jc w:val="center"/>
        </w:pPr>
        <w:r>
          <w:fldChar w:fldCharType="begin"/>
        </w:r>
        <w:r w:rsidR="00905EA8">
          <w:instrText xml:space="preserve"> PAGE   \* MERGEFORMAT </w:instrText>
        </w:r>
        <w:r>
          <w:fldChar w:fldCharType="separate"/>
        </w:r>
        <w:r w:rsidR="008D5413">
          <w:rPr>
            <w:noProof/>
          </w:rPr>
          <w:t>2</w:t>
        </w:r>
        <w:r>
          <w:fldChar w:fldCharType="end"/>
        </w:r>
      </w:p>
    </w:sdtContent>
  </w:sdt>
  <w:p w:rsidR="00FF2000" w:rsidRDefault="00F90C1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0C1F" w:rsidRDefault="00F90C1F" w:rsidP="0015606B">
      <w:pPr>
        <w:spacing w:line="240" w:lineRule="auto"/>
      </w:pPr>
      <w:r>
        <w:separator/>
      </w:r>
    </w:p>
  </w:footnote>
  <w:footnote w:type="continuationSeparator" w:id="1">
    <w:p w:rsidR="00F90C1F" w:rsidRDefault="00F90C1F" w:rsidP="0015606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000" w:rsidRDefault="00F90C1F">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B5585"/>
    <w:multiLevelType w:val="hybridMultilevel"/>
    <w:tmpl w:val="C714FB64"/>
    <w:lvl w:ilvl="0" w:tplc="F8488ABC">
      <w:start w:val="12"/>
      <w:numFmt w:val="bullet"/>
      <w:lvlText w:val="-"/>
      <w:lvlJc w:val="left"/>
      <w:pPr>
        <w:ind w:left="495" w:hanging="360"/>
      </w:pPr>
      <w:rPr>
        <w:rFonts w:ascii="Calibri" w:eastAsiaTheme="minorEastAsia" w:hAnsi="Calibri" w:cs="Calibri" w:hint="default"/>
      </w:rPr>
    </w:lvl>
    <w:lvl w:ilvl="1" w:tplc="040C0003" w:tentative="1">
      <w:start w:val="1"/>
      <w:numFmt w:val="bullet"/>
      <w:lvlText w:val="o"/>
      <w:lvlJc w:val="left"/>
      <w:pPr>
        <w:ind w:left="1215" w:hanging="360"/>
      </w:pPr>
      <w:rPr>
        <w:rFonts w:ascii="Courier New" w:hAnsi="Courier New" w:cs="Courier New" w:hint="default"/>
      </w:rPr>
    </w:lvl>
    <w:lvl w:ilvl="2" w:tplc="040C0005" w:tentative="1">
      <w:start w:val="1"/>
      <w:numFmt w:val="bullet"/>
      <w:lvlText w:val=""/>
      <w:lvlJc w:val="left"/>
      <w:pPr>
        <w:ind w:left="1935" w:hanging="360"/>
      </w:pPr>
      <w:rPr>
        <w:rFonts w:ascii="Wingdings" w:hAnsi="Wingdings" w:hint="default"/>
      </w:rPr>
    </w:lvl>
    <w:lvl w:ilvl="3" w:tplc="040C0001" w:tentative="1">
      <w:start w:val="1"/>
      <w:numFmt w:val="bullet"/>
      <w:lvlText w:val=""/>
      <w:lvlJc w:val="left"/>
      <w:pPr>
        <w:ind w:left="2655" w:hanging="360"/>
      </w:pPr>
      <w:rPr>
        <w:rFonts w:ascii="Symbol" w:hAnsi="Symbol" w:hint="default"/>
      </w:rPr>
    </w:lvl>
    <w:lvl w:ilvl="4" w:tplc="040C0003" w:tentative="1">
      <w:start w:val="1"/>
      <w:numFmt w:val="bullet"/>
      <w:lvlText w:val="o"/>
      <w:lvlJc w:val="left"/>
      <w:pPr>
        <w:ind w:left="3375" w:hanging="360"/>
      </w:pPr>
      <w:rPr>
        <w:rFonts w:ascii="Courier New" w:hAnsi="Courier New" w:cs="Courier New" w:hint="default"/>
      </w:rPr>
    </w:lvl>
    <w:lvl w:ilvl="5" w:tplc="040C0005" w:tentative="1">
      <w:start w:val="1"/>
      <w:numFmt w:val="bullet"/>
      <w:lvlText w:val=""/>
      <w:lvlJc w:val="left"/>
      <w:pPr>
        <w:ind w:left="4095" w:hanging="360"/>
      </w:pPr>
      <w:rPr>
        <w:rFonts w:ascii="Wingdings" w:hAnsi="Wingdings" w:hint="default"/>
      </w:rPr>
    </w:lvl>
    <w:lvl w:ilvl="6" w:tplc="040C0001" w:tentative="1">
      <w:start w:val="1"/>
      <w:numFmt w:val="bullet"/>
      <w:lvlText w:val=""/>
      <w:lvlJc w:val="left"/>
      <w:pPr>
        <w:ind w:left="4815" w:hanging="360"/>
      </w:pPr>
      <w:rPr>
        <w:rFonts w:ascii="Symbol" w:hAnsi="Symbol" w:hint="default"/>
      </w:rPr>
    </w:lvl>
    <w:lvl w:ilvl="7" w:tplc="040C0003" w:tentative="1">
      <w:start w:val="1"/>
      <w:numFmt w:val="bullet"/>
      <w:lvlText w:val="o"/>
      <w:lvlJc w:val="left"/>
      <w:pPr>
        <w:ind w:left="5535" w:hanging="360"/>
      </w:pPr>
      <w:rPr>
        <w:rFonts w:ascii="Courier New" w:hAnsi="Courier New" w:cs="Courier New" w:hint="default"/>
      </w:rPr>
    </w:lvl>
    <w:lvl w:ilvl="8" w:tplc="040C0005" w:tentative="1">
      <w:start w:val="1"/>
      <w:numFmt w:val="bullet"/>
      <w:lvlText w:val=""/>
      <w:lvlJc w:val="left"/>
      <w:pPr>
        <w:ind w:left="6255" w:hanging="360"/>
      </w:pPr>
      <w:rPr>
        <w:rFonts w:ascii="Wingdings" w:hAnsi="Wingdings" w:hint="default"/>
      </w:rPr>
    </w:lvl>
  </w:abstractNum>
  <w:abstractNum w:abstractNumId="1">
    <w:nsid w:val="137B1515"/>
    <w:multiLevelType w:val="hybridMultilevel"/>
    <w:tmpl w:val="B72A7788"/>
    <w:lvl w:ilvl="0" w:tplc="C18CC734">
      <w:numFmt w:val="bullet"/>
      <w:lvlText w:val="-"/>
      <w:lvlJc w:val="left"/>
      <w:pPr>
        <w:ind w:left="1069" w:hanging="360"/>
      </w:pPr>
      <w:rPr>
        <w:rFonts w:ascii="Times New Roman" w:eastAsiaTheme="minorHAnsi"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
    <w:nsid w:val="6F7D6582"/>
    <w:multiLevelType w:val="hybridMultilevel"/>
    <w:tmpl w:val="4FEA551C"/>
    <w:lvl w:ilvl="0" w:tplc="DE54E0A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05EA8"/>
    <w:rsid w:val="0015606B"/>
    <w:rsid w:val="002628BE"/>
    <w:rsid w:val="003109F3"/>
    <w:rsid w:val="00740861"/>
    <w:rsid w:val="008D5413"/>
    <w:rsid w:val="00905EA8"/>
    <w:rsid w:val="00946A8D"/>
    <w:rsid w:val="00D22F81"/>
    <w:rsid w:val="00DE0340"/>
    <w:rsid w:val="00F90C1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EA8"/>
    <w:pPr>
      <w:spacing w:after="0" w:line="200" w:lineRule="exact"/>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905EA8"/>
    <w:pPr>
      <w:spacing w:after="0" w:line="240" w:lineRule="auto"/>
    </w:pPr>
  </w:style>
  <w:style w:type="paragraph" w:styleId="Paragraphedeliste">
    <w:name w:val="List Paragraph"/>
    <w:basedOn w:val="Normal"/>
    <w:uiPriority w:val="34"/>
    <w:qFormat/>
    <w:rsid w:val="00905EA8"/>
    <w:pPr>
      <w:ind w:left="720"/>
      <w:contextualSpacing/>
    </w:pPr>
  </w:style>
  <w:style w:type="paragraph" w:styleId="En-tte">
    <w:name w:val="header"/>
    <w:basedOn w:val="Normal"/>
    <w:link w:val="En-tteCar"/>
    <w:uiPriority w:val="99"/>
    <w:semiHidden/>
    <w:unhideWhenUsed/>
    <w:rsid w:val="00905EA8"/>
    <w:pPr>
      <w:tabs>
        <w:tab w:val="center" w:pos="4536"/>
        <w:tab w:val="right" w:pos="9072"/>
      </w:tabs>
      <w:spacing w:line="240" w:lineRule="auto"/>
    </w:pPr>
  </w:style>
  <w:style w:type="character" w:customStyle="1" w:styleId="En-tteCar">
    <w:name w:val="En-tête Car"/>
    <w:basedOn w:val="Policepardfaut"/>
    <w:link w:val="En-tte"/>
    <w:uiPriority w:val="99"/>
    <w:semiHidden/>
    <w:rsid w:val="00905EA8"/>
  </w:style>
  <w:style w:type="paragraph" w:styleId="Pieddepage">
    <w:name w:val="footer"/>
    <w:basedOn w:val="Normal"/>
    <w:link w:val="PieddepageCar"/>
    <w:uiPriority w:val="99"/>
    <w:unhideWhenUsed/>
    <w:rsid w:val="00905EA8"/>
    <w:pPr>
      <w:tabs>
        <w:tab w:val="center" w:pos="4536"/>
        <w:tab w:val="right" w:pos="9072"/>
      </w:tabs>
      <w:spacing w:line="240" w:lineRule="auto"/>
    </w:pPr>
  </w:style>
  <w:style w:type="character" w:customStyle="1" w:styleId="PieddepageCar">
    <w:name w:val="Pied de page Car"/>
    <w:basedOn w:val="Policepardfaut"/>
    <w:link w:val="Pieddepage"/>
    <w:uiPriority w:val="99"/>
    <w:rsid w:val="00905EA8"/>
  </w:style>
  <w:style w:type="table" w:styleId="Grilledutableau">
    <w:name w:val="Table Grid"/>
    <w:basedOn w:val="TableauNormal"/>
    <w:uiPriority w:val="59"/>
    <w:rsid w:val="00905E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stemoyenne2-Accent1">
    <w:name w:val="Medium List 2 Accent 1"/>
    <w:basedOn w:val="TableauNormal"/>
    <w:uiPriority w:val="66"/>
    <w:rsid w:val="00905EA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Textedebulles">
    <w:name w:val="Balloon Text"/>
    <w:basedOn w:val="Normal"/>
    <w:link w:val="TextedebullesCar"/>
    <w:uiPriority w:val="99"/>
    <w:semiHidden/>
    <w:unhideWhenUsed/>
    <w:rsid w:val="00905EA8"/>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05E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Feuille_Microsoft_Office_Excel1.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ocuments\Graphique%202%20dans%20Microsoft%20Office%20Wor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ocuments\graphique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ocuments\graphique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a:pPr>
            <a:r>
              <a:rPr lang="fr-FR" sz="1200">
                <a:latin typeface="Times New Roman" pitchFamily="18" charset="0"/>
                <a:cs typeface="Times New Roman" pitchFamily="18" charset="0"/>
              </a:rPr>
              <a:t>Evolution de la contribution de la région dans la formation du PIB national (en %)</a:t>
            </a:r>
          </a:p>
        </c:rich>
      </c:tx>
    </c:title>
    <c:plotArea>
      <c:layout>
        <c:manualLayout>
          <c:layoutTarget val="inner"/>
          <c:xMode val="edge"/>
          <c:yMode val="edge"/>
          <c:x val="7.6625998001704956E-2"/>
          <c:y val="0.31504381508763291"/>
          <c:w val="0.8977628262125007"/>
          <c:h val="0.4046037592075184"/>
        </c:manualLayout>
      </c:layout>
      <c:lineChart>
        <c:grouping val="standard"/>
        <c:ser>
          <c:idx val="0"/>
          <c:order val="0"/>
          <c:tx>
            <c:strRef>
              <c:f>Feuil1!$B$1</c:f>
              <c:strCache>
                <c:ptCount val="1"/>
                <c:pt idx="0">
                  <c:v>PIB Régional</c:v>
                </c:pt>
              </c:strCache>
            </c:strRef>
          </c:tx>
          <c:cat>
            <c:numRef>
              <c:f>Feuil1!$A$2:$A$6</c:f>
              <c:numCache>
                <c:formatCode>General</c:formatCode>
                <c:ptCount val="5"/>
                <c:pt idx="0">
                  <c:v>2007</c:v>
                </c:pt>
                <c:pt idx="1">
                  <c:v>2009</c:v>
                </c:pt>
                <c:pt idx="2">
                  <c:v>2010</c:v>
                </c:pt>
                <c:pt idx="3">
                  <c:v>2011</c:v>
                </c:pt>
                <c:pt idx="4">
                  <c:v>2012</c:v>
                </c:pt>
              </c:numCache>
            </c:numRef>
          </c:cat>
          <c:val>
            <c:numRef>
              <c:f>Feuil1!$B$2:$B$6</c:f>
              <c:numCache>
                <c:formatCode>General</c:formatCode>
                <c:ptCount val="5"/>
                <c:pt idx="0">
                  <c:v>8.8000000000000007</c:v>
                </c:pt>
                <c:pt idx="1">
                  <c:v>8.3000000000000007</c:v>
                </c:pt>
                <c:pt idx="2">
                  <c:v>8</c:v>
                </c:pt>
                <c:pt idx="3">
                  <c:v>7.8599999999999985</c:v>
                </c:pt>
                <c:pt idx="4">
                  <c:v>7.94</c:v>
                </c:pt>
              </c:numCache>
            </c:numRef>
          </c:val>
        </c:ser>
        <c:ser>
          <c:idx val="1"/>
          <c:order val="1"/>
          <c:tx>
            <c:strRef>
              <c:f>Feuil1!$C$1</c:f>
              <c:strCache>
                <c:ptCount val="1"/>
                <c:pt idx="0">
                  <c:v>PIB National</c:v>
                </c:pt>
              </c:strCache>
            </c:strRef>
          </c:tx>
          <c:cat>
            <c:numRef>
              <c:f>Feuil1!$A$2:$A$6</c:f>
              <c:numCache>
                <c:formatCode>General</c:formatCode>
                <c:ptCount val="5"/>
                <c:pt idx="0">
                  <c:v>2007</c:v>
                </c:pt>
                <c:pt idx="1">
                  <c:v>2009</c:v>
                </c:pt>
                <c:pt idx="2">
                  <c:v>2010</c:v>
                </c:pt>
                <c:pt idx="3">
                  <c:v>2011</c:v>
                </c:pt>
                <c:pt idx="4">
                  <c:v>2012</c:v>
                </c:pt>
              </c:numCache>
            </c:numRef>
          </c:cat>
          <c:val>
            <c:numRef>
              <c:f>Feuil1!$C$2:$C$6</c:f>
              <c:numCache>
                <c:formatCode>General</c:formatCode>
                <c:ptCount val="5"/>
              </c:numCache>
            </c:numRef>
          </c:val>
        </c:ser>
        <c:marker val="1"/>
        <c:axId val="101119488"/>
        <c:axId val="101139200"/>
      </c:lineChart>
      <c:catAx>
        <c:axId val="101119488"/>
        <c:scaling>
          <c:orientation val="minMax"/>
        </c:scaling>
        <c:axPos val="b"/>
        <c:numFmt formatCode="General" sourceLinked="1"/>
        <c:majorTickMark val="none"/>
        <c:tickLblPos val="nextTo"/>
        <c:crossAx val="101139200"/>
        <c:crosses val="autoZero"/>
        <c:auto val="1"/>
        <c:lblAlgn val="ctr"/>
        <c:lblOffset val="100"/>
      </c:catAx>
      <c:valAx>
        <c:axId val="101139200"/>
        <c:scaling>
          <c:orientation val="minMax"/>
        </c:scaling>
        <c:axPos val="l"/>
        <c:numFmt formatCode="General" sourceLinked="1"/>
        <c:majorTickMark val="none"/>
        <c:tickLblPos val="nextTo"/>
        <c:crossAx val="101119488"/>
        <c:crosses val="autoZero"/>
        <c:crossBetween val="between"/>
        <c:majorUnit val="0.4"/>
      </c:valAx>
    </c:plotArea>
    <c:plotVisOnly val="1"/>
  </c:chart>
  <c:spPr>
    <a:noFill/>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sz="1400" baseline="0">
                <a:latin typeface="Times New Roman" pitchFamily="18" charset="0"/>
              </a:defRPr>
            </a:pPr>
            <a:r>
              <a:rPr lang="fr-FR" sz="1400" baseline="0">
                <a:latin typeface="Times New Roman" pitchFamily="18" charset="0"/>
              </a:rPr>
              <a:t>Evolution du PIB régional et national </a:t>
            </a:r>
          </a:p>
        </c:rich>
      </c:tx>
      <c:layout>
        <c:manualLayout>
          <c:xMode val="edge"/>
          <c:yMode val="edge"/>
          <c:x val="0.17548755165395447"/>
          <c:y val="1.4184318509482101E-3"/>
        </c:manualLayout>
      </c:layout>
      <c:overlay val="1"/>
    </c:title>
    <c:plotArea>
      <c:layout/>
      <c:lineChart>
        <c:grouping val="standard"/>
        <c:ser>
          <c:idx val="0"/>
          <c:order val="0"/>
          <c:tx>
            <c:strRef>
              <c:f>Feuil1!$A$43:$B$43</c:f>
              <c:strCache>
                <c:ptCount val="1"/>
                <c:pt idx="0">
                  <c:v>PIB Régional</c:v>
                </c:pt>
              </c:strCache>
            </c:strRef>
          </c:tx>
          <c:marker>
            <c:symbol val="none"/>
          </c:marker>
          <c:cat>
            <c:numRef>
              <c:f>Feuil1!$C$42:$G$42</c:f>
              <c:numCache>
                <c:formatCode>General</c:formatCode>
                <c:ptCount val="5"/>
                <c:pt idx="0">
                  <c:v>2007</c:v>
                </c:pt>
                <c:pt idx="1">
                  <c:v>2009</c:v>
                </c:pt>
                <c:pt idx="2">
                  <c:v>2010</c:v>
                </c:pt>
                <c:pt idx="3">
                  <c:v>2011</c:v>
                </c:pt>
                <c:pt idx="4">
                  <c:v>2012</c:v>
                </c:pt>
              </c:numCache>
            </c:numRef>
          </c:cat>
          <c:val>
            <c:numRef>
              <c:f>Feuil1!$C$43:$G$43</c:f>
              <c:numCache>
                <c:formatCode>0.000</c:formatCode>
                <c:ptCount val="5"/>
                <c:pt idx="0">
                  <c:v>12.7</c:v>
                </c:pt>
                <c:pt idx="1">
                  <c:v>5.7</c:v>
                </c:pt>
                <c:pt idx="2">
                  <c:v>0.4</c:v>
                </c:pt>
                <c:pt idx="3">
                  <c:v>3.9</c:v>
                </c:pt>
                <c:pt idx="4">
                  <c:v>4.0999999999999996</c:v>
                </c:pt>
              </c:numCache>
            </c:numRef>
          </c:val>
        </c:ser>
        <c:ser>
          <c:idx val="2"/>
          <c:order val="1"/>
          <c:tx>
            <c:strRef>
              <c:f>Feuil1!$A$45:$B$45</c:f>
              <c:strCache>
                <c:ptCount val="1"/>
                <c:pt idx="0">
                  <c:v>PIB National</c:v>
                </c:pt>
              </c:strCache>
            </c:strRef>
          </c:tx>
          <c:cat>
            <c:numRef>
              <c:f>Feuil1!$C$42:$G$42</c:f>
              <c:numCache>
                <c:formatCode>General</c:formatCode>
                <c:ptCount val="5"/>
                <c:pt idx="0">
                  <c:v>2007</c:v>
                </c:pt>
                <c:pt idx="1">
                  <c:v>2009</c:v>
                </c:pt>
                <c:pt idx="2">
                  <c:v>2010</c:v>
                </c:pt>
                <c:pt idx="3">
                  <c:v>2011</c:v>
                </c:pt>
                <c:pt idx="4">
                  <c:v>2012</c:v>
                </c:pt>
              </c:numCache>
            </c:numRef>
          </c:cat>
          <c:val>
            <c:numRef>
              <c:f>Feuil1!$C$45:$G$45</c:f>
              <c:numCache>
                <c:formatCode>0.000</c:formatCode>
                <c:ptCount val="5"/>
                <c:pt idx="0">
                  <c:v>6.9</c:v>
                </c:pt>
                <c:pt idx="1">
                  <c:v>9</c:v>
                </c:pt>
                <c:pt idx="2">
                  <c:v>4.3</c:v>
                </c:pt>
                <c:pt idx="3">
                  <c:v>5</c:v>
                </c:pt>
                <c:pt idx="4">
                  <c:v>3.1</c:v>
                </c:pt>
              </c:numCache>
            </c:numRef>
          </c:val>
        </c:ser>
        <c:marker val="1"/>
        <c:axId val="51792896"/>
        <c:axId val="51815168"/>
      </c:lineChart>
      <c:catAx>
        <c:axId val="51792896"/>
        <c:scaling>
          <c:orientation val="minMax"/>
        </c:scaling>
        <c:axPos val="b"/>
        <c:numFmt formatCode="General" sourceLinked="1"/>
        <c:tickLblPos val="nextTo"/>
        <c:crossAx val="51815168"/>
        <c:crosses val="autoZero"/>
        <c:auto val="1"/>
        <c:lblAlgn val="ctr"/>
        <c:lblOffset val="100"/>
      </c:catAx>
      <c:valAx>
        <c:axId val="51815168"/>
        <c:scaling>
          <c:orientation val="minMax"/>
        </c:scaling>
        <c:axPos val="l"/>
        <c:numFmt formatCode="0" sourceLinked="0"/>
        <c:tickLblPos val="nextTo"/>
        <c:crossAx val="51792896"/>
        <c:crosses val="autoZero"/>
        <c:crossBetween val="between"/>
      </c:valAx>
      <c:spPr>
        <a:noFill/>
      </c:spPr>
    </c:plotArea>
    <c:legend>
      <c:legendPos val="r"/>
      <c:legendEntry>
        <c:idx val="0"/>
        <c:txPr>
          <a:bodyPr/>
          <a:lstStyle/>
          <a:p>
            <a:pPr>
              <a:defRPr b="1" baseline="0">
                <a:latin typeface="Times New Roman" pitchFamily="18" charset="0"/>
              </a:defRPr>
            </a:pPr>
            <a:endParaRPr lang="fr-FR"/>
          </a:p>
        </c:txPr>
      </c:legendEntry>
      <c:legendEntry>
        <c:idx val="1"/>
        <c:txPr>
          <a:bodyPr/>
          <a:lstStyle/>
          <a:p>
            <a:pPr>
              <a:defRPr b="1" baseline="0">
                <a:latin typeface="Times New Roman" pitchFamily="18" charset="0"/>
              </a:defRPr>
            </a:pPr>
            <a:endParaRPr lang="fr-FR"/>
          </a:p>
        </c:txPr>
      </c:legendEntry>
      <c:layout>
        <c:manualLayout>
          <c:xMode val="edge"/>
          <c:yMode val="edge"/>
          <c:x val="0.8002482630847616"/>
          <c:y val="0.59953937007873959"/>
          <c:w val="0.19975173691523854"/>
          <c:h val="0.18425459317585324"/>
        </c:manualLayout>
      </c:layout>
      <c:txPr>
        <a:bodyPr/>
        <a:lstStyle/>
        <a:p>
          <a:pPr>
            <a:defRPr b="1"/>
          </a:pPr>
          <a:endParaRPr lang="fr-FR"/>
        </a:p>
      </c:txPr>
    </c:legend>
    <c:plotVisOnly val="1"/>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a:pPr>
            <a:r>
              <a:rPr lang="fr-FR" sz="1300" baseline="0">
                <a:latin typeface="Times New Roman" pitchFamily="18" charset="0"/>
                <a:cs typeface="Times New Roman" pitchFamily="18" charset="0"/>
              </a:rPr>
              <a:t>Structure du PIB régional par secteurs d'activités (%)</a:t>
            </a:r>
          </a:p>
        </c:rich>
      </c:tx>
    </c:title>
    <c:view3D>
      <c:rotX val="30"/>
      <c:perspective val="30"/>
    </c:view3D>
    <c:plotArea>
      <c:layout>
        <c:manualLayout>
          <c:layoutTarget val="inner"/>
          <c:xMode val="edge"/>
          <c:yMode val="edge"/>
          <c:x val="0.15972222222222351"/>
          <c:y val="0.23495532678828079"/>
          <c:w val="0.55488712948106556"/>
          <c:h val="0.53323284453861919"/>
        </c:manualLayout>
      </c:layout>
      <c:pie3DChart>
        <c:varyColors val="1"/>
        <c:ser>
          <c:idx val="0"/>
          <c:order val="0"/>
          <c:explosion val="25"/>
          <c:dPt>
            <c:idx val="0"/>
            <c:explosion val="10"/>
          </c:dPt>
          <c:dPt>
            <c:idx val="1"/>
            <c:explosion val="4"/>
          </c:dPt>
          <c:dPt>
            <c:idx val="2"/>
            <c:explosion val="6"/>
          </c:dPt>
          <c:dPt>
            <c:idx val="3"/>
            <c:explosion val="9"/>
          </c:dPt>
          <c:dLbls>
            <c:dLbl>
              <c:idx val="0"/>
              <c:layout>
                <c:manualLayout>
                  <c:x val="-1.3123140857392825E-2"/>
                  <c:y val="-1.6082656334624839E-2"/>
                </c:manualLayout>
              </c:layout>
              <c:showCatName val="1"/>
              <c:showPercent val="1"/>
            </c:dLbl>
            <c:dLbl>
              <c:idx val="1"/>
              <c:layout>
                <c:manualLayout>
                  <c:x val="2.433912948381476E-2"/>
                  <c:y val="-5.1445569303836987E-2"/>
                </c:manualLayout>
              </c:layout>
              <c:showCatName val="1"/>
              <c:showPercent val="1"/>
            </c:dLbl>
            <c:dLbl>
              <c:idx val="2"/>
              <c:layout>
                <c:manualLayout>
                  <c:x val="3.6042104111986002E-2"/>
                  <c:y val="9.3440319960005E-2"/>
                </c:manualLayout>
              </c:layout>
              <c:showCatName val="1"/>
              <c:showPercent val="1"/>
            </c:dLbl>
            <c:dLbl>
              <c:idx val="3"/>
              <c:layout>
                <c:manualLayout>
                  <c:x val="-2.8283902012248612E-2"/>
                  <c:y val="-1.1452568428946383E-2"/>
                </c:manualLayout>
              </c:layout>
              <c:showCatName val="1"/>
              <c:showPercent val="1"/>
            </c:dLbl>
            <c:numFmt formatCode="0.0%" sourceLinked="0"/>
            <c:txPr>
              <a:bodyPr/>
              <a:lstStyle/>
              <a:p>
                <a:pPr>
                  <a:defRPr b="1">
                    <a:latin typeface="Times New Roman" pitchFamily="18" charset="0"/>
                    <a:cs typeface="Times New Roman" pitchFamily="18" charset="0"/>
                  </a:defRPr>
                </a:pPr>
                <a:endParaRPr lang="fr-FR"/>
              </a:p>
            </c:txPr>
            <c:showCatName val="1"/>
            <c:showPercent val="1"/>
            <c:showLeaderLines val="1"/>
          </c:dLbls>
          <c:cat>
            <c:strRef>
              <c:f>Feuil1!$B$3:$B$6</c:f>
              <c:strCache>
                <c:ptCount val="4"/>
                <c:pt idx="0">
                  <c:v>Primaire</c:v>
                </c:pt>
                <c:pt idx="1">
                  <c:v>Secondaire</c:v>
                </c:pt>
                <c:pt idx="2">
                  <c:v>Tertiaire</c:v>
                </c:pt>
                <c:pt idx="3">
                  <c:v>I-S/P</c:v>
                </c:pt>
              </c:strCache>
            </c:strRef>
          </c:cat>
          <c:val>
            <c:numRef>
              <c:f>Feuil1!$C$3:$C$6</c:f>
              <c:numCache>
                <c:formatCode>General</c:formatCode>
                <c:ptCount val="4"/>
                <c:pt idx="0">
                  <c:v>8145</c:v>
                </c:pt>
                <c:pt idx="1">
                  <c:v>16522</c:v>
                </c:pt>
                <c:pt idx="2">
                  <c:v>33641</c:v>
                </c:pt>
                <c:pt idx="3">
                  <c:v>7409</c:v>
                </c:pt>
              </c:numCache>
            </c:numRef>
          </c:val>
        </c:ser>
        <c:ser>
          <c:idx val="1"/>
          <c:order val="1"/>
          <c:explosion val="25"/>
          <c:cat>
            <c:numRef>
              <c:f>Feuil1!$D$35:$F$35</c:f>
              <c:numCache>
                <c:formatCode>General</c:formatCode>
                <c:ptCount val="3"/>
              </c:numCache>
            </c:numRef>
          </c:cat>
          <c:val>
            <c:numRef>
              <c:f>Feuil1!$G$35</c:f>
              <c:numCache>
                <c:formatCode>General</c:formatCode>
                <c:ptCount val="1"/>
                <c:pt idx="0">
                  <c:v>0</c:v>
                </c:pt>
              </c:numCache>
            </c:numRef>
          </c:val>
        </c:ser>
        <c:ser>
          <c:idx val="2"/>
          <c:order val="2"/>
          <c:explosion val="25"/>
          <c:cat>
            <c:numRef>
              <c:f>Feuil1!$D$35:$F$35</c:f>
              <c:numCache>
                <c:formatCode>General</c:formatCode>
                <c:ptCount val="3"/>
              </c:numCache>
            </c:numRef>
          </c:cat>
          <c:val>
            <c:numRef>
              <c:f>Feuil1!$H$35</c:f>
              <c:numCache>
                <c:formatCode>General</c:formatCode>
                <c:ptCount val="1"/>
              </c:numCache>
            </c:numRef>
          </c:val>
        </c:ser>
        <c:ser>
          <c:idx val="3"/>
          <c:order val="3"/>
          <c:explosion val="25"/>
          <c:cat>
            <c:numRef>
              <c:f>Feuil1!$D$35:$F$35</c:f>
              <c:numCache>
                <c:formatCode>General</c:formatCode>
                <c:ptCount val="3"/>
              </c:numCache>
            </c:numRef>
          </c:cat>
          <c:val>
            <c:numRef>
              <c:f>Feuil1!$I$35</c:f>
              <c:numCache>
                <c:formatCode>General</c:formatCode>
                <c:ptCount val="1"/>
              </c:numCache>
            </c:numRef>
          </c:val>
        </c:ser>
        <c:ser>
          <c:idx val="4"/>
          <c:order val="4"/>
          <c:explosion val="25"/>
          <c:cat>
            <c:numRef>
              <c:f>Feuil1!$D$35:$F$35</c:f>
              <c:numCache>
                <c:formatCode>General</c:formatCode>
                <c:ptCount val="3"/>
              </c:numCache>
            </c:numRef>
          </c:cat>
          <c:val>
            <c:numRef>
              <c:f>Feuil1!$J$35</c:f>
              <c:numCache>
                <c:formatCode>General</c:formatCode>
                <c:ptCount val="1"/>
              </c:numCache>
            </c:numRef>
          </c:val>
        </c:ser>
      </c:pie3DChart>
    </c:plotArea>
    <c:plotVisOnly val="1"/>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sz="1200" baseline="0">
                <a:latin typeface="Times New Roman" pitchFamily="18" charset="0"/>
                <a:cs typeface="Times New Roman" pitchFamily="18" charset="0"/>
              </a:defRPr>
            </a:pPr>
            <a:r>
              <a:rPr lang="fr-FR" sz="1200" baseline="0">
                <a:latin typeface="Times New Roman" pitchFamily="18" charset="0"/>
                <a:cs typeface="Times New Roman" pitchFamily="18" charset="0"/>
              </a:rPr>
              <a:t>Répartition de la DCFM par région en 2012 (%)</a:t>
            </a:r>
          </a:p>
        </c:rich>
      </c:tx>
      <c:layout>
        <c:manualLayout>
          <c:xMode val="edge"/>
          <c:yMode val="edge"/>
          <c:x val="0.27044435424953328"/>
          <c:y val="5.2431730608142123E-2"/>
        </c:manualLayout>
      </c:layout>
      <c:spPr>
        <a:noFill/>
      </c:spPr>
    </c:title>
    <c:view3D>
      <c:rotX val="30"/>
      <c:perspective val="30"/>
    </c:view3D>
    <c:plotArea>
      <c:layout>
        <c:manualLayout>
          <c:layoutTarget val="inner"/>
          <c:xMode val="edge"/>
          <c:yMode val="edge"/>
          <c:x val="0.22220147739264551"/>
          <c:y val="0.41776930809180762"/>
          <c:w val="0.51386670996021699"/>
          <c:h val="0.42299422013737642"/>
        </c:manualLayout>
      </c:layout>
      <c:pie3DChart>
        <c:varyColors val="1"/>
        <c:ser>
          <c:idx val="0"/>
          <c:order val="0"/>
          <c:explosion val="25"/>
          <c:dPt>
            <c:idx val="0"/>
            <c:explosion val="0"/>
          </c:dPt>
          <c:dPt>
            <c:idx val="1"/>
            <c:explosion val="8"/>
          </c:dPt>
          <c:dPt>
            <c:idx val="2"/>
            <c:explosion val="14"/>
          </c:dPt>
          <c:dPt>
            <c:idx val="3"/>
            <c:explosion val="4"/>
          </c:dPt>
          <c:dPt>
            <c:idx val="4"/>
            <c:explosion val="11"/>
          </c:dPt>
          <c:dLbls>
            <c:dLbl>
              <c:idx val="0"/>
              <c:layout>
                <c:manualLayout>
                  <c:x val="-0.16327548118985141"/>
                  <c:y val="-5.1294656417206014E-2"/>
                </c:manualLayout>
              </c:layout>
              <c:showCatName val="1"/>
              <c:showPercent val="1"/>
            </c:dLbl>
            <c:dLbl>
              <c:idx val="1"/>
              <c:layout>
                <c:manualLayout>
                  <c:x val="-6.7235564304461939E-2"/>
                  <c:y val="-0.10099067637465819"/>
                </c:manualLayout>
              </c:layout>
              <c:showCatName val="1"/>
              <c:showPercent val="1"/>
            </c:dLbl>
            <c:dLbl>
              <c:idx val="2"/>
              <c:layout>
                <c:manualLayout>
                  <c:x val="5.559003586593611E-2"/>
                  <c:y val="-4.0639798074021238E-2"/>
                </c:manualLayout>
              </c:layout>
              <c:showCatName val="1"/>
              <c:showPercent val="1"/>
            </c:dLbl>
            <c:dLbl>
              <c:idx val="3"/>
              <c:layout>
                <c:manualLayout>
                  <c:x val="2.9929309295053715E-2"/>
                  <c:y val="5.2831299770248433E-2"/>
                </c:manualLayout>
              </c:layout>
              <c:showCatName val="1"/>
              <c:showPercent val="1"/>
            </c:dLbl>
            <c:dLbl>
              <c:idx val="4"/>
              <c:layout>
                <c:manualLayout>
                  <c:x val="5.5314186644101527E-5"/>
                  <c:y val="-0.19047444848430889"/>
                </c:manualLayout>
              </c:layout>
              <c:showCatName val="1"/>
              <c:showPercent val="1"/>
            </c:dLbl>
            <c:numFmt formatCode="0.0%" sourceLinked="0"/>
            <c:txPr>
              <a:bodyPr/>
              <a:lstStyle/>
              <a:p>
                <a:pPr>
                  <a:defRPr b="1">
                    <a:latin typeface="Times New Roman" pitchFamily="18" charset="0"/>
                    <a:cs typeface="Times New Roman" pitchFamily="18" charset="0"/>
                  </a:defRPr>
                </a:pPr>
                <a:endParaRPr lang="fr-FR"/>
              </a:p>
            </c:txPr>
            <c:showCatName val="1"/>
            <c:showPercent val="1"/>
            <c:showLeaderLines val="1"/>
          </c:dLbls>
          <c:cat>
            <c:strRef>
              <c:f>Feuil1!$J$44:$J$48</c:f>
              <c:strCache>
                <c:ptCount val="5"/>
                <c:pt idx="0">
                  <c:v>Marrakech - Tensift - Al Haouz</c:v>
                </c:pt>
                <c:pt idx="1">
                  <c:v>Rabat - Salé - Zemmour – Zaer</c:v>
                </c:pt>
                <c:pt idx="2">
                  <c:v>Grand Casablanca</c:v>
                </c:pt>
                <c:pt idx="3">
                  <c:v>Tanger – Tétouan</c:v>
                </c:pt>
                <c:pt idx="4">
                  <c:v>Reste des régions</c:v>
                </c:pt>
              </c:strCache>
            </c:strRef>
          </c:cat>
          <c:val>
            <c:numRef>
              <c:f>Feuil1!$K$44:$K$48</c:f>
              <c:numCache>
                <c:formatCode>General</c:formatCode>
                <c:ptCount val="5"/>
                <c:pt idx="0">
                  <c:v>50821</c:v>
                </c:pt>
                <c:pt idx="1">
                  <c:v>54343</c:v>
                </c:pt>
                <c:pt idx="2">
                  <c:v>70971</c:v>
                </c:pt>
                <c:pt idx="3">
                  <c:v>58480</c:v>
                </c:pt>
                <c:pt idx="4">
                  <c:v>261042</c:v>
                </c:pt>
              </c:numCache>
            </c:numRef>
          </c:val>
        </c:ser>
        <c:dLbls>
          <c:showCatName val="1"/>
          <c:showPercent val="1"/>
        </c:dLbls>
      </c:pie3DChart>
    </c:plotArea>
    <c:plotVisOnly val="1"/>
  </c:chart>
  <c:spPr>
    <a:noFill/>
    <a:ln>
      <a:noFill/>
    </a:ln>
  </c:spPr>
  <c:txPr>
    <a:bodyPr/>
    <a:lstStyle/>
    <a:p>
      <a:pPr>
        <a:defRPr lang="fr-FR"/>
      </a:pPr>
      <a:endParaRPr lang="fr-FR"/>
    </a:p>
  </c:txPr>
  <c:externalData r:id="rId1"/>
</c:chartSpac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97D5D5-B7E6-405F-8002-FFE711831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2116</Words>
  <Characters>11638</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13727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carrefour</dc:creator>
  <cp:lastModifiedBy>HP</cp:lastModifiedBy>
  <cp:revision>2</cp:revision>
  <cp:lastPrinted>2015-10-06T08:59:00Z</cp:lastPrinted>
  <dcterms:created xsi:type="dcterms:W3CDTF">2017-03-30T15:54:00Z</dcterms:created>
  <dcterms:modified xsi:type="dcterms:W3CDTF">2017-03-30T15:54:00Z</dcterms:modified>
</cp:coreProperties>
</file>